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CF9CE">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0A88B576">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37ED0615">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096C74E0">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7FEB5BE5">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7E8C480F">
      <w:pPr>
        <w:keepNext w:val="0"/>
        <w:keepLines w:val="0"/>
        <w:pageBreakBefore w:val="0"/>
        <w:widowControl w:val="0"/>
        <w:kinsoku/>
        <w:wordWrap/>
        <w:overflowPunct/>
        <w:topLinePunct w:val="0"/>
        <w:autoSpaceDE/>
        <w:autoSpaceDN/>
        <w:bidi w:val="0"/>
        <w:adjustRightInd/>
        <w:snapToGrid/>
        <w:spacing w:afterAutospacing="0" w:line="540" w:lineRule="exact"/>
        <w:jc w:val="center"/>
        <w:textAlignment w:val="auto"/>
        <w:rPr>
          <w:rFonts w:hint="default" w:ascii="Times New Roman" w:hAnsi="Times New Roman" w:eastAsia="方正小标宋简体" w:cs="Times New Roman"/>
          <w:sz w:val="44"/>
          <w:szCs w:val="44"/>
          <w:lang w:val="en-US" w:eastAsia="zh-CN"/>
        </w:rPr>
      </w:pPr>
    </w:p>
    <w:p w14:paraId="6E182B89">
      <w:pPr>
        <w:keepNext w:val="0"/>
        <w:keepLines w:val="0"/>
        <w:pageBreakBefore w:val="0"/>
        <w:widowControl w:val="0"/>
        <w:kinsoku/>
        <w:wordWrap/>
        <w:overflowPunct/>
        <w:topLinePunct w:val="0"/>
        <w:autoSpaceDE/>
        <w:autoSpaceDN/>
        <w:bidi w:val="0"/>
        <w:adjustRightInd/>
        <w:snapToGrid/>
        <w:spacing w:afterAutospacing="0" w:line="38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 xml:space="preserve">    </w:t>
      </w:r>
      <w:r>
        <w:rPr>
          <w:rFonts w:hint="eastAsia" w:ascii="Times New Roman" w:hAnsi="Times New Roman" w:eastAsia="方正小标宋简体" w:cs="Times New Roman"/>
          <w:sz w:val="44"/>
          <w:szCs w:val="44"/>
          <w:lang w:val="en-US" w:eastAsia="zh-CN"/>
        </w:rPr>
        <w:t xml:space="preserve">              </w:t>
      </w:r>
      <w:r>
        <w:rPr>
          <w:rFonts w:hint="eastAsia" w:ascii="Times New Roman" w:hAnsi="Times New Roman" w:eastAsia="仿宋_GB2312" w:cs="Times New Roman"/>
          <w:spacing w:val="28"/>
          <w:sz w:val="32"/>
          <w:szCs w:val="32"/>
          <w:lang w:val="en-US" w:eastAsia="zh-CN"/>
        </w:rPr>
        <w:t>住  建  局</w:t>
      </w:r>
      <w:r>
        <w:rPr>
          <w:rFonts w:hint="default" w:ascii="Times New Roman" w:hAnsi="Times New Roman" w:eastAsia="方正小标宋简体" w:cs="Times New Roman"/>
          <w:sz w:val="44"/>
          <w:szCs w:val="44"/>
          <w:lang w:val="en-US" w:eastAsia="zh-CN"/>
        </w:rPr>
        <w:t xml:space="preserve">             </w:t>
      </w:r>
    </w:p>
    <w:p w14:paraId="672A5D69">
      <w:pPr>
        <w:keepNext w:val="0"/>
        <w:keepLines w:val="0"/>
        <w:pageBreakBefore w:val="0"/>
        <w:widowControl w:val="0"/>
        <w:kinsoku/>
        <w:wordWrap/>
        <w:overflowPunct/>
        <w:topLinePunct w:val="0"/>
        <w:autoSpaceDE/>
        <w:autoSpaceDN/>
        <w:bidi w:val="0"/>
        <w:adjustRightInd/>
        <w:snapToGrid/>
        <w:spacing w:afterAutospacing="0" w:line="380" w:lineRule="exact"/>
        <w:jc w:val="center"/>
        <w:textAlignment w:val="auto"/>
        <w:rPr>
          <w:rFonts w:hint="default" w:ascii="Times New Roman" w:hAnsi="Times New Roman" w:eastAsia="仿宋_GB2312" w:cs="Times New Roman"/>
          <w:spacing w:val="40"/>
          <w:sz w:val="32"/>
          <w:szCs w:val="32"/>
          <w:lang w:val="en-US" w:eastAsia="zh-CN"/>
        </w:rPr>
      </w:pP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仿宋_GB2312" w:cs="Times New Roman"/>
          <w:spacing w:val="40"/>
          <w:sz w:val="32"/>
          <w:szCs w:val="32"/>
          <w:lang w:val="en-US" w:eastAsia="zh-CN"/>
        </w:rPr>
        <w:t>发展改革委</w:t>
      </w:r>
    </w:p>
    <w:p w14:paraId="64F1E897">
      <w:pPr>
        <w:keepNext w:val="0"/>
        <w:keepLines w:val="0"/>
        <w:pageBreakBefore w:val="0"/>
        <w:widowControl w:val="0"/>
        <w:kinsoku/>
        <w:wordWrap/>
        <w:overflowPunct/>
        <w:topLinePunct w:val="0"/>
        <w:autoSpaceDE/>
        <w:autoSpaceDN/>
        <w:bidi w:val="0"/>
        <w:adjustRightInd/>
        <w:snapToGrid/>
        <w:spacing w:afterAutospacing="0" w:line="380" w:lineRule="exact"/>
        <w:jc w:val="center"/>
        <w:textAlignment w:val="auto"/>
        <w:rPr>
          <w:rFonts w:hint="default" w:ascii="Times New Roman" w:hAnsi="Times New Roman" w:eastAsia="方正小标宋简体" w:cs="Times New Roman"/>
          <w:sz w:val="44"/>
          <w:szCs w:val="44"/>
          <w:lang w:val="en-US" w:eastAsia="zh-CN"/>
        </w:rPr>
      </w:pPr>
      <w:r>
        <w:rPr>
          <w:rFonts w:hint="eastAsia" w:ascii="Times New Roman" w:hAnsi="Times New Roman" w:eastAsia="仿宋_GB2312" w:cs="Times New Roman"/>
          <w:spacing w:val="40"/>
          <w:sz w:val="32"/>
          <w:szCs w:val="32"/>
          <w:lang w:val="en-US" w:eastAsia="zh-CN"/>
        </w:rPr>
        <w:t xml:space="preserve">                </w:t>
      </w:r>
      <w:r>
        <w:rPr>
          <w:rFonts w:hint="default" w:ascii="Times New Roman" w:hAnsi="Times New Roman" w:eastAsia="仿宋_GB2312" w:cs="Times New Roman"/>
          <w:sz w:val="32"/>
          <w:szCs w:val="32"/>
          <w:lang w:val="en-US" w:eastAsia="zh-CN"/>
        </w:rPr>
        <w:t>财   政   局</w:t>
      </w:r>
      <w:r>
        <w:rPr>
          <w:rFonts w:hint="default" w:ascii="Times New Roman" w:hAnsi="Times New Roman" w:eastAsia="方正小标宋简体" w:cs="Times New Roman"/>
          <w:sz w:val="44"/>
          <w:szCs w:val="44"/>
          <w:lang w:val="en-US" w:eastAsia="zh-CN"/>
        </w:rPr>
        <w:t xml:space="preserve"> </w:t>
      </w:r>
    </w:p>
    <w:p w14:paraId="3A226AFE">
      <w:pPr>
        <w:keepNext w:val="0"/>
        <w:keepLines w:val="0"/>
        <w:pageBreakBefore w:val="0"/>
        <w:widowControl w:val="0"/>
        <w:kinsoku/>
        <w:wordWrap/>
        <w:overflowPunct/>
        <w:topLinePunct w:val="0"/>
        <w:autoSpaceDE/>
        <w:autoSpaceDN/>
        <w:bidi w:val="0"/>
        <w:adjustRightInd/>
        <w:snapToGrid/>
        <w:spacing w:afterAutospacing="0" w:line="380" w:lineRule="exact"/>
        <w:jc w:val="center"/>
        <w:textAlignment w:val="auto"/>
        <w:rPr>
          <w:rFonts w:hint="default" w:ascii="Times New Roman" w:hAnsi="Times New Roman" w:eastAsia="仿宋_GB2312" w:cs="Times New Roman"/>
          <w:spacing w:val="-40"/>
          <w:sz w:val="32"/>
          <w:szCs w:val="32"/>
          <w:lang w:val="en-US" w:eastAsia="zh-CN"/>
        </w:rPr>
      </w:pP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40"/>
          <w:sz w:val="32"/>
          <w:szCs w:val="32"/>
          <w:lang w:val="en-US" w:eastAsia="zh-CN"/>
        </w:rPr>
        <w:t>自然资源和规划局</w:t>
      </w:r>
    </w:p>
    <w:p w14:paraId="2F1F763C">
      <w:pPr>
        <w:keepNext w:val="0"/>
        <w:keepLines w:val="0"/>
        <w:pageBreakBefore w:val="0"/>
        <w:widowControl w:val="0"/>
        <w:kinsoku/>
        <w:wordWrap/>
        <w:overflowPunct/>
        <w:topLinePunct w:val="0"/>
        <w:autoSpaceDE/>
        <w:autoSpaceDN/>
        <w:bidi w:val="0"/>
        <w:adjustRightInd/>
        <w:snapToGrid/>
        <w:spacing w:afterAutospacing="0" w:line="380" w:lineRule="exact"/>
        <w:jc w:val="center"/>
        <w:textAlignment w:val="auto"/>
        <w:rPr>
          <w:rFonts w:hint="default" w:ascii="Times New Roman" w:hAnsi="Times New Roman" w:eastAsia="仿宋_GB2312" w:cs="Times New Roman"/>
          <w:sz w:val="13"/>
          <w:szCs w:val="13"/>
          <w:lang w:val="en-US" w:eastAsia="zh-CN"/>
        </w:rPr>
      </w:pPr>
      <w:r>
        <w:rPr>
          <w:rFonts w:hint="eastAsia" w:ascii="Times New Roman" w:hAnsi="Times New Roman" w:eastAsia="仿宋_GB2312" w:cs="Times New Roman"/>
          <w:spacing w:val="-40"/>
          <w:sz w:val="32"/>
          <w:szCs w:val="32"/>
          <w:lang w:val="en-US" w:eastAsia="zh-CN"/>
        </w:rPr>
        <w:t xml:space="preserve">                                               </w:t>
      </w:r>
      <w:bookmarkStart w:id="0" w:name="_GoBack"/>
      <w:bookmarkEnd w:id="0"/>
      <w:r>
        <w:rPr>
          <w:rFonts w:hint="eastAsia" w:ascii="Times New Roman" w:hAnsi="Times New Roman" w:eastAsia="仿宋_GB2312" w:cs="Times New Roman"/>
          <w:spacing w:val="-40"/>
          <w:sz w:val="32"/>
          <w:szCs w:val="32"/>
          <w:lang w:val="en-US" w:eastAsia="zh-CN"/>
        </w:rPr>
        <w:t xml:space="preserve">  </w:t>
      </w:r>
    </w:p>
    <w:p w14:paraId="2D950F8E">
      <w:pPr>
        <w:keepNext w:val="0"/>
        <w:keepLines w:val="0"/>
        <w:pageBreakBefore w:val="0"/>
        <w:widowControl w:val="0"/>
        <w:kinsoku/>
        <w:wordWrap/>
        <w:overflowPunct/>
        <w:topLinePunct w:val="0"/>
        <w:autoSpaceDE/>
        <w:autoSpaceDN/>
        <w:bidi w:val="0"/>
        <w:adjustRightInd/>
        <w:snapToGrid/>
        <w:spacing w:afterAutospacing="0" w:line="520" w:lineRule="exact"/>
        <w:jc w:val="center"/>
        <w:textAlignment w:val="auto"/>
        <w:rPr>
          <w:rFonts w:hint="default" w:ascii="Times New Roman" w:hAnsi="Times New Roman" w:eastAsia="仿宋_GB2312" w:cs="Times New Roman"/>
          <w:position w:val="6"/>
          <w:sz w:val="32"/>
          <w:szCs w:val="32"/>
          <w:lang w:val="en-US" w:eastAsia="zh-CN"/>
        </w:rPr>
      </w:pPr>
      <w:r>
        <w:rPr>
          <w:rFonts w:hint="default" w:ascii="Times New Roman" w:hAnsi="Times New Roman" w:eastAsia="仿宋_GB2312" w:cs="Times New Roman"/>
          <w:position w:val="6"/>
          <w:sz w:val="32"/>
          <w:szCs w:val="32"/>
          <w:lang w:val="en-US" w:eastAsia="zh-CN"/>
        </w:rPr>
        <w:t>师市建发〔2026〕</w:t>
      </w:r>
      <w:r>
        <w:rPr>
          <w:rFonts w:hint="eastAsia" w:ascii="Times New Roman" w:hAnsi="Times New Roman" w:eastAsia="仿宋_GB2312" w:cs="Times New Roman"/>
          <w:position w:val="6"/>
          <w:sz w:val="32"/>
          <w:szCs w:val="32"/>
          <w:lang w:val="en-US" w:eastAsia="zh-CN"/>
        </w:rPr>
        <w:t>2</w:t>
      </w:r>
      <w:r>
        <w:rPr>
          <w:rFonts w:hint="default" w:ascii="Times New Roman" w:hAnsi="Times New Roman" w:eastAsia="仿宋_GB2312" w:cs="Times New Roman"/>
          <w:position w:val="6"/>
          <w:sz w:val="32"/>
          <w:szCs w:val="32"/>
          <w:lang w:val="en-US" w:eastAsia="zh-CN"/>
        </w:rPr>
        <w:t>号</w:t>
      </w:r>
    </w:p>
    <w:p w14:paraId="4A39EAB0">
      <w:pPr>
        <w:keepNext w:val="0"/>
        <w:keepLines w:val="0"/>
        <w:pageBreakBefore w:val="0"/>
        <w:widowControl w:val="0"/>
        <w:kinsoku/>
        <w:wordWrap/>
        <w:overflowPunct/>
        <w:topLinePunct w:val="0"/>
        <w:autoSpaceDE/>
        <w:autoSpaceDN/>
        <w:bidi w:val="0"/>
        <w:adjustRightInd/>
        <w:snapToGrid/>
        <w:spacing w:afterAutospacing="0" w:line="520" w:lineRule="exact"/>
        <w:jc w:val="center"/>
        <w:textAlignment w:val="auto"/>
        <w:rPr>
          <w:rFonts w:hint="default" w:ascii="Times New Roman" w:hAnsi="Times New Roman" w:eastAsia="方正小标宋简体" w:cs="Times New Roman"/>
          <w:sz w:val="44"/>
          <w:szCs w:val="44"/>
          <w:lang w:val="en-US" w:eastAsia="zh-CN"/>
        </w:rPr>
      </w:pPr>
    </w:p>
    <w:p w14:paraId="51035FC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color w:val="auto"/>
          <w:spacing w:val="0"/>
          <w:sz w:val="44"/>
          <w:szCs w:val="44"/>
          <w:highlight w:val="none"/>
          <w:lang w:val="en-US" w:eastAsia="zh-CN"/>
        </w:rPr>
      </w:pPr>
      <w:r>
        <w:rPr>
          <w:rFonts w:hint="eastAsia"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lang w:val="en-US" w:eastAsia="zh-CN"/>
        </w:rPr>
        <w:t>印发《</w:t>
      </w:r>
      <w:r>
        <w:rPr>
          <w:rFonts w:hint="default" w:ascii="Times New Roman" w:hAnsi="Times New Roman" w:eastAsia="方正小标宋简体" w:cs="Times New Roman"/>
          <w:color w:val="auto"/>
          <w:spacing w:val="0"/>
          <w:sz w:val="44"/>
          <w:szCs w:val="44"/>
          <w:highlight w:val="none"/>
          <w:lang w:val="en-US" w:eastAsia="zh-CN"/>
        </w:rPr>
        <w:t>关于提升可克达拉市住房品质的</w:t>
      </w:r>
    </w:p>
    <w:p w14:paraId="0AFB4BA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sz w:val="44"/>
          <w:szCs w:val="44"/>
          <w:highlight w:val="none"/>
          <w:lang w:val="en-US" w:eastAsia="zh-CN"/>
        </w:rPr>
      </w:pPr>
      <w:r>
        <w:rPr>
          <w:rFonts w:hint="default" w:ascii="Times New Roman" w:hAnsi="Times New Roman" w:eastAsia="方正小标宋简体" w:cs="Times New Roman"/>
          <w:color w:val="auto"/>
          <w:spacing w:val="0"/>
          <w:sz w:val="44"/>
          <w:szCs w:val="44"/>
          <w:highlight w:val="none"/>
          <w:lang w:eastAsia="zh-CN"/>
        </w:rPr>
        <w:t>若干措施</w:t>
      </w:r>
      <w:r>
        <w:rPr>
          <w:rFonts w:hint="default" w:ascii="Times New Roman" w:hAnsi="Times New Roman" w:eastAsia="方正小标宋简体" w:cs="Times New Roman"/>
          <w:b w:val="0"/>
          <w:bCs w:val="0"/>
          <w:sz w:val="44"/>
          <w:szCs w:val="44"/>
          <w:highlight w:val="none"/>
          <w:lang w:val="en-US" w:eastAsia="zh-CN"/>
        </w:rPr>
        <w:t>》的通知</w:t>
      </w:r>
    </w:p>
    <w:p w14:paraId="081BFE27">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highlight w:val="none"/>
          <w:lang w:val="en-US" w:eastAsia="zh-CN"/>
        </w:rPr>
      </w:pPr>
    </w:p>
    <w:p w14:paraId="3CE8F87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师市机关各部门办公室（综合科），各直属单位办公室（综合科），各街道办事处，各房地产开发企业：</w:t>
      </w:r>
    </w:p>
    <w:p w14:paraId="39ECA39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《关于</w:t>
      </w:r>
      <w:r>
        <w:rPr>
          <w:rFonts w:hint="default" w:ascii="Times New Roman" w:hAnsi="Times New Roman" w:eastAsia="仿宋_GB2312" w:cs="Times New Roman"/>
          <w:color w:val="auto"/>
          <w:spacing w:val="0"/>
          <w:sz w:val="32"/>
          <w:szCs w:val="32"/>
          <w:highlight w:val="none"/>
          <w:lang w:val="en-US" w:eastAsia="zh-CN"/>
        </w:rPr>
        <w:t>提升可克达拉市住房品质的</w:t>
      </w:r>
      <w:r>
        <w:rPr>
          <w:rFonts w:hint="default" w:ascii="Times New Roman" w:hAnsi="Times New Roman" w:eastAsia="仿宋_GB2312" w:cs="Times New Roman"/>
          <w:color w:val="auto"/>
          <w:spacing w:val="0"/>
          <w:sz w:val="32"/>
          <w:szCs w:val="32"/>
          <w:highlight w:val="none"/>
          <w:lang w:eastAsia="zh-CN"/>
        </w:rPr>
        <w:t>若干措施</w:t>
      </w:r>
      <w:r>
        <w:rPr>
          <w:rFonts w:hint="default" w:ascii="Times New Roman" w:hAnsi="Times New Roman" w:eastAsia="仿宋_GB2312" w:cs="Times New Roman"/>
          <w:spacing w:val="0"/>
          <w:sz w:val="32"/>
          <w:szCs w:val="32"/>
          <w:highlight w:val="none"/>
          <w:lang w:val="en-US" w:eastAsia="zh-CN"/>
        </w:rPr>
        <w:t>》经师市2026年第2次行政常务会审议通过。现印发你们，请广泛宣传，积极动员，认真落实。</w:t>
      </w:r>
    </w:p>
    <w:p w14:paraId="4234F8D0">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仿宋_GB2312" w:cs="Times New Roman"/>
          <w:sz w:val="32"/>
          <w:szCs w:val="32"/>
          <w:highlight w:val="none"/>
          <w:lang w:val="en-US" w:eastAsia="zh-CN"/>
        </w:rPr>
      </w:pPr>
    </w:p>
    <w:p w14:paraId="49E3EA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p>
    <w:p w14:paraId="194973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第四师可克达拉市</w:t>
      </w:r>
      <w:r>
        <w:rPr>
          <w:rFonts w:hint="eastAsia" w:ascii="Times New Roman" w:hAnsi="Times New Roman" w:eastAsia="仿宋_GB2312" w:cs="Times New Roman"/>
          <w:sz w:val="32"/>
          <w:szCs w:val="32"/>
          <w:highlight w:val="none"/>
          <w:lang w:val="en-US" w:eastAsia="zh-CN"/>
        </w:rPr>
        <w:t xml:space="preserve">住建局           </w:t>
      </w:r>
      <w:r>
        <w:rPr>
          <w:rFonts w:hint="default" w:ascii="Times New Roman" w:hAnsi="Times New Roman" w:eastAsia="仿宋_GB2312" w:cs="Times New Roman"/>
          <w:sz w:val="32"/>
          <w:szCs w:val="32"/>
          <w:highlight w:val="none"/>
          <w:lang w:val="en-US" w:eastAsia="zh-CN"/>
        </w:rPr>
        <w:t xml:space="preserve">第四师可克达拉市发改委          </w:t>
      </w:r>
    </w:p>
    <w:p w14:paraId="12C3D4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sectPr>
          <w:pgSz w:w="11906" w:h="16838"/>
          <w:pgMar w:top="2098" w:right="1474" w:bottom="1701" w:left="1587" w:header="851" w:footer="992" w:gutter="0"/>
          <w:pgNumType w:fmt="numberInDash" w:start="2"/>
          <w:cols w:space="425" w:num="1"/>
          <w:docGrid w:type="lines" w:linePitch="312" w:charSpace="0"/>
        </w:sectPr>
      </w:pPr>
    </w:p>
    <w:p w14:paraId="6EFB60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p>
    <w:p w14:paraId="6DCB31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p>
    <w:p w14:paraId="4A666C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第四师可克达拉市财政局</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pacing w:val="-11"/>
          <w:sz w:val="32"/>
          <w:szCs w:val="32"/>
          <w:highlight w:val="none"/>
          <w:lang w:val="en-US" w:eastAsia="zh-CN"/>
        </w:rPr>
        <w:t>第四师可克达拉市自然资源和规划局</w:t>
      </w:r>
      <w:r>
        <w:rPr>
          <w:rFonts w:hint="default" w:ascii="Times New Roman" w:hAnsi="Times New Roman" w:eastAsia="仿宋_GB2312" w:cs="Times New Roman"/>
          <w:sz w:val="32"/>
          <w:szCs w:val="32"/>
          <w:highlight w:val="none"/>
          <w:lang w:val="en-US" w:eastAsia="zh-CN"/>
        </w:rPr>
        <w:t xml:space="preserve"> </w:t>
      </w:r>
    </w:p>
    <w:p w14:paraId="64B634FD">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2026年1月30日</w:t>
      </w:r>
    </w:p>
    <w:p w14:paraId="3BB5F8DA">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default" w:ascii="Times New Roman" w:hAnsi="Times New Roman" w:eastAsia="方正小标宋简体" w:cs="Times New Roman"/>
          <w:b w:val="0"/>
          <w:bCs w:val="0"/>
          <w:sz w:val="44"/>
          <w:szCs w:val="44"/>
          <w:highlight w:val="none"/>
          <w:lang w:val="en-US" w:eastAsia="zh-CN"/>
        </w:rPr>
        <w:sectPr>
          <w:footerReference r:id="rId3" w:type="default"/>
          <w:pgSz w:w="11906" w:h="16838"/>
          <w:pgMar w:top="2098" w:right="1474" w:bottom="1701" w:left="1587" w:header="851" w:footer="992" w:gutter="0"/>
          <w:pgNumType w:fmt="numberInDash" w:start="2"/>
          <w:cols w:space="425" w:num="1"/>
          <w:docGrid w:type="lines" w:linePitch="312" w:charSpace="0"/>
        </w:sectPr>
      </w:pPr>
    </w:p>
    <w:p w14:paraId="28C7D1C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color w:val="auto"/>
          <w:spacing w:val="0"/>
          <w:sz w:val="44"/>
          <w:szCs w:val="44"/>
          <w:highlight w:val="none"/>
          <w:lang w:eastAsia="zh-CN"/>
        </w:rPr>
      </w:pPr>
      <w:r>
        <w:rPr>
          <w:rFonts w:hint="default" w:ascii="Times New Roman" w:hAnsi="Times New Roman" w:eastAsia="方正小标宋简体" w:cs="Times New Roman"/>
          <w:color w:val="auto"/>
          <w:spacing w:val="0"/>
          <w:sz w:val="44"/>
          <w:szCs w:val="44"/>
          <w:highlight w:val="none"/>
          <w:lang w:val="en-US" w:eastAsia="zh-CN"/>
        </w:rPr>
        <w:t>关于提升可克达拉市住房品质的</w:t>
      </w:r>
      <w:r>
        <w:rPr>
          <w:rFonts w:hint="default" w:ascii="Times New Roman" w:hAnsi="Times New Roman" w:eastAsia="方正小标宋简体" w:cs="Times New Roman"/>
          <w:color w:val="auto"/>
          <w:spacing w:val="0"/>
          <w:sz w:val="44"/>
          <w:szCs w:val="44"/>
          <w:highlight w:val="none"/>
          <w:lang w:eastAsia="zh-CN"/>
        </w:rPr>
        <w:t>若干措施</w:t>
      </w:r>
    </w:p>
    <w:p w14:paraId="53B2B5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rPr>
      </w:pPr>
    </w:p>
    <w:p w14:paraId="6003C1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eastAsia="zh-CN"/>
        </w:rPr>
      </w:pPr>
      <w:r>
        <w:rPr>
          <w:rFonts w:hint="default" w:ascii="Times New Roman" w:hAnsi="Times New Roman" w:eastAsia="仿宋_GB2312" w:cs="Times New Roman"/>
          <w:color w:val="auto"/>
          <w:spacing w:val="0"/>
          <w:sz w:val="32"/>
          <w:szCs w:val="32"/>
          <w:highlight w:val="none"/>
          <w:lang w:val="en-US" w:eastAsia="zh-CN"/>
        </w:rPr>
        <w:t>为</w:t>
      </w:r>
      <w:r>
        <w:rPr>
          <w:rFonts w:hint="default" w:ascii="Times New Roman" w:hAnsi="Times New Roman" w:eastAsia="仿宋_GB2312" w:cs="Times New Roman"/>
          <w:color w:val="auto"/>
          <w:spacing w:val="0"/>
          <w:sz w:val="32"/>
          <w:szCs w:val="32"/>
          <w:highlight w:val="none"/>
        </w:rPr>
        <w:t>贯彻党中央、国务院</w:t>
      </w:r>
      <w:r>
        <w:rPr>
          <w:rFonts w:hint="default" w:ascii="Times New Roman" w:hAnsi="Times New Roman" w:eastAsia="仿宋_GB2312" w:cs="Times New Roman"/>
          <w:color w:val="auto"/>
          <w:spacing w:val="0"/>
          <w:sz w:val="32"/>
          <w:szCs w:val="32"/>
          <w:highlight w:val="none"/>
          <w:lang w:val="en-US" w:eastAsia="zh-CN"/>
        </w:rPr>
        <w:t>决策部署，</w:t>
      </w:r>
      <w:r>
        <w:rPr>
          <w:rFonts w:hint="default" w:ascii="Times New Roman" w:hAnsi="Times New Roman" w:eastAsia="仿宋_GB2312" w:cs="Times New Roman"/>
          <w:color w:val="auto"/>
          <w:spacing w:val="0"/>
          <w:sz w:val="32"/>
          <w:szCs w:val="32"/>
          <w:highlight w:val="none"/>
        </w:rPr>
        <w:t>落实</w:t>
      </w:r>
      <w:r>
        <w:rPr>
          <w:rFonts w:hint="default" w:ascii="Times New Roman" w:hAnsi="Times New Roman" w:eastAsia="仿宋_GB2312" w:cs="Times New Roman"/>
          <w:color w:val="auto"/>
          <w:spacing w:val="0"/>
          <w:sz w:val="32"/>
          <w:szCs w:val="32"/>
          <w:highlight w:val="none"/>
          <w:lang w:val="en-US" w:eastAsia="zh-CN"/>
        </w:rPr>
        <w:t>住建</w:t>
      </w:r>
      <w:r>
        <w:rPr>
          <w:rFonts w:hint="default" w:ascii="Times New Roman" w:hAnsi="Times New Roman" w:eastAsia="仿宋_GB2312" w:cs="Times New Roman"/>
          <w:color w:val="auto"/>
          <w:spacing w:val="0"/>
          <w:sz w:val="32"/>
          <w:szCs w:val="32"/>
          <w:highlight w:val="none"/>
        </w:rPr>
        <w:t>部</w:t>
      </w:r>
      <w:r>
        <w:rPr>
          <w:rFonts w:hint="default" w:ascii="Times New Roman" w:hAnsi="Times New Roman" w:eastAsia="仿宋_GB2312" w:cs="Times New Roman"/>
          <w:color w:val="auto"/>
          <w:spacing w:val="0"/>
          <w:sz w:val="32"/>
          <w:szCs w:val="32"/>
          <w:highlight w:val="none"/>
          <w:lang w:val="en-US" w:eastAsia="zh-CN"/>
        </w:rPr>
        <w:t>关于</w:t>
      </w:r>
      <w:r>
        <w:rPr>
          <w:rFonts w:hint="default" w:ascii="Times New Roman" w:hAnsi="Times New Roman" w:eastAsia="仿宋_GB2312" w:cs="Times New Roman"/>
          <w:color w:val="auto"/>
          <w:spacing w:val="0"/>
          <w:sz w:val="32"/>
          <w:szCs w:val="32"/>
          <w:highlight w:val="none"/>
        </w:rPr>
        <w:t>“好房子”</w:t>
      </w:r>
      <w:r>
        <w:rPr>
          <w:rFonts w:hint="default" w:ascii="Times New Roman" w:hAnsi="Times New Roman" w:eastAsia="仿宋_GB2312" w:cs="Times New Roman"/>
          <w:color w:val="auto"/>
          <w:spacing w:val="0"/>
          <w:sz w:val="32"/>
          <w:szCs w:val="32"/>
          <w:highlight w:val="none"/>
          <w:lang w:val="en-US" w:eastAsia="zh-CN"/>
        </w:rPr>
        <w:t>建设的</w:t>
      </w:r>
      <w:r>
        <w:rPr>
          <w:rFonts w:hint="default" w:ascii="Times New Roman" w:hAnsi="Times New Roman" w:eastAsia="仿宋_GB2312" w:cs="Times New Roman"/>
          <w:color w:val="auto"/>
          <w:spacing w:val="0"/>
          <w:sz w:val="32"/>
          <w:szCs w:val="32"/>
          <w:highlight w:val="none"/>
        </w:rPr>
        <w:t>相关要求</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spacing w:val="0"/>
          <w:sz w:val="32"/>
          <w:szCs w:val="32"/>
          <w:highlight w:val="none"/>
          <w:lang w:val="en-US" w:eastAsia="zh-CN"/>
        </w:rPr>
        <w:t>按照兵团住建局等七部门联合印发的《关于进一步促进商品房消费的若干措施》等相关文件精神，更好满足城市市民对住房品质的需求，在</w:t>
      </w:r>
      <w:r>
        <w:rPr>
          <w:rFonts w:hint="default" w:ascii="Times New Roman" w:hAnsi="Times New Roman" w:eastAsia="仿宋_GB2312" w:cs="Times New Roman"/>
          <w:b w:val="0"/>
          <w:bCs w:val="0"/>
          <w:color w:val="auto"/>
          <w:spacing w:val="0"/>
          <w:kern w:val="2"/>
          <w:sz w:val="32"/>
          <w:szCs w:val="32"/>
          <w:lang w:val="en-US" w:eastAsia="zh-CN" w:bidi="ar-SA"/>
        </w:rPr>
        <w:t>现行政策基础上，</w:t>
      </w:r>
      <w:r>
        <w:rPr>
          <w:rFonts w:hint="default" w:ascii="Times New Roman" w:hAnsi="Times New Roman" w:eastAsia="仿宋_GB2312" w:cs="Times New Roman"/>
          <w:color w:val="auto"/>
          <w:spacing w:val="0"/>
          <w:sz w:val="32"/>
          <w:szCs w:val="32"/>
          <w:highlight w:val="none"/>
          <w:lang w:val="en-US" w:eastAsia="zh-CN"/>
        </w:rPr>
        <w:t>结合实际</w:t>
      </w:r>
      <w:r>
        <w:rPr>
          <w:rFonts w:hint="default" w:ascii="Times New Roman" w:hAnsi="Times New Roman" w:eastAsia="仿宋_GB2312" w:cs="Times New Roman"/>
          <w:b w:val="0"/>
          <w:bCs w:val="0"/>
          <w:color w:val="auto"/>
          <w:spacing w:val="0"/>
          <w:kern w:val="2"/>
          <w:sz w:val="32"/>
          <w:szCs w:val="32"/>
          <w:lang w:val="en-US" w:eastAsia="zh-CN" w:bidi="ar-SA"/>
        </w:rPr>
        <w:t>提出以下措施</w:t>
      </w:r>
      <w:r>
        <w:rPr>
          <w:rFonts w:hint="default" w:ascii="Times New Roman" w:hAnsi="Times New Roman" w:eastAsia="仿宋_GB2312" w:cs="Times New Roman"/>
          <w:color w:val="auto"/>
          <w:spacing w:val="0"/>
          <w:sz w:val="32"/>
          <w:szCs w:val="32"/>
          <w:highlight w:val="none"/>
          <w:lang w:eastAsia="zh-CN"/>
        </w:rPr>
        <w:t>。</w:t>
      </w:r>
    </w:p>
    <w:p w14:paraId="352656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第一条 明确界定适用范围。</w:t>
      </w:r>
      <w:r>
        <w:rPr>
          <w:rFonts w:hint="default" w:ascii="Times New Roman" w:hAnsi="Times New Roman" w:eastAsia="仿宋_GB2312" w:cs="Times New Roman"/>
          <w:color w:val="auto"/>
          <w:spacing w:val="0"/>
          <w:sz w:val="32"/>
          <w:szCs w:val="32"/>
          <w:highlight w:val="none"/>
          <w:lang w:val="en-US" w:eastAsia="zh-CN"/>
        </w:rPr>
        <w:t>适用于中心城区范围内尚未取得工程规划许可证、施工许可证，符合详细规划和出让合同约定的居住用地项目。对于已出让及分期建设地块，本措施实施之前，同宗分期建设地块项目，如地块整体规划方案已完全核定且建设单位按照原核定方案继续建设的，可按原方案执行；如建设单位有意向按提升住宅品质政策执行的，可按照规定申请规划变更。</w:t>
      </w:r>
    </w:p>
    <w:p w14:paraId="50D4352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第二条 降低土地使用成本。</w:t>
      </w:r>
      <w:r>
        <w:rPr>
          <w:rFonts w:hint="default" w:ascii="Times New Roman" w:hAnsi="Times New Roman" w:eastAsia="仿宋_GB2312" w:cs="Times New Roman"/>
          <w:color w:val="auto"/>
          <w:spacing w:val="0"/>
          <w:sz w:val="32"/>
          <w:szCs w:val="32"/>
          <w:highlight w:val="none"/>
          <w:lang w:val="en-US" w:eastAsia="zh-CN"/>
        </w:rPr>
        <w:t>对于开发建设品质住房的土地，评估过程中充分考虑地块周边基础设施、区位优势，综合确定出让价格。鼓励品质住房用地带整体方案供应，允许分两期开发建设。</w:t>
      </w:r>
    </w:p>
    <w:p w14:paraId="220DBF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第三条 优化面积计算规则。</w:t>
      </w:r>
      <w:r>
        <w:rPr>
          <w:rFonts w:hint="default" w:ascii="Times New Roman" w:hAnsi="Times New Roman" w:eastAsia="仿宋_GB2312" w:cs="Times New Roman"/>
          <w:color w:val="auto"/>
          <w:spacing w:val="0"/>
          <w:sz w:val="32"/>
          <w:szCs w:val="32"/>
          <w:highlight w:val="none"/>
          <w:lang w:val="en-US" w:eastAsia="zh-CN"/>
        </w:rPr>
        <w:t>鼓励开发企业设计封闭阳台，按室内空间审图，所有阳台按其外围水平投影1</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2计算面积；封闭设备平台、落地飘窗，不计入面积，增加住宅实际得房率。</w:t>
      </w:r>
    </w:p>
    <w:p w14:paraId="40C698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第四条 合理设置入户花园。</w:t>
      </w:r>
      <w:r>
        <w:rPr>
          <w:rFonts w:hint="default" w:ascii="Times New Roman" w:hAnsi="Times New Roman" w:eastAsia="仿宋_GB2312" w:cs="Times New Roman"/>
          <w:color w:val="auto"/>
          <w:spacing w:val="0"/>
          <w:sz w:val="32"/>
          <w:szCs w:val="32"/>
          <w:highlight w:val="none"/>
          <w:lang w:val="en-US" w:eastAsia="zh-CN"/>
        </w:rPr>
        <w:t>鼓励开发企业根据项目布局及户型差异化设置花园，其中封闭花园不计入面积。沿城市主次干道或重要景观朝向住宅需按公建化处理外立面设计，其临街朝向面不得设置入户花园。</w:t>
      </w:r>
    </w:p>
    <w:p w14:paraId="3CA938F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第五条 鼓励建设屋顶花房。</w:t>
      </w:r>
      <w:r>
        <w:rPr>
          <w:rFonts w:hint="default" w:ascii="Times New Roman" w:hAnsi="Times New Roman" w:eastAsia="仿宋_GB2312" w:cs="Times New Roman"/>
          <w:color w:val="auto"/>
          <w:spacing w:val="0"/>
          <w:sz w:val="32"/>
          <w:szCs w:val="32"/>
          <w:highlight w:val="none"/>
          <w:lang w:val="en-US" w:eastAsia="zh-CN"/>
        </w:rPr>
        <w:t>引导开发企业差异化设计、建设屋顶花房，其中封闭式屋顶花房不计入面积。</w:t>
      </w:r>
    </w:p>
    <w:p w14:paraId="542C13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第六条 灵活调整销售价格。</w:t>
      </w:r>
      <w:r>
        <w:rPr>
          <w:rFonts w:hint="default" w:ascii="Times New Roman" w:hAnsi="Times New Roman" w:eastAsia="仿宋_GB2312" w:cs="Times New Roman"/>
          <w:color w:val="auto"/>
          <w:spacing w:val="0"/>
          <w:sz w:val="32"/>
          <w:szCs w:val="32"/>
          <w:highlight w:val="none"/>
          <w:lang w:val="en-US" w:eastAsia="zh-CN"/>
        </w:rPr>
        <w:t>销售备案价格由上下浮动10%以内调整为上下浮动15%以内；销售价格申报调整周期由6个月缩减为3个月。</w:t>
      </w:r>
    </w:p>
    <w:p w14:paraId="17FA2B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第七条 实施奖补激励政策。</w:t>
      </w:r>
      <w:r>
        <w:rPr>
          <w:rFonts w:hint="default" w:ascii="Times New Roman" w:hAnsi="Times New Roman" w:eastAsia="仿宋_GB2312" w:cs="Times New Roman"/>
          <w:color w:val="auto"/>
          <w:spacing w:val="0"/>
          <w:sz w:val="32"/>
          <w:szCs w:val="32"/>
          <w:highlight w:val="none"/>
          <w:lang w:val="en-US" w:eastAsia="zh-CN"/>
        </w:rPr>
        <w:t>按照《第四师可克达拉市提升居住区及住房品质技术导则（试行）》设计，经审定完成建设并通过验收的项目，对完成该项目住房合同签订及备案的业主，给予购房补贴1万元/户，落户后可叠加补贴0.5万元/户。</w:t>
      </w:r>
    </w:p>
    <w:p w14:paraId="352174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第八条 缓解企业资金压力。</w:t>
      </w:r>
      <w:r>
        <w:rPr>
          <w:rFonts w:hint="default" w:ascii="Times New Roman" w:hAnsi="Times New Roman" w:eastAsia="仿宋_GB2312" w:cs="Times New Roman"/>
          <w:color w:val="auto"/>
          <w:spacing w:val="0"/>
          <w:sz w:val="32"/>
          <w:szCs w:val="32"/>
          <w:highlight w:val="none"/>
          <w:lang w:val="en-US" w:eastAsia="zh-CN"/>
        </w:rPr>
        <w:t>项目资本金由办理施工许可前缴纳完成调整至预售许可前缴纳完成，工程竣工验收完成后，解除监管。</w:t>
      </w:r>
    </w:p>
    <w:p w14:paraId="549435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第九条 强化住宅金融支持。</w:t>
      </w:r>
      <w:r>
        <w:rPr>
          <w:rFonts w:hint="default" w:ascii="Times New Roman" w:hAnsi="Times New Roman" w:eastAsia="仿宋_GB2312" w:cs="Times New Roman"/>
          <w:color w:val="auto"/>
          <w:spacing w:val="0"/>
          <w:sz w:val="32"/>
          <w:szCs w:val="32"/>
          <w:highlight w:val="none"/>
          <w:lang w:val="en-US" w:eastAsia="zh-CN"/>
        </w:rPr>
        <w:t>发挥城市房地产融资协调机制作用，优化“白名单”项目覆盖范围，推动金融机构贷款审批流程，加大“白名单”项目贷款投放力度，保障项目建设资金需求。</w:t>
      </w:r>
    </w:p>
    <w:p w14:paraId="745730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楷体_GB2312" w:cs="Times New Roman"/>
          <w:color w:val="auto"/>
          <w:spacing w:val="0"/>
          <w:sz w:val="32"/>
          <w:szCs w:val="32"/>
          <w:highlight w:val="none"/>
          <w:lang w:val="en-US" w:eastAsia="zh-CN"/>
        </w:rPr>
        <w:t>第十条 扩大信贷覆盖范围。</w:t>
      </w:r>
      <w:r>
        <w:rPr>
          <w:rFonts w:hint="default" w:ascii="Times New Roman" w:hAnsi="Times New Roman" w:eastAsia="仿宋_GB2312" w:cs="Times New Roman"/>
          <w:color w:val="auto"/>
          <w:spacing w:val="0"/>
          <w:sz w:val="32"/>
          <w:szCs w:val="32"/>
          <w:highlight w:val="none"/>
          <w:lang w:val="en-US" w:eastAsia="zh-CN"/>
        </w:rPr>
        <w:t>建立购买品质住房的金融绿色通道，为购房人提供商业转公积金贷款、增加共同还款人、贷款年龄延长至70—75岁、装修贷款、消费贷款、增额贷等服务。</w:t>
      </w:r>
    </w:p>
    <w:p w14:paraId="4F0A30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本措施自公布之日起实施，有效期两年。措施中涉及建筑面积计算的事项，应严格依照国家《建筑工程建筑面积计算规范》等强制性标准执行。期间如遇国家、兵团相关政策调整的，以最新政策为准。补贴政策可叠加享受，如退房应当退还享受的相应补贴。</w:t>
      </w:r>
    </w:p>
    <w:p w14:paraId="53DEB6A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p>
    <w:p w14:paraId="41CE89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（此件公开发布）</w:t>
      </w:r>
    </w:p>
    <w:p w14:paraId="32BF80A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pacing w:val="0"/>
          <w:sz w:val="32"/>
          <w:szCs w:val="32"/>
          <w:highlight w:val="none"/>
          <w:lang w:val="en-US" w:eastAsia="zh-CN"/>
        </w:rPr>
      </w:pPr>
    </w:p>
    <w:p w14:paraId="7EF47B2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auto"/>
          <w:spacing w:val="0"/>
          <w:sz w:val="32"/>
          <w:szCs w:val="32"/>
          <w:highlight w:val="none"/>
          <w:lang w:val="en-US" w:eastAsia="zh-CN"/>
        </w:rPr>
      </w:pPr>
    </w:p>
    <w:p w14:paraId="51B21BA4">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69BB6754">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EE17B1C">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29C5C5BE">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815750F">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5D5C978">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386DC73">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DCC7849">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4331A30">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6E0181BE">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7062853">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293A71D4">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5424B4D1">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EB10727">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60A61E0">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38A3BA27">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895B8C0">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54EE24C">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70163FE5">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67A0096">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703CC54F">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68C1494">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531EF84A">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7B638AD9">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47D1494E">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3F500D98">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3FA862E">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59E2C091">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DDA647A">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24DABC4">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3E135A03">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B509813">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0EA11755">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35C38AF7">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18736418">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3898A032">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72B86071">
      <w:pPr>
        <w:keepNext w:val="0"/>
        <w:keepLines w:val="0"/>
        <w:pageBreakBefore w:val="0"/>
        <w:kinsoku/>
        <w:wordWrap/>
        <w:overflowPunct/>
        <w:topLinePunct w:val="0"/>
        <w:autoSpaceDE/>
        <w:autoSpaceDN/>
        <w:bidi w:val="0"/>
        <w:adjustRightInd/>
        <w:snapToGrid/>
        <w:spacing w:line="520" w:lineRule="exact"/>
        <w:rPr>
          <w:rFonts w:hint="default" w:ascii="Times New Roman" w:hAnsi="Times New Roman" w:eastAsia="仿宋_GB2312" w:cs="Times New Roman"/>
          <w:sz w:val="32"/>
          <w:szCs w:val="32"/>
          <w:lang w:val="en-US" w:eastAsia="zh-CN"/>
        </w:rPr>
      </w:pPr>
    </w:p>
    <w:p w14:paraId="504E3E2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highlight w:val="none"/>
          <w:lang w:val="en-US" w:eastAsia="zh-CN"/>
        </w:rPr>
      </w:pPr>
    </w:p>
    <w:p w14:paraId="5CD97532">
      <w:pPr>
        <w:pBdr>
          <w:top w:val="single" w:color="auto" w:sz="12" w:space="1"/>
          <w:bottom w:val="single" w:color="auto" w:sz="12" w:space="1"/>
        </w:pBdr>
        <w:spacing w:line="480" w:lineRule="exact"/>
        <w:ind w:firstLine="280" w:firstLineChars="1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28"/>
          <w:szCs w:val="28"/>
        </w:rPr>
        <w:t>第四师可克达拉市</w:t>
      </w:r>
      <w:r>
        <w:rPr>
          <w:rFonts w:hint="default" w:ascii="Times New Roman" w:hAnsi="Times New Roman" w:eastAsia="仿宋_GB2312" w:cs="Times New Roman"/>
          <w:sz w:val="28"/>
          <w:szCs w:val="28"/>
          <w:lang w:val="en-US" w:eastAsia="zh-CN"/>
        </w:rPr>
        <w:t>住房和城乡建设局</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US" w:eastAsia="zh-CN"/>
        </w:rPr>
        <w:t xml:space="preserve">  2</w:t>
      </w:r>
      <w:r>
        <w:rPr>
          <w:rFonts w:hint="default" w:ascii="Times New Roman" w:hAnsi="Times New Roman" w:eastAsia="仿宋_GB2312" w:cs="Times New Roman"/>
          <w:sz w:val="28"/>
          <w:szCs w:val="28"/>
        </w:rPr>
        <w:t>0</w:t>
      </w:r>
      <w:r>
        <w:rPr>
          <w:rFonts w:hint="default" w:ascii="Times New Roman" w:hAnsi="Times New Roman" w:eastAsia="仿宋_GB2312" w:cs="Times New Roman"/>
          <w:sz w:val="28"/>
          <w:szCs w:val="28"/>
          <w:lang w:val="en-US" w:eastAsia="zh-CN"/>
        </w:rPr>
        <w:t>26</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rPr>
        <w:t>日印发</w:t>
      </w:r>
    </w:p>
    <w:sectPr>
      <w:headerReference r:id="rId4" w:type="default"/>
      <w:footerReference r:id="rId5" w:type="default"/>
      <w:pgSz w:w="11906" w:h="16838"/>
      <w:pgMar w:top="2098" w:right="1531"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1" w:fontKey="{8D131511-750F-4FC2-AB8F-E175626ED097}"/>
  </w:font>
  <w:font w:name="仿宋_GB2312">
    <w:panose1 w:val="02010609030101010101"/>
    <w:charset w:val="86"/>
    <w:family w:val="auto"/>
    <w:pitch w:val="default"/>
    <w:sig w:usb0="00000001" w:usb1="080E0000" w:usb2="00000000" w:usb3="00000000" w:csb0="00040000" w:csb1="00000000"/>
    <w:embedRegular r:id="rId2" w:fontKey="{3D5A1B94-D6C3-4EC9-8392-FF9D917F05B6}"/>
  </w:font>
  <w:font w:name="楷体_GB2312">
    <w:panose1 w:val="02010609030101010101"/>
    <w:charset w:val="86"/>
    <w:family w:val="auto"/>
    <w:pitch w:val="default"/>
    <w:sig w:usb0="00000001" w:usb1="080E0000" w:usb2="00000000" w:usb3="00000000" w:csb0="00040000" w:csb1="00000000"/>
    <w:embedRegular r:id="rId3" w:fontKey="{7C2775FA-A9F9-4585-8FB0-1AE89D1C76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F422A">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CD81D">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6CD81D">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5C2E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BD4FD">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89BD4FD">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98DEE">
    <w:pPr>
      <w:pStyle w:val="5"/>
      <w:rPr>
        <w:rFonts w:hint="eastAsia"/>
        <w:lang w:val="en-US" w:eastAsia="zh-CN"/>
      </w:rPr>
    </w:pPr>
    <w:r>
      <w:rPr>
        <w:rFonts w:hint="eastAsia"/>
        <w:lang w:val="en-US" w:eastAsia="zh-CN"/>
      </w:rPr>
      <w:t xml:space="preserve">                                                                        </w:t>
    </w:r>
  </w:p>
  <w:p w14:paraId="6B28C391">
    <w:pPr>
      <w:pStyle w:val="5"/>
      <w:rPr>
        <w:rFonts w:hint="eastAsia"/>
        <w:lang w:val="en-US" w:eastAsia="zh-CN"/>
      </w:rPr>
    </w:pPr>
    <w:r>
      <w:rPr>
        <w:rFonts w:hint="eastAsia"/>
        <w:lang w:val="en-US" w:eastAsia="zh-CN"/>
      </w:rPr>
      <w:t xml:space="preserve">          </w:t>
    </w:r>
  </w:p>
  <w:p w14:paraId="37326D98">
    <w:pPr>
      <w:pStyle w:val="5"/>
      <w:tabs>
        <w:tab w:val="center" w:pos="6979"/>
        <w:tab w:val="clear" w:pos="8306"/>
      </w:tabs>
      <w:rPr>
        <w:rFonts w:hint="default"/>
        <w:lang w:val="en-US" w:eastAsia="zh-CN"/>
      </w:rPr>
    </w:pPr>
    <w:r>
      <w:rPr>
        <w:rFonts w:hint="eastAsia"/>
        <w:lang w:val="en-US" w:eastAsia="zh-CN"/>
      </w:rPr>
      <w:t xml:space="preserve">                                                             </w:t>
    </w:r>
    <w:r>
      <w:rPr>
        <w:rFonts w:hint="eastAsia"/>
        <w:sz w:val="28"/>
        <w:szCs w:val="28"/>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3NTIyZDA4ZWVkMDZmZmZiM2NjZDg1YTQ4NjMwNDkifQ=="/>
  </w:docVars>
  <w:rsids>
    <w:rsidRoot w:val="3FB11E45"/>
    <w:rsid w:val="000C1FF9"/>
    <w:rsid w:val="007A3406"/>
    <w:rsid w:val="00FC206D"/>
    <w:rsid w:val="01B64D9F"/>
    <w:rsid w:val="02117D9A"/>
    <w:rsid w:val="02B7624C"/>
    <w:rsid w:val="02E74439"/>
    <w:rsid w:val="03180293"/>
    <w:rsid w:val="0326502C"/>
    <w:rsid w:val="03AF786B"/>
    <w:rsid w:val="03C2134C"/>
    <w:rsid w:val="03CE2189"/>
    <w:rsid w:val="0420398D"/>
    <w:rsid w:val="0422003D"/>
    <w:rsid w:val="043E3FA7"/>
    <w:rsid w:val="04EA6DAD"/>
    <w:rsid w:val="04F75026"/>
    <w:rsid w:val="05A0746B"/>
    <w:rsid w:val="05B22B37"/>
    <w:rsid w:val="05C07B0D"/>
    <w:rsid w:val="05F94DCD"/>
    <w:rsid w:val="06304C93"/>
    <w:rsid w:val="06412D9E"/>
    <w:rsid w:val="065D407D"/>
    <w:rsid w:val="06A70D8F"/>
    <w:rsid w:val="06E11AE9"/>
    <w:rsid w:val="06FC2DC7"/>
    <w:rsid w:val="07302A71"/>
    <w:rsid w:val="07632E46"/>
    <w:rsid w:val="07A64DC2"/>
    <w:rsid w:val="07CF5DE6"/>
    <w:rsid w:val="07D02255"/>
    <w:rsid w:val="08386081"/>
    <w:rsid w:val="08B82D1E"/>
    <w:rsid w:val="08E3445A"/>
    <w:rsid w:val="08FA6E92"/>
    <w:rsid w:val="092403B3"/>
    <w:rsid w:val="095F30AD"/>
    <w:rsid w:val="097C4801"/>
    <w:rsid w:val="0A311734"/>
    <w:rsid w:val="0A7D5FCD"/>
    <w:rsid w:val="0AEE19F4"/>
    <w:rsid w:val="0B272A7A"/>
    <w:rsid w:val="0B3A5C6C"/>
    <w:rsid w:val="0B7373D0"/>
    <w:rsid w:val="0BDE0CED"/>
    <w:rsid w:val="0C002F40"/>
    <w:rsid w:val="0C0323FF"/>
    <w:rsid w:val="0C2D5CD4"/>
    <w:rsid w:val="0C4A2254"/>
    <w:rsid w:val="0C6236CC"/>
    <w:rsid w:val="0C77233A"/>
    <w:rsid w:val="0CAC4948"/>
    <w:rsid w:val="0D0C1D36"/>
    <w:rsid w:val="0D1C7D1F"/>
    <w:rsid w:val="0D3C216F"/>
    <w:rsid w:val="0D444B80"/>
    <w:rsid w:val="0D542D05"/>
    <w:rsid w:val="0D621B0E"/>
    <w:rsid w:val="0D887163"/>
    <w:rsid w:val="0D8B1867"/>
    <w:rsid w:val="0E3520FA"/>
    <w:rsid w:val="0E603C3C"/>
    <w:rsid w:val="0EB2255C"/>
    <w:rsid w:val="0ECF491D"/>
    <w:rsid w:val="0EDE2E11"/>
    <w:rsid w:val="0F7F4595"/>
    <w:rsid w:val="0F9A26ED"/>
    <w:rsid w:val="0F9F6299"/>
    <w:rsid w:val="0FAD7FC0"/>
    <w:rsid w:val="0FCB7684"/>
    <w:rsid w:val="10401F77"/>
    <w:rsid w:val="10475237"/>
    <w:rsid w:val="105E1F05"/>
    <w:rsid w:val="107439CE"/>
    <w:rsid w:val="10841FF9"/>
    <w:rsid w:val="109156AE"/>
    <w:rsid w:val="10D66437"/>
    <w:rsid w:val="10E45A56"/>
    <w:rsid w:val="10FD7774"/>
    <w:rsid w:val="11276C93"/>
    <w:rsid w:val="11FF551A"/>
    <w:rsid w:val="12575356"/>
    <w:rsid w:val="127D1368"/>
    <w:rsid w:val="12F554FB"/>
    <w:rsid w:val="132306F6"/>
    <w:rsid w:val="139A7BF0"/>
    <w:rsid w:val="13D35E7B"/>
    <w:rsid w:val="13F54E26"/>
    <w:rsid w:val="14052ECD"/>
    <w:rsid w:val="140C03C2"/>
    <w:rsid w:val="14B46A8F"/>
    <w:rsid w:val="14DA5CDE"/>
    <w:rsid w:val="14E84BD1"/>
    <w:rsid w:val="14EB79DB"/>
    <w:rsid w:val="15013E14"/>
    <w:rsid w:val="15154A7A"/>
    <w:rsid w:val="1537146E"/>
    <w:rsid w:val="153B2D0D"/>
    <w:rsid w:val="15512530"/>
    <w:rsid w:val="155F5CA7"/>
    <w:rsid w:val="157B75AD"/>
    <w:rsid w:val="15C319C3"/>
    <w:rsid w:val="15C9656A"/>
    <w:rsid w:val="15E02AC1"/>
    <w:rsid w:val="16393259"/>
    <w:rsid w:val="164D0F49"/>
    <w:rsid w:val="170F26A3"/>
    <w:rsid w:val="17466EFD"/>
    <w:rsid w:val="174C7453"/>
    <w:rsid w:val="17B12678"/>
    <w:rsid w:val="17D631C0"/>
    <w:rsid w:val="184D63FD"/>
    <w:rsid w:val="184E2D57"/>
    <w:rsid w:val="19045B0B"/>
    <w:rsid w:val="191B532F"/>
    <w:rsid w:val="19B24962"/>
    <w:rsid w:val="19FB2A6A"/>
    <w:rsid w:val="1A01041C"/>
    <w:rsid w:val="1A0A529C"/>
    <w:rsid w:val="1A1C669B"/>
    <w:rsid w:val="1A3E12FC"/>
    <w:rsid w:val="1A4A39F2"/>
    <w:rsid w:val="1A6E5F52"/>
    <w:rsid w:val="1AA44EB0"/>
    <w:rsid w:val="1AAE6F99"/>
    <w:rsid w:val="1AE25BDB"/>
    <w:rsid w:val="1B536B66"/>
    <w:rsid w:val="1B771ADB"/>
    <w:rsid w:val="1C7C5819"/>
    <w:rsid w:val="1C953A75"/>
    <w:rsid w:val="1CB05D8E"/>
    <w:rsid w:val="1D360481"/>
    <w:rsid w:val="1D5F5A06"/>
    <w:rsid w:val="1E2307E2"/>
    <w:rsid w:val="1E3649B9"/>
    <w:rsid w:val="1E5C3A42"/>
    <w:rsid w:val="1E71779F"/>
    <w:rsid w:val="1EA96F39"/>
    <w:rsid w:val="1F5F6B57"/>
    <w:rsid w:val="1F9C084C"/>
    <w:rsid w:val="1FA8561A"/>
    <w:rsid w:val="1FB43DE7"/>
    <w:rsid w:val="202625CE"/>
    <w:rsid w:val="20BA1691"/>
    <w:rsid w:val="21490756"/>
    <w:rsid w:val="21723F5A"/>
    <w:rsid w:val="21933ED0"/>
    <w:rsid w:val="21A30C67"/>
    <w:rsid w:val="21BC3600"/>
    <w:rsid w:val="21BD19B0"/>
    <w:rsid w:val="21E343CA"/>
    <w:rsid w:val="21F1715F"/>
    <w:rsid w:val="22AC6FF8"/>
    <w:rsid w:val="22BE4F7D"/>
    <w:rsid w:val="22D93B65"/>
    <w:rsid w:val="230F6F21"/>
    <w:rsid w:val="23127C1A"/>
    <w:rsid w:val="23963804"/>
    <w:rsid w:val="23C95987"/>
    <w:rsid w:val="241A61E3"/>
    <w:rsid w:val="24574F34"/>
    <w:rsid w:val="245931AF"/>
    <w:rsid w:val="248144B4"/>
    <w:rsid w:val="2483022C"/>
    <w:rsid w:val="249D7540"/>
    <w:rsid w:val="249F4199"/>
    <w:rsid w:val="254E06EB"/>
    <w:rsid w:val="2561554A"/>
    <w:rsid w:val="25AC1BB3"/>
    <w:rsid w:val="25CF1CB7"/>
    <w:rsid w:val="261F735F"/>
    <w:rsid w:val="26344532"/>
    <w:rsid w:val="264A1001"/>
    <w:rsid w:val="26CF7759"/>
    <w:rsid w:val="26F02B3E"/>
    <w:rsid w:val="26F176CF"/>
    <w:rsid w:val="276C144B"/>
    <w:rsid w:val="28702113"/>
    <w:rsid w:val="28A83370"/>
    <w:rsid w:val="297D524A"/>
    <w:rsid w:val="29891E41"/>
    <w:rsid w:val="29922877"/>
    <w:rsid w:val="2A110088"/>
    <w:rsid w:val="2A517BE6"/>
    <w:rsid w:val="2A573CED"/>
    <w:rsid w:val="2A5C071E"/>
    <w:rsid w:val="2A924D25"/>
    <w:rsid w:val="2AA35184"/>
    <w:rsid w:val="2B1E7B7A"/>
    <w:rsid w:val="2B5244B4"/>
    <w:rsid w:val="2B816423"/>
    <w:rsid w:val="2BF35C97"/>
    <w:rsid w:val="2C02412C"/>
    <w:rsid w:val="2C4B4C1E"/>
    <w:rsid w:val="2CCA1C6F"/>
    <w:rsid w:val="2CF00429"/>
    <w:rsid w:val="2CFC6DCE"/>
    <w:rsid w:val="2D5E5392"/>
    <w:rsid w:val="2DD92358"/>
    <w:rsid w:val="2E876B6B"/>
    <w:rsid w:val="2E883F22"/>
    <w:rsid w:val="2EA80FBB"/>
    <w:rsid w:val="2EFF2BA5"/>
    <w:rsid w:val="2F8F3F29"/>
    <w:rsid w:val="2F98095D"/>
    <w:rsid w:val="2FC82F97"/>
    <w:rsid w:val="30AA629D"/>
    <w:rsid w:val="30B12607"/>
    <w:rsid w:val="30C90D0F"/>
    <w:rsid w:val="312B5ED3"/>
    <w:rsid w:val="313C1E8F"/>
    <w:rsid w:val="31436D79"/>
    <w:rsid w:val="31DE4CF4"/>
    <w:rsid w:val="31E02CD6"/>
    <w:rsid w:val="31FE3408"/>
    <w:rsid w:val="32AE4792"/>
    <w:rsid w:val="32F42D71"/>
    <w:rsid w:val="33A61841"/>
    <w:rsid w:val="33A85171"/>
    <w:rsid w:val="33C56012"/>
    <w:rsid w:val="343503C7"/>
    <w:rsid w:val="345D45F6"/>
    <w:rsid w:val="34CC3529"/>
    <w:rsid w:val="34E55D5A"/>
    <w:rsid w:val="35044A71"/>
    <w:rsid w:val="351153E0"/>
    <w:rsid w:val="351F3659"/>
    <w:rsid w:val="35505F08"/>
    <w:rsid w:val="3572573D"/>
    <w:rsid w:val="35A818A1"/>
    <w:rsid w:val="370E6CC9"/>
    <w:rsid w:val="375872F6"/>
    <w:rsid w:val="37C4498C"/>
    <w:rsid w:val="38447DF9"/>
    <w:rsid w:val="38583300"/>
    <w:rsid w:val="38635F18"/>
    <w:rsid w:val="392B5DD9"/>
    <w:rsid w:val="3998179C"/>
    <w:rsid w:val="39BA4298"/>
    <w:rsid w:val="39DB72F7"/>
    <w:rsid w:val="3A0177D1"/>
    <w:rsid w:val="3A1D0E42"/>
    <w:rsid w:val="3A255E07"/>
    <w:rsid w:val="3A386086"/>
    <w:rsid w:val="3A4122C4"/>
    <w:rsid w:val="3A4F0AA8"/>
    <w:rsid w:val="3A854144"/>
    <w:rsid w:val="3A9D49E5"/>
    <w:rsid w:val="3B2364B8"/>
    <w:rsid w:val="3B7A5A8D"/>
    <w:rsid w:val="3BB0325D"/>
    <w:rsid w:val="3BBD2756"/>
    <w:rsid w:val="3BE13D5E"/>
    <w:rsid w:val="3C350B84"/>
    <w:rsid w:val="3C4D4F50"/>
    <w:rsid w:val="3CD25455"/>
    <w:rsid w:val="3CF708EE"/>
    <w:rsid w:val="3D2832C7"/>
    <w:rsid w:val="3DB1150E"/>
    <w:rsid w:val="3DCD3282"/>
    <w:rsid w:val="3E1675C3"/>
    <w:rsid w:val="3E5E3444"/>
    <w:rsid w:val="3E9D536E"/>
    <w:rsid w:val="3F115659"/>
    <w:rsid w:val="3F7D5B4C"/>
    <w:rsid w:val="3FB11E45"/>
    <w:rsid w:val="3FDF05B5"/>
    <w:rsid w:val="3FE72866"/>
    <w:rsid w:val="406D38D0"/>
    <w:rsid w:val="407E143E"/>
    <w:rsid w:val="40AD06B3"/>
    <w:rsid w:val="4107085E"/>
    <w:rsid w:val="4116280F"/>
    <w:rsid w:val="41412BA9"/>
    <w:rsid w:val="416E7E42"/>
    <w:rsid w:val="41901586"/>
    <w:rsid w:val="41B63597"/>
    <w:rsid w:val="41CA2B9F"/>
    <w:rsid w:val="41F45E6E"/>
    <w:rsid w:val="42442951"/>
    <w:rsid w:val="426558DA"/>
    <w:rsid w:val="4304219F"/>
    <w:rsid w:val="43282273"/>
    <w:rsid w:val="434F15AD"/>
    <w:rsid w:val="440305EA"/>
    <w:rsid w:val="445F3712"/>
    <w:rsid w:val="45417AA1"/>
    <w:rsid w:val="45720B08"/>
    <w:rsid w:val="45724203"/>
    <w:rsid w:val="45C20BDF"/>
    <w:rsid w:val="4643549B"/>
    <w:rsid w:val="466A58AD"/>
    <w:rsid w:val="46707CBB"/>
    <w:rsid w:val="46F772B5"/>
    <w:rsid w:val="47723398"/>
    <w:rsid w:val="478C7274"/>
    <w:rsid w:val="47A143A2"/>
    <w:rsid w:val="47D91D8D"/>
    <w:rsid w:val="48157C28"/>
    <w:rsid w:val="481610D0"/>
    <w:rsid w:val="48216FB4"/>
    <w:rsid w:val="48406983"/>
    <w:rsid w:val="48565A35"/>
    <w:rsid w:val="487F5517"/>
    <w:rsid w:val="48D367DD"/>
    <w:rsid w:val="49397562"/>
    <w:rsid w:val="495F5EA9"/>
    <w:rsid w:val="497F0713"/>
    <w:rsid w:val="499E328F"/>
    <w:rsid w:val="49DB003F"/>
    <w:rsid w:val="49E113CD"/>
    <w:rsid w:val="4A0D21C2"/>
    <w:rsid w:val="4A28714E"/>
    <w:rsid w:val="4AAF3279"/>
    <w:rsid w:val="4B4C2876"/>
    <w:rsid w:val="4B6A51DA"/>
    <w:rsid w:val="4B773D97"/>
    <w:rsid w:val="4B79353D"/>
    <w:rsid w:val="4B957C1B"/>
    <w:rsid w:val="4B9F509C"/>
    <w:rsid w:val="4C6065D9"/>
    <w:rsid w:val="4C714C8A"/>
    <w:rsid w:val="4CA32099"/>
    <w:rsid w:val="4CF66F3E"/>
    <w:rsid w:val="4D225F85"/>
    <w:rsid w:val="4DB93F59"/>
    <w:rsid w:val="4E21623C"/>
    <w:rsid w:val="4E3046D1"/>
    <w:rsid w:val="4E323FA5"/>
    <w:rsid w:val="4E393586"/>
    <w:rsid w:val="4E581AC5"/>
    <w:rsid w:val="4E7B594C"/>
    <w:rsid w:val="4E962786"/>
    <w:rsid w:val="4EB64BD7"/>
    <w:rsid w:val="4F041DE6"/>
    <w:rsid w:val="4F361873"/>
    <w:rsid w:val="4F3855EC"/>
    <w:rsid w:val="4F6B59C1"/>
    <w:rsid w:val="4F730996"/>
    <w:rsid w:val="4F9F38BD"/>
    <w:rsid w:val="501B2F2E"/>
    <w:rsid w:val="510C4F82"/>
    <w:rsid w:val="51141AEF"/>
    <w:rsid w:val="512E4EF8"/>
    <w:rsid w:val="516C3C72"/>
    <w:rsid w:val="51DD06CC"/>
    <w:rsid w:val="51F42B99"/>
    <w:rsid w:val="523E73BD"/>
    <w:rsid w:val="52701540"/>
    <w:rsid w:val="52A03BD4"/>
    <w:rsid w:val="52A142B3"/>
    <w:rsid w:val="52C02348"/>
    <w:rsid w:val="531E0F9C"/>
    <w:rsid w:val="536528CF"/>
    <w:rsid w:val="537E1A3B"/>
    <w:rsid w:val="53B67427"/>
    <w:rsid w:val="53D61877"/>
    <w:rsid w:val="53E67D0C"/>
    <w:rsid w:val="5402441A"/>
    <w:rsid w:val="54107BDD"/>
    <w:rsid w:val="54352A41"/>
    <w:rsid w:val="544D7D8B"/>
    <w:rsid w:val="546B7551"/>
    <w:rsid w:val="54E57FC4"/>
    <w:rsid w:val="555B64D8"/>
    <w:rsid w:val="55B17EA6"/>
    <w:rsid w:val="55B50122"/>
    <w:rsid w:val="56E46B61"/>
    <w:rsid w:val="5703004F"/>
    <w:rsid w:val="57467E41"/>
    <w:rsid w:val="57541431"/>
    <w:rsid w:val="57601B83"/>
    <w:rsid w:val="576B22D6"/>
    <w:rsid w:val="582E0C6B"/>
    <w:rsid w:val="58A81707"/>
    <w:rsid w:val="58E660B8"/>
    <w:rsid w:val="58FD3402"/>
    <w:rsid w:val="59126EAD"/>
    <w:rsid w:val="59145F35"/>
    <w:rsid w:val="5A1123F4"/>
    <w:rsid w:val="5A6B2B8E"/>
    <w:rsid w:val="5A90768B"/>
    <w:rsid w:val="5AAB4CAC"/>
    <w:rsid w:val="5ADF1011"/>
    <w:rsid w:val="5B1B3F58"/>
    <w:rsid w:val="5B294982"/>
    <w:rsid w:val="5B3434F8"/>
    <w:rsid w:val="5B5137E3"/>
    <w:rsid w:val="5B871021"/>
    <w:rsid w:val="5B9462A0"/>
    <w:rsid w:val="5BFF63FF"/>
    <w:rsid w:val="5C775059"/>
    <w:rsid w:val="5C8A495A"/>
    <w:rsid w:val="5C9F5767"/>
    <w:rsid w:val="5CD70CB9"/>
    <w:rsid w:val="5D532B5F"/>
    <w:rsid w:val="5DF11787"/>
    <w:rsid w:val="5DF94AE0"/>
    <w:rsid w:val="5E1A407B"/>
    <w:rsid w:val="5E510C09"/>
    <w:rsid w:val="5E5835B4"/>
    <w:rsid w:val="5E5E07E1"/>
    <w:rsid w:val="5E6F6657"/>
    <w:rsid w:val="5EA162F6"/>
    <w:rsid w:val="5EFF6126"/>
    <w:rsid w:val="5F09010E"/>
    <w:rsid w:val="5F2D7E51"/>
    <w:rsid w:val="5FBD02C5"/>
    <w:rsid w:val="5FCE5143"/>
    <w:rsid w:val="5FCF6C69"/>
    <w:rsid w:val="5FE05FCD"/>
    <w:rsid w:val="5FE62E42"/>
    <w:rsid w:val="6023001F"/>
    <w:rsid w:val="6028345A"/>
    <w:rsid w:val="60681AA9"/>
    <w:rsid w:val="60832DE5"/>
    <w:rsid w:val="610E2650"/>
    <w:rsid w:val="61184E65"/>
    <w:rsid w:val="613227E3"/>
    <w:rsid w:val="6146003C"/>
    <w:rsid w:val="61D27B22"/>
    <w:rsid w:val="61DD339A"/>
    <w:rsid w:val="61EB473F"/>
    <w:rsid w:val="62585DD8"/>
    <w:rsid w:val="63292278"/>
    <w:rsid w:val="63424833"/>
    <w:rsid w:val="63A8172E"/>
    <w:rsid w:val="63BC0104"/>
    <w:rsid w:val="63FF219F"/>
    <w:rsid w:val="64406FC4"/>
    <w:rsid w:val="644C25DC"/>
    <w:rsid w:val="647826EF"/>
    <w:rsid w:val="64FD3107"/>
    <w:rsid w:val="65031DA0"/>
    <w:rsid w:val="65D11E9E"/>
    <w:rsid w:val="65FC4A04"/>
    <w:rsid w:val="660015F2"/>
    <w:rsid w:val="6603474E"/>
    <w:rsid w:val="67140294"/>
    <w:rsid w:val="671918ED"/>
    <w:rsid w:val="67660E19"/>
    <w:rsid w:val="67D57A24"/>
    <w:rsid w:val="67F65BEC"/>
    <w:rsid w:val="68525518"/>
    <w:rsid w:val="68B1474E"/>
    <w:rsid w:val="68C513B4"/>
    <w:rsid w:val="68D67EF7"/>
    <w:rsid w:val="68FD36D6"/>
    <w:rsid w:val="69944DED"/>
    <w:rsid w:val="69E1562C"/>
    <w:rsid w:val="69E22E8D"/>
    <w:rsid w:val="69EB1780"/>
    <w:rsid w:val="6A610B11"/>
    <w:rsid w:val="6A6B466F"/>
    <w:rsid w:val="6AA97FF9"/>
    <w:rsid w:val="6B0354A8"/>
    <w:rsid w:val="6B593854"/>
    <w:rsid w:val="6B642897"/>
    <w:rsid w:val="6B811C71"/>
    <w:rsid w:val="6B907E97"/>
    <w:rsid w:val="6CCB5899"/>
    <w:rsid w:val="6CDA741B"/>
    <w:rsid w:val="6D075F1A"/>
    <w:rsid w:val="6DCE10B1"/>
    <w:rsid w:val="6DEA61F3"/>
    <w:rsid w:val="6E041063"/>
    <w:rsid w:val="6E080427"/>
    <w:rsid w:val="6EBF58A5"/>
    <w:rsid w:val="6F174DC6"/>
    <w:rsid w:val="6F654D46"/>
    <w:rsid w:val="6F6F1ED2"/>
    <w:rsid w:val="6FA32AFD"/>
    <w:rsid w:val="70DA42FD"/>
    <w:rsid w:val="70F33611"/>
    <w:rsid w:val="712E2009"/>
    <w:rsid w:val="712F097E"/>
    <w:rsid w:val="714E406A"/>
    <w:rsid w:val="715C11B6"/>
    <w:rsid w:val="716A5681"/>
    <w:rsid w:val="71CA611F"/>
    <w:rsid w:val="71F17863"/>
    <w:rsid w:val="72415B15"/>
    <w:rsid w:val="724A2F38"/>
    <w:rsid w:val="7258372B"/>
    <w:rsid w:val="72CC4119"/>
    <w:rsid w:val="730E69B4"/>
    <w:rsid w:val="73634A7D"/>
    <w:rsid w:val="737E3665"/>
    <w:rsid w:val="73DD4830"/>
    <w:rsid w:val="73E21A5A"/>
    <w:rsid w:val="740718AD"/>
    <w:rsid w:val="74311A62"/>
    <w:rsid w:val="744877CF"/>
    <w:rsid w:val="745251BD"/>
    <w:rsid w:val="748C590E"/>
    <w:rsid w:val="74BD640F"/>
    <w:rsid w:val="75315DAF"/>
    <w:rsid w:val="758D5DE2"/>
    <w:rsid w:val="75B07D22"/>
    <w:rsid w:val="75C80BC8"/>
    <w:rsid w:val="75CB06B8"/>
    <w:rsid w:val="761C198F"/>
    <w:rsid w:val="763A6644"/>
    <w:rsid w:val="766F419E"/>
    <w:rsid w:val="76BF2A22"/>
    <w:rsid w:val="76EF4E46"/>
    <w:rsid w:val="77734569"/>
    <w:rsid w:val="778E4B3B"/>
    <w:rsid w:val="77BF424C"/>
    <w:rsid w:val="77DA7275"/>
    <w:rsid w:val="7830738E"/>
    <w:rsid w:val="786372CE"/>
    <w:rsid w:val="786D3CA8"/>
    <w:rsid w:val="787509F7"/>
    <w:rsid w:val="78760DAF"/>
    <w:rsid w:val="78A07BFF"/>
    <w:rsid w:val="78CB3869"/>
    <w:rsid w:val="78E55F35"/>
    <w:rsid w:val="79C44330"/>
    <w:rsid w:val="7A177DD8"/>
    <w:rsid w:val="7A214D4A"/>
    <w:rsid w:val="7AE71AF0"/>
    <w:rsid w:val="7B026539"/>
    <w:rsid w:val="7B181D4E"/>
    <w:rsid w:val="7B1F26F2"/>
    <w:rsid w:val="7B2014A6"/>
    <w:rsid w:val="7B937ECA"/>
    <w:rsid w:val="7BFF10BB"/>
    <w:rsid w:val="7C216228"/>
    <w:rsid w:val="7C286864"/>
    <w:rsid w:val="7C53250F"/>
    <w:rsid w:val="7CB225D2"/>
    <w:rsid w:val="7CEC7D69"/>
    <w:rsid w:val="7D590134"/>
    <w:rsid w:val="7D6A07B6"/>
    <w:rsid w:val="7D8F646F"/>
    <w:rsid w:val="7DCE076E"/>
    <w:rsid w:val="7E154BC6"/>
    <w:rsid w:val="7E29039D"/>
    <w:rsid w:val="7E350DC4"/>
    <w:rsid w:val="7F544F27"/>
    <w:rsid w:val="7F840255"/>
    <w:rsid w:val="7F8809EE"/>
    <w:rsid w:val="7FC34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Times New Roman"/>
      <w:b/>
      <w:color w:val="333333"/>
      <w:kern w:val="0"/>
      <w:sz w:val="24"/>
      <w:szCs w:val="24"/>
    </w:rPr>
  </w:style>
  <w:style w:type="paragraph" w:styleId="3">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100" w:beforeAutospacing="1" w:after="100" w:afterAutospacing="1"/>
      <w:jc w:val="left"/>
    </w:pPr>
    <w:rPr>
      <w:rFonts w:ascii="Calibri" w:hAnsi="Calibri"/>
      <w:kern w:val="0"/>
      <w:sz w:val="24"/>
    </w:rPr>
  </w:style>
  <w:style w:type="paragraph" w:styleId="7">
    <w:name w:val="Title"/>
    <w:basedOn w:val="1"/>
    <w:next w:val="1"/>
    <w:autoRedefine/>
    <w:qFormat/>
    <w:uiPriority w:val="0"/>
    <w:pPr>
      <w:spacing w:line="600" w:lineRule="exact"/>
      <w:ind w:firstLine="0" w:firstLineChars="0"/>
      <w:jc w:val="center"/>
      <w:outlineLvl w:val="0"/>
    </w:pPr>
    <w:rPr>
      <w:rFonts w:eastAsia="方正小标宋简体" w:cs="Times New Roman"/>
      <w:bCs/>
      <w:sz w:val="44"/>
      <w:szCs w:val="32"/>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autoRedefine/>
    <w:qFormat/>
    <w:uiPriority w:val="0"/>
    <w:rPr>
      <w:rFonts w:cs="Times New Roman"/>
      <w:b/>
    </w:rPr>
  </w:style>
  <w:style w:type="paragraph" w:customStyle="1" w:styleId="12">
    <w:name w:val="Body Text Indent 21"/>
    <w:basedOn w:val="1"/>
    <w:autoRedefine/>
    <w:qFormat/>
    <w:uiPriority w:val="99"/>
    <w:pPr>
      <w:spacing w:after="120" w:line="480" w:lineRule="auto"/>
      <w:ind w:left="420" w:leftChars="200"/>
    </w:pPr>
    <w:rPr>
      <w:sz w:val="22"/>
    </w:rPr>
  </w:style>
  <w:style w:type="character" w:customStyle="1" w:styleId="13">
    <w:name w:val="font81"/>
    <w:basedOn w:val="10"/>
    <w:autoRedefine/>
    <w:qFormat/>
    <w:uiPriority w:val="0"/>
    <w:rPr>
      <w:rFonts w:hint="eastAsia" w:ascii="仿宋_GB2312" w:eastAsia="仿宋_GB2312" w:cs="仿宋_GB2312"/>
      <w:color w:val="000000"/>
      <w:sz w:val="32"/>
      <w:szCs w:val="32"/>
      <w:u w:val="none"/>
    </w:rPr>
  </w:style>
  <w:style w:type="character" w:customStyle="1" w:styleId="14">
    <w:name w:val="font71"/>
    <w:basedOn w:val="10"/>
    <w:autoRedefine/>
    <w:qFormat/>
    <w:uiPriority w:val="0"/>
    <w:rPr>
      <w:rFonts w:hint="default" w:ascii="Times New Roman" w:hAnsi="Times New Roman" w:cs="Times New Roman"/>
      <w:color w:val="000000"/>
      <w:sz w:val="32"/>
      <w:szCs w:val="3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1343</Words>
  <Characters>1369</Characters>
  <Lines>0</Lines>
  <Paragraphs>0</Paragraphs>
  <TotalTime>94</TotalTime>
  <ScaleCrop>false</ScaleCrop>
  <LinksUpToDate>false</LinksUpToDate>
  <CharactersWithSpaces>1531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2022-03-11T04:11:00Z</dcterms:created>
  <dc:creator>Administrator</dc:creator>
  <cp:lastModifiedBy>、一把年纪有卵用</cp:lastModifiedBy>
  <cp:lastPrinted>2026-01-30T08:00:21Z</cp:lastPrinted>
  <dcterms:modified xsi:type="dcterms:W3CDTF">2026-01-30T09:24:24Z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7F45D06369D543F3BE5A889C54B34FB8</vt:lpwstr>
  </property>
  <property fmtid="{D5CDD505-2E9C-101B-9397-08002B2CF9AE}" pid="4" name="KSOTemplateDocerSaveRecord">
    <vt:lpwstr>eyJoZGlkIjoiZjk4NzBiOGVmZmU3YmZiMWZkZjUyZjc2YzI5YmZiZDAiLCJ1c2VySWQiOiIyOTg1Njg3NzkifQ==</vt:lpwstr>
  </property>
</Properties>
</file>