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9A44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7310E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015107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325F57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2465AE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019274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003C75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7C02856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7C4C0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22270533">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可克达拉市城市高质量发展战略规划</w:t>
      </w:r>
    </w:p>
    <w:p w14:paraId="4DFF2A20">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楷体_GB2312" w:cs="Times New Roman"/>
          <w:b/>
          <w:color w:val="000000" w:themeColor="text1"/>
          <w:sz w:val="48"/>
          <w:szCs w:val="36"/>
          <w14:textFill>
            <w14:solidFill>
              <w14:schemeClr w14:val="tx1"/>
            </w14:solidFill>
          </w14:textFill>
        </w:rPr>
      </w:pPr>
    </w:p>
    <w:p w14:paraId="50FFFB18">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0750B006">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3D7D83A9">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文  本</w:t>
      </w:r>
    </w:p>
    <w:p w14:paraId="1330CE0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25D928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6ACB1BA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CF0FB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3E6DD19">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br w:type="page"/>
      </w:r>
    </w:p>
    <w:p w14:paraId="1ABCCD2B">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36"/>
          <w:szCs w:val="36"/>
          <w14:textFill>
            <w14:solidFill>
              <w14:schemeClr w14:val="tx1"/>
            </w14:solidFill>
          </w14:textFill>
        </w:rPr>
      </w:pPr>
      <w:r>
        <w:rPr>
          <w:rFonts w:hint="default" w:ascii="Times New Roman" w:hAnsi="Times New Roman" w:eastAsia="方正小标宋_GBK" w:cs="Times New Roman"/>
          <w:color w:val="000000" w:themeColor="text1"/>
          <w:sz w:val="36"/>
          <w:szCs w:val="36"/>
          <w14:textFill>
            <w14:solidFill>
              <w14:schemeClr w14:val="tx1"/>
            </w14:solidFill>
          </w14:textFill>
        </w:rPr>
        <w:t>目  录</w:t>
      </w:r>
    </w:p>
    <w:sdt>
      <w:sdtPr>
        <w:rPr>
          <w:rFonts w:hint="default" w:ascii="Times New Roman" w:hAnsi="Times New Roman" w:eastAsia="仿宋_GB2312" w:cs="Times New Roman"/>
          <w:iCs/>
          <w:color w:val="000000" w:themeColor="text1"/>
          <w:sz w:val="24"/>
          <w:szCs w:val="20"/>
          <w:lang w:val="zh-CN"/>
          <w14:textFill>
            <w14:solidFill>
              <w14:schemeClr w14:val="tx1"/>
            </w14:solidFill>
          </w14:textFill>
        </w:rPr>
        <w:id w:val="-1"/>
        <w:docPartObj>
          <w:docPartGallery w:val="Table of Contents"/>
          <w:docPartUnique/>
        </w:docPartObj>
      </w:sdtPr>
      <w:sdtEndPr>
        <w:rPr>
          <w:rFonts w:hint="default" w:ascii="Times New Roman" w:hAnsi="Times New Roman" w:eastAsia="黑体" w:cs="Times New Roman"/>
          <w:b/>
          <w:bCs/>
          <w:iCs/>
          <w:color w:val="000000" w:themeColor="text1"/>
          <w:sz w:val="24"/>
          <w:szCs w:val="20"/>
          <w:lang w:val="zh-CN"/>
          <w14:textFill>
            <w14:solidFill>
              <w14:schemeClr w14:val="tx1"/>
            </w14:solidFill>
          </w14:textFill>
        </w:rPr>
      </w:sdtEndPr>
      <w:sdtContent>
        <w:p w14:paraId="5817B03A">
          <w:pPr>
            <w:pStyle w:val="81"/>
            <w:pageBreakBefore w:val="0"/>
            <w:kinsoku/>
            <w:wordWrap/>
            <w:overflowPunct/>
            <w:topLinePunct w:val="0"/>
            <w:autoSpaceDE/>
            <w:autoSpaceDN/>
            <w:bidi w:val="0"/>
            <w:spacing w:line="560" w:lineRule="exact"/>
            <w:jc w:val="both"/>
            <w:textAlignment w:val="auto"/>
            <w:rPr>
              <w:rFonts w:hint="default" w:ascii="Times New Roman" w:hAnsi="Times New Roman" w:cs="Times New Roman"/>
              <w:color w:val="000000" w:themeColor="text1"/>
              <w14:textFill>
                <w14:solidFill>
                  <w14:schemeClr w14:val="tx1"/>
                </w14:solidFill>
              </w14:textFill>
            </w:rPr>
          </w:pPr>
        </w:p>
        <w:p w14:paraId="0B9AE9BA">
          <w:pPr>
            <w:pStyle w:val="24"/>
            <w:pageBreakBefore w:val="0"/>
            <w:kinsoku/>
            <w:wordWrap/>
            <w:overflowPunct/>
            <w:topLinePunct w:val="0"/>
            <w:autoSpaceDE/>
            <w:autoSpaceDN/>
            <w:bidi w:val="0"/>
            <w:spacing w:line="560" w:lineRule="exact"/>
            <w:ind w:firstLine="0"/>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TOC \o "1-3" \h \z \u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"_Toc235785880" </w:instrText>
          </w:r>
          <w:r>
            <w:rPr>
              <w:rFonts w:hint="default" w:ascii="Times New Roman" w:hAnsi="Times New Roman" w:cs="Times New Roman"/>
            </w:rPr>
            <w:fldChar w:fldCharType="separate"/>
          </w:r>
          <w:r>
            <w:rPr>
              <w:rStyle w:val="33"/>
              <w:rFonts w:hint="default" w:ascii="Times New Roman" w:hAnsi="Times New Roman" w:cs="Times New Roman"/>
            </w:rPr>
            <w:t>一、 总则</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5105289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"_Toc235785881" </w:instrText>
          </w:r>
          <w:r>
            <w:rPr>
              <w:rFonts w:hint="default" w:ascii="Times New Roman" w:hAnsi="Times New Roman" w:cs="Times New Roman"/>
            </w:rPr>
            <w:fldChar w:fldCharType="separate"/>
          </w:r>
          <w:r>
            <w:rPr>
              <w:rStyle w:val="33"/>
              <w:rFonts w:hint="default" w:ascii="Times New Roman" w:hAnsi="Times New Roman" w:cs="Times New Roman"/>
            </w:rPr>
            <w:t>(一) 编制背景</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4DF3D0A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"_Toc235785882" </w:instrText>
          </w:r>
          <w:r>
            <w:rPr>
              <w:rFonts w:hint="default" w:ascii="Times New Roman" w:hAnsi="Times New Roman" w:cs="Times New Roman"/>
            </w:rPr>
            <w:fldChar w:fldCharType="separate"/>
          </w:r>
          <w:r>
            <w:rPr>
              <w:rStyle w:val="33"/>
              <w:rFonts w:hint="default" w:ascii="Times New Roman" w:hAnsi="Times New Roman" w:cs="Times New Roman"/>
            </w:rPr>
            <w:t>(二) 编制目的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_Toc235785882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1D9934D2">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"_Toc235785883" </w:instrText>
          </w:r>
          <w:r>
            <w:rPr>
              <w:rFonts w:hint="default" w:ascii="Times New Roman" w:hAnsi="Times New Roman" w:cs="Times New Roman"/>
            </w:rPr>
            <w:fldChar w:fldCharType="separate"/>
          </w:r>
          <w:r>
            <w:rPr>
              <w:rStyle w:val="33"/>
              <w:rFonts w:hint="default" w:ascii="Times New Roman" w:hAnsi="Times New Roman" w:cs="Times New Roman"/>
            </w:rPr>
            <w:t>(三) 编制范围和期限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_Toc235785883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198C2A11">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"_Toc235785884" </w:instrText>
          </w:r>
          <w:r>
            <w:rPr>
              <w:rFonts w:hint="default" w:ascii="Times New Roman" w:hAnsi="Times New Roman" w:cs="Times New Roman"/>
            </w:rPr>
            <w:fldChar w:fldCharType="separate"/>
          </w:r>
          <w:r>
            <w:rPr>
              <w:rStyle w:val="33"/>
              <w:rFonts w:hint="default" w:ascii="Times New Roman" w:hAnsi="Times New Roman" w:cs="Times New Roman"/>
            </w:rPr>
            <w:t>二、 总体研判</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_Toc235785884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3136967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"_Toc235785885" </w:instrText>
          </w:r>
          <w:r>
            <w:rPr>
              <w:rFonts w:hint="default" w:ascii="Times New Roman" w:hAnsi="Times New Roman" w:cs="Times New Roman"/>
            </w:rPr>
            <w:fldChar w:fldCharType="separate"/>
          </w:r>
          <w:r>
            <w:rPr>
              <w:rStyle w:val="33"/>
              <w:rFonts w:hint="default" w:ascii="Times New Roman" w:hAnsi="Times New Roman" w:cs="Times New Roman"/>
            </w:rPr>
            <w:t>(一) 区域分析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_Toc235785885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1637D16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"_Toc235785886" </w:instrText>
          </w:r>
          <w:r>
            <w:rPr>
              <w:rFonts w:hint="default" w:ascii="Times New Roman" w:hAnsi="Times New Roman" w:cs="Times New Roman"/>
            </w:rPr>
            <w:fldChar w:fldCharType="separate"/>
          </w:r>
          <w:r>
            <w:rPr>
              <w:rStyle w:val="33"/>
              <w:rFonts w:hint="default" w:ascii="Times New Roman" w:hAnsi="Times New Roman" w:cs="Times New Roman"/>
            </w:rPr>
            <w:t>(二) 问题堵点</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_Toc235785886 \h </w:instrText>
          </w:r>
          <w:r>
            <w:rPr>
              <w:rFonts w:hint="default" w:ascii="Times New Roman" w:hAnsi="Times New Roman" w:cs="Times New Roman"/>
            </w:rPr>
            <w:fldChar w:fldCharType="separate"/>
          </w:r>
          <w:r>
            <w:rPr>
              <w:rFonts w:hint="default" w:ascii="Times New Roman" w:hAnsi="Times New Roman" w:cs="Times New Roman"/>
            </w:rPr>
            <w:t>16</w:t>
          </w:r>
          <w:r>
            <w:rPr>
              <w:rFonts w:hint="default" w:ascii="Times New Roman" w:hAnsi="Times New Roman" w:cs="Times New Roman"/>
            </w:rPr>
            <w:fldChar w:fldCharType="end"/>
          </w:r>
          <w:r>
            <w:rPr>
              <w:rFonts w:hint="default" w:ascii="Times New Roman" w:hAnsi="Times New Roman" w:cs="Times New Roman"/>
            </w:rPr>
            <w:fldChar w:fldCharType="end"/>
          </w:r>
        </w:p>
        <w:p w14:paraId="7668A199">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"_Toc235785887" </w:instrText>
          </w:r>
          <w:r>
            <w:rPr>
              <w:rFonts w:hint="default" w:ascii="Times New Roman" w:hAnsi="Times New Roman" w:cs="Times New Roman"/>
            </w:rPr>
            <w:fldChar w:fldCharType="separate"/>
          </w:r>
          <w:r>
            <w:rPr>
              <w:rStyle w:val="33"/>
              <w:rFonts w:hint="default" w:ascii="Times New Roman" w:hAnsi="Times New Roman" w:cs="Times New Roman"/>
            </w:rPr>
            <w:t>三、 发展战略</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_Toc235785887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rPr>
            <w:fldChar w:fldCharType="end"/>
          </w:r>
        </w:p>
        <w:p w14:paraId="270C543C">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"_Toc235785888" </w:instrText>
          </w:r>
          <w:r>
            <w:rPr>
              <w:rFonts w:hint="default" w:ascii="Times New Roman" w:hAnsi="Times New Roman" w:cs="Times New Roman"/>
            </w:rPr>
            <w:fldChar w:fldCharType="separate"/>
          </w:r>
          <w:r>
            <w:rPr>
              <w:rStyle w:val="33"/>
              <w:rFonts w:hint="default" w:ascii="Times New Roman" w:hAnsi="Times New Roman" w:cs="Times New Roman"/>
            </w:rPr>
            <w:t>四、 优化空间布局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_Toc235785888 \h </w:instrText>
          </w:r>
          <w:r>
            <w:rPr>
              <w:rFonts w:hint="default" w:ascii="Times New Roman" w:hAnsi="Times New Roman" w:cs="Times New Roman"/>
            </w:rPr>
            <w:fldChar w:fldCharType="separate"/>
          </w:r>
          <w:r>
            <w:rPr>
              <w:rFonts w:hint="default" w:ascii="Times New Roman" w:hAnsi="Times New Roman" w:cs="Times New Roman"/>
            </w:rPr>
            <w:t>24</w:t>
          </w:r>
          <w:r>
            <w:rPr>
              <w:rFonts w:hint="default" w:ascii="Times New Roman" w:hAnsi="Times New Roman" w:cs="Times New Roman"/>
            </w:rPr>
            <w:fldChar w:fldCharType="end"/>
          </w:r>
          <w:r>
            <w:rPr>
              <w:rFonts w:hint="default" w:ascii="Times New Roman" w:hAnsi="Times New Roman" w:cs="Times New Roman"/>
            </w:rPr>
            <w:fldChar w:fldCharType="end"/>
          </w:r>
        </w:p>
        <w:p w14:paraId="1F0839C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"_Toc235785889" </w:instrText>
          </w:r>
          <w:r>
            <w:rPr>
              <w:rFonts w:hint="default" w:ascii="Times New Roman" w:hAnsi="Times New Roman" w:cs="Times New Roman"/>
            </w:rPr>
            <w:fldChar w:fldCharType="separate"/>
          </w:r>
          <w:r>
            <w:rPr>
              <w:rStyle w:val="33"/>
              <w:rFonts w:hint="default" w:ascii="Times New Roman" w:hAnsi="Times New Roman" w:cs="Times New Roman"/>
            </w:rPr>
            <w:t>(一) 构建区域发展新格局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_Toc235785889 \h </w:instrText>
          </w:r>
          <w:r>
            <w:rPr>
              <w:rFonts w:hint="default" w:ascii="Times New Roman" w:hAnsi="Times New Roman" w:cs="Times New Roman"/>
            </w:rPr>
            <w:fldChar w:fldCharType="separate"/>
          </w:r>
          <w:r>
            <w:rPr>
              <w:rFonts w:hint="default" w:ascii="Times New Roman" w:hAnsi="Times New Roman" w:cs="Times New Roman"/>
            </w:rPr>
            <w:t>24</w:t>
          </w:r>
          <w:r>
            <w:rPr>
              <w:rFonts w:hint="default" w:ascii="Times New Roman" w:hAnsi="Times New Roman" w:cs="Times New Roman"/>
            </w:rPr>
            <w:fldChar w:fldCharType="end"/>
          </w:r>
          <w:r>
            <w:rPr>
              <w:rFonts w:hint="default" w:ascii="Times New Roman" w:hAnsi="Times New Roman" w:cs="Times New Roman"/>
            </w:rPr>
            <w:fldChar w:fldCharType="end"/>
          </w:r>
        </w:p>
        <w:p w14:paraId="199D085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"_Toc235785890" </w:instrText>
          </w:r>
          <w:r>
            <w:rPr>
              <w:rFonts w:hint="default" w:ascii="Times New Roman" w:hAnsi="Times New Roman" w:cs="Times New Roman"/>
            </w:rPr>
            <w:fldChar w:fldCharType="separate"/>
          </w:r>
          <w:r>
            <w:rPr>
              <w:rStyle w:val="33"/>
              <w:rFonts w:hint="default" w:ascii="Times New Roman" w:hAnsi="Times New Roman" w:cs="Times New Roman"/>
            </w:rPr>
            <w:t>(二) 优化市域空间格局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_Toc235785890 \h </w:instrText>
          </w:r>
          <w:r>
            <w:rPr>
              <w:rFonts w:hint="default" w:ascii="Times New Roman" w:hAnsi="Times New Roman" w:cs="Times New Roman"/>
            </w:rPr>
            <w:fldChar w:fldCharType="separate"/>
          </w:r>
          <w:r>
            <w:rPr>
              <w:rFonts w:hint="default" w:ascii="Times New Roman" w:hAnsi="Times New Roman" w:cs="Times New Roman"/>
            </w:rPr>
            <w:t>27</w:t>
          </w:r>
          <w:r>
            <w:rPr>
              <w:rFonts w:hint="default" w:ascii="Times New Roman" w:hAnsi="Times New Roman" w:cs="Times New Roman"/>
            </w:rPr>
            <w:fldChar w:fldCharType="end"/>
          </w:r>
          <w:r>
            <w:rPr>
              <w:rFonts w:hint="default" w:ascii="Times New Roman" w:hAnsi="Times New Roman" w:cs="Times New Roman"/>
            </w:rPr>
            <w:fldChar w:fldCharType="end"/>
          </w:r>
        </w:p>
        <w:p w14:paraId="3855E04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"_Toc235785891" </w:instrText>
          </w:r>
          <w:r>
            <w:rPr>
              <w:rFonts w:hint="default" w:ascii="Times New Roman" w:hAnsi="Times New Roman" w:cs="Times New Roman"/>
            </w:rPr>
            <w:fldChar w:fldCharType="separate"/>
          </w:r>
          <w:r>
            <w:rPr>
              <w:rStyle w:val="33"/>
              <w:rFonts w:hint="default" w:ascii="Times New Roman" w:hAnsi="Times New Roman" w:cs="Times New Roman"/>
            </w:rPr>
            <w:t>(三) 完善城区功能布局</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_Toc235785891 \h </w:instrText>
          </w:r>
          <w:r>
            <w:rPr>
              <w:rFonts w:hint="default" w:ascii="Times New Roman" w:hAnsi="Times New Roman" w:cs="Times New Roman"/>
            </w:rPr>
            <w:fldChar w:fldCharType="separate"/>
          </w:r>
          <w:r>
            <w:rPr>
              <w:rFonts w:hint="default" w:ascii="Times New Roman" w:hAnsi="Times New Roman" w:cs="Times New Roman"/>
            </w:rPr>
            <w:t>28</w:t>
          </w:r>
          <w:r>
            <w:rPr>
              <w:rFonts w:hint="default" w:ascii="Times New Roman" w:hAnsi="Times New Roman" w:cs="Times New Roman"/>
            </w:rPr>
            <w:fldChar w:fldCharType="end"/>
          </w:r>
          <w:r>
            <w:rPr>
              <w:rFonts w:hint="default" w:ascii="Times New Roman" w:hAnsi="Times New Roman" w:cs="Times New Roman"/>
            </w:rPr>
            <w:fldChar w:fldCharType="end"/>
          </w:r>
        </w:p>
        <w:p w14:paraId="5189C222">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"_Toc235785892" </w:instrText>
          </w:r>
          <w:r>
            <w:rPr>
              <w:rFonts w:hint="default" w:ascii="Times New Roman" w:hAnsi="Times New Roman" w:cs="Times New Roman"/>
            </w:rPr>
            <w:fldChar w:fldCharType="separate"/>
          </w:r>
          <w:r>
            <w:rPr>
              <w:rStyle w:val="33"/>
              <w:rFonts w:hint="default" w:ascii="Times New Roman" w:hAnsi="Times New Roman" w:cs="Times New Roman"/>
            </w:rPr>
            <w:t>五、 制定策略行动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_Toc235785892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rPr>
            <w:fldChar w:fldCharType="end"/>
          </w:r>
        </w:p>
        <w:p w14:paraId="2CE970FD">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"_Toc235785893" </w:instrText>
          </w:r>
          <w:r>
            <w:rPr>
              <w:rFonts w:hint="default" w:ascii="Times New Roman" w:hAnsi="Times New Roman" w:cs="Times New Roman"/>
            </w:rPr>
            <w:fldChar w:fldCharType="separate"/>
          </w:r>
          <w:r>
            <w:rPr>
              <w:rStyle w:val="33"/>
              <w:rFonts w:hint="default" w:ascii="Times New Roman" w:hAnsi="Times New Roman" w:cs="Times New Roman"/>
            </w:rPr>
            <w:t>(一) 市中心建设</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_Toc235785893 \h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r>
            <w:rPr>
              <w:rFonts w:hint="default" w:ascii="Times New Roman" w:hAnsi="Times New Roman" w:cs="Times New Roman"/>
            </w:rPr>
            <w:fldChar w:fldCharType="end"/>
          </w:r>
        </w:p>
        <w:p w14:paraId="12A05D33">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"_Toc235785894" </w:instrText>
          </w:r>
          <w:r>
            <w:rPr>
              <w:rFonts w:hint="default" w:ascii="Times New Roman" w:hAnsi="Times New Roman" w:cs="Times New Roman"/>
            </w:rPr>
            <w:fldChar w:fldCharType="separate"/>
          </w:r>
          <w:r>
            <w:rPr>
              <w:rStyle w:val="33"/>
              <w:rFonts w:hint="default" w:ascii="Times New Roman" w:hAnsi="Times New Roman" w:cs="Times New Roman"/>
            </w:rPr>
            <w:t>(二) 交通支撑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_Toc235785894 \h </w:instrText>
          </w:r>
          <w:r>
            <w:rPr>
              <w:rFonts w:hint="default" w:ascii="Times New Roman" w:hAnsi="Times New Roman" w:cs="Times New Roman"/>
            </w:rPr>
            <w:fldChar w:fldCharType="separate"/>
          </w:r>
          <w:r>
            <w:rPr>
              <w:rFonts w:hint="default" w:ascii="Times New Roman" w:hAnsi="Times New Roman" w:cs="Times New Roman"/>
            </w:rPr>
            <w:t>31</w:t>
          </w:r>
          <w:r>
            <w:rPr>
              <w:rFonts w:hint="default" w:ascii="Times New Roman" w:hAnsi="Times New Roman" w:cs="Times New Roman"/>
            </w:rPr>
            <w:fldChar w:fldCharType="end"/>
          </w:r>
          <w:r>
            <w:rPr>
              <w:rFonts w:hint="default" w:ascii="Times New Roman" w:hAnsi="Times New Roman" w:cs="Times New Roman"/>
            </w:rPr>
            <w:fldChar w:fldCharType="end"/>
          </w:r>
        </w:p>
        <w:p w14:paraId="2D24255A">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"_Toc235785895" </w:instrText>
          </w:r>
          <w:r>
            <w:rPr>
              <w:rFonts w:hint="default" w:ascii="Times New Roman" w:hAnsi="Times New Roman" w:cs="Times New Roman"/>
            </w:rPr>
            <w:fldChar w:fldCharType="separate"/>
          </w:r>
          <w:r>
            <w:rPr>
              <w:rStyle w:val="33"/>
              <w:rFonts w:hint="default" w:ascii="Times New Roman" w:hAnsi="Times New Roman" w:cs="Times New Roman"/>
            </w:rPr>
            <w:t>(三) 产城融合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_Toc235785895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rPr>
            <w:fldChar w:fldCharType="end"/>
          </w:r>
        </w:p>
        <w:p w14:paraId="5EB9AD8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"_Toc235785896" </w:instrText>
          </w:r>
          <w:r>
            <w:rPr>
              <w:rFonts w:hint="default" w:ascii="Times New Roman" w:hAnsi="Times New Roman" w:cs="Times New Roman"/>
            </w:rPr>
            <w:fldChar w:fldCharType="separate"/>
          </w:r>
          <w:r>
            <w:rPr>
              <w:rStyle w:val="33"/>
              <w:rFonts w:hint="default" w:ascii="Times New Roman" w:hAnsi="Times New Roman" w:cs="Times New Roman"/>
            </w:rPr>
            <w:t>(四) 服务跃升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_Toc235785896 \h </w:instrText>
          </w:r>
          <w:r>
            <w:rPr>
              <w:rFonts w:hint="default" w:ascii="Times New Roman" w:hAnsi="Times New Roman" w:cs="Times New Roman"/>
            </w:rPr>
            <w:fldChar w:fldCharType="separate"/>
          </w:r>
          <w:r>
            <w:rPr>
              <w:rFonts w:hint="default" w:ascii="Times New Roman" w:hAnsi="Times New Roman" w:cs="Times New Roman"/>
            </w:rPr>
            <w:t>36</w:t>
          </w:r>
          <w:r>
            <w:rPr>
              <w:rFonts w:hint="default" w:ascii="Times New Roman" w:hAnsi="Times New Roman" w:cs="Times New Roman"/>
            </w:rPr>
            <w:fldChar w:fldCharType="end"/>
          </w:r>
          <w:r>
            <w:rPr>
              <w:rFonts w:hint="default" w:ascii="Times New Roman" w:hAnsi="Times New Roman" w:cs="Times New Roman"/>
            </w:rPr>
            <w:fldChar w:fldCharType="end"/>
          </w:r>
        </w:p>
        <w:p w14:paraId="14433152">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"_Toc235785897" </w:instrText>
          </w:r>
          <w:r>
            <w:rPr>
              <w:rFonts w:hint="default" w:ascii="Times New Roman" w:hAnsi="Times New Roman" w:cs="Times New Roman"/>
            </w:rPr>
            <w:fldChar w:fldCharType="separate"/>
          </w:r>
          <w:r>
            <w:rPr>
              <w:rStyle w:val="33"/>
              <w:rFonts w:hint="default" w:ascii="Times New Roman" w:hAnsi="Times New Roman" w:cs="Times New Roman"/>
            </w:rPr>
            <w:t>(五) 城市特色</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_Toc235785897 \h </w:instrText>
          </w:r>
          <w:r>
            <w:rPr>
              <w:rFonts w:hint="default" w:ascii="Times New Roman" w:hAnsi="Times New Roman" w:cs="Times New Roman"/>
            </w:rPr>
            <w:fldChar w:fldCharType="separate"/>
          </w:r>
          <w:r>
            <w:rPr>
              <w:rFonts w:hint="default" w:ascii="Times New Roman" w:hAnsi="Times New Roman" w:cs="Times New Roman"/>
            </w:rPr>
            <w:t>38</w:t>
          </w:r>
          <w:r>
            <w:rPr>
              <w:rFonts w:hint="default" w:ascii="Times New Roman" w:hAnsi="Times New Roman" w:cs="Times New Roman"/>
            </w:rPr>
            <w:fldChar w:fldCharType="end"/>
          </w:r>
          <w:r>
            <w:rPr>
              <w:rFonts w:hint="default" w:ascii="Times New Roman" w:hAnsi="Times New Roman" w:cs="Times New Roman"/>
            </w:rPr>
            <w:fldChar w:fldCharType="end"/>
          </w:r>
        </w:p>
        <w:p w14:paraId="70C7D461">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"_Toc235785898" </w:instrText>
          </w:r>
          <w:r>
            <w:rPr>
              <w:rFonts w:hint="default" w:ascii="Times New Roman" w:hAnsi="Times New Roman" w:cs="Times New Roman"/>
            </w:rPr>
            <w:fldChar w:fldCharType="separate"/>
          </w:r>
          <w:r>
            <w:rPr>
              <w:rStyle w:val="33"/>
              <w:rFonts w:hint="default" w:ascii="Times New Roman" w:hAnsi="Times New Roman" w:cs="Times New Roman"/>
            </w:rPr>
            <w:t>(六) 文旅融合</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_Toc235785898 \h </w:instrText>
          </w:r>
          <w:r>
            <w:rPr>
              <w:rFonts w:hint="default" w:ascii="Times New Roman" w:hAnsi="Times New Roman" w:cs="Times New Roman"/>
            </w:rPr>
            <w:fldChar w:fldCharType="separate"/>
          </w:r>
          <w:r>
            <w:rPr>
              <w:rFonts w:hint="default" w:ascii="Times New Roman" w:hAnsi="Times New Roman" w:cs="Times New Roman"/>
            </w:rPr>
            <w:t>40</w:t>
          </w:r>
          <w:r>
            <w:rPr>
              <w:rFonts w:hint="default" w:ascii="Times New Roman" w:hAnsi="Times New Roman" w:cs="Times New Roman"/>
            </w:rPr>
            <w:fldChar w:fldCharType="end"/>
          </w:r>
          <w:r>
            <w:rPr>
              <w:rFonts w:hint="default" w:ascii="Times New Roman" w:hAnsi="Times New Roman" w:cs="Times New Roman"/>
            </w:rPr>
            <w:fldChar w:fldCharType="end"/>
          </w:r>
        </w:p>
        <w:p w14:paraId="3D2B72E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"_Toc235785899" </w:instrText>
          </w:r>
          <w:r>
            <w:rPr>
              <w:rFonts w:hint="default" w:ascii="Times New Roman" w:hAnsi="Times New Roman" w:cs="Times New Roman"/>
            </w:rPr>
            <w:fldChar w:fldCharType="separate"/>
          </w:r>
          <w:r>
            <w:rPr>
              <w:rStyle w:val="33"/>
              <w:rFonts w:hint="default" w:ascii="Times New Roman" w:hAnsi="Times New Roman" w:cs="Times New Roman"/>
            </w:rPr>
            <w:t>(七) 宜居品质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_Toc235785899 \h </w:instrText>
          </w:r>
          <w:r>
            <w:rPr>
              <w:rFonts w:hint="default" w:ascii="Times New Roman" w:hAnsi="Times New Roman" w:cs="Times New Roman"/>
            </w:rPr>
            <w:fldChar w:fldCharType="separate"/>
          </w:r>
          <w:r>
            <w:rPr>
              <w:rFonts w:hint="default" w:ascii="Times New Roman" w:hAnsi="Times New Roman" w:cs="Times New Roman"/>
            </w:rPr>
            <w:t>43</w:t>
          </w:r>
          <w:r>
            <w:rPr>
              <w:rFonts w:hint="default" w:ascii="Times New Roman" w:hAnsi="Times New Roman" w:cs="Times New Roman"/>
            </w:rPr>
            <w:fldChar w:fldCharType="end"/>
          </w:r>
          <w:r>
            <w:rPr>
              <w:rFonts w:hint="default" w:ascii="Times New Roman" w:hAnsi="Times New Roman" w:cs="Times New Roman"/>
            </w:rPr>
            <w:fldChar w:fldCharType="end"/>
          </w:r>
        </w:p>
        <w:p w14:paraId="46E4679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"_Toc235785900" </w:instrText>
          </w:r>
          <w:r>
            <w:rPr>
              <w:rFonts w:hint="default" w:ascii="Times New Roman" w:hAnsi="Times New Roman" w:cs="Times New Roman"/>
            </w:rPr>
            <w:fldChar w:fldCharType="separate"/>
          </w:r>
          <w:r>
            <w:rPr>
              <w:rStyle w:val="33"/>
              <w:rFonts w:hint="default" w:ascii="Times New Roman" w:hAnsi="Times New Roman" w:cs="Times New Roman"/>
            </w:rPr>
            <w:t>(八) 活力激发</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_Toc235785900 \h </w:instrText>
          </w:r>
          <w:r>
            <w:rPr>
              <w:rFonts w:hint="default" w:ascii="Times New Roman" w:hAnsi="Times New Roman" w:cs="Times New Roman"/>
            </w:rPr>
            <w:fldChar w:fldCharType="separate"/>
          </w:r>
          <w:r>
            <w:rPr>
              <w:rFonts w:hint="default" w:ascii="Times New Roman" w:hAnsi="Times New Roman" w:cs="Times New Roman"/>
            </w:rPr>
            <w:t>46</w:t>
          </w:r>
          <w:r>
            <w:rPr>
              <w:rFonts w:hint="default" w:ascii="Times New Roman" w:hAnsi="Times New Roman" w:cs="Times New Roman"/>
            </w:rPr>
            <w:fldChar w:fldCharType="end"/>
          </w:r>
          <w:r>
            <w:rPr>
              <w:rFonts w:hint="default" w:ascii="Times New Roman" w:hAnsi="Times New Roman" w:cs="Times New Roman"/>
            </w:rPr>
            <w:fldChar w:fldCharType="end"/>
          </w:r>
        </w:p>
        <w:p w14:paraId="43667A2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"_Toc235785901" </w:instrText>
          </w:r>
          <w:r>
            <w:rPr>
              <w:rFonts w:hint="default" w:ascii="Times New Roman" w:hAnsi="Times New Roman" w:cs="Times New Roman"/>
            </w:rPr>
            <w:fldChar w:fldCharType="separate"/>
          </w:r>
          <w:r>
            <w:rPr>
              <w:rStyle w:val="33"/>
              <w:rFonts w:hint="default" w:ascii="Times New Roman" w:hAnsi="Times New Roman" w:cs="Times New Roman"/>
            </w:rPr>
            <w:t>(九) 安全韧性</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_Toc235785901 \h </w:instrText>
          </w:r>
          <w:r>
            <w:rPr>
              <w:rFonts w:hint="default" w:ascii="Times New Roman" w:hAnsi="Times New Roman" w:cs="Times New Roman"/>
            </w:rPr>
            <w:fldChar w:fldCharType="separate"/>
          </w:r>
          <w:r>
            <w:rPr>
              <w:rFonts w:hint="default" w:ascii="Times New Roman" w:hAnsi="Times New Roman" w:cs="Times New Roman"/>
            </w:rPr>
            <w:t>49</w:t>
          </w:r>
          <w:r>
            <w:rPr>
              <w:rFonts w:hint="default" w:ascii="Times New Roman" w:hAnsi="Times New Roman" w:cs="Times New Roman"/>
            </w:rPr>
            <w:fldChar w:fldCharType="end"/>
          </w:r>
          <w:r>
            <w:rPr>
              <w:rFonts w:hint="default" w:ascii="Times New Roman" w:hAnsi="Times New Roman" w:cs="Times New Roman"/>
            </w:rPr>
            <w:fldChar w:fldCharType="end"/>
          </w:r>
        </w:p>
        <w:p w14:paraId="4D69C8E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"_Toc235785902" </w:instrText>
          </w:r>
          <w:r>
            <w:rPr>
              <w:rFonts w:hint="default" w:ascii="Times New Roman" w:hAnsi="Times New Roman" w:cs="Times New Roman"/>
            </w:rPr>
            <w:fldChar w:fldCharType="separate"/>
          </w:r>
          <w:r>
            <w:rPr>
              <w:rStyle w:val="33"/>
              <w:rFonts w:hint="default" w:ascii="Times New Roman" w:hAnsi="Times New Roman" w:cs="Times New Roman"/>
            </w:rPr>
            <w:t>(十) 绿色低碳</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_Toc235785902 \h </w:instrText>
          </w:r>
          <w:r>
            <w:rPr>
              <w:rFonts w:hint="default" w:ascii="Times New Roman" w:hAnsi="Times New Roman" w:cs="Times New Roman"/>
            </w:rPr>
            <w:fldChar w:fldCharType="separate"/>
          </w:r>
          <w:r>
            <w:rPr>
              <w:rFonts w:hint="default" w:ascii="Times New Roman" w:hAnsi="Times New Roman" w:cs="Times New Roman"/>
            </w:rPr>
            <w:t>57</w:t>
          </w:r>
          <w:r>
            <w:rPr>
              <w:rFonts w:hint="default" w:ascii="Times New Roman" w:hAnsi="Times New Roman" w:cs="Times New Roman"/>
            </w:rPr>
            <w:fldChar w:fldCharType="end"/>
          </w:r>
          <w:r>
            <w:rPr>
              <w:rFonts w:hint="default" w:ascii="Times New Roman" w:hAnsi="Times New Roman" w:cs="Times New Roman"/>
            </w:rPr>
            <w:fldChar w:fldCharType="end"/>
          </w:r>
        </w:p>
        <w:p w14:paraId="6E4DBE87">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"_Toc235785903" </w:instrText>
          </w:r>
          <w:r>
            <w:rPr>
              <w:rFonts w:hint="default" w:ascii="Times New Roman" w:hAnsi="Times New Roman" w:cs="Times New Roman"/>
            </w:rPr>
            <w:fldChar w:fldCharType="separate"/>
          </w:r>
          <w:r>
            <w:rPr>
              <w:rStyle w:val="33"/>
              <w:rFonts w:hint="default" w:ascii="Times New Roman" w:hAnsi="Times New Roman" w:cs="Times New Roman"/>
            </w:rPr>
            <w:t>六、 规划实施保障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_Toc235785903 \h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rPr>
            <w:fldChar w:fldCharType="end"/>
          </w:r>
        </w:p>
        <w:p w14:paraId="3793351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"_Toc235785904" </w:instrText>
          </w:r>
          <w:r>
            <w:rPr>
              <w:rFonts w:hint="default" w:ascii="Times New Roman" w:hAnsi="Times New Roman" w:cs="Times New Roman"/>
            </w:rPr>
            <w:fldChar w:fldCharType="separate"/>
          </w:r>
          <w:r>
            <w:rPr>
              <w:rStyle w:val="33"/>
              <w:rFonts w:hint="default" w:ascii="Times New Roman" w:hAnsi="Times New Roman" w:cs="Times New Roman"/>
            </w:rPr>
            <w:t>(一) 加强组织领导</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_Toc235785904 \h </w:instrText>
          </w:r>
          <w:r>
            <w:rPr>
              <w:rFonts w:hint="default" w:ascii="Times New Roman" w:hAnsi="Times New Roman" w:cs="Times New Roman"/>
            </w:rPr>
            <w:fldChar w:fldCharType="separate"/>
          </w:r>
          <w:r>
            <w:rPr>
              <w:rFonts w:hint="default" w:ascii="Times New Roman" w:hAnsi="Times New Roman" w:cs="Times New Roman"/>
            </w:rPr>
            <w:t>60</w:t>
          </w:r>
          <w:r>
            <w:rPr>
              <w:rFonts w:hint="default" w:ascii="Times New Roman" w:hAnsi="Times New Roman" w:cs="Times New Roman"/>
            </w:rPr>
            <w:fldChar w:fldCharType="end"/>
          </w:r>
          <w:r>
            <w:rPr>
              <w:rFonts w:hint="default" w:ascii="Times New Roman" w:hAnsi="Times New Roman" w:cs="Times New Roman"/>
            </w:rPr>
            <w:fldChar w:fldCharType="end"/>
          </w:r>
        </w:p>
        <w:p w14:paraId="2569349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"_Toc235785905" </w:instrText>
          </w:r>
          <w:r>
            <w:rPr>
              <w:rFonts w:hint="default" w:ascii="Times New Roman" w:hAnsi="Times New Roman" w:cs="Times New Roman"/>
            </w:rPr>
            <w:fldChar w:fldCharType="separate"/>
          </w:r>
          <w:r>
            <w:rPr>
              <w:rStyle w:val="33"/>
              <w:rFonts w:hint="default" w:ascii="Times New Roman" w:hAnsi="Times New Roman" w:cs="Times New Roman"/>
            </w:rPr>
            <w:t>(二) 完善工作机制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_Toc235785905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rPr>
            <w:fldChar w:fldCharType="end"/>
          </w:r>
        </w:p>
        <w:p w14:paraId="501327E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kern w:val="2"/>
              <w:sz w:val="2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"_Toc235785906" </w:instrText>
          </w:r>
          <w:r>
            <w:rPr>
              <w:rFonts w:hint="default" w:ascii="Times New Roman" w:hAnsi="Times New Roman" w:cs="Times New Roman"/>
            </w:rPr>
            <w:fldChar w:fldCharType="separate"/>
          </w:r>
          <w:r>
            <w:rPr>
              <w:rStyle w:val="33"/>
              <w:rFonts w:hint="default" w:ascii="Times New Roman" w:hAnsi="Times New Roman" w:cs="Times New Roman"/>
            </w:rPr>
            <w:t>(三) 体制机制保障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_Toc235785906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rPr>
            <w:fldChar w:fldCharType="end"/>
          </w:r>
        </w:p>
        <w:p w14:paraId="5688E743">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"_Toc235785907" </w:instrText>
          </w:r>
          <w:r>
            <w:rPr>
              <w:rFonts w:hint="default" w:ascii="Times New Roman" w:hAnsi="Times New Roman" w:cs="Times New Roman"/>
            </w:rPr>
            <w:fldChar w:fldCharType="separate"/>
          </w:r>
          <w:r>
            <w:rPr>
              <w:rStyle w:val="33"/>
              <w:rFonts w:hint="default" w:ascii="Times New Roman" w:hAnsi="Times New Roman" w:cs="Times New Roman"/>
            </w:rPr>
            <w:t>(四) 加强政策创新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_Toc235785907 \h </w:instrText>
          </w:r>
          <w:r>
            <w:rPr>
              <w:rFonts w:hint="default" w:ascii="Times New Roman" w:hAnsi="Times New Roman" w:cs="Times New Roman"/>
            </w:rPr>
            <w:fldChar w:fldCharType="separate"/>
          </w:r>
          <w:r>
            <w:rPr>
              <w:rFonts w:hint="default" w:ascii="Times New Roman" w:hAnsi="Times New Roman" w:cs="Times New Roman"/>
            </w:rPr>
            <w:t>63</w:t>
          </w:r>
          <w:r>
            <w:rPr>
              <w:rFonts w:hint="default" w:ascii="Times New Roman" w:hAnsi="Times New Roman" w:cs="Times New Roman"/>
            </w:rPr>
            <w:fldChar w:fldCharType="end"/>
          </w:r>
          <w:r>
            <w:rPr>
              <w:rFonts w:hint="default" w:ascii="Times New Roman" w:hAnsi="Times New Roman" w:cs="Times New Roman"/>
            </w:rPr>
            <w:fldChar w:fldCharType="end"/>
          </w:r>
          <w:r>
            <w:rPr>
              <w:rFonts w:hint="default" w:ascii="Times New Roman" w:hAnsi="Times New Roman" w:cs="Times New Roman"/>
              <w:color w:val="000000" w:themeColor="text1"/>
              <w14:textFill>
                <w14:solidFill>
                  <w14:schemeClr w14:val="tx1"/>
                </w14:solidFill>
              </w14:textFill>
            </w:rPr>
            <w:fldChar w:fldCharType="end"/>
          </w:r>
        </w:p>
      </w:sdtContent>
    </w:sdt>
    <w:p w14:paraId="5D1CEB93">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headerReference r:id="rId9" w:type="first"/>
          <w:footerReference r:id="rId12" w:type="first"/>
          <w:headerReference r:id="rId7" w:type="default"/>
          <w:footerReference r:id="rId10" w:type="default"/>
          <w:headerReference r:id="rId8" w:type="even"/>
          <w:footerReference r:id="rId11" w:type="even"/>
          <w:pgSz w:w="11906" w:h="16838"/>
          <w:pgMar w:top="1440" w:right="1800" w:bottom="1440" w:left="1800" w:header="851" w:footer="992" w:gutter="0"/>
          <w:cols w:space="425" w:num="1"/>
          <w:titlePg/>
          <w:docGrid w:type="lines" w:linePitch="435" w:charSpace="0"/>
        </w:sectPr>
      </w:pPr>
    </w:p>
    <w:p w14:paraId="3986585E">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0" w:name="_Toc213315603"/>
      <w:bookmarkStart w:id="1" w:name="_Toc230277486"/>
      <w:bookmarkStart w:id="2" w:name="_Toc227081165"/>
      <w:bookmarkStart w:id="3" w:name="_Toc229494891"/>
      <w:bookmarkStart w:id="4" w:name="_Toc215227252"/>
      <w:bookmarkStart w:id="5" w:name="_Toc235785880"/>
      <w:bookmarkStart w:id="6" w:name="_Toc215227310"/>
      <w:r>
        <w:rPr>
          <w:rFonts w:hint="default" w:ascii="Times New Roman" w:hAnsi="Times New Roman" w:cs="Times New Roman"/>
          <w:color w:val="000000" w:themeColor="text1"/>
          <w14:textFill>
            <w14:solidFill>
              <w14:schemeClr w14:val="tx1"/>
            </w14:solidFill>
          </w14:textFill>
        </w:rPr>
        <w:t>总则</w:t>
      </w:r>
      <w:bookmarkEnd w:id="0"/>
      <w:bookmarkEnd w:id="1"/>
      <w:bookmarkEnd w:id="2"/>
      <w:bookmarkEnd w:id="3"/>
      <w:bookmarkEnd w:id="4"/>
      <w:bookmarkEnd w:id="5"/>
      <w:bookmarkEnd w:id="6"/>
    </w:p>
    <w:p w14:paraId="71F8F28D">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 w:name="_Toc213315604"/>
      <w:bookmarkStart w:id="8" w:name="_Toc227081166"/>
      <w:bookmarkStart w:id="9" w:name="_Toc235785881"/>
      <w:bookmarkStart w:id="10" w:name="_Toc215227253"/>
      <w:bookmarkStart w:id="11" w:name="_Toc215227311"/>
      <w:bookmarkStart w:id="12" w:name="_Toc229494892"/>
      <w:bookmarkStart w:id="13" w:name="_Toc230277487"/>
      <w:r>
        <w:rPr>
          <w:rFonts w:hint="default" w:ascii="Times New Roman" w:hAnsi="Times New Roman" w:cs="Times New Roman"/>
          <w:color w:val="000000" w:themeColor="text1"/>
          <w14:textFill>
            <w14:solidFill>
              <w14:schemeClr w14:val="tx1"/>
            </w14:solidFill>
          </w14:textFill>
        </w:rPr>
        <w:t>编制背景</w:t>
      </w:r>
      <w:bookmarkEnd w:id="7"/>
      <w:bookmarkEnd w:id="8"/>
      <w:bookmarkEnd w:id="9"/>
      <w:bookmarkEnd w:id="10"/>
      <w:bookmarkEnd w:id="11"/>
      <w:bookmarkEnd w:id="12"/>
      <w:bookmarkEnd w:id="13"/>
    </w:p>
    <w:p w14:paraId="767DF458">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“一带一路”建设背景下的新机遇</w:t>
      </w:r>
    </w:p>
    <w:p w14:paraId="5913CE2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2013年10月，习近平总书记提出建设“新丝绸之路经济带”的合作倡议。2015年3月28日，国家发展改革委、外交部、商务部联合发布了《推动共建丝绸之路经济带和21世纪海上丝绸之路的愿景与行动》，明确提出要“发挥新疆独特的区位优势和向西开放的重要窗口作用，深化与中亚、南亚、西亚等国家交流合作，形成丝绸之路经济带上重要的交通枢纽、商贸物流和文化科教中心，打造丝绸之路经济带核心区”。</w:t>
      </w:r>
    </w:p>
    <w:p w14:paraId="67D9781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bookmarkStart w:id="418" w:name="_GoBack"/>
      <w:bookmarkEnd w:id="418"/>
      <w:r>
        <w:rPr>
          <w:rFonts w:hint="eastAsia" w:ascii="Times New Roman" w:hAnsi="Times New Roman" w:cs="Times New Roman"/>
          <w:color w:val="000000" w:themeColor="text1"/>
          <w:lang w:eastAsia="zh-CN"/>
          <w14:textFill>
            <w14:solidFill>
              <w14:schemeClr w14:val="tx1"/>
            </w14:solidFill>
          </w14:textFill>
        </w:rPr>
        <w:t>“一带一路”倡议</w:t>
      </w:r>
      <w:r>
        <w:rPr>
          <w:rFonts w:hint="default" w:ascii="Times New Roman" w:hAnsi="Times New Roman" w:cs="Times New Roman"/>
          <w:color w:val="000000" w:themeColor="text1"/>
          <w14:textFill>
            <w14:solidFill>
              <w14:schemeClr w14:val="tx1"/>
            </w14:solidFill>
          </w14:textFill>
        </w:rPr>
        <w:t>的持续推进极大改善了我国对外开放格局，也为新疆带来了重大的发展机遇，正如习近平总书记在2022年7月视察新疆时所说：“随着共建‘一带一路’深入推进，新疆不再是边远地带，而是一个核心区、一个枢纽地带。”</w:t>
      </w:r>
    </w:p>
    <w:p w14:paraId="1CE068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具体落实丝绸之路经济带核心区建设要求，2016年新疆生产建设兵团编制了《新疆生产建设兵团参与建设丝绸之路经济带的实施方案》，明确提出兵团作为新疆重要组成部分，积极参与丝绸之路经济带建设，与自治区共同打造丝绸之路经济带核心区。《新疆生产建设兵团参与建设丝绸之路经济带的实施方案》根据国家和自治区战略部署，结合兵团</w:t>
      </w:r>
      <w:commentRangeStart w:id="0"/>
      <w:r>
        <w:rPr>
          <w:rFonts w:hint="default" w:ascii="Times New Roman" w:hAnsi="Times New Roman" w:cs="Times New Roman"/>
          <w:color w:val="000000" w:themeColor="text1"/>
          <w14:textFill>
            <w14:solidFill>
              <w14:schemeClr w14:val="tx1"/>
            </w14:solidFill>
          </w14:textFill>
        </w:rPr>
        <w:t>自身空间布局、产业特点和优势条件，将兵团参与建设丝绸之路经济带的战略定位为：围绕“一带”，共建“一区”，参与新疆“三通道”、“三基地”、“五大中心”建设，着力打造“八大进出口产业基地”，着力构建“两屏障”</w:t>
      </w:r>
      <w:commentRangeEnd w:id="0"/>
      <w:r>
        <w:rPr>
          <w:rStyle w:val="34"/>
          <w:rFonts w:hint="default" w:ascii="Times New Roman" w:hAnsi="Times New Roman" w:cs="Times New Roman"/>
          <w:color w:val="000000" w:themeColor="text1"/>
          <w:sz w:val="32"/>
          <w:szCs w:val="32"/>
          <w14:textFill>
            <w14:solidFill>
              <w14:schemeClr w14:val="tx1"/>
            </w14:solidFill>
          </w14:textFill>
        </w:rPr>
        <w:commentReference w:id="0"/>
      </w:r>
      <w:r>
        <w:rPr>
          <w:rFonts w:hint="default" w:ascii="Times New Roman" w:hAnsi="Times New Roman" w:cs="Times New Roman"/>
          <w:color w:val="000000" w:themeColor="text1"/>
          <w14:textFill>
            <w14:solidFill>
              <w14:schemeClr w14:val="tx1"/>
            </w14:solidFill>
          </w14:textFill>
        </w:rPr>
        <w:t>。</w:t>
      </w:r>
    </w:p>
    <w:p w14:paraId="68041A20">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城市高质量发展提出新要求</w:t>
      </w:r>
    </w:p>
    <w:p w14:paraId="006B3D4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党的二十大报告指出，高质量发展是全面建设社会主义现代化国家的首要任务。</w:t>
      </w:r>
      <w:r>
        <w:rPr>
          <w:rFonts w:hint="default" w:ascii="Times New Roman" w:hAnsi="Times New Roman" w:cs="Times New Roman"/>
          <w:color w:val="000000" w:themeColor="text1"/>
          <w14:textFill>
            <w14:solidFill>
              <w14:schemeClr w14:val="tx1"/>
            </w14:solidFill>
          </w14:textFill>
        </w:rPr>
        <w:t>高质量发展是全面建设社会主义现代化国家的首要任务，推动高质量发展是遵循经济发展规律、保持经济持续健康发展和全面建设社会主义现代化国家的必然要求。</w:t>
      </w:r>
    </w:p>
    <w:p w14:paraId="2D1BA09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党的二十届四中全会及2025年中央城市工作会议进一步为新时代城市工作指明了方向。</w:t>
      </w:r>
      <w:r>
        <w:rPr>
          <w:rFonts w:hint="default" w:ascii="Times New Roman" w:hAnsi="Times New Roman" w:cs="Times New Roman"/>
          <w:color w:val="000000" w:themeColor="text1"/>
          <w14:textFill>
            <w14:solidFill>
              <w14:schemeClr w14:val="tx1"/>
            </w14:solidFill>
          </w14:textFill>
        </w:rPr>
        <w:t>会议明确，必须坚持以人民为中心的发展思想，将推动城市内涵式发展作为主线，以实施城市更新为抓手，着力建设创新、宜居、美丽、韧性、文明、智慧的现代化人民城市。深刻把握并践行城市发展范式的“五个转变”，即发展理念上更加注重以人为本，发展方式上更加注重集约高效，发展动力上更加注重特色彰显，工作重心上更加注重治理投入，工作方法上更加注重统筹协调。这要求城市工作必须紧紧围绕高质量发展主题，统筹推进结构优化、动能转换、品质提升等“七大重点任务”，牢牢守住安全底线，走出一条中国特色城市现代化新路子，为城市在新发展阶段的建设与管理提供了根本遵循和行动纲领。</w:t>
      </w:r>
    </w:p>
    <w:p w14:paraId="17ECB71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commentRangeStart w:id="1"/>
      <w:r>
        <w:rPr>
          <w:rFonts w:hint="default" w:ascii="Times New Roman" w:hAnsi="Times New Roman" w:cs="Times New Roman"/>
          <w:b/>
          <w:color w:val="000000" w:themeColor="text1"/>
          <w14:textFill>
            <w14:solidFill>
              <w14:schemeClr w14:val="tx1"/>
            </w14:solidFill>
          </w14:textFill>
        </w:rPr>
        <w:t>关于新疆城市建设的重要批示。</w:t>
      </w:r>
      <w:r>
        <w:rPr>
          <w:rFonts w:hint="default" w:ascii="Times New Roman" w:hAnsi="Times New Roman" w:cs="Times New Roman"/>
          <w:color w:val="000000" w:themeColor="text1"/>
          <w14:textFill>
            <w14:solidFill>
              <w14:schemeClr w14:val="tx1"/>
            </w14:solidFill>
          </w14:textFill>
        </w:rPr>
        <w:t>2023年5月，全国政协主席对新疆中心城市贯彻新时代党的治疆方略、锚定新疆在社会主义现代化强国建设中的战略定位、推动高质量发展、铸牢中华民族共同体意识等方面提出要求，并对城市发展建设不集约、不紧凑、市中心不突出等问题作出批示。2024年10月，全国政协主席作出关于新疆城市建设的重要批示，要求进一步优化城市空间格局和资源要素配置，推动新疆城市紧凑规划、精明增长，有效发挥城市市中心“集聚效应”。</w:t>
      </w:r>
      <w:commentRangeEnd w:id="1"/>
      <w:r>
        <w:rPr>
          <w:rStyle w:val="34"/>
          <w:rFonts w:hint="default" w:ascii="Times New Roman" w:hAnsi="Times New Roman" w:cs="Times New Roman"/>
          <w:color w:val="000000" w:themeColor="text1"/>
          <w:sz w:val="32"/>
          <w:szCs w:val="32"/>
          <w14:textFill>
            <w14:solidFill>
              <w14:schemeClr w14:val="tx1"/>
            </w14:solidFill>
          </w14:textFill>
        </w:rPr>
        <w:commentReference w:id="1"/>
      </w:r>
    </w:p>
    <w:p w14:paraId="6F38EAD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自治区党委和人民政府统筹推进全疆各地城市高质量建设工作。</w:t>
      </w:r>
      <w:r>
        <w:rPr>
          <w:rFonts w:hint="default" w:ascii="Times New Roman" w:hAnsi="Times New Roman" w:cs="Times New Roman"/>
          <w:color w:val="000000" w:themeColor="text1"/>
          <w14:textFill>
            <w14:solidFill>
              <w14:schemeClr w14:val="tx1"/>
            </w14:solidFill>
          </w14:textFill>
        </w:rPr>
        <w:t>自治区党委在2023年9月召开城市规划建设座谈会，会议要求坚持从战略性长远性高度出发，把城市规划置于国家工作全局、新疆发展大局中谋划推进，统筹部署推进全疆各地城市高质量建设发展。2024年11月，自治区党委、自治区人民政府做出部署，要求全面系统科学研究新疆城市建设。2025年，自治区人民政府办公厅发布《关于稳步推进新疆城市高质量发展建设城市市中心的指导意见》（新政办发〔2025〕6号），2025年5月住建厅印发《新疆城市高质量发展战略规划和实施方案编制技术指引(试行)》，进一步加深对推动新疆城市高质量发展建设城市市中心工作的理解和认识，系统提升各城市落实推进城市工作的能力和水平，统筹推进全疆各地城市高质量建设工作。</w:t>
      </w:r>
    </w:p>
    <w:p w14:paraId="2612C1B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兵团党委和兵团推动城市高质量发展各项部署落到实处。</w:t>
      </w:r>
      <w:commentRangeStart w:id="2"/>
      <w:r>
        <w:rPr>
          <w:rFonts w:hint="default" w:ascii="Times New Roman" w:hAnsi="Times New Roman" w:cs="Times New Roman"/>
          <w:color w:val="000000" w:themeColor="text1"/>
          <w14:textFill>
            <w14:solidFill>
              <w14:schemeClr w14:val="tx1"/>
            </w14:solidFill>
          </w14:textFill>
        </w:rPr>
        <w:t>兵团着力推进城市高质量发展，提出对兵团城市高质量发展的总体要求，</w:t>
      </w:r>
      <w:commentRangeEnd w:id="2"/>
      <w:r>
        <w:rPr>
          <w:rStyle w:val="34"/>
          <w:rFonts w:hint="default" w:ascii="Times New Roman" w:hAnsi="Times New Roman" w:cs="Times New Roman"/>
          <w:color w:val="000000" w:themeColor="text1"/>
          <w:sz w:val="32"/>
          <w:szCs w:val="32"/>
          <w14:textFill>
            <w14:solidFill>
              <w14:schemeClr w14:val="tx1"/>
            </w14:solidFill>
          </w14:textFill>
        </w:rPr>
        <w:commentReference w:id="2"/>
      </w:r>
      <w:r>
        <w:rPr>
          <w:rFonts w:hint="default" w:ascii="Times New Roman" w:hAnsi="Times New Roman" w:cs="Times New Roman"/>
          <w:color w:val="000000" w:themeColor="text1"/>
          <w14:textFill>
            <w14:solidFill>
              <w14:schemeClr w14:val="tx1"/>
            </w14:solidFill>
          </w14:textFill>
        </w:rPr>
        <w:t>以铸牢中华民族共同体意识为根本遵循，构建层级清晰、功能互补的现代化城镇体系。以增进团结认同为根本，优化城镇空间，同步强化经济活力、人口吸附、生态宜居、安全韧性、文化品位和智慧治理等综合功能，并在党的领导下完善制度保障，推动城市在维护稳定、服务区域和改善民生中发挥更大作用。</w:t>
      </w:r>
    </w:p>
    <w:p w14:paraId="00908C2F">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城市更新行动新举措</w:t>
      </w:r>
    </w:p>
    <w:p w14:paraId="445E980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国家层面来看，党的二十大报告明确提出实施城市更新行动，强调要加强城市基础设施建设，建设宜居、韧性、智慧城市。《“十四五”新型城镇化实施方案》进一步提出推动城市空间结构优化和品质提升，统筹城市规划建设管理，促进城市高质量发展。在此背景下，城市更新已上升为国家战略，成为推动城市发展方式转变、实现城市可持续发展的重要举措。可克达拉市积极响应国家号召，以城市更新为抓手，提升城市发展质量，契合国家推进新型城镇化和城市现代化建设的总体要求，也是融入国家发展大局的必然选择。</w:t>
      </w:r>
    </w:p>
    <w:p w14:paraId="7BFA294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新疆区域发展的背景下，自治区围绕打造丝绸之路经济带核心区，加快推进新型城镇化建设，致力于提升城市综合承载能力和发展能级。伊犁河谷作为新疆重要经济区域，城市建设与更新需求迫切。新疆近年来不断加大对城市基础设施、公共服务设施等领域的投入，推动城市功能完善与品质提升。可克达拉市作为伊犁河谷的重要城市，通过城市更新，能够更好地融入新疆区域发展格局，承接核心区建设带来的发展机遇，增强自身在区域内的竞争力，助力新疆构建优势互补、高质量发展的区域经济布局。</w:t>
      </w:r>
    </w:p>
    <w:p w14:paraId="0DD7D32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就可克达拉市自身而言，自2015年建市以来，城市建设取得了显著成就，但随着城市快速发展，也逐渐暴露出一些问题。部分早期建设的城区基础设施需要更新改造，公共服务设施配套不足，难以满足居民日益增长的美好生活需求；城市空间布局在一定程度上缺乏统筹规划，存在土地利用效率不高、功能分区不合理等现象。为解决这些发展中的问题，推动城市可持续发展，城市更新成为可克达拉市优化城市空间结构、完善城市功能、提升城市品质、增强城市魅力的关键举措，也是实现城市高质量发展的重要路径。</w:t>
      </w:r>
    </w:p>
    <w:p w14:paraId="24908DAD">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可克达拉市发展背景</w:t>
      </w:r>
    </w:p>
    <w:p w14:paraId="5897E58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可克达拉市为新疆维吾尔自治区直辖县级市，实行与新疆生产建设兵团第四师师市合一管理体制，由新疆生产建设兵团管理，</w:t>
      </w:r>
      <w:commentRangeStart w:id="3"/>
      <w:r>
        <w:rPr>
          <w:rFonts w:hint="default" w:ascii="Times New Roman" w:hAnsi="Times New Roman" w:cs="Times New Roman"/>
          <w:color w:val="000000" w:themeColor="text1"/>
          <w14:textFill>
            <w14:solidFill>
              <w14:schemeClr w14:val="tx1"/>
            </w14:solidFill>
          </w14:textFill>
        </w:rPr>
        <w:t>市域主要由63团、64团、66团、67团部分区域和68团全域组成，行政区划总面积979.71平方千米，下辖5个镇（63团榆树庄镇、64团苇湖镇、66团金梁镇、67团金屯镇、68团长丰镇），2个街道办事处（金山街道、花城街道）。师域地处天山北麓西段，位于伊犁河谷，东起天山那拉提，东南北三面环山，西与哈萨克斯坦接</w:t>
      </w:r>
      <w:commentRangeEnd w:id="3"/>
      <w:r>
        <w:rPr>
          <w:rStyle w:val="34"/>
          <w:rFonts w:hint="default" w:ascii="Times New Roman" w:hAnsi="Times New Roman" w:cs="Times New Roman"/>
          <w:color w:val="000000" w:themeColor="text1"/>
          <w:sz w:val="32"/>
          <w:szCs w:val="32"/>
          <w14:textFill>
            <w14:solidFill>
              <w14:schemeClr w14:val="tx1"/>
            </w14:solidFill>
          </w14:textFill>
        </w:rPr>
        <w:commentReference w:id="3"/>
      </w:r>
      <w:r>
        <w:rPr>
          <w:rFonts w:hint="default" w:ascii="Times New Roman" w:hAnsi="Times New Roman" w:cs="Times New Roman"/>
          <w:color w:val="000000" w:themeColor="text1"/>
          <w14:textFill>
            <w14:solidFill>
              <w14:schemeClr w14:val="tx1"/>
            </w14:solidFill>
          </w14:textFill>
        </w:rPr>
        <w:t>壤，行政区域总面积5765.43平方公里，下辖18个团（镇），2个街道办事处、2个开发区管委会（代管霍尔果斯经济开发区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兵团分区管委会）。截至2024年末，师市常住人口26.4万人，涵盖汉族、哈萨克族、维吾尔族、回族、蒙古族等多个民族。</w:t>
      </w:r>
    </w:p>
    <w:p w14:paraId="564DA1B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意为“绿色的原野”。历史上，该区域曾为戈壁荒滩地貌。1949年初，军垦部队进驻开展屯垦戍边工作，进行大规模开荒建设。1958年秋，八一电影制片厂在此拍摄反映军垦建设的彩色纪录片。2015年3月16日，经国务院批复同意，可克达拉市正式设立，开启城市建设发展新阶段。</w:t>
      </w:r>
    </w:p>
    <w:p w14:paraId="0CB600B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区域优势方面，可克达拉市地处伊犁河谷，作为国家向西开放前沿，凭借霍尔果斯、都拉塔等口岸以及国道穿境的交通优势，积极融入国际国内双循环发展格局，这为其城市高质量发展提供了难得的战略机遇。可克达拉市所在的伊犁河谷，是新疆重要的经济区域，周边城市发展迅速，对可克达拉市产生了一定的辐射带动作用，也促使其加快自身高质量发展步伐，以更好地融入区域协同发展。并且，新疆不断加大基础设施建设投入，完善交通、能源等基础设施网络，这为可克达拉市进一步提升城市功能、优化营商环境创造了有利条件，助力其在区域发展中占据更有利地位。</w:t>
      </w:r>
    </w:p>
    <w:p w14:paraId="7B42E23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自然条件方面，可克达拉市属温带大陆性气候，年平均气温10.4℃，日照时数2870小时，年降水量417.6毫米，山区降水量达600毫米，素有“塞外江南”“丝路水乡”之称。市域内水资源丰富，共有23条河流，年径流量10.718亿立方米，其中伊犁河年均径流量167亿立方米，地下水可开采量在3.4亿</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5.6亿立方米区间。土壤类型以灰钙土为主，适宜农作物生长。依托伊犁河流域生态资源，可克达拉市大力推进湿地保护修复工作，生物多样性显著，现有国家一级保护野生动物白鹈鹕，国家二级保护野生动物灰鹤、猎隼等，野生鸟类超140种，“中亚湿岛</w:t>
      </w:r>
      <w:r>
        <w:rPr>
          <w:rFonts w:hint="default" w:ascii="Times New Roman" w:hAnsi="Times New Roman" w:eastAsia="微软雅黑"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交响夏都”生态品牌效应逐步显现。</w:t>
      </w:r>
    </w:p>
    <w:p w14:paraId="4FED634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济发展领域，可克达拉市经济保持良好发展态势，2022年实现地区生产总值251.38亿元。产业结构持续优化，第一产业以特色农业为核心，是全国玉米制种大县、中国薰衣草之乡、中国香料之乡、中国冰葡萄酒之乡，是兵团最大的粮油生产基地，“伊香”有机大米获国家“绿色食品”认证，61团树上干杏列入国家地理标志保护产品名录；第二产业稳步推进工业转型升级；第三产业中旅游业发展迅速，现有4A级景区3个，3A级景区7个，全国乡村旅游重点村（镇）7个。作为中国重要的薰衣草种植基地，全市薰衣草种植面积达5333公顷，产量占全国总量95%以上，伊帕尔汗薰衣草观光园成为特色旅游名片。伊力特酒文化产业园获评国家工业旅游示范基地。2025年，师市累计接待游客603.1万人次，同比增长26.14%；实现旅游收入25.38亿元，同比增长23.20%。</w:t>
      </w:r>
    </w:p>
    <w:p w14:paraId="36B5F9B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城市建设方面，可克达拉市持续完善城市功能，“十四五”期间成功创建国家级生态文明建设示范区，荣获“兵团园林城市”称号，入选全国文明城市提名城市，全市建成29座城市公园，朱雀湖公园、滨河公园等为市民提供优质休闲空间。其中，朱雀湖公园融合江南园林特色，配套的水幕电影成为夜间文旅亮点。跨伊犁河的两座大桥建成通车，分别为可克达拉大桥和可克达拉二桥，极大改善区域交通条件，提升城市形象。</w:t>
      </w:r>
    </w:p>
    <w:p w14:paraId="610641A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交通网络方面，市域毗邻伊宁市、那拉提两座机场，312国道、218国道、连霍高速、清伊高速及精伊霍铁路穿境而过，依托霍尔果斯、都拉塔、木扎尔特三个国家一类边境口岸，形成联通丝绸之路经济带沿线国家的开放格局。</w:t>
      </w:r>
    </w:p>
    <w:p w14:paraId="4812947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文化建设成果显著，可克达拉市于2019年12月11日获全国民族团结进步示范区（单位）称号。师市现有不可移动文物78处，其中全国重点文物保护单位3处，兵团级文物保护单位8处。诞生于原可克达拉农场（现四师</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）的歌曲《草原之夜》，被联合国教科文组织认定为“世界著名东方小夜曲”，成为城市文化标识。</w:t>
      </w:r>
    </w:p>
    <w:p w14:paraId="0BD6746C">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 w:name="_Toc215227312"/>
      <w:bookmarkStart w:id="15" w:name="_Toc235785882"/>
      <w:bookmarkStart w:id="16" w:name="_Toc227081167"/>
      <w:bookmarkStart w:id="17" w:name="_Toc215227254"/>
      <w:bookmarkStart w:id="18" w:name="_Toc229494893"/>
      <w:bookmarkStart w:id="19" w:name="_Toc230277488"/>
      <w:bookmarkStart w:id="20" w:name="_Toc213315605"/>
      <w:r>
        <w:rPr>
          <w:rFonts w:hint="default" w:ascii="Times New Roman" w:hAnsi="Times New Roman" w:cs="Times New Roman"/>
          <w:color w:val="000000" w:themeColor="text1"/>
          <w14:textFill>
            <w14:solidFill>
              <w14:schemeClr w14:val="tx1"/>
            </w14:solidFill>
          </w14:textFill>
        </w:rPr>
        <w:t>编制目的</w:t>
      </w:r>
      <w:bookmarkEnd w:id="14"/>
      <w:bookmarkEnd w:id="15"/>
      <w:bookmarkEnd w:id="16"/>
      <w:bookmarkEnd w:id="17"/>
      <w:bookmarkEnd w:id="18"/>
      <w:bookmarkEnd w:id="19"/>
      <w:bookmarkEnd w:id="20"/>
    </w:p>
    <w:p w14:paraId="3D3D08E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深入学习贯彻习近平总书记关于新疆工作和城市工作的重要讲话重要论述精神，完整准确全面贯彻新时代党的治疆方略，落实总体规划与详细规划提出的可克达拉定位、职能、目标要求，依据《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可克达拉市中心城区国土空间详细规划》等规划，编制《可克达拉市城市高质量发展战略规划和实施方案》（以下简称“本规划”）。本规划围绕总体规划对可克达拉市提出的目标职能进行细化，是可克达拉城市发展建设的总纲领，旨在阐明发展建设的总体思路、总体蓝图布局以及各个领域战略路径。</w:t>
      </w:r>
    </w:p>
    <w:p w14:paraId="698AA209">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1" w:name="_Toc230277489"/>
      <w:bookmarkStart w:id="22" w:name="_Toc215227255"/>
      <w:bookmarkStart w:id="23" w:name="_Toc235785883"/>
      <w:bookmarkStart w:id="24" w:name="_Toc213315606"/>
      <w:bookmarkStart w:id="25" w:name="_Toc229494894"/>
      <w:bookmarkStart w:id="26" w:name="_Toc227081168"/>
      <w:bookmarkStart w:id="27" w:name="_Toc215227313"/>
      <w:r>
        <w:rPr>
          <w:rFonts w:hint="default" w:ascii="Times New Roman" w:hAnsi="Times New Roman" w:cs="Times New Roman"/>
          <w:color w:val="000000" w:themeColor="text1"/>
          <w14:textFill>
            <w14:solidFill>
              <w14:schemeClr w14:val="tx1"/>
            </w14:solidFill>
          </w14:textFill>
        </w:rPr>
        <w:t>编制范围和期限</w:t>
      </w:r>
      <w:bookmarkEnd w:id="21"/>
      <w:bookmarkEnd w:id="22"/>
      <w:bookmarkEnd w:id="23"/>
      <w:bookmarkEnd w:id="24"/>
      <w:bookmarkEnd w:id="25"/>
      <w:bookmarkEnd w:id="26"/>
      <w:bookmarkEnd w:id="27"/>
    </w:p>
    <w:p w14:paraId="06772E9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规划范围：</w:t>
      </w:r>
      <w:r>
        <w:rPr>
          <w:rFonts w:hint="default" w:ascii="Times New Roman" w:hAnsi="Times New Roman" w:cs="Times New Roman"/>
          <w:color w:val="000000" w:themeColor="text1"/>
          <w14:textFill>
            <w14:solidFill>
              <w14:schemeClr w14:val="tx1"/>
            </w14:solidFill>
          </w14:textFill>
        </w:rPr>
        <w:t>可克达拉市中心城区，北靠精伊霍铁路，南邻伊犁河，西至西环路，东至七一七南延路。</w:t>
      </w:r>
    </w:p>
    <w:p w14:paraId="3A9F0DD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研究范围：</w:t>
      </w:r>
      <w:commentRangeStart w:id="4"/>
      <w:r>
        <w:rPr>
          <w:rFonts w:hint="default" w:ascii="Times New Roman" w:hAnsi="Times New Roman" w:cs="Times New Roman"/>
          <w:color w:val="000000" w:themeColor="text1"/>
          <w14:textFill>
            <w14:solidFill>
              <w14:schemeClr w14:val="tx1"/>
            </w14:solidFill>
          </w14:textFill>
        </w:rPr>
        <w:t>为精准谋划中心城区高质量发展，本次规划将研究视野拓展至可克达拉市市域，其分析结论最终均服务于中心城区规划；中心城区重点研究城市核心区与66团中心镇区一体化发展，整合范围东至东环路、南至伊犁河、北至精伊霍铁路、西至西环路。</w:t>
      </w:r>
    </w:p>
    <w:p w14:paraId="2543A30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规划期限：</w:t>
      </w:r>
      <w:r>
        <w:rPr>
          <w:rFonts w:hint="default" w:ascii="Times New Roman" w:hAnsi="Times New Roman" w:cs="Times New Roman"/>
          <w:color w:val="000000" w:themeColor="text1"/>
          <w14:textFill>
            <w14:solidFill>
              <w14:schemeClr w14:val="tx1"/>
            </w14:solidFill>
          </w14:textFill>
        </w:rPr>
        <w:t>战略规划基准年为2025年，目标年为2035年，远景展望至2050年。</w:t>
      </w:r>
      <w:commentRangeEnd w:id="4"/>
      <w:r>
        <w:rPr>
          <w:rStyle w:val="34"/>
          <w:rFonts w:hint="default" w:ascii="Times New Roman" w:hAnsi="Times New Roman" w:cs="Times New Roman"/>
          <w:color w:val="000000" w:themeColor="text1"/>
          <w:sz w:val="32"/>
          <w:szCs w:val="32"/>
          <w14:textFill>
            <w14:solidFill>
              <w14:schemeClr w14:val="tx1"/>
            </w14:solidFill>
          </w14:textFill>
        </w:rPr>
        <w:commentReference w:id="4"/>
      </w:r>
    </w:p>
    <w:p w14:paraId="2ED268FC">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28" w:name="_Toc235785884"/>
      <w:bookmarkStart w:id="29" w:name="_Toc229494895"/>
      <w:bookmarkStart w:id="30" w:name="_Toc230277490"/>
      <w:bookmarkStart w:id="31" w:name="_Toc215227314"/>
      <w:bookmarkStart w:id="32" w:name="_Toc215227256"/>
      <w:bookmarkStart w:id="33" w:name="_Toc227081169"/>
      <w:bookmarkStart w:id="34" w:name="_Toc213315607"/>
      <w:r>
        <w:rPr>
          <w:rFonts w:hint="default" w:ascii="Times New Roman" w:hAnsi="Times New Roman" w:cs="Times New Roman"/>
          <w:color w:val="000000" w:themeColor="text1"/>
          <w14:textFill>
            <w14:solidFill>
              <w14:schemeClr w14:val="tx1"/>
            </w14:solidFill>
          </w14:textFill>
        </w:rPr>
        <w:t>总体研判</w:t>
      </w:r>
      <w:bookmarkEnd w:id="28"/>
      <w:bookmarkEnd w:id="29"/>
      <w:bookmarkEnd w:id="30"/>
      <w:bookmarkEnd w:id="31"/>
      <w:bookmarkEnd w:id="32"/>
      <w:bookmarkEnd w:id="33"/>
      <w:bookmarkEnd w:id="34"/>
    </w:p>
    <w:p w14:paraId="591267C8">
      <w:pPr>
        <w:pStyle w:val="47"/>
        <w:pageBreakBefore w:val="0"/>
        <w:numPr>
          <w:ilvl w:val="0"/>
          <w:numId w:val="14"/>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5" w:name="_Toc229494896"/>
      <w:bookmarkStart w:id="36" w:name="_Toc235785885"/>
      <w:bookmarkStart w:id="37" w:name="_Toc227081170"/>
      <w:bookmarkStart w:id="38" w:name="_Toc215227315"/>
      <w:bookmarkStart w:id="39" w:name="_Toc215227257"/>
      <w:bookmarkStart w:id="40" w:name="_Toc213315608"/>
      <w:bookmarkStart w:id="41" w:name="_Toc230277491"/>
      <w:r>
        <w:rPr>
          <w:rFonts w:hint="default" w:ascii="Times New Roman" w:hAnsi="Times New Roman" w:cs="Times New Roman"/>
          <w:color w:val="000000" w:themeColor="text1"/>
          <w14:textFill>
            <w14:solidFill>
              <w14:schemeClr w14:val="tx1"/>
            </w14:solidFill>
          </w14:textFill>
        </w:rPr>
        <w:t>区域分析</w:t>
      </w:r>
      <w:bookmarkEnd w:id="35"/>
      <w:bookmarkEnd w:id="36"/>
      <w:bookmarkEnd w:id="37"/>
      <w:bookmarkEnd w:id="38"/>
      <w:bookmarkEnd w:id="39"/>
      <w:bookmarkEnd w:id="40"/>
      <w:bookmarkEnd w:id="41"/>
    </w:p>
    <w:p w14:paraId="32245480">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“一带一路”纵深推进提供新机遇</w:t>
      </w:r>
    </w:p>
    <w:p w14:paraId="36CA7B1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2020年6月18日，习近平主席提出要把“一带一路”打造成团结应对挑战的合作之路、维护人民健康安全的健康之路、促进经济社会恢复的复苏之路、释放发展潜力的增长之路，高质量“共建‘一带一路’”。这一倡议为沿线地区带来了前所未有的发展契机，可克达拉市所在的第四师正处于关键位置。</w:t>
      </w:r>
    </w:p>
    <w:p w14:paraId="10E1950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地理位置上看，第四师位于我国西北边陲，是丝绸之路经济带的重要节点，向西可直通哈萨克斯坦等中亚国家，并通过中亚连接西亚、欧洲等沿线国家。“十四五”以来，兵团城镇化建设取得显著成效，形成了与自治区城市功能互补、特色鲜明的城镇体系。国家“十五五”规划纲要明确“扎实推进边境城镇建设”，要求优化新疆边境城镇布局，加大边境重点城市和节点城市支持力度，增强稳边固边、安全发展能力。同时，国家将深入推进新疆“一带一路”核心区建设，高标准建设伊犁产业协作园区，设立霍尔果斯等重点开发开放试验区。多重战略叠加，使第四师独特的区位优势正转化为“一带一路”建设中先行先试的有利条件，</w:t>
      </w:r>
      <w:commentRangeStart w:id="5"/>
      <w:bookmarkStart w:id="42" w:name="OLE_LINK3"/>
      <w:r>
        <w:rPr>
          <w:rFonts w:hint="default" w:ascii="Times New Roman" w:hAnsi="Times New Roman" w:cs="Times New Roman"/>
          <w:color w:val="000000" w:themeColor="text1"/>
          <w14:textFill>
            <w14:solidFill>
              <w14:schemeClr w14:val="tx1"/>
            </w14:solidFill>
          </w14:textFill>
        </w:rPr>
        <w:t>迎来以开放促发展、以兴边富民与稳边固边协同推进的新机遇</w:t>
      </w:r>
      <w:bookmarkEnd w:id="42"/>
      <w:r>
        <w:rPr>
          <w:rFonts w:hint="default" w:ascii="Times New Roman" w:hAnsi="Times New Roman" w:cs="Times New Roman"/>
          <w:color w:val="000000" w:themeColor="text1"/>
          <w14:textFill>
            <w14:solidFill>
              <w14:schemeClr w14:val="tx1"/>
            </w14:solidFill>
          </w14:textFill>
        </w:rPr>
        <w:t>。</w:t>
      </w:r>
      <w:commentRangeEnd w:id="5"/>
      <w:r>
        <w:rPr>
          <w:rStyle w:val="34"/>
          <w:rFonts w:hint="default" w:ascii="Times New Roman" w:hAnsi="Times New Roman" w:cs="Times New Roman"/>
          <w:color w:val="000000" w:themeColor="text1"/>
          <w:sz w:val="32"/>
          <w:szCs w:val="32"/>
          <w14:textFill>
            <w14:solidFill>
              <w14:schemeClr w14:val="tx1"/>
            </w14:solidFill>
          </w14:textFill>
        </w:rPr>
        <w:commentReference w:id="5"/>
      </w:r>
    </w:p>
    <w:p w14:paraId="391ED55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数字丝绸之路”建设中，第四师可积极引入大数据、云计算、人工智能等先进技术，推动当地传统产业的数字化转型。例如，在农业领域，利用物联网技术实现精准灌溉、智能施肥，提高农业生产效率和农产品质量；在工业领域，通过数字化手段优化生产流程，提升企业的生产管理水平。同时，还可以搭建跨境电商平台，促进本地特色产品的对外销售，拓宽市场渠道。</w:t>
      </w:r>
    </w:p>
    <w:p w14:paraId="6EEAE2A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于“绿色丝绸之路”建设，第四师拥有良好的生态基础。这里山、水、林、田、湖、草和谐共生，是“塞外江南”。可克达拉市可以依托这一优势，加强生态保护与修复，发展绿色产业。比如，推广清洁能源的利用，加大太阳能、风能发电项目的建设力度；发展生态旅游，打造一批以自然风光为特色的旅游景点，吸引国内外游客前来观光旅游。</w:t>
      </w:r>
    </w:p>
    <w:p w14:paraId="440663D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健康丝绸之路”建设中，第四师可加强与沿线国家在医疗卫生领域的合作与交流。一方面，引进国外先进的医疗技术和设备，提升本地的医疗服务水平；另一方面，推动中医药文化的对外传播，开展中医药国际合作项目，为沿线国家人民提供优质的医疗健康服务。通过这些举措，大力发展外向型经济，加速自身发展。</w:t>
      </w:r>
    </w:p>
    <w:p w14:paraId="4431A92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国内国际“双循环”格局构建提供新支持</w:t>
      </w:r>
    </w:p>
    <w:p w14:paraId="4032A91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党的十九届五中全会提出加快构建以国内大循环为主体、国内国际双循环相互促进的新发展格局。这一格局的构建，为第四师可克达拉市带来了新的发展机遇。</w:t>
      </w:r>
    </w:p>
    <w:p w14:paraId="728D971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第四师毗邻霍尔果斯口岸、都拉塔口岸和木扎尔特口岸这三个国家一级口岸，具备发展口岸经济的天然优势。在口岸制造业方面，可充分利用国内丰富的产业资源和成熟的生产制造能力，结合口岸的区位优势，吸引国内外企业入驻，发展装备制造、电子信息等产业。例如，通过与内地企业合作，建立零部件加工基地，为中亚、欧洲市场提供产品。</w:t>
      </w:r>
    </w:p>
    <w:p w14:paraId="3CEB49D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商贸物流业是第四师依托口岸发展的重点领域之一。随着交通基础设施的不断完善，如铁路、公路等运输网络的加密和升级，可克达拉市能够更好地承接国内外货物运输。可以建设大型物流园区，配备先进的仓储、分拣、运输设备，提高物流运作效率。同时，利用信息化手段，实现物流信息的实时跟踪和共享，打造智慧物流体系。</w:t>
      </w:r>
    </w:p>
    <w:p w14:paraId="297CA55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农副食品精深加工也是第四师的优势产业。</w:t>
      </w:r>
      <w:r>
        <w:rPr>
          <w:rFonts w:hint="default" w:ascii="Times New Roman" w:hAnsi="Times New Roman" w:cs="Times New Roman"/>
          <w:color w:val="000000" w:themeColor="text1"/>
          <w:lang w:eastAsia="zh-CN"/>
          <w14:textFill>
            <w14:solidFill>
              <w14:schemeClr w14:val="tx1"/>
            </w14:solidFill>
          </w14:textFill>
        </w:rPr>
        <w:t>第</w:t>
      </w:r>
      <w:commentRangeStart w:id="6"/>
      <w:r>
        <w:rPr>
          <w:rFonts w:hint="default" w:ascii="Times New Roman" w:hAnsi="Times New Roman" w:cs="Times New Roman"/>
          <w:color w:val="000000" w:themeColor="text1"/>
          <w14:textFill>
            <w14:solidFill>
              <w14:schemeClr w14:val="tx1"/>
            </w14:solidFill>
          </w14:textFill>
        </w:rPr>
        <w:t>四师拥有广</w:t>
      </w:r>
      <w:commentRangeEnd w:id="6"/>
      <w:r>
        <w:rPr>
          <w:rStyle w:val="34"/>
          <w:rFonts w:hint="default" w:ascii="Times New Roman" w:hAnsi="Times New Roman" w:cs="Times New Roman"/>
          <w:color w:val="000000" w:themeColor="text1"/>
          <w:sz w:val="32"/>
          <w:szCs w:val="32"/>
          <w14:textFill>
            <w14:solidFill>
              <w14:schemeClr w14:val="tx1"/>
            </w14:solidFill>
          </w14:textFill>
        </w:rPr>
        <w:commentReference w:id="6"/>
      </w:r>
      <w:r>
        <w:rPr>
          <w:rFonts w:hint="default" w:ascii="Times New Roman" w:hAnsi="Times New Roman" w:cs="Times New Roman"/>
          <w:color w:val="000000" w:themeColor="text1"/>
          <w14:textFill>
            <w14:solidFill>
              <w14:schemeClr w14:val="tx1"/>
            </w14:solidFill>
          </w14:textFill>
        </w:rPr>
        <w:t>袤的耕地和丰富的农产品资源，如优质的粮食、水果、肉类等。借助口岸优势，可引进先进的加工技术和设备，将农产品进行深加工，提高产品附加值。例如，</w:t>
      </w:r>
      <w:commentRangeStart w:id="7"/>
      <w:r>
        <w:rPr>
          <w:rFonts w:hint="default" w:ascii="Times New Roman" w:hAnsi="Times New Roman" w:cs="Times New Roman"/>
          <w:color w:val="000000" w:themeColor="text1"/>
          <w14:textFill>
            <w14:solidFill>
              <w14:schemeClr w14:val="tx1"/>
            </w14:solidFill>
          </w14:textFill>
        </w:rPr>
        <w:t>将</w:t>
      </w:r>
      <w:r>
        <w:rPr>
          <w:rFonts w:hint="default" w:ascii="Times New Roman" w:hAnsi="Times New Roman" w:cs="Times New Roman"/>
          <w:color w:val="000000" w:themeColor="text1"/>
          <w:lang w:eastAsia="zh-CN"/>
          <w14:textFill>
            <w14:solidFill>
              <w14:schemeClr w14:val="tx1"/>
            </w14:solidFill>
          </w14:textFill>
        </w:rPr>
        <w:t>第</w:t>
      </w:r>
      <w:r>
        <w:rPr>
          <w:rFonts w:hint="default" w:ascii="Times New Roman" w:hAnsi="Times New Roman" w:cs="Times New Roman"/>
          <w:color w:val="000000" w:themeColor="text1"/>
          <w14:textFill>
            <w14:solidFill>
              <w14:schemeClr w14:val="tx1"/>
            </w14:solidFill>
          </w14:textFill>
        </w:rPr>
        <w:t>四师优质葡萄加</w:t>
      </w:r>
      <w:commentRangeEnd w:id="7"/>
      <w:r>
        <w:rPr>
          <w:rStyle w:val="34"/>
          <w:rFonts w:hint="default" w:ascii="Times New Roman" w:hAnsi="Times New Roman" w:cs="Times New Roman"/>
          <w:color w:val="000000" w:themeColor="text1"/>
          <w:sz w:val="32"/>
          <w:szCs w:val="32"/>
          <w14:textFill>
            <w14:solidFill>
              <w14:schemeClr w14:val="tx1"/>
            </w14:solidFill>
          </w14:textFill>
        </w:rPr>
        <w:commentReference w:id="7"/>
      </w:r>
      <w:r>
        <w:rPr>
          <w:rFonts w:hint="default" w:ascii="Times New Roman" w:hAnsi="Times New Roman" w:cs="Times New Roman"/>
          <w:color w:val="000000" w:themeColor="text1"/>
          <w14:textFill>
            <w14:solidFill>
              <w14:schemeClr w14:val="tx1"/>
            </w14:solidFill>
          </w14:textFill>
        </w:rPr>
        <w:t>工成葡萄酒、葡萄干等产品，通过口岸出口到国外市场。</w:t>
      </w:r>
    </w:p>
    <w:p w14:paraId="2DDF7A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跨境商贸方面，第四师可借助口岸的政策优势，建设跨境电商产业园，吸引国内外电商企业入驻。搭建跨境电商交易平台，提供一站式的交易、支付、物流等服务，促进跨境贸易的便利化。同时，积极组织本地企业参加国内外各类贸易展会，拓展市场渠道，提升产品知名度。</w:t>
      </w:r>
    </w:p>
    <w:p w14:paraId="717525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新能源新材料领域，第四师可依托本地的资源优势，如丰富的太阳能、风能资源以及矿产资源，吸引相关企业投资建设。发展太阳能光伏产业、风力发电产业以及新型材料制造产业，不仅能够满足国内市场对清洁能源和新材料的需求，还可以通过口岸出口到国外，参与国际市场竞争，建设国内外供应链服务基地。</w:t>
      </w:r>
    </w:p>
    <w:p w14:paraId="363B654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区域协同深化迈向新格局</w:t>
      </w:r>
    </w:p>
    <w:p w14:paraId="1FA86F1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伊犁州提出推动“两霍两伊”一体化发展，这一战略规划对于第四师可克达拉市的发展具有重要意义。可克达拉市连同伊宁市、霍尔果斯市、伊宁县、霍城县形成交通一小时可达、经济紧密联系、产业分工协作、空间高效集聚的城镇组群。</w:t>
      </w:r>
    </w:p>
    <w:p w14:paraId="1BBB991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交通方面，一小时交通圈的形成，极大地缩短了城市间的时空距离。伊犁伊宁国际机场确定迁建至霍城县，距可克达拉中心城区仅15公里，作为百万级支线机场，新机场的迁建及S628线第四师霍尔果斯市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伊宁新机场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市公路的建设将为可克达拉中心城区带来“临空经济”发展的历史性机遇。高速公路、铁路等交通基础设施的不断完善，使得人员、物资的流动更加便捷。例如，可克达拉市与霍尔果斯市之间的快速通道（机场快速路）建成后，货物运输时间大幅缩短，企业的物流成本显著降低。这有利于加强城市间的经济联系，促进产业要素的自由流动。</w:t>
      </w:r>
    </w:p>
    <w:p w14:paraId="06EC838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济紧密联系体现在产业协同发展上。可克达拉市可以与周边城市进行产业互补，实现错位发展。例如，伊宁市在服务业、商贸业方面较为发达，可克达拉市则可以在制造业、农业产业化方面发挥优势。通过产业合作，形成完整的产业链条。比如，可克达拉市生产的农产品可以通过盛世创锦农产品批发交易市场销售，充分发挥作为伊犁河谷规模最大、配套最全的农产品批发枢纽的市场优势，伊宁市的服务业可以为可克达拉市的盛世创锦批发市场提供金融、信息等服务支持，对创锦市场的生活、商贸、电商等场景进行全面提升。</w:t>
      </w:r>
    </w:p>
    <w:p w14:paraId="3A7EEE7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产业分工协作是区域协同发展的关键。可克达拉市可以根据自身的资源禀赋和产业基础，明确产业定位。例如，利用本地丰富的土地资源和良好的农业基础，发展特色农业种植和农产品深加工产业；利用靠近口岸的优势，发展外向型制造业。同时，加强与周边城市的产业配套，如为霍尔果斯市的进出口贸易提供加工服务，为伊宁县的能源产业提供相关设备制造配套。</w:t>
      </w:r>
    </w:p>
    <w:p w14:paraId="32903BC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空间高效集聚有利于优化资源配置，提高城市发展效率。通过合理规划城市空间布局，集中建设产业园区、商业区、居住区等功能区域，实现土地资源的高效利用。例如，可克达拉市的经济技术开发区集中了金海生物、普康生物科技有限公司等，实现了基础设施的共享，降低了企业的生产成本，提升了产业集聚效应，助力形成新发展格局。</w:t>
      </w:r>
    </w:p>
    <w:p w14:paraId="6253141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景观资源丰富，人文底蕴丰厚</w:t>
      </w:r>
    </w:p>
    <w:p w14:paraId="2837AB46">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commentRangeStart w:id="8"/>
      <w:r>
        <w:rPr>
          <w:rFonts w:hint="default" w:ascii="Times New Roman" w:hAnsi="Times New Roman" w:cs="Times New Roman"/>
          <w:color w:val="000000" w:themeColor="text1"/>
          <w14:textFill>
            <w14:solidFill>
              <w14:schemeClr w14:val="tx1"/>
            </w14:solidFill>
          </w14:textFill>
        </w:rPr>
        <w:t>可克达拉市所在的伊犁河谷是山、水、林、田</w:t>
      </w:r>
      <w:commentRangeEnd w:id="8"/>
      <w:r>
        <w:rPr>
          <w:rStyle w:val="34"/>
          <w:rFonts w:hint="default" w:ascii="Times New Roman" w:hAnsi="Times New Roman" w:cs="Times New Roman"/>
          <w:color w:val="000000" w:themeColor="text1"/>
          <w:sz w:val="32"/>
          <w:szCs w:val="36"/>
          <w14:textFill>
            <w14:solidFill>
              <w14:schemeClr w14:val="tx1"/>
            </w14:solidFill>
          </w14:textFill>
        </w:rPr>
        <w:commentReference w:id="8"/>
      </w:r>
      <w:r>
        <w:rPr>
          <w:rFonts w:hint="default" w:ascii="Times New Roman" w:hAnsi="Times New Roman" w:cs="Times New Roman"/>
          <w:color w:val="000000" w:themeColor="text1"/>
          <w14:textFill>
            <w14:solidFill>
              <w14:schemeClr w14:val="tx1"/>
            </w14:solidFill>
          </w14:textFill>
        </w:rPr>
        <w:t>、湖、草和谐共生的“塞外江南”，是东方小夜曲《草原之夜》的诞生地和中国薰衣草之乡，生态人文景观资源丰富，特色鲜明。</w:t>
      </w:r>
    </w:p>
    <w:p w14:paraId="7AB2773D">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从自然资源来看，这里有广袤的草原、清澈的河流、茂密的森林。那拉提草原、唐布拉草原等景色壮美，吸引了众多游客前来观光。伊犁河贯穿其中，为整个地区带来了灵动之美。森林资源丰富，不仅起到了生态屏障的作用，还为生态旅游提供了良好的条件。然而，目前自然资源型景区存在内容单一的问题。很多景区仅以观光为主，缺乏深度体验项目。</w:t>
      </w:r>
    </w:p>
    <w:p w14:paraId="2B95650F">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人文资源方面，第四师有着深厚的历史底蕴和丰富的民族文化。《草原之夜》诞生于此，赋予了这片土地浪漫的文化气息。作为中国薰衣草之乡，薰衣草文化独具特色。此外，还有军垦文化、民族文化等多元文化在此交融。但目前人文资源型景区对文化底蕴的挖掘不足。以军垦文化为例，可以建设更多的军垦文化博物馆、纪念馆，通过实物展示、场景复原、多媒体演示等方式，生动地展现军垦战士的奋斗历程。对于薰衣草文化，可以开发更多与薰衣草相关的文化产品，如薰衣草主题的手工艺品、文化书籍、音乐作品等，提升文化内涵。由于缺乏有效的整合和推广，尚未形成特色品牌形象，城市魅力彰显不足。需要通过统一的品牌策划和宣传推广，打造具有影响力的旅游品牌，提升可克达拉市的知名度和美誉度。</w:t>
      </w:r>
    </w:p>
    <w:p w14:paraId="711D34AE">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43" w:name="_Toc227081173"/>
      <w:bookmarkStart w:id="44" w:name="_Toc229494899"/>
      <w:bookmarkStart w:id="45" w:name="_Toc215227260"/>
      <w:bookmarkStart w:id="46" w:name="_Toc235785886"/>
      <w:bookmarkStart w:id="47" w:name="_Toc213315611"/>
      <w:bookmarkStart w:id="48" w:name="_Toc215227318"/>
      <w:bookmarkStart w:id="49" w:name="_Toc230277494"/>
      <w:r>
        <w:rPr>
          <w:rFonts w:hint="default" w:ascii="Times New Roman" w:hAnsi="Times New Roman" w:cs="Times New Roman"/>
          <w:color w:val="000000" w:themeColor="text1"/>
          <w14:textFill>
            <w14:solidFill>
              <w14:schemeClr w14:val="tx1"/>
            </w14:solidFill>
          </w14:textFill>
        </w:rPr>
        <w:t>问题堵点</w:t>
      </w:r>
      <w:bookmarkEnd w:id="43"/>
      <w:bookmarkEnd w:id="44"/>
      <w:bookmarkEnd w:id="45"/>
      <w:bookmarkEnd w:id="46"/>
      <w:bookmarkEnd w:id="47"/>
      <w:bookmarkEnd w:id="48"/>
      <w:bookmarkEnd w:id="49"/>
    </w:p>
    <w:p w14:paraId="087AE2BD">
      <w:pPr>
        <w:pStyle w:val="72"/>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可克达拉市在生态基底建设和基础设施框架上取得显著进展，但仍面临“区域协同、产业结构、文化利用、创新人才、公共服务”等方面的短板。</w:t>
      </w:r>
    </w:p>
    <w:p w14:paraId="6D5912F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区域协同与开放短板</w:t>
      </w:r>
    </w:p>
    <w:p w14:paraId="0D38C727">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与霍尔果斯等周边区域的“半小时经济圈”未完全形成，多式联运体系尚需完善。</w:t>
      </w:r>
      <w:r>
        <w:rPr>
          <w:rFonts w:hint="default" w:ascii="Times New Roman" w:hAnsi="Times New Roman" w:cs="Times New Roman"/>
          <w:color w:val="000000" w:themeColor="text1"/>
          <w14:textFill>
            <w14:solidFill>
              <w14:schemeClr w14:val="tx1"/>
            </w14:solidFill>
          </w14:textFill>
        </w:rPr>
        <w:t>可克达拉市距伊宁市约30公里，距霍城县约20公里，距霍尔果斯约70公里，距离较近，但尚未形成多式联运的快速交通系统，还需加强彼此快速通道建设和公共交通体系建设，共建区域半小时经济圈，融入“两霍两伊”一体化发展格局。</w:t>
      </w:r>
    </w:p>
    <w:p w14:paraId="078D0A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与自贸区政策契合不足，未发挥口岸产业优势。</w:t>
      </w:r>
      <w:r>
        <w:rPr>
          <w:rFonts w:hint="default" w:ascii="Times New Roman" w:hAnsi="Times New Roman" w:cs="Times New Roman"/>
          <w:color w:val="000000" w:themeColor="text1"/>
          <w14:textFill>
            <w14:solidFill>
              <w14:schemeClr w14:val="tx1"/>
            </w14:solidFill>
          </w14:textFill>
        </w:rPr>
        <w:t>产业集聚效应差、加工链条短而散，进出口以初级产品为主，未形成高附加值产业链；跨境物流滞后，制约“通道经济”向“口岸经济”“落地经济”转型；可克达拉虽推出首个汇率避险专项支持方案，但方案惠及面窄、操作困难。对此，应发挥自贸区制度创新优势，加快政策精准落地，提升产业集聚与高附加值链条，升级跨境物流，突破前沿领域政策，优化避险方案，扩大惠及面并简化操作，以自贸区力度赋能城市产业高质量发展。</w:t>
      </w:r>
    </w:p>
    <w:p w14:paraId="48D30F2A">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与周边城市错位发展的动能不足，未充分发挥自身优势。</w:t>
      </w:r>
      <w:r>
        <w:rPr>
          <w:rFonts w:hint="default" w:ascii="Times New Roman" w:hAnsi="Times New Roman" w:cs="Times New Roman"/>
          <w:color w:val="000000" w:themeColor="text1"/>
          <w14:textFill>
            <w14:solidFill>
              <w14:schemeClr w14:val="tx1"/>
            </w14:solidFill>
          </w14:textFill>
        </w:rPr>
        <w:t>可克达拉市在规模化农业、外向型产业、薰衣草产业和特色文化方面虽有独特禀赋，但与霍城县、伊宁市等周边城市相比，错位发展动力明显不足，未能形成差异化竞争优势。在康养产业方面，虽已谋划天鹅湖生态康养综合体建设项目和可克达拉文旅投集团康养综合体，但整体仍处于前期阶段，产业体系尚未成型，与区域康养需求及资源禀赋的匹配度有待提升。为此，需加快突破发展困境，以科技赋能升级产业链条，推动农业、文旅、康养等特色产业深度融合，与周边城市联动发展，形成区域合力。</w:t>
      </w:r>
    </w:p>
    <w:p w14:paraId="63F98A6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产业结构单一且集群化不足</w:t>
      </w:r>
    </w:p>
    <w:p w14:paraId="773EC06B">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产业结构单一，新兴发展滞后。</w:t>
      </w:r>
      <w:r>
        <w:rPr>
          <w:rFonts w:hint="default" w:ascii="Times New Roman" w:hAnsi="Times New Roman" w:cs="Times New Roman"/>
          <w:color w:val="000000" w:themeColor="text1"/>
          <w14:textFill>
            <w14:solidFill>
              <w14:schemeClr w14:val="tx1"/>
            </w14:solidFill>
          </w14:textFill>
        </w:rPr>
        <w:t>经济仍以传统农牧业和资源型工业为主，战略性新兴产业占比仅6.5%，特色优势产业（如生物制造、新能源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新材料、农副产品精深加工、绿色化工）虽形成一定规模，但产业链延伸不足，附加值较低。一产以传统农牧业</w:t>
      </w:r>
      <w:r>
        <w:rPr>
          <w:rFonts w:hint="default" w:ascii="Times New Roman" w:hAnsi="Times New Roman" w:cs="Times New Roman"/>
          <w:color w:val="000000" w:themeColor="text1"/>
          <w:lang w:eastAsia="zh-CN"/>
          <w14:textFill>
            <w14:solidFill>
              <w14:schemeClr w14:val="tx1"/>
            </w14:solidFill>
          </w14:textFill>
        </w:rPr>
        <w:t>为</w:t>
      </w:r>
      <w:r>
        <w:rPr>
          <w:rFonts w:hint="default" w:ascii="Times New Roman" w:hAnsi="Times New Roman" w:cs="Times New Roman"/>
          <w:color w:val="000000" w:themeColor="text1"/>
          <w14:textFill>
            <w14:solidFill>
              <w14:schemeClr w14:val="tx1"/>
            </w14:solidFill>
          </w14:textFill>
        </w:rPr>
        <w:t>主导，特色农业初步崭露。可克达拉市所在区域自然条件优越，播种粮食作物155.8万亩，玉米制种“育繁推”一体化核心区，但大部分以散装形式直供外地企业，本地没有进行再加工。薰衣草种植形成一定规模，围绕其发展的香料加工等产业具有一定潜力。但目前仍以传统农牧业为主，现代化、规模化、产业化程度有待提升，农产品附加值挖掘不足。二产中工业结构需优化，高新产业有待提高，可克达拉市核心区或城区工业主要集中在城西，绿色化工、新能源、新材料、建材、农副产品精深加工及食品加工、生物制造、酒和饮料、饲料加工为传统产业，缺乏深加工、跨境维修等高附加值环节。新兴制造业、高新技术产业正在逐步发展，对传统资源依赖型产业的转型迫在眉睫，但建筑业呈现良好发展态势。三产的传统服务业有待升级，可克达拉市的传统服务业主要以传统零售、餐饮为主，传统服务业在服务质量、经营模式等方面需升级改进，以适应市场变化。近年来，现代物流、跨境电商、金融服务、信息服务、文化旅游等新兴服务业快速崛起。凭借丰富自然资源和文化底蕴，伊力特酒文化产业园、新疆伊帕尔汗薰衣草文化产业园成为旅游业发展支柱。</w:t>
      </w:r>
    </w:p>
    <w:p w14:paraId="3D68BB83">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开放经济薄弱，集群程度偏低。</w:t>
      </w:r>
      <w:r>
        <w:rPr>
          <w:rFonts w:hint="default" w:ascii="Times New Roman" w:hAnsi="Times New Roman" w:cs="Times New Roman"/>
          <w:color w:val="000000" w:themeColor="text1"/>
          <w14:textFill>
            <w14:solidFill>
              <w14:schemeClr w14:val="tx1"/>
            </w14:solidFill>
          </w14:textFill>
        </w:rPr>
        <w:t>开放型经济尚未形成规模效应，跨境产业链整合不足，外向型产业集聚度偏低。距霍尔果斯口岸仅70</w:t>
      </w:r>
      <w:r>
        <w:rPr>
          <w:rFonts w:hint="default" w:ascii="Times New Roman" w:hAnsi="Times New Roman" w:cs="Times New Roman"/>
          <w:color w:val="000000" w:themeColor="text1"/>
          <w:lang w:eastAsia="zh-CN"/>
          <w14:textFill>
            <w14:solidFill>
              <w14:schemeClr w14:val="tx1"/>
            </w14:solidFill>
          </w14:textFill>
        </w:rPr>
        <w:t>公里</w:t>
      </w:r>
      <w:r>
        <w:rPr>
          <w:rFonts w:hint="default" w:ascii="Times New Roman" w:hAnsi="Times New Roman" w:cs="Times New Roman"/>
          <w:color w:val="000000" w:themeColor="text1"/>
          <w14:textFill>
            <w14:solidFill>
              <w14:schemeClr w14:val="tx1"/>
            </w14:solidFill>
          </w14:textFill>
        </w:rPr>
        <w:t>，但跨境加工贸易额低尚未形成“原料</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加工</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品牌</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全球销售”的跨境闭环，通道优势转化为产业优势的效率低，错失口岸经济红利。</w:t>
      </w:r>
    </w:p>
    <w:p w14:paraId="75EE6721">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区域能级不足，新质生产力欠缺。</w:t>
      </w:r>
      <w:r>
        <w:rPr>
          <w:rFonts w:hint="default" w:ascii="Times New Roman" w:hAnsi="Times New Roman" w:cs="Times New Roman"/>
          <w:color w:val="000000" w:themeColor="text1"/>
          <w14:textFill>
            <w14:solidFill>
              <w14:schemeClr w14:val="tx1"/>
            </w14:solidFill>
          </w14:textFill>
        </w:rPr>
        <w:t>西部产业区能级偏低，产城分离，北部片区新质生产力欠缺。城西循环经济产业园与可克达拉市中心城区相距较远，这种布局可能使区域发展呈现“碎片化”，中心城区、产业园、口岸各自为战，难以形成统一的产业链条和功能分工，削弱区域整体竞争力。产业缺乏城市功能的“支撑力”，城市承接产业的“反哺力”较弱。</w:t>
      </w:r>
    </w:p>
    <w:p w14:paraId="368D3692">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文化活化与品牌塑造乏力</w:t>
      </w:r>
    </w:p>
    <w:p w14:paraId="6273440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红色文化、军垦文化资源开发以静态展览为主，缺乏沉浸式体验项目。</w:t>
      </w:r>
      <w:r>
        <w:rPr>
          <w:rFonts w:hint="default" w:ascii="Times New Roman" w:hAnsi="Times New Roman" w:cs="Times New Roman"/>
          <w:color w:val="000000" w:themeColor="text1"/>
          <w14:textFill>
            <w14:solidFill>
              <w14:schemeClr w14:val="tx1"/>
            </w14:solidFill>
          </w14:textFill>
        </w:rPr>
        <w:t>红色文化、军垦文化是可克达拉市极为重要的文化资源。目前这些资源的开发利用多以静态展览为主，主要形式为在博物馆、纪念馆中陈列历史文物、图片以及文字介绍等。例如在一些红色文化场馆中，仅仅是将当年军垦战士使用过的农具、衣物等简单摆放，配以墙上的历史事件介绍展板，缺乏能够让游客全身心投入其中的沉浸式体验项目。这种静态展示方式难以让游客深刻感受到红色文化和军垦文化的魅力与内涵，无法在情感上与历史产生强烈共鸣，对游客的吸引力有限。</w:t>
      </w:r>
    </w:p>
    <w:p w14:paraId="7B0665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文旅IP未形成影响力，特色不显，缺乏文化名片。</w:t>
      </w:r>
      <w:r>
        <w:rPr>
          <w:rFonts w:hint="default" w:ascii="Times New Roman" w:hAnsi="Times New Roman" w:cs="Times New Roman"/>
          <w:color w:val="000000" w:themeColor="text1"/>
          <w14:textFill>
            <w14:solidFill>
              <w14:schemeClr w14:val="tx1"/>
            </w14:solidFill>
          </w14:textFill>
        </w:rPr>
        <w:t>文旅IP方面，可克达拉市虽具备诸多特色文化元素，如:“一首歌（草原之夜）、一壶酒（伊力特）、一株草（薰衣草）、一条河（伊犁河）、一座桥（可克达拉大桥）、一座城（可克达拉城）”，但尚未形成具有广泛影响力的文旅IP</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文旅特色并不显著</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没有一个能够代表城市文化形象、易于传播且深入人心的文化名片，使得城市在旅游市场中的辨识度不高，难以吸引大量游客前来，也不利于城市文化旅游品牌的推广和长期发展。</w:t>
      </w:r>
    </w:p>
    <w:p w14:paraId="3F6B74E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旅游发展季节性较强，旅游集散服务能力不高。</w:t>
      </w:r>
      <w:r>
        <w:rPr>
          <w:rFonts w:hint="default" w:ascii="Times New Roman" w:hAnsi="Times New Roman" w:cs="Times New Roman"/>
          <w:color w:val="000000" w:themeColor="text1"/>
          <w14:textFill>
            <w14:solidFill>
              <w14:schemeClr w14:val="tx1"/>
            </w14:solidFill>
          </w14:textFill>
        </w:rPr>
        <w:t>受当地气候和自然景观特点影响，旅游旺季主要集中在夏季（6</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8月），此时气候宜人，薰衣草盛开，自然景观优美，吸引大量游客前来，然而到了冬季，天气寒冷，自然景观相对单调，旅游项目匮乏，游客数量大幅减少。旅游集散服务能力不高也对可克达拉市旅游业发展形成阻碍，在交通枢纽与旅游景区之间，缺乏高效便捷的交通换乘体系，游客抵达后，影响了游客的旅游体验和满意度，进而对城市旅游形象产生不利影响。</w:t>
      </w:r>
    </w:p>
    <w:p w14:paraId="1871A7B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人口结构单一与聚人动力不足</w:t>
      </w:r>
    </w:p>
    <w:p w14:paraId="5B3B64A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人口结构单一。</w:t>
      </w:r>
      <w:r>
        <w:rPr>
          <w:rFonts w:hint="default" w:ascii="Times New Roman" w:hAnsi="Times New Roman" w:cs="Times New Roman"/>
          <w:color w:val="000000" w:themeColor="text1"/>
          <w14:textFill>
            <w14:solidFill>
              <w14:schemeClr w14:val="tx1"/>
            </w14:solidFill>
          </w14:textFill>
        </w:rPr>
        <w:t>职业构成集中化，人口主体为教师、医生、公务员等公共服务从业者及技术工人、学生，科技创新能力较弱，产学研结合不紧密，缺乏商业、金融、文创、高端制造业等领域的从业者，职业类型覆盖范围狭窄，导致城市就业生态单一；人口来源单一化，受兵团体制影响，城市人口大部分为兵团职工及家属，“兵二代”“兵三代”占比大，外来人口主要来自周边团场或新疆本地，跨省流入人口少。人口来源的圈层化导致社会结构缺乏多元文化碰撞，也限制了创新思维的产生。人口功能单一化，群体功能多集中于“城市基本运转保障”，在创新驱动、消费拉动、文化引领等方面的人口力量薄弱，无法满足城市高质量发展对多元人口功能的需求。</w:t>
      </w:r>
    </w:p>
    <w:p w14:paraId="10923B35">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设市时间较短，人口较少、集聚度不高。</w:t>
      </w:r>
      <w:r>
        <w:rPr>
          <w:rFonts w:hint="default" w:ascii="Times New Roman" w:hAnsi="Times New Roman" w:cs="Times New Roman"/>
          <w:color w:val="000000" w:themeColor="text1"/>
          <w14:textFill>
            <w14:solidFill>
              <w14:schemeClr w14:val="tx1"/>
            </w14:solidFill>
          </w14:textFill>
        </w:rPr>
        <w:t>城市发展成熟度不足，设市时间短，处于建设初期，产业布局、基础设施等“硬件”还需进一步完善，</w:t>
      </w:r>
      <w:commentRangeStart w:id="9"/>
      <w:r>
        <w:rPr>
          <w:rFonts w:hint="default" w:ascii="Times New Roman" w:hAnsi="Times New Roman" w:cs="Times New Roman"/>
          <w:color w:val="000000" w:themeColor="text1"/>
          <w14:textFill>
            <w14:solidFill>
              <w14:schemeClr w14:val="tx1"/>
            </w14:solidFill>
          </w14:textFill>
        </w:rPr>
        <w:t>同时城市品牌认知度较低、文化标识缺失，城市吸引力薄弱。教育、医疗设施较好，但其他公共服务设施及部分商业设施的质量和多样性不足，生活配套还存在短板，无法满足不同群体的所有生活需求，削弱生活层面的吸引力。</w:t>
      </w:r>
      <w:commentRangeEnd w:id="9"/>
      <w:r>
        <w:rPr>
          <w:rStyle w:val="34"/>
          <w:rFonts w:hint="default" w:ascii="Times New Roman" w:hAnsi="Times New Roman" w:cs="Times New Roman"/>
          <w:color w:val="000000" w:themeColor="text1"/>
          <w:sz w:val="32"/>
          <w:szCs w:val="36"/>
          <w14:textFill>
            <w14:solidFill>
              <w14:schemeClr w14:val="tx1"/>
            </w14:solidFill>
          </w14:textFill>
        </w:rPr>
        <w:commentReference w:id="9"/>
      </w:r>
      <w:r>
        <w:rPr>
          <w:rFonts w:hint="default" w:ascii="Times New Roman" w:hAnsi="Times New Roman" w:cs="Times New Roman"/>
          <w:color w:val="000000" w:themeColor="text1"/>
          <w14:textFill>
            <w14:solidFill>
              <w14:schemeClr w14:val="tx1"/>
            </w14:solidFill>
          </w14:textFill>
        </w:rPr>
        <w:t>年轻人口外流严重，导致人才供给与产业需求错配。产业支撑与就业机会有限，产业结构单一且层次较低，新兴产业发展不足，难以提供充足的高薪岗位、职业发展空间和创业机会，“以业聚人”的核心动力不足，无法形成良性循环。</w:t>
      </w:r>
    </w:p>
    <w:p w14:paraId="54F62B7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公共服务与治理能力短板</w:t>
      </w:r>
    </w:p>
    <w:p w14:paraId="02EEF59D">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社区级公共服务存在短板，民生保障力度不足。</w:t>
      </w:r>
      <w:r>
        <w:rPr>
          <w:rFonts w:hint="default" w:ascii="Times New Roman" w:hAnsi="Times New Roman" w:cs="Times New Roman"/>
          <w:color w:val="000000" w:themeColor="text1"/>
          <w14:textFill>
            <w14:solidFill>
              <w14:schemeClr w14:val="tx1"/>
            </w14:solidFill>
          </w14:textFill>
        </w:rPr>
        <w:t>社区级配套设施欠缺，商业服务业相关设施少，现状公共服务设施较为完善，但社区级公共服务设施的缺乏，一刻钟便民生活圈设施基本满足需求，缺乏5到10分钟生活圈配套设施，特别是缺乏小区商业、菜店、便民服务中心等设施，缺乏综合性商场和休闲娱乐设施，居民生活便利度不高。污水处理提标等民生工程进度滞后，基层治理效能待提升。</w:t>
      </w:r>
    </w:p>
    <w:p w14:paraId="2451390A">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蓝绿空间利用率低，优质资源未充分盘活。</w:t>
      </w:r>
      <w:r>
        <w:rPr>
          <w:rFonts w:hint="default" w:ascii="Times New Roman" w:hAnsi="Times New Roman" w:cs="Times New Roman"/>
          <w:color w:val="000000" w:themeColor="text1"/>
          <w14:textFill>
            <w14:solidFill>
              <w14:schemeClr w14:val="tx1"/>
            </w14:solidFill>
          </w14:textFill>
        </w:rPr>
        <w:t>蓝绿空间品质较高，但利用率不足，公园较多（29个），但其生态功能和休闲价值未得到充分发挥，造成了优质资源的浪费。</w:t>
      </w:r>
    </w:p>
    <w:p w14:paraId="5B060688">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城市韧性有待提升，缺乏智慧化管理。</w:t>
      </w:r>
      <w:r>
        <w:rPr>
          <w:rFonts w:hint="default" w:ascii="Times New Roman" w:hAnsi="Times New Roman" w:cs="Times New Roman"/>
          <w:color w:val="000000" w:themeColor="text1"/>
          <w14:textFill>
            <w14:solidFill>
              <w14:schemeClr w14:val="tx1"/>
            </w14:solidFill>
          </w14:textFill>
        </w:rPr>
        <w:t>市政基础设施对标兵团住建“十五五”规划要求仍存在差距。供水方面，人饮水源单一，管网未成环，城市供水管网破损缺乏检修和智能化措施，绿化水厂满负荷运行，分质供水体系亟待建立；供热负荷不足，老旧管网亟待更新改造；燃气管网覆盖不足，管道燃气普及率明显低于95%的目标，老旧管网存在安全隐患；污水收集处理设施建设滞后，管网覆盖与更新不足，距离“十五五”末生活污水集中收集率达75%以上、再生水利用率达30%以上的要求缺口明显；雨水、燃气、通讯等管线尚未全覆盖，配电、5G基站等布局不均；城市生命线平台建设滞后，重要节点缺乏监测感知，风险预警与联合调度能力弱，智慧化管理水平与规划增强城市安全韧性的方向不相适应。</w:t>
      </w:r>
    </w:p>
    <w:p w14:paraId="11356E58">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城市发展与绿色低碳理念契合度不高。</w:t>
      </w:r>
      <w:r>
        <w:rPr>
          <w:rFonts w:hint="default" w:ascii="Times New Roman" w:hAnsi="Times New Roman" w:cs="Times New Roman"/>
          <w:bCs/>
          <w:color w:val="000000" w:themeColor="text1"/>
          <w14:textFill>
            <w14:solidFill>
              <w14:schemeClr w14:val="tx1"/>
            </w14:solidFill>
          </w14:textFill>
        </w:rPr>
        <w:t>生活垃圾分类系统尚不完善，污水厂尾水及剩余污泥未进行再生利用，未发挥其经济价值。非常规水资源利用率较低，海绵城市建设滞后。</w:t>
      </w:r>
    </w:p>
    <w:p w14:paraId="49D6DEC4">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50" w:name="_Toc230277495"/>
      <w:bookmarkStart w:id="51" w:name="_Toc213315612"/>
      <w:bookmarkStart w:id="52" w:name="_Toc215227261"/>
      <w:bookmarkStart w:id="53" w:name="_Toc229494900"/>
      <w:bookmarkStart w:id="54" w:name="_Toc235785887"/>
      <w:bookmarkStart w:id="55" w:name="_Toc227081174"/>
      <w:bookmarkStart w:id="56" w:name="_Toc215227319"/>
      <w:r>
        <w:rPr>
          <w:rFonts w:hint="default" w:ascii="Times New Roman" w:hAnsi="Times New Roman" w:cs="Times New Roman"/>
          <w:color w:val="000000" w:themeColor="text1"/>
          <w14:textFill>
            <w14:solidFill>
              <w14:schemeClr w14:val="tx1"/>
            </w14:solidFill>
          </w14:textFill>
        </w:rPr>
        <w:t>发展战略</w:t>
      </w:r>
      <w:bookmarkEnd w:id="50"/>
      <w:bookmarkEnd w:id="51"/>
      <w:bookmarkEnd w:id="52"/>
      <w:bookmarkEnd w:id="53"/>
      <w:bookmarkEnd w:id="54"/>
      <w:bookmarkEnd w:id="55"/>
      <w:bookmarkEnd w:id="56"/>
    </w:p>
    <w:p w14:paraId="64E3683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hd w:val="clear" w:color="auto" w:fill="FFFFFF"/>
          <w14:textFill>
            <w14:solidFill>
              <w14:schemeClr w14:val="tx1"/>
            </w14:solidFill>
          </w14:textFill>
        </w:rPr>
        <w:t>以问题为导向，聚焦区域协同、产业发展、文化塑造、服务能力提升，系统谋划开放枢纽强化、产业能级跃升、文旅融合创新、幸福宜居筑基、生态友好营城五大发展战略。通过五大战略部署，既立足可克达拉市资源禀赋和兵团使命，又体现错位发展思路，构建“开放引领</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产业赋能</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文化铸魂</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聚人筑基</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生态营城”的发展闭环，全面助推可克达拉实现高质量跨越式发展。</w:t>
      </w:r>
    </w:p>
    <w:p w14:paraId="0322EAD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开放枢纽强化</w:t>
      </w:r>
    </w:p>
    <w:p w14:paraId="6D99000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立足丝绸之路经济带核心区支点定位，强化通道支撑，建设向西开放门户；推进机场落地、多式联运和自贸区联动，建设国际物流枢纽；改善城区内部路网通行条件。</w:t>
      </w:r>
    </w:p>
    <w:p w14:paraId="21A38516">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产业能级跃升</w:t>
      </w:r>
    </w:p>
    <w:p w14:paraId="1935545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延伸特色农产品价值链；深化培育生物医药、新能源、新材料；深化创新驱动，推动产业园区提质升级；加大区域教育医疗高地建设和生产性服务业提升。</w:t>
      </w:r>
    </w:p>
    <w:p w14:paraId="2DF2568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文旅融合创新</w:t>
      </w:r>
    </w:p>
    <w:p w14:paraId="44EED56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强化薰衣草和酒文化IP引领，拓展文旅品牌国际化，深化文旅主题活动影响力；营造红色文旅场景，建设文旅融合示范项目；强化中哈跨境旅游廊道构建。</w:t>
      </w:r>
    </w:p>
    <w:p w14:paraId="197DD87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幸福宜居筑基</w:t>
      </w:r>
    </w:p>
    <w:p w14:paraId="0BE707D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关注区域服务能级提升，强化教育医疗高地建设；聚焦全龄友好社区建设，强化服务提质，配建完整社区设施；激发社区商业活力，加强智慧商业培育；增加保障性住房建设。</w:t>
      </w:r>
    </w:p>
    <w:p w14:paraId="39252B3C">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生态友好营城</w:t>
      </w:r>
    </w:p>
    <w:p w14:paraId="61F86BF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彰显生态本底，强化空间织补；突出风貌塑造，打造标志节点；补齐市政基础设施短板，消除安全隐患，提高智慧管控水平；深化韧性筑基，完善应急保障体系；强化再生资源的利用开发。</w:t>
      </w:r>
    </w:p>
    <w:p w14:paraId="74BB67FD">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57" w:name="_Toc215227264"/>
      <w:bookmarkStart w:id="58" w:name="_Toc235785888"/>
      <w:bookmarkStart w:id="59" w:name="_Toc213315615"/>
      <w:bookmarkStart w:id="60" w:name="_Toc230277498"/>
      <w:bookmarkStart w:id="61" w:name="_Toc229494903"/>
      <w:bookmarkStart w:id="62" w:name="_Toc227081177"/>
      <w:bookmarkStart w:id="63" w:name="_Toc215227322"/>
      <w:r>
        <w:rPr>
          <w:rFonts w:hint="default" w:ascii="Times New Roman" w:hAnsi="Times New Roman" w:cs="Times New Roman"/>
          <w:color w:val="000000" w:themeColor="text1"/>
          <w14:textFill>
            <w14:solidFill>
              <w14:schemeClr w14:val="tx1"/>
            </w14:solidFill>
          </w14:textFill>
        </w:rPr>
        <w:t>优化空间布局</w:t>
      </w:r>
      <w:bookmarkEnd w:id="57"/>
      <w:bookmarkEnd w:id="58"/>
      <w:bookmarkEnd w:id="59"/>
      <w:bookmarkEnd w:id="60"/>
      <w:bookmarkEnd w:id="61"/>
      <w:bookmarkEnd w:id="62"/>
      <w:bookmarkEnd w:id="63"/>
    </w:p>
    <w:p w14:paraId="54914860">
      <w:pPr>
        <w:pStyle w:val="47"/>
        <w:pageBreakBefore w:val="0"/>
        <w:numPr>
          <w:ilvl w:val="0"/>
          <w:numId w:val="15"/>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64" w:name="_Toc213315616"/>
      <w:bookmarkStart w:id="65" w:name="_Toc235785889"/>
      <w:bookmarkStart w:id="66" w:name="_Toc215227265"/>
      <w:bookmarkStart w:id="67" w:name="_Toc215227323"/>
      <w:bookmarkStart w:id="68" w:name="_Toc229494904"/>
      <w:bookmarkStart w:id="69" w:name="_Toc230277499"/>
      <w:bookmarkStart w:id="70" w:name="_Toc227081178"/>
      <w:r>
        <w:rPr>
          <w:rFonts w:hint="default" w:ascii="Times New Roman" w:hAnsi="Times New Roman" w:cs="Times New Roman"/>
          <w:color w:val="000000" w:themeColor="text1"/>
          <w14:textFill>
            <w14:solidFill>
              <w14:schemeClr w14:val="tx1"/>
            </w14:solidFill>
          </w14:textFill>
        </w:rPr>
        <w:t>构建区域发展新格局</w:t>
      </w:r>
      <w:bookmarkEnd w:id="64"/>
      <w:bookmarkEnd w:id="65"/>
      <w:bookmarkEnd w:id="66"/>
      <w:bookmarkEnd w:id="67"/>
      <w:bookmarkEnd w:id="68"/>
      <w:bookmarkEnd w:id="69"/>
      <w:bookmarkEnd w:id="70"/>
    </w:p>
    <w:p w14:paraId="64926144">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国际层面：</w:t>
      </w:r>
      <w:r>
        <w:rPr>
          <w:rFonts w:hint="default" w:ascii="Times New Roman" w:hAnsi="Times New Roman" w:cs="Times New Roman"/>
          <w:color w:val="000000" w:themeColor="text1"/>
          <w14:textFill>
            <w14:solidFill>
              <w14:schemeClr w14:val="tx1"/>
            </w14:solidFill>
          </w14:textFill>
        </w:rPr>
        <w:t>可克达拉市在国际层面中作为面向中西亚的开放前沿，深度嵌入中国</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中亚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西亚经济走廊、中巴经济走廊（兰新发展轴）等跨国合作框架，成为兵团向西开放先行区。承接“双西公路”“精伊霍铁路”等国际物流通道红利，依托兵团分区自贸区块，叠加新疆自贸试验区政策优势，正加速推送四师从“通道经济”向“口岸经济”转型，并可依托</w:t>
      </w:r>
      <w:r>
        <w:rPr>
          <w:rFonts w:hint="default" w:ascii="Times New Roman" w:hAnsi="Times New Roman" w:cs="Times New Roman"/>
          <w:color w:val="000000" w:themeColor="text1"/>
          <w:lang w:eastAsia="zh-CN"/>
          <w14:textFill>
            <w14:solidFill>
              <w14:schemeClr w14:val="tx1"/>
            </w14:solidFill>
          </w14:textFill>
        </w:rPr>
        <w:t>63团</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等边境团场，建设跨境电商基地和边民互市项目试点，加强与中西亚国家的贸易往来，积极对接霍尔果斯、都拉塔等口岸，加强区域间口岸经济联动，形成跨国经济合作的活跃节点。</w:t>
      </w:r>
    </w:p>
    <w:p w14:paraId="5EAA581A">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国家战略层面：</w:t>
      </w:r>
      <w:r>
        <w:rPr>
          <w:rFonts w:hint="default" w:ascii="Times New Roman" w:hAnsi="Times New Roman" w:cs="Times New Roman"/>
          <w:color w:val="000000" w:themeColor="text1"/>
          <w14:textFill>
            <w14:solidFill>
              <w14:schemeClr w14:val="tx1"/>
            </w14:solidFill>
          </w14:textFill>
        </w:rPr>
        <w:t>可克达拉市是支撑边疆发展的关键支点，在国家沿边开发开放战略中，作为北疆城市带的重要节点城市，承担起稳定边疆、促进区域协调发展的职责，且在沿边兵团发展带的四个城市中，人口与经济规模均位列首位。借助兰新发展轴等国家级交通干线，推进兵团跨境物流枢纽建设，强化与国内其他地区的经济联系，助力构建国内国际双循环相互促进的新发展格局，是沟通乌鲁木齐和南疆城市的重要节点。</w:t>
      </w:r>
    </w:p>
    <w:p w14:paraId="4802B496">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自治区层面：</w:t>
      </w:r>
      <w:r>
        <w:rPr>
          <w:rFonts w:hint="default" w:ascii="Times New Roman" w:hAnsi="Times New Roman" w:cs="Times New Roman"/>
          <w:color w:val="000000" w:themeColor="text1"/>
          <w14:textFill>
            <w14:solidFill>
              <w14:schemeClr w14:val="tx1"/>
            </w14:solidFill>
          </w14:textFill>
        </w:rPr>
        <w:t>可克达拉市是北疆城市带协同发展的重要节点，融入新疆“两圈一群两带六区”空间格局，强化对北疆城市带的引领作用，与伊宁市、奎屯市、霍尔果斯市、塔城市等城市协同发力，共同引领北疆城市带的发展。依托“伊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可克达拉一体化发展区”资源禀赋，整合区域资源，建设可克达拉市与地方互为补充的北疆城市带，实现与地方城市的优势互补，推动兵地融合发展，提升北疆地区的整体发展水平。</w:t>
      </w:r>
    </w:p>
    <w:p w14:paraId="63DB90B9">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兵团层面：</w:t>
      </w:r>
      <w:r>
        <w:rPr>
          <w:rFonts w:hint="default" w:ascii="Times New Roman" w:hAnsi="Times New Roman" w:cs="Times New Roman"/>
          <w:color w:val="000000" w:themeColor="text1"/>
          <w14:textFill>
            <w14:solidFill>
              <w14:schemeClr w14:val="tx1"/>
            </w14:solidFill>
          </w14:textFill>
        </w:rPr>
        <w:t>可克达拉市是沿边发展带的引领核心，对接兵团“一带两区，三心多点”空间布局，在兵团城镇体系中发挥关键枢纽作用，引领五师双河市、九师白杨市、十师北屯市等沿边城市协同发展。强化可克达拉综合交通枢纽建设，以中西亚至乌鲁木齐通道、沿边国防通道、通南疆对外通道、天山北坡经济带通道、跨天山通道等五大通道为支撑，服务可克达拉城镇与产业发展、旅游集散和居民出行，服务兵团沿边区域的城镇建设、产业升级和居民生活，增强兵团在边疆地区的发展活力，且以五大通道建设形成7个联系疆内外重点城市、3个联系中西亚地区的对外出口。</w:t>
      </w:r>
    </w:p>
    <w:p w14:paraId="794C070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在北疆城市中经济人口情况较好，作为沟通乌鲁木齐和南疆城市的重要节点，在沿边兵团发展带中具有引领地位和作用。从全疆发展重心来看，可克达拉市是北疆城市带的重要节点城市，以2021年兵团师市经济人口规模为例，在沿边兵团发展带的四个城市中，可克达拉市人口与经济规模均位列沿边兵团发展带首位。</w:t>
      </w:r>
    </w:p>
    <w:p w14:paraId="7621545F">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“两霍两伊”区域层面：</w:t>
      </w:r>
      <w:r>
        <w:rPr>
          <w:rFonts w:hint="default" w:ascii="Times New Roman" w:hAnsi="Times New Roman" w:cs="Times New Roman"/>
          <w:color w:val="000000" w:themeColor="text1"/>
          <w14:textFill>
            <w14:solidFill>
              <w14:schemeClr w14:val="tx1"/>
            </w14:solidFill>
          </w14:textFill>
        </w:rPr>
        <w:t>可克达拉市是“两霍两伊”一体化高质量发展的重要支点，在交通领域，可克达拉市是“两霍两伊”城市群兵地融合的交通纽带，承担串联口岸、机场、团场与城市的关键职能，推动霍尔果斯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伊宁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同城化发展，助力“公路+航空+口岸”联运体系构建，服务向西开放与兵地融合战略。在“两霍两伊”一体化进程中，可克达拉市交通建设成效显著，已成为兵地融合与向西开放的关键节点。随着重大项目推进与网络完善，其交通枢纽价值将进一步凸显，为区域高质量发展提供更坚实支撑。在产业协同上，与区域农产品形成互补优势，或提供原料支持（如玉米），提升区域农产品附加值</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在新兴产业领域，如生物医药、电池负极材料、光伏装备制造产业等，与霍尔果斯半导体、伊宁市的装备制造产业形成差异化分工，依托河谷自然生态轴线，可克达拉与区域其他地区形成“工业+文旅+生态”的融合旅游线路。在生态建设方面，大力增强依托伊犁河水系建设“以绿荫城、以水润城”的生态旅游城市，凭借此及伊犁河水系生态治理经验，为“两霍两伊”区域提供生态修复经验，推动区域生态共享和可持续发展。</w:t>
      </w:r>
    </w:p>
    <w:p w14:paraId="2E7A2575">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坚持兵地总体规划一体制定、专项规划有效衔接，深入实施以人为本的新型城镇化战略五年行动计划。进一步加强兵地城市产业建设、交通规划、生态保护、社会治理等协作联动，在交通、水利、市政设施等领域实现规划“一张图”、建设“一张网”。在国土空间规划动态调整完善时，坚持兵地优势互补、设施共建、资源共享。加强与相邻地州、县市国土空间规划合图研究，促进基础设施互联互通，公共服务设施共建共享。</w:t>
      </w:r>
    </w:p>
    <w:p w14:paraId="169FB48C">
      <w:pPr>
        <w:pStyle w:val="47"/>
        <w:pageBreakBefore w:val="0"/>
        <w:kinsoku/>
        <w:wordWrap/>
        <w:overflowPunct/>
        <w:topLinePunct w:val="0"/>
        <w:autoSpaceDE/>
        <w:autoSpaceDN/>
        <w:bidi w:val="0"/>
        <w:spacing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1" w:name="_Toc215227266"/>
      <w:bookmarkStart w:id="72" w:name="_Toc215227324"/>
      <w:bookmarkStart w:id="73" w:name="_Toc235785890"/>
      <w:bookmarkStart w:id="74" w:name="_Toc213315617"/>
      <w:bookmarkStart w:id="75" w:name="_Toc230277500"/>
      <w:bookmarkStart w:id="76" w:name="_Toc229494905"/>
      <w:bookmarkStart w:id="77" w:name="_Toc227081179"/>
      <w:r>
        <w:rPr>
          <w:rFonts w:hint="default" w:ascii="Times New Roman" w:hAnsi="Times New Roman" w:cs="Times New Roman"/>
          <w:color w:val="000000" w:themeColor="text1"/>
          <w14:textFill>
            <w14:solidFill>
              <w14:schemeClr w14:val="tx1"/>
            </w14:solidFill>
          </w14:textFill>
        </w:rPr>
        <w:t>优化市域空间格局</w:t>
      </w:r>
      <w:bookmarkEnd w:id="71"/>
      <w:bookmarkEnd w:id="72"/>
      <w:bookmarkEnd w:id="73"/>
      <w:bookmarkEnd w:id="74"/>
      <w:bookmarkEnd w:id="75"/>
      <w:bookmarkEnd w:id="76"/>
      <w:bookmarkEnd w:id="77"/>
    </w:p>
    <w:p w14:paraId="07DE0F9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落实生态优先、绿色发展理念的核心规划框架，旨在构建全域统筹、功能明晰的可持续发展空间体系，遵循《可克达拉市国土空间总体规划(2021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2035年)》，在可克达拉市域层面构建“一带两廊、一心三区多点”的国土空间总体格局。</w:t>
      </w:r>
    </w:p>
    <w:p w14:paraId="6D07FAB3">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“一带两廊”</w:t>
      </w:r>
      <w:r>
        <w:rPr>
          <w:rFonts w:hint="default" w:ascii="Times New Roman" w:hAnsi="Times New Roman" w:cs="Times New Roman"/>
          <w:color w:val="000000" w:themeColor="text1"/>
          <w14:textFill>
            <w14:solidFill>
              <w14:schemeClr w14:val="tx1"/>
            </w14:solidFill>
          </w14:textFill>
        </w:rPr>
        <w:t>：筑牢伊犁河谷湿地景观保护带和霍尔果斯河、三道河生态廊道，维育市域生态安全，增强水土保持、水源涵养、生物多样性保护等功能。伊犁河谷湿地景观保护带作为生态屏障与生物多样性核心，依托伊犁河可克达拉段114.8公里河道，串联湿地、草场与森林，形成东西向生态屏障，承担水源涵养、水土保持及物种栖息功能。霍尔果斯河、三道河生态廊道作为水资源调控与区域协同纽带，承担水资源调配功能，串联支撑团场发展，通过河岸带修复工作，强化兵地协同治理，实现经济与生态协同。</w:t>
      </w:r>
    </w:p>
    <w:p w14:paraId="66299ABD">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“一心”</w:t>
      </w:r>
      <w:r>
        <w:rPr>
          <w:rFonts w:hint="default" w:ascii="Times New Roman" w:hAnsi="Times New Roman" w:cs="Times New Roman"/>
          <w:color w:val="000000" w:themeColor="text1"/>
          <w14:textFill>
            <w14:solidFill>
              <w14:schemeClr w14:val="tx1"/>
            </w14:solidFill>
          </w14:textFill>
        </w:rPr>
        <w:t>：强化中心城区核心引领带动作用，着重完善提升城市功能，引导高端服务功能集聚。中心城区以空间优化、产业升级、服务提质、智慧治理和区域协同五个维度，强化核心承载能力，推动产业升级，集聚高端服务功能，并完善公共服务配套，提升宜居医业品质，强化城市治理运行效率，扩大城市辐射能级，实现核心引领带动作用。</w:t>
      </w:r>
    </w:p>
    <w:p w14:paraId="65222C49">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“三区”</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63团</w:t>
      </w:r>
      <w:r>
        <w:rPr>
          <w:rFonts w:hint="default" w:ascii="Times New Roman" w:hAnsi="Times New Roman" w:cs="Times New Roman"/>
          <w:color w:val="000000" w:themeColor="text1"/>
          <w14:textFill>
            <w14:solidFill>
              <w14:schemeClr w14:val="tx1"/>
            </w14:solidFill>
          </w14:textFill>
        </w:rPr>
        <w:t>榆树庄镇和</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苇湖镇共同构成北部发展分区，主要对接霍尔果斯口岸，是可克达拉市落实“一带一路”倡议、强化口岸经济联动、推动产业转型升级的核心功能区；中心城区、</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金梁镇和</w:t>
      </w:r>
      <w:r>
        <w:rPr>
          <w:rFonts w:hint="default" w:ascii="Times New Roman" w:hAnsi="Times New Roman" w:cs="Times New Roman"/>
          <w:color w:val="000000" w:themeColor="text1"/>
          <w:lang w:eastAsia="zh-CN"/>
          <w14:textFill>
            <w14:solidFill>
              <w14:schemeClr w14:val="tx1"/>
            </w14:solidFill>
          </w14:textFill>
        </w:rPr>
        <w:t>68团</w:t>
      </w:r>
      <w:r>
        <w:rPr>
          <w:rFonts w:hint="default" w:ascii="Times New Roman" w:hAnsi="Times New Roman" w:cs="Times New Roman"/>
          <w:color w:val="000000" w:themeColor="text1"/>
          <w14:textFill>
            <w14:solidFill>
              <w14:schemeClr w14:val="tx1"/>
            </w14:solidFill>
          </w14:textFill>
        </w:rPr>
        <w:t>长丰镇共同构成中部发展分区，以对接伊宁市为主，中部发展分区作为师市全域协同发展的核心引擎，承担政治中枢、经济枢纽、文化高低、生态示范等多重职能，强化与伊宁市联动建设，打造城乡转型样板；</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金屯镇形成南部发展分区，主要对接都拉塔口岸，</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作为边境团场，团部距都拉塔口岸仅18公里，在与口岸的经济联动上存在巨大优势，结合当地农业等资源禀赋，南部发展分区主要以农业提质、生态屏障、口岸联动、文旅融合职能为主。</w:t>
      </w:r>
    </w:p>
    <w:p w14:paraId="6B09CE60">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“多点”</w:t>
      </w:r>
      <w:r>
        <w:rPr>
          <w:rFonts w:hint="default" w:ascii="Times New Roman" w:hAnsi="Times New Roman" w:cs="Times New Roman"/>
          <w:color w:val="000000" w:themeColor="text1"/>
          <w14:textFill>
            <w14:solidFill>
              <w14:schemeClr w14:val="tx1"/>
            </w14:solidFill>
          </w14:textFill>
        </w:rPr>
        <w:t>：指</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金梁镇特色果蔬生产基地、</w:t>
      </w:r>
      <w:r>
        <w:rPr>
          <w:rFonts w:hint="default" w:ascii="Times New Roman" w:hAnsi="Times New Roman" w:cs="Times New Roman"/>
          <w:color w:val="000000" w:themeColor="text1"/>
          <w:lang w:eastAsia="zh-CN"/>
          <w14:textFill>
            <w14:solidFill>
              <w14:schemeClr w14:val="tx1"/>
            </w14:solidFill>
          </w14:textFill>
        </w:rPr>
        <w:t>64团</w:t>
      </w:r>
      <w:r>
        <w:rPr>
          <w:rFonts w:hint="default" w:ascii="Times New Roman" w:hAnsi="Times New Roman" w:cs="Times New Roman"/>
          <w:color w:val="000000" w:themeColor="text1"/>
          <w14:textFill>
            <w14:solidFill>
              <w14:schemeClr w14:val="tx1"/>
            </w14:solidFill>
          </w14:textFill>
        </w:rPr>
        <w:t>苇湖镇标准化养殖基地、</w:t>
      </w:r>
      <w:r>
        <w:rPr>
          <w:rFonts w:hint="default" w:ascii="Times New Roman" w:hAnsi="Times New Roman" w:cs="Times New Roman"/>
          <w:color w:val="000000" w:themeColor="text1"/>
          <w:lang w:eastAsia="zh-CN"/>
          <w14:textFill>
            <w14:solidFill>
              <w14:schemeClr w14:val="tx1"/>
            </w14:solidFill>
          </w14:textFill>
        </w:rPr>
        <w:t>67团</w:t>
      </w:r>
      <w:r>
        <w:rPr>
          <w:rFonts w:hint="default" w:ascii="Times New Roman" w:hAnsi="Times New Roman" w:cs="Times New Roman"/>
          <w:color w:val="000000" w:themeColor="text1"/>
          <w14:textFill>
            <w14:solidFill>
              <w14:schemeClr w14:val="tx1"/>
            </w14:solidFill>
          </w14:textFill>
        </w:rPr>
        <w:t>金屯镇优质果品生产基地等多个农业基地和可克达拉国家沙漠公园、霍城伊犁河谷国家湿地自然公园等多个自然保护地。</w:t>
      </w:r>
    </w:p>
    <w:p w14:paraId="74698762">
      <w:pPr>
        <w:pStyle w:val="47"/>
        <w:pageBreakBefore w:val="0"/>
        <w:kinsoku/>
        <w:wordWrap/>
        <w:overflowPunct/>
        <w:topLinePunct w:val="0"/>
        <w:autoSpaceDE/>
        <w:autoSpaceDN/>
        <w:bidi w:val="0"/>
        <w:spacing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78" w:name="_Toc215227267"/>
      <w:bookmarkStart w:id="79" w:name="_Toc215227325"/>
      <w:bookmarkStart w:id="80" w:name="_Toc235785891"/>
      <w:bookmarkStart w:id="81" w:name="_Toc229494906"/>
      <w:bookmarkStart w:id="82" w:name="_Toc227081180"/>
      <w:bookmarkStart w:id="83" w:name="_Toc213315618"/>
      <w:bookmarkStart w:id="84" w:name="_Toc230277501"/>
      <w:r>
        <w:rPr>
          <w:rFonts w:hint="default" w:ascii="Times New Roman" w:hAnsi="Times New Roman" w:cs="Times New Roman"/>
          <w:color w:val="000000" w:themeColor="text1"/>
          <w14:textFill>
            <w14:solidFill>
              <w14:schemeClr w14:val="tx1"/>
            </w14:solidFill>
          </w14:textFill>
        </w:rPr>
        <w:t>完善城区功能布局</w:t>
      </w:r>
      <w:bookmarkEnd w:id="78"/>
      <w:bookmarkEnd w:id="79"/>
      <w:bookmarkEnd w:id="80"/>
      <w:bookmarkEnd w:id="81"/>
      <w:bookmarkEnd w:id="82"/>
      <w:bookmarkEnd w:id="83"/>
      <w:bookmarkEnd w:id="84"/>
    </w:p>
    <w:p w14:paraId="3F219220">
      <w:pPr>
        <w:pStyle w:val="47"/>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结合《可克达拉市中心城区国土空间详细规划》及《可克达拉市城区与</w:t>
      </w:r>
      <w:r>
        <w:rPr>
          <w:rFonts w:hint="default" w:ascii="Times New Roman" w:hAnsi="Times New Roman" w:eastAsia="仿宋_GB2312" w:cs="Times New Roman"/>
          <w:color w:val="000000" w:themeColor="text1"/>
          <w:lang w:eastAsia="zh-CN"/>
          <w14:textFill>
            <w14:solidFill>
              <w14:schemeClr w14:val="tx1"/>
            </w14:solidFill>
          </w14:textFill>
        </w:rPr>
        <w:t>66团</w:t>
      </w:r>
      <w:r>
        <w:rPr>
          <w:rFonts w:hint="default" w:ascii="Times New Roman" w:hAnsi="Times New Roman" w:eastAsia="仿宋_GB2312" w:cs="Times New Roman"/>
          <w:color w:val="000000" w:themeColor="text1"/>
          <w14:textFill>
            <w14:solidFill>
              <w14:schemeClr w14:val="tx1"/>
            </w14:solidFill>
          </w14:textFill>
        </w:rPr>
        <w:t>镇区一体化发展规划研究》内容，提出城区布局建议。</w:t>
      </w:r>
    </w:p>
    <w:p w14:paraId="05EFB922">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统筹可克达拉中心城区和</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中心镇区，是第四师落实“师市合一”战略的核心实践，通过空间协同、功能整合、产业联动、设施共享、治理协同等策略，推进“团城融合”向纵深发展。统筹可克达拉中心城区和</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中心镇区空间布局，以</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中心镇区为中心，对外延伸发展空间，形成“三轴八区七中心”的城市空间结构。</w:t>
      </w:r>
    </w:p>
    <w:p w14:paraId="589E0938">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“三轴”</w:t>
      </w:r>
      <w:r>
        <w:rPr>
          <w:rFonts w:hint="default" w:ascii="Times New Roman" w:hAnsi="Times New Roman" w:cs="Times New Roman"/>
          <w:color w:val="000000" w:themeColor="text1"/>
          <w14:textFill>
            <w14:solidFill>
              <w14:schemeClr w14:val="tx1"/>
            </w14:solidFill>
          </w14:textFill>
        </w:rPr>
        <w:t>：依托迎宾大道、七一七大道、镇江路构建三条城市轴线，作为城市发展的核心骨架。迎宾大道作为城镇功能协同轴，串联城北园区服务、综合服务区、旅游商业服务和滨水文化服务中心，联动现代工业区、团镇融合发展区、品质生活区、商旅服务区和滨水休闲区；七一七大道是可克达拉市东西向功能纽带，作为城镇外向发展轴，承担城镇对外联系发展的功能，着眼伊可同城化，推动伊可同城发展，整体能级提升，同时七一七大道也作为北部产业区和南部生活区两大功能区的界限，城镇外向发展轴串联现代工业区、农旅融合区、品质生活区、团镇融合发展区及远景发展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镇江路作为城市中南部主要道路，依托其构建文旅休闲活力轴，通过串联农旅融合区、商旅服务区、品质生活区、滨水休闲区及远景发展区，在文旅产业发展中发挥重要作用。</w:t>
      </w:r>
    </w:p>
    <w:p w14:paraId="41D48834">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“八区”</w:t>
      </w:r>
      <w:r>
        <w:rPr>
          <w:rFonts w:hint="default" w:ascii="Times New Roman" w:hAnsi="Times New Roman" w:cs="Times New Roman"/>
          <w:color w:val="000000" w:themeColor="text1"/>
          <w14:textFill>
            <w14:solidFill>
              <w14:schemeClr w14:val="tx1"/>
            </w14:solidFill>
          </w14:textFill>
        </w:rPr>
        <w:t>：包括现代工业区、团镇融合发展区、农旅融合区、品质生活区、综合服务区、商旅服务区、滨水休闲区和远景发展区。每个功能分区基本以一处中心为基本引领，作为服务枢纽、商业枢纽、文化枢纽等核心功能。综合服务区、品质生活区、商业服务区、滨水休闲区和农旅融合区以区域服务能力提升为根基，聚焦创新能力发展。现代工业区以产业支撑提升为基础，加强产业协同、互补发展，引导中大型企业落地。团镇融合发展区以增量发展和存量更新为基本策略，完善产城服务，作为产业服务核心节点，成为伊可协同发展的“桥头堡”。远景发展区充分考虑可克达拉中心城区与伊宁市工业园区同城发展，强化兵地协同。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金梁镇中心镇区南侧预留生活空间，西北侧及东侧预留产业空间，作为远景发展区。</w:t>
      </w:r>
    </w:p>
    <w:p w14:paraId="117A0B16">
      <w:pPr>
        <w:pageBreakBefore w:val="0"/>
        <w:widowControl/>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“七中心”</w:t>
      </w:r>
      <w:r>
        <w:rPr>
          <w:rFonts w:hint="default" w:ascii="Times New Roman" w:hAnsi="Times New Roman" w:cs="Times New Roman"/>
          <w:color w:val="000000" w:themeColor="text1"/>
          <w14:textFill>
            <w14:solidFill>
              <w14:schemeClr w14:val="tx1"/>
            </w14:solidFill>
          </w14:textFill>
        </w:rPr>
        <w:t>：包括城北园区服务中心、金梁生活服务中心、薰衣草文旅中心、宜居生活服务中心、公共服务中心、旅游商业服务中心、滨水文化服务中心。分别作为服务枢纽、商业枢纽、文化枢纽等，为发展区提供重要功能支撑。</w:t>
      </w:r>
    </w:p>
    <w:p w14:paraId="0113AECC">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85" w:name="_Toc229494907"/>
      <w:bookmarkStart w:id="86" w:name="_Toc213315619"/>
      <w:bookmarkStart w:id="87" w:name="_Toc215227326"/>
      <w:bookmarkStart w:id="88" w:name="_Toc230277502"/>
      <w:bookmarkStart w:id="89" w:name="_Toc215227268"/>
      <w:bookmarkStart w:id="90" w:name="_Toc235785892"/>
      <w:bookmarkStart w:id="91" w:name="_Toc227081181"/>
      <w:r>
        <w:rPr>
          <w:rFonts w:hint="default" w:ascii="Times New Roman" w:hAnsi="Times New Roman" w:cs="Times New Roman"/>
          <w:color w:val="000000" w:themeColor="text1"/>
          <w14:textFill>
            <w14:solidFill>
              <w14:schemeClr w14:val="tx1"/>
            </w14:solidFill>
          </w14:textFill>
        </w:rPr>
        <w:t>制定策略行动</w:t>
      </w:r>
      <w:bookmarkEnd w:id="85"/>
      <w:bookmarkEnd w:id="86"/>
      <w:bookmarkEnd w:id="87"/>
      <w:bookmarkEnd w:id="88"/>
      <w:bookmarkEnd w:id="89"/>
      <w:bookmarkEnd w:id="90"/>
      <w:bookmarkEnd w:id="91"/>
    </w:p>
    <w:p w14:paraId="6B256E3F">
      <w:pPr>
        <w:pStyle w:val="47"/>
        <w:pageBreakBefore w:val="0"/>
        <w:numPr>
          <w:ilvl w:val="0"/>
          <w:numId w:val="16"/>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92" w:name="_Toc227081182"/>
      <w:bookmarkStart w:id="93" w:name="_Toc230277503"/>
      <w:bookmarkStart w:id="94" w:name="_Toc235785893"/>
      <w:bookmarkStart w:id="95" w:name="_Toc213315620"/>
      <w:bookmarkStart w:id="96" w:name="_Toc229494908"/>
      <w:bookmarkStart w:id="97" w:name="_Toc215227327"/>
      <w:bookmarkStart w:id="98" w:name="_Toc215227269"/>
      <w:r>
        <w:rPr>
          <w:rFonts w:hint="default" w:ascii="Times New Roman" w:hAnsi="Times New Roman" w:cs="Times New Roman"/>
          <w:color w:val="000000" w:themeColor="text1"/>
          <w14:textFill>
            <w14:solidFill>
              <w14:schemeClr w14:val="tx1"/>
            </w14:solidFill>
          </w14:textFill>
        </w:rPr>
        <w:t>市中心建设</w:t>
      </w:r>
      <w:bookmarkEnd w:id="92"/>
      <w:bookmarkEnd w:id="93"/>
      <w:bookmarkEnd w:id="94"/>
      <w:bookmarkEnd w:id="95"/>
      <w:bookmarkEnd w:id="96"/>
      <w:bookmarkEnd w:id="97"/>
      <w:bookmarkEnd w:id="98"/>
    </w:p>
    <w:p w14:paraId="76EC58C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市中心建设以提升功能、彰显文化、加强维稳中枢职能为目标定位。明确东至东环路、南至伊犁河、北至精伊霍铁路、西至西环路的核心区域范围。通过整合行政、文旅、商业资源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强化协同</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实现功能提升，植入兵团精神与伊犁河谷特色符号彰显特色文化。铸牢中华民族共同体意识城市工程，常态化开展法治宣传教育和移风易俗工作，营造和谐文明的社会氛围。</w:t>
      </w:r>
    </w:p>
    <w:p w14:paraId="657DF07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构建“指挥中心</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社区网格</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边境卡点”三级联动体系并配齐师市级维稳指挥、维稳力量训练和维稳物资保障功能，发挥区域性维稳</w:t>
      </w:r>
      <w:r>
        <w:rPr>
          <w:rFonts w:hint="default" w:ascii="Times New Roman" w:hAnsi="Times New Roman" w:cs="Times New Roman"/>
          <w:color w:val="000000" w:themeColor="text1"/>
          <w:lang w:eastAsia="zh-CN"/>
          <w14:textFill>
            <w14:solidFill>
              <w14:schemeClr w14:val="tx1"/>
            </w14:solidFill>
          </w14:textFill>
        </w:rPr>
        <w:t>突出</w:t>
      </w:r>
      <w:r>
        <w:rPr>
          <w:rFonts w:hint="default" w:ascii="Times New Roman" w:hAnsi="Times New Roman" w:cs="Times New Roman"/>
          <w:color w:val="000000" w:themeColor="text1"/>
          <w14:textFill>
            <w14:solidFill>
              <w14:schemeClr w14:val="tx1"/>
            </w14:solidFill>
          </w14:textFill>
        </w:rPr>
        <w:t>作用，加强边疆维稳中枢职能。加强社会治安防控体系建设，推动企事业单位成立基层人武部。</w:t>
      </w:r>
    </w:p>
    <w:p w14:paraId="1603523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位于迎宾大道中段的中央商务区能级提升（集聚金融、总部经济）、位于珠江西路与昆仑山南路交叉口东侧的兵团文化博览园建设（军垦纪念馆+艺术中心）、以可克达拉市人民政府为核心的边疆治理能力提升工程（四师综合指挥平台升级）建设三大重大行动，助力市中心建设。</w:t>
      </w:r>
    </w:p>
    <w:p w14:paraId="1874BEA7">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99" w:name="_Toc229494909"/>
      <w:bookmarkStart w:id="100" w:name="_Toc213315621"/>
      <w:bookmarkStart w:id="101" w:name="_Toc235785894"/>
      <w:bookmarkStart w:id="102" w:name="_Toc215227328"/>
      <w:bookmarkStart w:id="103" w:name="_Toc227081183"/>
      <w:bookmarkStart w:id="104" w:name="_Toc215227270"/>
      <w:bookmarkStart w:id="105" w:name="_Toc230277504"/>
      <w:r>
        <w:rPr>
          <w:rFonts w:hint="default" w:ascii="Times New Roman" w:hAnsi="Times New Roman" w:cs="Times New Roman"/>
          <w:color w:val="000000" w:themeColor="text1"/>
          <w14:textFill>
            <w14:solidFill>
              <w14:schemeClr w14:val="tx1"/>
            </w14:solidFill>
          </w14:textFill>
        </w:rPr>
        <w:t>交通支撑</w:t>
      </w:r>
      <w:bookmarkEnd w:id="99"/>
      <w:bookmarkEnd w:id="100"/>
      <w:bookmarkEnd w:id="101"/>
      <w:bookmarkEnd w:id="102"/>
      <w:bookmarkEnd w:id="103"/>
      <w:bookmarkEnd w:id="104"/>
      <w:bookmarkEnd w:id="105"/>
    </w:p>
    <w:p w14:paraId="51C2BD8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规划从区域、市域、中心城区三个层面梳理道路交通体系，全面优化对外交通链接网络，构建高能级枢纽设施，培育开放枢纽功能，打造综合交通枢纽。</w:t>
      </w:r>
    </w:p>
    <w:p w14:paraId="36ED81A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构建跨区域联动的综合交通枢纽</w:t>
      </w:r>
    </w:p>
    <w:p w14:paraId="509340C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依托区位优势，规划通过推进国际物流通道建设、加强区域快速连接、完善联运体系三大策略，构建“公铁空”协同的多式联运跨境物流体系，强化中欧班列西通道节点功能，加强区域互联互通与口岸对接，提升跨境贸易及区域货运效率，辐射中亚、欧洲市场。</w:t>
      </w:r>
    </w:p>
    <w:p w14:paraId="3C27ED3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推进国际物流通道建设。</w:t>
      </w:r>
      <w:r>
        <w:rPr>
          <w:rFonts w:hint="default" w:ascii="Times New Roman" w:hAnsi="Times New Roman" w:cs="Times New Roman"/>
          <w:color w:val="000000" w:themeColor="text1"/>
          <w14:textFill>
            <w14:solidFill>
              <w14:schemeClr w14:val="tx1"/>
            </w14:solidFill>
          </w14:textFill>
        </w:rPr>
        <w:t>可克达拉市毗邻中哈霍尔果斯国际边境合作中心，也是中欧班列西通道的重要节点，具备辐射中亚、欧洲的天然条件。可克达拉市规划火车站，远期可规划连接霍尔果斯专用线的支线铁路，实现市域内重点产业园区与中欧班列的直连。</w:t>
      </w:r>
    </w:p>
    <w:p w14:paraId="62C49DFD">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加强区域快速连接。</w:t>
      </w:r>
      <w:r>
        <w:rPr>
          <w:rFonts w:hint="default" w:ascii="Times New Roman" w:hAnsi="Times New Roman" w:cs="Times New Roman"/>
          <w:color w:val="000000" w:themeColor="text1"/>
          <w14:textFill>
            <w14:solidFill>
              <w14:schemeClr w14:val="tx1"/>
            </w14:solidFill>
          </w14:textFill>
        </w:rPr>
        <w:t>可克达拉市已通过G218线、G3016清伊高速等干线公路与周边区域形成基础连接，并通过</w:t>
      </w:r>
      <w:r>
        <w:rPr>
          <w:rFonts w:hint="default" w:ascii="Times New Roman" w:hAnsi="Times New Roman" w:cs="Times New Roman"/>
          <w:color w:val="000000" w:themeColor="text1"/>
          <w:lang w:eastAsia="zh-CN"/>
          <w14:textFill>
            <w14:solidFill>
              <w14:schemeClr w14:val="tx1"/>
            </w14:solidFill>
          </w14:textFill>
        </w:rPr>
        <w:t>伊宁大道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七一七大道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惠远大道等城市主干道实现与伊宁市、霍尔果斯市的互通互联。在此基础上，还需加强与周边县（霍城县、伊宁县等）的联系，提升货运效率。</w:t>
      </w:r>
    </w:p>
    <w:p w14:paraId="2BEDDD8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完善联运体系。</w:t>
      </w:r>
      <w:r>
        <w:rPr>
          <w:rFonts w:hint="default" w:ascii="Times New Roman" w:hAnsi="Times New Roman" w:cs="Times New Roman"/>
          <w:color w:val="000000" w:themeColor="text1"/>
          <w14:textFill>
            <w14:solidFill>
              <w14:schemeClr w14:val="tx1"/>
            </w14:solidFill>
          </w14:textFill>
        </w:rPr>
        <w:t>铁路方面重点推进城北区铁路专用线建设，与霍尔果斯丝路荣腾海关监管库联动形成公铁多式联运中心；航空领域依托伊宁机场现有至塔什干全货机航线，争取开通更多中亚货运包机，并远期规划通用机场。伊犁伊宁国际机场作为新疆机场集团5个百万级支线机场之一，是伊犁河谷区域综合交通枢纽的核心组成部分,以“机场赋能、城市升级、协同发展、共建共赢”为核心，立足可克达拉市产业基础和伊犁伊宁国际机场枢纽优势，构建“交通联动、产业协同、开放互补、民生共享”的深度联动发展格局，将机场优势转化为城市发展优势，推动可克达拉市成为伊犁河谷临空经济协同发展示范城、向西开放空中门户节点城、兵地融合交通联动样板城。</w:t>
      </w:r>
    </w:p>
    <w:p w14:paraId="5F58967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优化市域全覆盖的交通网络</w:t>
      </w:r>
    </w:p>
    <w:p w14:paraId="6490B72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通过优化路网骨架、提升连队交通品质、推进公共交通均等化三大策略，构建全域畅通、安全共享的交通体系，以</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放射干线+环线网络</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强化市域与区域外其它团场辐射，全面提升市域内交通服务品质，推行城乡公交同质化服务，实现职工居民出行均等化；并依托于机场迁建至可克达拉市近郊，开通“机场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各县市”的机场转运线，以构建路空交通网络联运畅行。</w:t>
      </w:r>
    </w:p>
    <w:p w14:paraId="1ECE68C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优化路网骨架。</w:t>
      </w:r>
      <w:r>
        <w:rPr>
          <w:rFonts w:hint="default" w:ascii="Times New Roman" w:hAnsi="Times New Roman" w:cs="Times New Roman"/>
          <w:color w:val="000000" w:themeColor="text1"/>
          <w14:textFill>
            <w14:solidFill>
              <w14:schemeClr w14:val="tx1"/>
            </w14:solidFill>
          </w14:textFill>
        </w:rPr>
        <w:t>加强环线系统建设，打通“63团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66团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67团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68团”近郊团场环线，促进G218、G219和S621、S629、S313、S743等国省道间互联互通，提升团场间通行运输效率，加强团场间直接联系。并提升国省干线路网通行能力，推进公路养护事业发展保障，以预防性养护为抓手提升国省干线道路性能。</w:t>
      </w:r>
    </w:p>
    <w:p w14:paraId="6F962A1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提升连队交通品质。</w:t>
      </w:r>
      <w:r>
        <w:rPr>
          <w:rFonts w:hint="default" w:ascii="Times New Roman" w:hAnsi="Times New Roman" w:cs="Times New Roman"/>
          <w:color w:val="000000" w:themeColor="text1"/>
          <w14:textFill>
            <w14:solidFill>
              <w14:schemeClr w14:val="tx1"/>
            </w14:solidFill>
          </w14:textFill>
        </w:rPr>
        <w:t>持续推进对连队内部路拓宽改造与全面硬化；通过梳理连队路网，打通断头路并优化路线走向，加强连队至中心城区及周边团场的交通衔接。加装路灯、交通标志、护栏等安全设施，保障道路使用安全。</w:t>
      </w:r>
    </w:p>
    <w:p w14:paraId="6EDA0DCB">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公共交通均等化。</w:t>
      </w:r>
      <w:r>
        <w:rPr>
          <w:rFonts w:hint="default" w:ascii="Times New Roman" w:hAnsi="Times New Roman" w:cs="Times New Roman"/>
          <w:color w:val="000000" w:themeColor="text1"/>
          <w14:textFill>
            <w14:solidFill>
              <w14:schemeClr w14:val="tx1"/>
            </w14:solidFill>
          </w14:textFill>
        </w:rPr>
        <w:t>以“城乡同质、全域覆盖”为导向，打破城区与团场壁垒：规划</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城区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团场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快速公交支线，延伸线路覆盖边缘连队；同步优化票务机制，探索“兵地公交一卡通”，推动公共交通向连队延伸，让团场职工享受与城区居民均等的便捷出行体验。</w:t>
      </w:r>
    </w:p>
    <w:p w14:paraId="4FF34F8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聚焦“小交通量、精准适配、便民高效”核心，以群众下班通勤需求为导向，构建“直达为主、支线补充、高峰加密、平峰预约”的定制化公共交通体系，解决工业区与城区间“最后一公里”衔接痛点，弥补常规公交在小流量通勤场景下的覆盖不足，打造安全、便捷、经济、准时的工人通勤专线。</w:t>
      </w:r>
    </w:p>
    <w:p w14:paraId="443F4337">
      <w:pPr>
        <w:pStyle w:val="5"/>
        <w:pageBreakBefore w:val="0"/>
        <w:numPr>
          <w:ilvl w:val="0"/>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打造中心城区智慧低碳的宜居交通系统</w:t>
      </w:r>
    </w:p>
    <w:p w14:paraId="4A0265E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拓展跨河通道、发展绿色交通、赋能智慧交通三大策略，通过统筹发展慢行交通与新能源交通工具，并深度融合数字化技术，实现交通出行的安全便捷、低碳环保与智慧化管理，构建高效、绿色、智能的现代化交通体系。</w:t>
      </w:r>
    </w:p>
    <w:p w14:paraId="590C2F5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发展绿色交通。</w:t>
      </w:r>
      <w:r>
        <w:rPr>
          <w:rFonts w:hint="default" w:ascii="Times New Roman" w:hAnsi="Times New Roman" w:cs="Times New Roman"/>
          <w:color w:val="000000" w:themeColor="text1"/>
          <w14:textFill>
            <w14:solidFill>
              <w14:schemeClr w14:val="tx1"/>
            </w14:solidFill>
          </w14:textFill>
        </w:rPr>
        <w:t>统筹规划慢行交通体系与新能源交通发展。在慢行交通网络建设上，构建连续贯通的慢行系统（沿伊犁河景观带、朱雀湖公园等打造“滨水休闲慢行环”），强化设施衔接与安全隔离，优化通行环境，保障慢行出行安全便捷。在新能源交通工具推广方面，积极推动新能源车辆的普及应用，同步完善充电等配套设施，加强相关基础设施规划预留与建设，健全运维管理机制。</w:t>
      </w:r>
    </w:p>
    <w:p w14:paraId="438160C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智慧交通赋能。</w:t>
      </w:r>
      <w:r>
        <w:rPr>
          <w:rFonts w:hint="default" w:ascii="Times New Roman" w:hAnsi="Times New Roman" w:cs="Times New Roman"/>
          <w:color w:val="000000" w:themeColor="text1"/>
          <w14:textFill>
            <w14:solidFill>
              <w14:schemeClr w14:val="tx1"/>
            </w14:solidFill>
          </w14:textFill>
        </w:rPr>
        <w:t>推进交通基础设施数字化升级，将关键路段与节点感知体系纳入城市生命线安全工程统筹建设，实现交通与市政管线监测数据互通。推动交通管理平台与城市信息模型（CIM）、城市运管服平台融合，构建中心城区交通数字底座，实现路网运行、公共交通一屏统览与智能调度。落实新能源公交车更新政策，推进公交电动化、智能化改造，建设集成调度、运维与充电管理的综合平台。积极布局车路协同的智能道路环境，在公交、物流等场景开展无人驾驶试点，打造低碳智慧出行服务链，提升中心城区交通智慧化水平与宜居品质。</w:t>
      </w:r>
    </w:p>
    <w:p w14:paraId="2831AB8E">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06" w:name="_Toc215227329"/>
      <w:bookmarkStart w:id="107" w:name="_Toc215227271"/>
      <w:bookmarkStart w:id="108" w:name="_Toc235785895"/>
      <w:bookmarkStart w:id="109" w:name="_Toc213315622"/>
      <w:bookmarkStart w:id="110" w:name="_Toc229494910"/>
      <w:bookmarkStart w:id="111" w:name="_Toc227081184"/>
      <w:bookmarkStart w:id="112" w:name="_Toc230277505"/>
      <w:r>
        <w:rPr>
          <w:rFonts w:hint="default" w:ascii="Times New Roman" w:hAnsi="Times New Roman" w:cs="Times New Roman"/>
          <w:color w:val="000000" w:themeColor="text1"/>
          <w14:textFill>
            <w14:solidFill>
              <w14:schemeClr w14:val="tx1"/>
            </w14:solidFill>
          </w14:textFill>
        </w:rPr>
        <w:t>产城融合</w:t>
      </w:r>
      <w:bookmarkEnd w:id="106"/>
      <w:bookmarkEnd w:id="107"/>
      <w:bookmarkEnd w:id="108"/>
      <w:bookmarkEnd w:id="109"/>
      <w:bookmarkEnd w:id="110"/>
      <w:bookmarkEnd w:id="111"/>
      <w:bookmarkEnd w:id="112"/>
    </w:p>
    <w:p w14:paraId="148F28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围绕“建城</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兴业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聚人”路径，发挥教育、产业、政策、公共服务、城市功能等聚人作用，推动城区人口规模进一步壮大。推动“产业社区、活力街区”建设，适应新青年服务需求，引人聚人，构建“产业集聚+服务配套+空间协同”格局，实现“以产兴城、以城促产”。</w:t>
      </w:r>
    </w:p>
    <w:p w14:paraId="133DCCA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推进与</w:t>
      </w:r>
      <w:r>
        <w:rPr>
          <w:rFonts w:hint="default" w:ascii="Times New Roman" w:hAnsi="Times New Roman" w:cs="Times New Roman"/>
          <w:b/>
          <w:bCs/>
          <w:color w:val="000000" w:themeColor="text1"/>
          <w:lang w:eastAsia="zh-CN"/>
          <w14:textFill>
            <w14:solidFill>
              <w14:schemeClr w14:val="tx1"/>
            </w14:solidFill>
          </w14:textFill>
        </w:rPr>
        <w:t>66团</w:t>
      </w:r>
      <w:r>
        <w:rPr>
          <w:rFonts w:hint="default" w:ascii="Times New Roman" w:hAnsi="Times New Roman" w:cs="Times New Roman"/>
          <w:b/>
          <w:bCs/>
          <w:color w:val="000000" w:themeColor="text1"/>
          <w14:textFill>
            <w14:solidFill>
              <w14:schemeClr w14:val="tx1"/>
            </w14:solidFill>
          </w14:textFill>
        </w:rPr>
        <w:t>镇区一体化发展：</w:t>
      </w:r>
      <w:r>
        <w:rPr>
          <w:rFonts w:hint="default" w:ascii="Times New Roman" w:hAnsi="Times New Roman" w:cs="Times New Roman"/>
          <w:color w:val="000000" w:themeColor="text1"/>
          <w14:textFill>
            <w14:solidFill>
              <w14:schemeClr w14:val="tx1"/>
            </w14:solidFill>
          </w14:textFill>
        </w:rPr>
        <w:t>加强对城镇一体化成果研究运用工作，推动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融入“两霍两伊”一体化发展战略。坚持存量更新与增量拓展并重，将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镇区打造为产业服务核心节点及与伊宁协同发展的</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桥头堡</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，着力打响“亮剑团”和“中国薰衣草之乡”品牌。</w:t>
      </w:r>
    </w:p>
    <w:p w14:paraId="530CB0C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北部产业区：</w:t>
      </w:r>
      <w:r>
        <w:rPr>
          <w:rFonts w:hint="default" w:ascii="Times New Roman" w:hAnsi="Times New Roman" w:cs="Times New Roman"/>
          <w:color w:val="000000" w:themeColor="text1"/>
          <w14:textFill>
            <w14:solidFill>
              <w14:schemeClr w14:val="tx1"/>
            </w14:solidFill>
          </w14:textFill>
        </w:rPr>
        <w:t>聚焦特色产业发展，细分7大产业片区，配套“完整产业社区”，解决厂区工人基本居住需求，实现“职住近接”以减少通勤成本。</w:t>
      </w:r>
    </w:p>
    <w:p w14:paraId="28E6D48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城西循环经济产业园：</w:t>
      </w:r>
      <w:r>
        <w:rPr>
          <w:rFonts w:hint="default" w:ascii="Times New Roman" w:hAnsi="Times New Roman" w:cs="Times New Roman"/>
          <w:color w:val="000000" w:themeColor="text1"/>
          <w14:textFill>
            <w14:solidFill>
              <w14:schemeClr w14:val="tx1"/>
            </w14:solidFill>
          </w14:textFill>
        </w:rPr>
        <w:t>城西循环经济产业园距中心城区直线距离27公里，重点发展</w:t>
      </w:r>
      <w:bookmarkStart w:id="113" w:name="_Hlk235635645"/>
      <w:r>
        <w:rPr>
          <w:rFonts w:hint="default" w:ascii="Times New Roman" w:hAnsi="Times New Roman" w:cs="Times New Roman"/>
        </w:rPr>
        <w:t>化工产业、生物产业、农副产品精深加工及食品加工产业</w:t>
      </w:r>
      <w:bookmarkEnd w:id="113"/>
      <w:r>
        <w:rPr>
          <w:rFonts w:hint="default" w:ascii="Times New Roman" w:hAnsi="Times New Roman" w:cs="Times New Roman"/>
          <w:color w:val="000000" w:themeColor="text1"/>
          <w14:textFill>
            <w14:solidFill>
              <w14:schemeClr w14:val="tx1"/>
            </w14:solidFill>
          </w14:textFill>
        </w:rPr>
        <w:t>、战略性新兴、装备制造、建材、物流、配套等主导产业。通过“口岸协作+团场联动”实现产业集聚，提升规模和效益。但职住分离问题严重，产业园区缺乏居住生活配套设施。规划打造从厂区“一张床”、园区“一间房”到城区“一套房”的全流程生活服务体系，提升对就业人才的吸引力。</w:t>
      </w:r>
    </w:p>
    <w:p w14:paraId="3A7514A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南部生活区：</w:t>
      </w:r>
      <w:r>
        <w:rPr>
          <w:rFonts w:hint="default" w:ascii="Times New Roman" w:hAnsi="Times New Roman" w:cs="Times New Roman"/>
          <w:color w:val="000000" w:themeColor="text1"/>
          <w14:textFill>
            <w14:solidFill>
              <w14:schemeClr w14:val="tx1"/>
            </w14:solidFill>
          </w14:textFill>
        </w:rPr>
        <w:t>南部生活区是可克达拉综合服务中心，为产业区提供区域高水平医疗、教育、文化等公共服务设施，规划进一步完善南部片区“</w:t>
      </w:r>
      <w:r>
        <w:rPr>
          <w:rFonts w:hint="default" w:ascii="Times New Roman" w:hAnsi="Times New Roman" w:cs="Times New Roman"/>
          <w:color w:val="000000" w:themeColor="text1"/>
          <w:lang w:eastAsia="zh-CN"/>
          <w14:textFill>
            <w14:solidFill>
              <w14:schemeClr w14:val="tx1"/>
            </w14:solidFill>
          </w14:textFill>
        </w:rPr>
        <w:t>一刻钟生活圈</w:t>
      </w:r>
      <w:r>
        <w:rPr>
          <w:rFonts w:hint="default" w:ascii="Times New Roman" w:hAnsi="Times New Roman" w:cs="Times New Roman"/>
          <w:color w:val="000000" w:themeColor="text1"/>
          <w14:textFill>
            <w14:solidFill>
              <w14:schemeClr w14:val="tx1"/>
            </w14:solidFill>
          </w14:textFill>
        </w:rPr>
        <w:t>”公共服务配套，打造学府活力街区、九九活力街区、朱雀湖活力街区“三大活力街区”，提升城市活力并辐射北部产业区。</w:t>
      </w:r>
    </w:p>
    <w:p w14:paraId="11C4F150">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114" w:name="_Toc215227272"/>
      <w:bookmarkStart w:id="115" w:name="_Toc227081185"/>
      <w:bookmarkStart w:id="116" w:name="_Toc215227330"/>
      <w:bookmarkStart w:id="117" w:name="_Toc229494911"/>
      <w:bookmarkStart w:id="118" w:name="_Toc230277506"/>
      <w:bookmarkStart w:id="119" w:name="_Toc235785896"/>
      <w:bookmarkStart w:id="120" w:name="_Toc213315623"/>
      <w:r>
        <w:rPr>
          <w:rFonts w:hint="default" w:ascii="Times New Roman" w:hAnsi="Times New Roman" w:eastAsia="黑体" w:cs="Times New Roman"/>
          <w:color w:val="000000" w:themeColor="text1"/>
          <w:sz w:val="32"/>
          <w:szCs w:val="32"/>
          <w14:textFill>
            <w14:solidFill>
              <w14:schemeClr w14:val="tx1"/>
            </w14:solidFill>
          </w14:textFill>
        </w:rPr>
        <w:t>服务跃升</w:t>
      </w:r>
      <w:bookmarkEnd w:id="114"/>
      <w:bookmarkEnd w:id="115"/>
      <w:bookmarkEnd w:id="116"/>
      <w:bookmarkEnd w:id="117"/>
      <w:bookmarkEnd w:id="118"/>
      <w:bookmarkEnd w:id="119"/>
      <w:bookmarkEnd w:id="120"/>
    </w:p>
    <w:p w14:paraId="4B6A450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bookmarkStart w:id="121" w:name="_Toc213315624"/>
      <w:r>
        <w:rPr>
          <w:rFonts w:hint="default" w:ascii="Times New Roman" w:hAnsi="Times New Roman" w:cs="Times New Roman"/>
          <w:color w:val="000000" w:themeColor="text1"/>
          <w14:textFill>
            <w14:solidFill>
              <w14:schemeClr w14:val="tx1"/>
            </w14:solidFill>
          </w14:textFill>
        </w:rPr>
        <w:t>规划通过加强医疗、卫生等区域性服务设施建设，打造区域教育医疗高地，依托自身区域产业优势，培育现代化智慧物流基地。</w:t>
      </w:r>
    </w:p>
    <w:p w14:paraId="46E71BDF">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建设区域教育医疗高地</w:t>
      </w:r>
    </w:p>
    <w:p w14:paraId="2B251D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推进医疗、卫生等区域性服务设施建设，重点通过</w:t>
      </w:r>
      <w:r>
        <w:rPr>
          <w:rFonts w:hint="default"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校、</w:t>
      </w:r>
      <w:r>
        <w:rPr>
          <w:rFonts w:hint="default"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院、</w:t>
      </w:r>
      <w:r>
        <w:rPr>
          <w:rFonts w:hint="default"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平台建设，打造区域教育医疗高地。</w:t>
      </w:r>
    </w:p>
    <w:p w14:paraId="49E1939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五</w:t>
      </w:r>
      <w:r>
        <w:rPr>
          <w:rFonts w:hint="default" w:ascii="Times New Roman" w:hAnsi="Times New Roman" w:cs="Times New Roman"/>
          <w:b/>
          <w:color w:val="000000" w:themeColor="text1"/>
          <w14:textFill>
            <w14:solidFill>
              <w14:schemeClr w14:val="tx1"/>
            </w14:solidFill>
          </w14:textFill>
        </w:rPr>
        <w:t>校：</w:t>
      </w:r>
      <w:r>
        <w:rPr>
          <w:rFonts w:hint="default" w:ascii="Times New Roman" w:hAnsi="Times New Roman" w:cs="Times New Roman"/>
          <w:color w:val="000000" w:themeColor="text1"/>
          <w14:textFill>
            <w14:solidFill>
              <w14:schemeClr w14:val="tx1"/>
            </w14:solidFill>
          </w14:textFill>
        </w:rPr>
        <w:t>加快可克达拉职业技术学院向应用型本科院校转型，发挥可克达拉职业技术学院优势，打造区域优质职业学校，专业对接区域产业链，实现产教融合。以第一高级中学、镇江高级中学、第二高级中学（拟建）为示范，实施教学质量提升工程，构建“优质教育</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生源集聚</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人才虹吸”闭环。</w:t>
      </w:r>
    </w:p>
    <w:p w14:paraId="6DE7334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三</w:t>
      </w:r>
      <w:r>
        <w:rPr>
          <w:rFonts w:hint="default" w:ascii="Times New Roman" w:hAnsi="Times New Roman" w:cs="Times New Roman"/>
          <w:b/>
          <w:color w:val="000000" w:themeColor="text1"/>
          <w14:textFill>
            <w14:solidFill>
              <w14:schemeClr w14:val="tx1"/>
            </w14:solidFill>
          </w14:textFill>
        </w:rPr>
        <w:t>院：</w:t>
      </w:r>
      <w:r>
        <w:rPr>
          <w:rFonts w:hint="default" w:ascii="Times New Roman" w:hAnsi="Times New Roman" w:cs="Times New Roman"/>
          <w:color w:val="000000" w:themeColor="text1"/>
          <w14:textFill>
            <w14:solidFill>
              <w14:schemeClr w14:val="tx1"/>
            </w14:solidFill>
          </w14:textFill>
        </w:rPr>
        <w:t>强化第四师医院（可克达拉院区）多学科协同诊疗功能，提升精神卫生专科医院精准化服务水平，加快推进中医院建设，打造区域中医药服务中心。</w:t>
      </w:r>
    </w:p>
    <w:p w14:paraId="59A6686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两</w:t>
      </w:r>
      <w:r>
        <w:rPr>
          <w:rFonts w:hint="default" w:ascii="Times New Roman" w:hAnsi="Times New Roman" w:cs="Times New Roman"/>
          <w:b/>
          <w:color w:val="000000" w:themeColor="text1"/>
          <w14:textFill>
            <w14:solidFill>
              <w14:schemeClr w14:val="tx1"/>
            </w14:solidFill>
          </w14:textFill>
        </w:rPr>
        <w:t>平台：</w:t>
      </w:r>
      <w:r>
        <w:rPr>
          <w:rFonts w:hint="default" w:ascii="Times New Roman" w:hAnsi="Times New Roman" w:cs="Times New Roman"/>
          <w:color w:val="000000" w:themeColor="text1"/>
          <w14:textFill>
            <w14:solidFill>
              <w14:schemeClr w14:val="tx1"/>
            </w14:solidFill>
          </w14:textFill>
        </w:rPr>
        <w:t>依托高等院校及本地农业、产业优势引进科研机构，依托自贸区和经开区建设制造业创新中心。</w:t>
      </w:r>
    </w:p>
    <w:p w14:paraId="60003A51">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培育现代化智慧物流基地</w:t>
      </w:r>
    </w:p>
    <w:p w14:paraId="03CA1BC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重点引进智慧物流、冷链物流和城乡配送三类龙头企业落地城北产业园，依托本地特色农业基础构建“农产品加工+冷链仓储+智慧配送”一体化供应链体系，同时创新“一点多能”农村物流服务模式，整合客货运资源实现村级物流节点全覆盖，促进城乡物流高效衔接，打造现代化智慧物流基地。</w:t>
      </w:r>
    </w:p>
    <w:p w14:paraId="7B987FC6">
      <w:pPr>
        <w:pStyle w:val="5"/>
        <w:pageBreakBefore w:val="0"/>
        <w:numPr>
          <w:ilvl w:val="3"/>
          <w:numId w:val="0"/>
        </w:numPr>
        <w:kinsoku/>
        <w:wordWrap/>
        <w:overflowPunct/>
        <w:topLinePunct w:val="0"/>
        <w:autoSpaceDE/>
        <w:autoSpaceDN/>
        <w:bidi w:val="0"/>
        <w:spacing w:line="560" w:lineRule="exact"/>
        <w:ind w:left="680" w:leftChars="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构建“康养+”产业体系，打造兵团特色康养目的地</w:t>
      </w:r>
    </w:p>
    <w:p w14:paraId="246AD10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围绕文旅康养品牌建设，推进康养与生态、中医、养老产业深度融合，构建具有兵团特色的康养服务体系。</w:t>
      </w:r>
    </w:p>
    <w:p w14:paraId="30E0F9C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“康养+生态”：引进领军企业，合作开发生态康养综合体，依托河谷资源发展康养旅游与健康管理，建设康养旅游目的地。</w:t>
      </w:r>
    </w:p>
    <w:p w14:paraId="41DB9FD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“康养+中医”：依托有机食品、中药材及薰衣草资源，加快建设中医院与康养小镇，引进优质医疗资源，构建全链条康养服务体系，打造服务全疆的康养基地。</w:t>
      </w:r>
    </w:p>
    <w:p w14:paraId="218FAC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“康养+养老”：整合医疗与休闲资源，强化总医院特色专科，发展康复护理、旅居养老等业态，完善普惠型医养结合体系，培育康养产业集群与示范基地。</w:t>
      </w:r>
    </w:p>
    <w:p w14:paraId="3C3DA66E">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22" w:name="_Toc235785897"/>
      <w:bookmarkStart w:id="123" w:name="_Toc215227273"/>
      <w:bookmarkStart w:id="124" w:name="_Toc230277507"/>
      <w:bookmarkStart w:id="125" w:name="_Toc215227331"/>
      <w:bookmarkStart w:id="126" w:name="_Toc229494912"/>
      <w:bookmarkStart w:id="127" w:name="_Toc227081186"/>
      <w:r>
        <w:rPr>
          <w:rFonts w:hint="default" w:ascii="Times New Roman" w:hAnsi="Times New Roman" w:cs="Times New Roman"/>
          <w:color w:val="000000" w:themeColor="text1"/>
          <w14:textFill>
            <w14:solidFill>
              <w14:schemeClr w14:val="tx1"/>
            </w14:solidFill>
          </w14:textFill>
        </w:rPr>
        <w:t>城市特色</w:t>
      </w:r>
      <w:bookmarkEnd w:id="121"/>
      <w:bookmarkEnd w:id="122"/>
      <w:bookmarkEnd w:id="123"/>
      <w:bookmarkEnd w:id="124"/>
      <w:bookmarkEnd w:id="125"/>
      <w:bookmarkEnd w:id="126"/>
      <w:bookmarkEnd w:id="127"/>
    </w:p>
    <w:p w14:paraId="24268C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规划构建“显山水融田园的公园之城，军垦文化特色鲜明的红色之城、伊犁河谷生态宜居的康养之城”的城市总体风貌定位。</w:t>
      </w:r>
    </w:p>
    <w:p w14:paraId="4F83E7FF">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实施建设崇德向善文明城市工程</w:t>
      </w:r>
    </w:p>
    <w:p w14:paraId="6394023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全力推进可克达拉市创建全国文明城市，持续宣介“时代楷模”等先进典型，挖掘选树“兵团榜样”，将中华文化元素符号有机融入城市规划。严格落实15处已认定历史文化建筑的保护与活化利用，鼓励符合条件的团场连队申报兵团历史文化名镇、名村。严格保障公共文化活动场所的公益性，丰富活动形式。</w:t>
      </w:r>
    </w:p>
    <w:p w14:paraId="75E03537">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打造五大重点片区</w:t>
      </w:r>
    </w:p>
    <w:p w14:paraId="35666C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充分挖掘可克达拉城市文化和地方特色，确定城市风貌特色定位，风貌提升重点区域。中心城区打造文化旅游休闲与消费集聚区、产城融合发展区、伊犁河旅游度假区、田园生活观光体验区、伊犁河文化旅游区五大重点片区。</w:t>
      </w:r>
    </w:p>
    <w:p w14:paraId="3558803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化旅游休闲与消费集聚区为中心城区强化内核。北部产城融合发展区引领产业升级与空间北进。南部以可克达拉伊犁河旅游度假区为抓手，推动河城融合，拓展沿河、跨河发展。西部以可克达拉伊犁河文化旅游区为主线，统筹功能板块实现城区景区化与景区连片化。东部以田园生活观光体验区为目标，引导培育新体验与新空间。</w:t>
      </w:r>
    </w:p>
    <w:p w14:paraId="1F3B4939">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培育城市IP核心记忆点</w:t>
      </w:r>
    </w:p>
    <w:p w14:paraId="4074CCA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注重文化创意与传播，平台和公共空间搭建，营造城市IP核心记忆点。突出“中亚湿岛</w:t>
      </w:r>
      <w:r>
        <w:rPr>
          <w:rFonts w:hint="default" w:ascii="Times New Roman" w:hAnsi="Times New Roman" w:eastAsia="微软雅黑"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交响夏都”因歌而生、因绿而兴的差异化标签；挖掘《草原之夜》诞生地的IP价值；融入</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红色军垦精神（纪念馆）+草原游牧文化+艺术名家印记（王蒙等文化名人题刻）</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等文化特色；联通城市休闲游憩公园环并植入音乐互动装置，强化紫色经济+酒文化走廊且增设游客服务中心。</w:t>
      </w:r>
    </w:p>
    <w:p w14:paraId="5BDAE373">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打造城市空间场景</w:t>
      </w:r>
    </w:p>
    <w:p w14:paraId="77549DF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城市记忆空间场景：</w:t>
      </w:r>
      <w:r>
        <w:rPr>
          <w:rFonts w:hint="default" w:ascii="Times New Roman" w:hAnsi="Times New Roman" w:cs="Times New Roman"/>
          <w:color w:val="000000" w:themeColor="text1"/>
          <w14:textFill>
            <w14:solidFill>
              <w14:schemeClr w14:val="tx1"/>
            </w14:solidFill>
          </w14:textFill>
        </w:rPr>
        <w:t>打造“屯垦记忆环线”城市慢行景观轴；结合街区微更新，布设红色历史主题墙、兵团家庭故事点、互动AR展示牌；建设可克达拉建市展示空间或兵团精神展示空间。</w:t>
      </w:r>
    </w:p>
    <w:p w14:paraId="043E3D1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沉浸式文化体验场景：</w:t>
      </w:r>
      <w:r>
        <w:rPr>
          <w:rFonts w:hint="default" w:ascii="Times New Roman" w:hAnsi="Times New Roman" w:cs="Times New Roman"/>
          <w:color w:val="000000" w:themeColor="text1"/>
          <w14:textFill>
            <w14:solidFill>
              <w14:schemeClr w14:val="tx1"/>
            </w14:solidFill>
          </w14:textFill>
        </w:rPr>
        <w:t>引入伊帕尔汗香薰疗愈系列产品、手工坊、香料工作室，打造“香料文化街区”；培育</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音乐演艺+民族服饰+民俗集市</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模式，打造草原民族风情体验节点；把剧场演绎、文化特色融入街角，形成</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街角文化亭+剧场演绎+小型沉浸剧场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联动场景。</w:t>
      </w:r>
    </w:p>
    <w:p w14:paraId="62B991B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“文旅+消费”街区融合改造：</w:t>
      </w:r>
      <w:r>
        <w:rPr>
          <w:rFonts w:hint="default" w:ascii="Times New Roman" w:hAnsi="Times New Roman" w:cs="Times New Roman"/>
          <w:color w:val="000000" w:themeColor="text1"/>
          <w14:textFill>
            <w14:solidFill>
              <w14:schemeClr w14:val="tx1"/>
            </w14:solidFill>
          </w14:textFill>
        </w:rPr>
        <w:t>改造中心老街/商业步行街，构建文化商业混合街区；创新文化产品，打造稻作文创产品、酒文化体验吧、军垦主题书店；融合灯光展、兵团夜食、民族歌舞，打造夜游夜市经济。</w:t>
      </w:r>
    </w:p>
    <w:p w14:paraId="0417D97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城市节庆品牌化运营</w:t>
      </w:r>
      <w:r>
        <w:rPr>
          <w:rFonts w:hint="default" w:ascii="Times New Roman" w:hAnsi="Times New Roman" w:cs="Times New Roman"/>
          <w:color w:val="000000" w:themeColor="text1"/>
          <w14:textFill>
            <w14:solidFill>
              <w14:schemeClr w14:val="tx1"/>
            </w14:solidFill>
          </w14:textFill>
        </w:rPr>
        <w:t>：举办“屯垦文化”“薰衣草生活”“红歌快闪周”等文旅融合活动，设置“兵团市集+草原演艺+青年文创+红色快闪”四大核心板块，实现节庆与街区联动，市民参与、商户共创、游客沉浸的城市节庆模式。</w:t>
      </w:r>
    </w:p>
    <w:p w14:paraId="21FEAF1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产业链联动可视化展示：</w:t>
      </w:r>
      <w:r>
        <w:rPr>
          <w:rFonts w:hint="default" w:ascii="Times New Roman" w:hAnsi="Times New Roman" w:cs="Times New Roman"/>
          <w:color w:val="000000" w:themeColor="text1"/>
          <w14:textFill>
            <w14:solidFill>
              <w14:schemeClr w14:val="tx1"/>
            </w14:solidFill>
          </w14:textFill>
        </w:rPr>
        <w:t>在中心城区设置“文旅产业体验窗”展示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文旅+农业/工业</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发展成果；结合伊力特酒、长丰稻作的原产产品/生产工艺做</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互动科普+展售</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；融合文化、农产、生活美学，设立“兵团好物”城市形象店。</w:t>
      </w:r>
    </w:p>
    <w:p w14:paraId="428F6DFA">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28" w:name="_Toc230277508"/>
      <w:bookmarkStart w:id="129" w:name="_Toc215227332"/>
      <w:bookmarkStart w:id="130" w:name="_Toc213315625"/>
      <w:bookmarkStart w:id="131" w:name="_Toc215227274"/>
      <w:bookmarkStart w:id="132" w:name="_Toc235785898"/>
      <w:bookmarkStart w:id="133" w:name="_Toc229494913"/>
      <w:bookmarkStart w:id="134" w:name="_Toc227081187"/>
      <w:r>
        <w:rPr>
          <w:rFonts w:hint="default" w:ascii="Times New Roman" w:hAnsi="Times New Roman" w:cs="Times New Roman"/>
          <w:color w:val="000000" w:themeColor="text1"/>
          <w14:textFill>
            <w14:solidFill>
              <w14:schemeClr w14:val="tx1"/>
            </w14:solidFill>
          </w14:textFill>
        </w:rPr>
        <w:t>文旅融合</w:t>
      </w:r>
      <w:bookmarkEnd w:id="128"/>
      <w:bookmarkEnd w:id="129"/>
      <w:bookmarkEnd w:id="130"/>
      <w:bookmarkEnd w:id="131"/>
      <w:bookmarkEnd w:id="132"/>
      <w:bookmarkEnd w:id="133"/>
      <w:bookmarkEnd w:id="134"/>
    </w:p>
    <w:p w14:paraId="137AF64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发挥好与伊犁州“三地九方”全域旅游发展联盟作用。推出特色旅游线路3条，规划在中心城区推进北部产业创新片区、南部文化生态片区“双片区”“五大类”多元化文旅融合发展模式。</w:t>
      </w:r>
    </w:p>
    <w:p w14:paraId="6F45B456">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产业融合型（农业+工业+文旅）</w:t>
      </w:r>
    </w:p>
    <w:p w14:paraId="6024453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农业领域以薰衣草为核心，打造“种植</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研发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体验”全产业基地，开发观光、手工、康养等业态（如薰衣草“四季”产业园）。工业领域聚焦酒文化，推动伊力特等酒企旅游化改造，打造“西部酒城”；开放薰衣草加工企业参观通道，形成“工业参观+消费”模式。同时引导薰衣草文化产业园、伊力特酒文化产业园与研学培训、素质拓展等相结合，形成研学课堂、文创体验等旅游模式，增强竞争力。</w:t>
      </w:r>
    </w:p>
    <w:p w14:paraId="6A7F760A">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文化驱动型（文化+红色+文旅）</w:t>
      </w:r>
    </w:p>
    <w:p w14:paraId="36E0468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完善文化体系建设：</w:t>
      </w:r>
      <w:r>
        <w:rPr>
          <w:rFonts w:hint="default" w:ascii="Times New Roman" w:hAnsi="Times New Roman" w:cs="Times New Roman"/>
          <w:color w:val="000000" w:themeColor="text1"/>
          <w14:textFill>
            <w14:solidFill>
              <w14:schemeClr w14:val="tx1"/>
            </w14:solidFill>
          </w14:textFill>
        </w:rPr>
        <w:t>配套市级文化设施（博物馆、文化馆等），加大对各级公共文化场馆设施投入，让民众便捷可达。举办各类群众文化活动，开展各类文艺演出，完善推广互动式传播等方式，增强广电和网络视听媒体内容的吸引力和影响力，促进文化事业繁荣。</w:t>
      </w:r>
    </w:p>
    <w:p w14:paraId="54FEB4A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红色与屯垦文化：</w:t>
      </w:r>
      <w:r>
        <w:rPr>
          <w:rFonts w:hint="default" w:ascii="Times New Roman" w:hAnsi="Times New Roman" w:cs="Times New Roman"/>
          <w:color w:val="000000" w:themeColor="text1"/>
          <w14:textFill>
            <w14:solidFill>
              <w14:schemeClr w14:val="tx1"/>
            </w14:solidFill>
          </w14:textFill>
        </w:rPr>
        <w:t>依托红军团纪念馆、军垦博物馆，挖掘红色军垦文化旅游资源，设计红色线路，完善草原之夜文化旅游休闲街区，充分发挥红色景区及场馆教育功能，开展文艺演出，挖掘“四师故事”，尝试运用现代智能科技增强产品服务的互动体验和情景体验，增强红色旅游的吸引力和竞争力。</w:t>
      </w:r>
    </w:p>
    <w:p w14:paraId="3C6803A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放大特色文化IP：</w:t>
      </w:r>
      <w:r>
        <w:rPr>
          <w:rFonts w:hint="default" w:ascii="Times New Roman" w:hAnsi="Times New Roman" w:cs="Times New Roman"/>
          <w:color w:val="000000" w:themeColor="text1"/>
          <w14:textFill>
            <w14:solidFill>
              <w14:schemeClr w14:val="tx1"/>
            </w14:solidFill>
          </w14:textFill>
        </w:rPr>
        <w:t>以军垦文化、音乐文化、薰衣草文化、酒文化为载体，将文化资源转化为旅游产品，通过氛围营造、场馆建设、场景升级等措施，融入音乐、民俗元素，特色美食体验，强化对年轻客群的吸引。</w:t>
      </w:r>
    </w:p>
    <w:p w14:paraId="0F8AD1B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lang w:val="en-US" w:eastAsia="zh-CN"/>
          <w14:textFill>
            <w14:solidFill>
              <w14:schemeClr w14:val="tx1"/>
            </w14:solidFill>
          </w14:textFill>
        </w:rPr>
        <w:t>3.</w:t>
      </w:r>
      <w:r>
        <w:rPr>
          <w:rFonts w:hint="default" w:ascii="Times New Roman" w:hAnsi="Times New Roman" w:cs="Times New Roman"/>
          <w:b/>
          <w:bCs/>
          <w:color w:val="000000" w:themeColor="text1"/>
          <w14:textFill>
            <w14:solidFill>
              <w14:schemeClr w14:val="tx1"/>
            </w14:solidFill>
          </w14:textFill>
        </w:rPr>
        <w:t>生态赋能型（生态+城市+文旅</w:t>
      </w:r>
      <w:r>
        <w:rPr>
          <w:rFonts w:hint="default" w:ascii="Times New Roman" w:hAnsi="Times New Roman" w:cs="Times New Roman"/>
          <w:color w:val="000000" w:themeColor="text1"/>
          <w14:textFill>
            <w14:solidFill>
              <w14:schemeClr w14:val="tx1"/>
            </w14:solidFill>
          </w14:textFill>
        </w:rPr>
        <w:t>）</w:t>
      </w:r>
    </w:p>
    <w:p w14:paraId="5B9C60A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结合城市公园绿地，开发滨水慢行通道等项目，构建“一水穿城、绿屏环抱、蓝绿交织”绿地生态系统，打造公园城市，提升城市品质；以可克达拉伊犁河旅游度假区为依托，完善旅游设施，推出户外烧烤、天幕观影、户外露营、无人机灯光秀等丰富旅游业态产品，全方位提升游客体验，促进“生态+旅游”高质量发展。</w:t>
      </w:r>
    </w:p>
    <w:p w14:paraId="1934B439">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创新拓展型（科技+夜间+文旅）</w:t>
      </w:r>
    </w:p>
    <w:p w14:paraId="15F2A21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实现科技赋能，发展云演艺、虚拟体验等数字产品，结合低空经济发展低空旅游，探索无人机灯光秀等低空文旅表演，催生新质生产力，推进智慧化服务升级；打造“夜间消费+文化体验”集聚区，升级滨河公园、朱雀湖水幕灯光秀，举办民俗演绎、灯会特色活动，丰富完善“水幕电影”等夜间文旅产品，设置“夜游、夜购、夜娱”等夜间消费项目，发展特色夜市，持续激发夜间消费活力。</w:t>
      </w:r>
    </w:p>
    <w:p w14:paraId="1841D6E1">
      <w:pPr>
        <w:pStyle w:val="5"/>
        <w:pageBreakBefore w:val="0"/>
        <w:numPr>
          <w:ilvl w:val="3"/>
          <w:numId w:val="0"/>
        </w:numPr>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体育驱动型（体育+赛事+文旅）</w:t>
      </w:r>
    </w:p>
    <w:p w14:paraId="30DD2C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全民健身：</w:t>
      </w:r>
      <w:r>
        <w:rPr>
          <w:rFonts w:hint="default" w:ascii="Times New Roman" w:hAnsi="Times New Roman" w:cs="Times New Roman"/>
          <w:color w:val="000000" w:themeColor="text1"/>
          <w14:textFill>
            <w14:solidFill>
              <w14:schemeClr w14:val="tx1"/>
            </w14:solidFill>
          </w14:textFill>
        </w:rPr>
        <w:t>利用现有公园、闲置用地新建小型体育公园，依托学校操场配建健身区域，更新换代老旧器材，完善体育设施配套。依托体育场地，实施全民健身计划，宣传健身理念，发展职工体育，重视老年人参与体育健身工作，实施康复体育进家庭，保障残疾人健身。</w:t>
      </w:r>
    </w:p>
    <w:p w14:paraId="300FCE5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赛事赋能</w:t>
      </w:r>
      <w:r>
        <w:rPr>
          <w:rFonts w:hint="default" w:ascii="Times New Roman" w:hAnsi="Times New Roman" w:cs="Times New Roman"/>
          <w:color w:val="000000" w:themeColor="text1"/>
          <w14:textFill>
            <w14:solidFill>
              <w14:schemeClr w14:val="tx1"/>
            </w14:solidFill>
          </w14:textFill>
        </w:rPr>
        <w:t>：立足城市自然资源禀赋，承办马拉松、城市公园自行车赛、足球、篮球、乒乓球等大众体育赛事，不断吸引高级别赛事落户可克达拉，形成“一日比赛，多日停留；一人参赛、多人旅游；单人竞赛，多人消费”的体育旅游模式，借助赛事，集聚人气，融合赛事冠名、美食体验、休闲娱乐、产品展销等内容，提升赛事经济效益与服务体验，打造跟着赛事去旅游消费</w:t>
      </w:r>
      <w:r>
        <w:rPr>
          <w:rFonts w:hint="default" w:ascii="Times New Roman" w:hAnsi="Times New Roman" w:cs="Times New Roman"/>
          <w:color w:val="000000" w:themeColor="text1"/>
          <w:lang w:eastAsia="zh-CN"/>
          <w14:textFill>
            <w14:solidFill>
              <w14:schemeClr w14:val="tx1"/>
            </w14:solidFill>
          </w14:textFill>
        </w:rPr>
        <w:t>性</w:t>
      </w:r>
      <w:r>
        <w:rPr>
          <w:rFonts w:hint="default" w:ascii="Times New Roman" w:hAnsi="Times New Roman" w:cs="Times New Roman"/>
          <w:color w:val="000000" w:themeColor="text1"/>
          <w14:textFill>
            <w14:solidFill>
              <w14:schemeClr w14:val="tx1"/>
            </w14:solidFill>
          </w14:textFill>
        </w:rPr>
        <w:t>场景，全方位释放体育多元价值。</w:t>
      </w:r>
    </w:p>
    <w:p w14:paraId="696AC8B3">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bCs w:val="0"/>
          <w:color w:val="000000" w:themeColor="text1"/>
          <w14:textFill>
            <w14:solidFill>
              <w14:schemeClr w14:val="tx1"/>
            </w14:solidFill>
          </w14:textFill>
        </w:rPr>
      </w:pPr>
      <w:bookmarkStart w:id="135" w:name="_Toc215227333"/>
      <w:bookmarkStart w:id="136" w:name="_Toc229494914"/>
      <w:bookmarkStart w:id="137" w:name="_Toc213315626"/>
      <w:bookmarkStart w:id="138" w:name="_Toc227081188"/>
      <w:bookmarkStart w:id="139" w:name="_Toc235785899"/>
      <w:bookmarkStart w:id="140" w:name="_Toc230277509"/>
      <w:bookmarkStart w:id="141" w:name="_Toc215227275"/>
      <w:r>
        <w:rPr>
          <w:rFonts w:hint="default" w:ascii="Times New Roman" w:hAnsi="Times New Roman" w:cs="Times New Roman"/>
          <w:bCs w:val="0"/>
          <w:color w:val="000000" w:themeColor="text1"/>
          <w14:textFill>
            <w14:solidFill>
              <w14:schemeClr w14:val="tx1"/>
            </w14:solidFill>
          </w14:textFill>
        </w:rPr>
        <w:t>宜居品质</w:t>
      </w:r>
      <w:bookmarkEnd w:id="135"/>
      <w:bookmarkEnd w:id="136"/>
      <w:bookmarkEnd w:id="137"/>
      <w:bookmarkEnd w:id="138"/>
      <w:bookmarkEnd w:id="139"/>
      <w:bookmarkEnd w:id="140"/>
      <w:bookmarkEnd w:id="141"/>
    </w:p>
    <w:p w14:paraId="40A25B9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根据《可克达拉市中心城区国土空间详细规划》，以市团一体化发展为引领，统筹中心城区与</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镇区功能整合与空间协同，中心城区共构建14处社区，形成“</w:t>
      </w:r>
      <w:r>
        <w:rPr>
          <w:rFonts w:hint="default"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个完整社区+</w:t>
      </w:r>
      <w:r>
        <w:rPr>
          <w:rFonts w:hint="default"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个生活社区+</w:t>
      </w:r>
      <w:r>
        <w:rPr>
          <w:rFonts w:hint="default"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个产业社区”的基本格局，实现“伊犁河谷生态宜居的康养之城”的城市总体形象。推动“好房子”建设，严格控制商品房存量去周期化，持续提升物业服务水平和小区居住环境。</w:t>
      </w:r>
    </w:p>
    <w:p w14:paraId="2FA14EA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lang w:eastAsia="zh-CN"/>
          <w14:textFill>
            <w14:solidFill>
              <w14:schemeClr w14:val="tx1"/>
            </w14:solidFill>
          </w14:textFill>
        </w:rPr>
        <w:t>五</w:t>
      </w:r>
      <w:r>
        <w:rPr>
          <w:rFonts w:hint="default" w:ascii="Times New Roman" w:hAnsi="Times New Roman" w:cs="Times New Roman"/>
          <w:b/>
          <w:color w:val="000000" w:themeColor="text1"/>
          <w14:textFill>
            <w14:solidFill>
              <w14:schemeClr w14:val="tx1"/>
            </w14:solidFill>
          </w14:textFill>
        </w:rPr>
        <w:t>个完整社区：</w:t>
      </w:r>
    </w:p>
    <w:p w14:paraId="5A544F5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建设完整居住社区，就是对城市空间进行重构，保障居民在步行范围内具有完整的设施环境、完备的生活服务、完善的管理机制，满足居住社区生活的基本需求;对社会进行重组，修复社会关系，形成共同的社区文化，营造良好社会氛围。</w:t>
      </w:r>
    </w:p>
    <w:p w14:paraId="6F74862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在建设内容方面，将按照住房和城乡建设部《完整居住社区建设指南》（以下简称“建设指南”）完整居住社区建设标准，以居民步行5</w:t>
      </w:r>
      <w:r>
        <w:rPr>
          <w:rFonts w:hint="default"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10分钟到达幼儿园、老年服务站等社区基本公共服务设施为原则，因地制宜合理确定完整居住社区规模，建设五个完整社区：在“基本公共服务设施完善”目标层面，建设一个社区综合服务站，一个幼儿园、一个托儿所、一个老年服务站、一个社区卫生服务站；在“便民商业服务设施健全”目标层面，建设一个综合超市、多个邮件和快件寄递服务设施、其他便民商业网点；在“市政配套基础设施完备”目标层面，建设水、电、路、气、热、信等设施、停车及充电设施、慢行系统、无障碍设施、环境卫生设施；在“公共活动空间充足”目标层面，建设公共活动场地、公共绿地；在“物业管理全覆盖”目标层面，建设物业服务、物业管理服务平台；在“社区管理机制健全”目标层面，建设管理机制、综合管理服务、社区文化。</w:t>
      </w:r>
    </w:p>
    <w:p w14:paraId="644CA126">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计划在金山街道、花城街道等现状建设较完整的居住区打造</w:t>
      </w:r>
      <w:r>
        <w:rPr>
          <w:rFonts w:hint="eastAsia"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个完整社区。</w:t>
      </w:r>
      <w:r>
        <w:rPr>
          <w:rFonts w:hint="eastAsia" w:ascii="Times New Roman" w:hAnsi="Times New Roman" w:cs="Times New Roman"/>
          <w:color w:val="000000" w:themeColor="text1"/>
          <w:lang w:eastAsia="zh-CN"/>
          <w14:textFill>
            <w14:solidFill>
              <w14:schemeClr w14:val="tx1"/>
            </w14:solidFill>
          </w14:textFill>
        </w:rPr>
        <w:t>五</w:t>
      </w:r>
      <w:r>
        <w:rPr>
          <w:rFonts w:hint="default" w:ascii="Times New Roman" w:hAnsi="Times New Roman" w:cs="Times New Roman"/>
          <w:color w:val="000000" w:themeColor="text1"/>
          <w14:textFill>
            <w14:solidFill>
              <w14:schemeClr w14:val="tx1"/>
            </w14:solidFill>
          </w14:textFill>
        </w:rPr>
        <w:t>个社区公共服务的现状基础存在差异，依据建设指南配置要求予以补齐，充分发挥各社区现有设施的优势基础，并结合区位、详细规划功能布局等相关因素的考虑，将五个完整社区分为</w:t>
      </w:r>
      <w:r>
        <w:rPr>
          <w:rFonts w:hint="eastAsia" w:ascii="Times New Roman" w:hAnsi="Times New Roman" w:cs="Times New Roman"/>
          <w:color w:val="000000" w:themeColor="text1"/>
          <w:lang w:eastAsia="zh-CN"/>
          <w14:textFill>
            <w14:solidFill>
              <w14:schemeClr w14:val="tx1"/>
            </w14:solidFill>
          </w14:textFill>
        </w:rPr>
        <w:t>一</w:t>
      </w:r>
      <w:r>
        <w:rPr>
          <w:rFonts w:hint="default" w:ascii="Times New Roman" w:hAnsi="Times New Roman" w:cs="Times New Roman"/>
          <w:color w:val="000000" w:themeColor="text1"/>
          <w14:textFill>
            <w14:solidFill>
              <w14:schemeClr w14:val="tx1"/>
            </w14:solidFill>
          </w14:textFill>
        </w:rPr>
        <w:t>个青年友好型、</w:t>
      </w:r>
      <w:r>
        <w:rPr>
          <w:rFonts w:hint="eastAsia" w:ascii="Times New Roman" w:hAnsi="Times New Roman" w:cs="Times New Roman"/>
          <w:color w:val="000000" w:themeColor="text1"/>
          <w:lang w:eastAsia="zh-CN"/>
          <w14:textFill>
            <w14:solidFill>
              <w14:schemeClr w14:val="tx1"/>
            </w14:solidFill>
          </w14:textFill>
        </w:rPr>
        <w:t>一</w:t>
      </w:r>
      <w:r>
        <w:rPr>
          <w:rFonts w:hint="default" w:ascii="Times New Roman" w:hAnsi="Times New Roman" w:cs="Times New Roman"/>
          <w:color w:val="000000" w:themeColor="text1"/>
          <w14:textFill>
            <w14:solidFill>
              <w14:schemeClr w14:val="tx1"/>
            </w14:solidFill>
          </w14:textFill>
        </w:rPr>
        <w:t>老年友好型和</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其他友好型共计三类社区，健全多元人群服务设施并改造超低能耗住宅。划定峨眉山路完整社区为青年友好型完整社区，依托社区区位优势和现有商业活力建设。划定长江路完整社区为老年友好型完整社区，结合社区内两处市级医疗设施、两处15分钟社区级养老设施基础建设。划定汉江西路完整社区、乌孙山路完整社区、定情路完整社区为其他友好型完整社区，按照建设指南要求，对社区内六个目标层的建设内容进行补齐。</w:t>
      </w:r>
    </w:p>
    <w:p w14:paraId="6ACF142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lang w:eastAsia="zh-CN"/>
          <w14:textFill>
            <w14:solidFill>
              <w14:schemeClr w14:val="tx1"/>
            </w14:solidFill>
          </w14:textFill>
        </w:rPr>
        <w:t>七</w:t>
      </w:r>
      <w:r>
        <w:rPr>
          <w:rFonts w:hint="default" w:ascii="Times New Roman" w:hAnsi="Times New Roman" w:cs="Times New Roman"/>
          <w:b/>
          <w:color w:val="000000" w:themeColor="text1"/>
          <w14:textFill>
            <w14:solidFill>
              <w14:schemeClr w14:val="tx1"/>
            </w14:solidFill>
          </w14:textFill>
        </w:rPr>
        <w:t>个生活社区：</w:t>
      </w:r>
    </w:p>
    <w:p w14:paraId="25461FB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活社区以人本宜居为核心导向，构建覆盖基础便民服务、公共文体休闲、社区级医疗养老的一刻钟便民生活圈，保障各类生活服务设施的均衡布局与便捷可达，满足居民全年龄段、全场景的日常生活需求。生活社区注重场景化与精细化营造，统筹居住空间、公共空间与慢行系统的有机融合，强化社区文化培育与邻里互动场景打造，同时建立多元主体参与的社区治理机制，实现“住有所居”向“居有所乐”的升级。</w:t>
      </w:r>
    </w:p>
    <w:p w14:paraId="0E3ADA9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在金山街道和花城街道布局</w:t>
      </w:r>
      <w:r>
        <w:rPr>
          <w:rFonts w:hint="eastAsia"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个生活社区，保障居住用地供给，按照《社区生活圈规划技术指南》要求，配置商业设施及托老所、幼儿园、社区医院、社区服务中心等公共服务设施。</w:t>
      </w:r>
    </w:p>
    <w:p w14:paraId="02E08E0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lang w:eastAsia="zh-CN"/>
          <w14:textFill>
            <w14:solidFill>
              <w14:schemeClr w14:val="tx1"/>
            </w14:solidFill>
          </w14:textFill>
        </w:rPr>
        <w:t>两</w:t>
      </w:r>
      <w:r>
        <w:rPr>
          <w:rFonts w:hint="default" w:ascii="Times New Roman" w:hAnsi="Times New Roman" w:cs="Times New Roman"/>
          <w:b/>
          <w:color w:val="000000" w:themeColor="text1"/>
          <w14:textFill>
            <w14:solidFill>
              <w14:schemeClr w14:val="tx1"/>
            </w14:solidFill>
          </w14:textFill>
        </w:rPr>
        <w:t>个产业社区：</w:t>
      </w:r>
    </w:p>
    <w:p w14:paraId="7BB64F3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以产城融合为核心逻辑，统筹产业空间集聚与生活服务配套的一体化布局，构建“生产+办公+生活+配套”的复合型空间体系。在七一七大道以北产业园区组团及</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镇区布局</w:t>
      </w:r>
      <w:r>
        <w:rPr>
          <w:rFonts w:hint="eastAsia" w:ascii="Times New Roman" w:hAnsi="Times New Roman" w:cs="Times New Roman"/>
          <w:color w:val="000000" w:themeColor="text1"/>
          <w:lang w:eastAsia="zh-CN"/>
          <w14:textFill>
            <w14:solidFill>
              <w14:schemeClr w14:val="tx1"/>
            </w14:solidFill>
          </w14:textFill>
        </w:rPr>
        <w:t>两</w:t>
      </w:r>
      <w:r>
        <w:rPr>
          <w:rFonts w:hint="default" w:ascii="Times New Roman" w:hAnsi="Times New Roman" w:cs="Times New Roman"/>
          <w:color w:val="000000" w:themeColor="text1"/>
          <w14:textFill>
            <w14:solidFill>
              <w14:schemeClr w14:val="tx1"/>
            </w14:solidFill>
          </w14:textFill>
        </w:rPr>
        <w:t>个产业社区，定位为以现代工业、商贸物流及产业配套为主的产业区，配套医疗卫生、文化体育、社会福利等服务设施。将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纳入产业社区建设范围，推动可克达拉市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一体化发展，以更新改造为主，完善配套、提升人居环境，依托良好生态环境和公共配套，新增生活空间，吸引伊宁工业园产业人口来可克达拉生活居住。坚持盘活存量与做优增量并举，以产城融合推动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镇区更新，以连队整合促进生活空间改造提升。</w:t>
      </w:r>
    </w:p>
    <w:p w14:paraId="77D3A0A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“品质住房”建设：</w:t>
      </w:r>
    </w:p>
    <w:p w14:paraId="240F68C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在可克达拉中心城区内积极开展“品质住房”建设试点工作，探索“品质住房”建设路径，打造不同面积、不同价位的“品质住房”样板。推动“好房子”建设，严格控制商品房存量去周期化，持续提升物业服务水平和小区居住环境。加大用地供给，落实净地出让，完善基础设施，给予消费补贴、审批绿色通道和金融信贷支持。建设安全、舒适、绿色、智慧的“品质住房”，严格执行相关标准。安全方面，全面落实“六防”要求（即防电、防火、防灾、防盗、防撞、防摔）；舒适方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优化户型、控制密度、确保隔音；绿色方面</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推广绿色建材和装配式建造；智慧方面应用5G、物联网，推广菜单式装修（含全屋定制、集成卫浴厨房等）和智能家居（智慧安防、远程控制等），全链条提升设计、材料、建造和运维水平。</w:t>
      </w:r>
    </w:p>
    <w:p w14:paraId="1C0A615B">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2" w:name="_Toc229494915"/>
      <w:bookmarkStart w:id="143" w:name="_Toc230277510"/>
      <w:bookmarkStart w:id="144" w:name="_Toc213315627"/>
      <w:bookmarkStart w:id="145" w:name="_Toc215227334"/>
      <w:bookmarkStart w:id="146" w:name="_Toc227081189"/>
      <w:bookmarkStart w:id="147" w:name="_Toc235785900"/>
      <w:bookmarkStart w:id="148" w:name="_Toc215227276"/>
      <w:r>
        <w:rPr>
          <w:rFonts w:hint="default" w:ascii="Times New Roman" w:hAnsi="Times New Roman" w:cs="Times New Roman"/>
          <w:color w:val="000000" w:themeColor="text1"/>
          <w14:textFill>
            <w14:solidFill>
              <w14:schemeClr w14:val="tx1"/>
            </w14:solidFill>
          </w14:textFill>
        </w:rPr>
        <w:t>活力激发</w:t>
      </w:r>
      <w:bookmarkEnd w:id="142"/>
      <w:bookmarkEnd w:id="143"/>
      <w:bookmarkEnd w:id="144"/>
      <w:bookmarkEnd w:id="145"/>
      <w:bookmarkEnd w:id="146"/>
      <w:bookmarkEnd w:id="147"/>
      <w:bookmarkEnd w:id="148"/>
    </w:p>
    <w:p w14:paraId="55459F3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规划依托酒文化、薰衣草文化、音乐文化等特色元素，创新商业模式、打造特色产品、衍生新兴业态，以商业消费空间激发城市活力，形成“三圈四带”的商业消费空间。</w:t>
      </w:r>
    </w:p>
    <w:p w14:paraId="6AFA2C4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突出打造新型商业空间。以“场景重构、功能融合、数字赋能”为核心，构建适配新消费需求的新型商业空间体系。一是强化空间场景创新，推动商业载体从“商品交易型”向“体验服务型”转型，结合金山街道和花城街道城市更新，盘活存量空间，打造集特色零售、文化展演、亲子互动、运动健康于一体的复合型商业场景，鼓励融入第四师特色文化元素打造酒文化、薰衣草文化、音乐文化主题化商业IP。二是推动业态多元融合，选取可克达拉中心商圈，引导商业空间与科技创新、现代服务深度结合，引入首店经济、直播电商、即时零售等新业态，配套建设共享办公、创业孵化等功能区，形成“商业+产业+社群”的融合发展生态。三是完善智慧服务支撑，构建全流程数字化服务体系，部署智能导购、无感支付、智慧停车等设施，依托大数据分析精准匹配消费需求，同时搭建线上线下联动平台，实现“线上下单、线下体验、即时配送”的消费闭环。</w:t>
      </w:r>
    </w:p>
    <w:p w14:paraId="1A810F6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提升夜间消费活力，以“活力培育、品质提升、安全有序”为导向，打造全链条、高品质的夜间消费生态。依托当前九九财富商业广场夜间消费基础优势，着重培育宏远·翰林轩苑商业街和“红色记忆”餐饮广场的夜间消费功能，以镇江路、迎宾大道等主要街道沿街商业作为夜间消费活力载体。一是优化夜间消费供给结构，聚焦餐饮、文娱、零售等核心领域，培育深夜食堂、livehouse、夜间书店、24小时便利店等特色业态，鼓励商业综合体、商圈延长营业时间，结合草原之夜音乐节等节庆活动举办夜间市集、灯光秀、文化夜市等主题活动，对四条商业街区形成“一区一特色”的夜间消费场景。二是完善夜间配套保障体系，建立“弹性化”城市管理机制，延长公共交通运营时间，增设可克达拉市夜间专线与共享出行接驳点，优化夜间照明、标识指引与环卫设施布局，强化夜间安全巡防与应急保障，营造便捷、安全的消费环境。三是强化空间载体支撑，依托九九财富商业广场、宏远·翰林轩苑商业街等核心商圈、滨水步道等重点区域，规划建设一批夜间消费集聚区，推动夜间消费场景与城市景观、文化地标有机融合，打造兼具观赏性与消费力的夜间经济地标。四是健全长效运营机制，建立政企协同的夜间消费治理体系，出台扶持政策鼓励经营主体规范发展，加强夜间消费市场监管，规范经营秩序与服务标准，同时畅通消费者反馈渠道，持续提升夜间消费品质。</w:t>
      </w:r>
    </w:p>
    <w:p w14:paraId="643804FB">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三圈</w:t>
      </w:r>
    </w:p>
    <w:p w14:paraId="5423FDF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城北产业展销商圈：开展各类农副产品精深加工、装备制造等新兴产业商品展销交流会，通过“商圈展销+电商直播+机关直采”等方式策划边民互市活动。</w:t>
      </w:r>
    </w:p>
    <w:p w14:paraId="03D3562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薰衣草文创商圈：依托相关产业园建设旅游节点，强化IP形象，开发主题民宿和餐厅。</w:t>
      </w:r>
    </w:p>
    <w:p w14:paraId="5D9C28E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可克达拉中心商圈：在市中心布局大型商业综合体以满足多重需求。</w:t>
      </w:r>
    </w:p>
    <w:p w14:paraId="4ADAC604">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四带</w:t>
      </w:r>
    </w:p>
    <w:p w14:paraId="45EB70F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可克达拉美食街区：安排特色餐饮店等业态模式，打造地域特色美食区。</w:t>
      </w:r>
    </w:p>
    <w:p w14:paraId="745910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可克达拉中心商业街区：形成城市轴线上的综合性商业街区。</w:t>
      </w:r>
    </w:p>
    <w:p w14:paraId="17E9C2E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文博文创活力街区：依托“四馆”等文化节点，融合“云演艺、云展览、云直播”等数字文化产品，布局文创展示体验和非遗传承等活动。</w:t>
      </w:r>
    </w:p>
    <w:p w14:paraId="7DE7349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伊犁河畔滨水休闲街区：重塑亲水商业地标，激活亲水商业活力。</w:t>
      </w:r>
    </w:p>
    <w:p w14:paraId="1162B900">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49" w:name="_Toc235785901"/>
      <w:bookmarkStart w:id="150" w:name="_Toc215227335"/>
      <w:bookmarkStart w:id="151" w:name="_Toc213315628"/>
      <w:bookmarkStart w:id="152" w:name="_Toc227081190"/>
      <w:bookmarkStart w:id="153" w:name="_Toc230277511"/>
      <w:bookmarkStart w:id="154" w:name="_Toc229494916"/>
      <w:bookmarkStart w:id="155" w:name="_Toc215227277"/>
      <w:r>
        <w:rPr>
          <w:rFonts w:hint="default" w:ascii="Times New Roman" w:hAnsi="Times New Roman" w:cs="Times New Roman"/>
          <w:color w:val="000000" w:themeColor="text1"/>
          <w14:textFill>
            <w14:solidFill>
              <w14:schemeClr w14:val="tx1"/>
            </w14:solidFill>
          </w14:textFill>
        </w:rPr>
        <w:t>安全韧性</w:t>
      </w:r>
      <w:bookmarkEnd w:id="149"/>
      <w:bookmarkEnd w:id="150"/>
      <w:bookmarkEnd w:id="151"/>
      <w:bookmarkEnd w:id="152"/>
      <w:bookmarkEnd w:id="153"/>
      <w:bookmarkEnd w:id="154"/>
      <w:bookmarkEnd w:id="155"/>
    </w:p>
    <w:p w14:paraId="135FFD0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规划从提升保障能力、补齐市政基础设施短板、提高智慧管控水平、提高城镇防灾能力四个方面进行分析，以项目为抓手，构建高质量韧性设施支撑体系。</w:t>
      </w:r>
    </w:p>
    <w:p w14:paraId="6479FE8E">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提升保障能力</w:t>
      </w:r>
    </w:p>
    <w:p w14:paraId="37277CB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照兵团住建“十五五”规划要求，系统提升城市供水安全保障水平。推进供水设施扩容提质，在现状霍尔果斯河水厂6.5万吨/日规模基础上，实施二期扩建工程，新增规模3.5万吨/日，总规模达到10万吨/日，满足可克达拉市发展供水需求；同步推动供水管网成环建设，加强管网检查改造，降低公共供水管网漏损。加快构建多水源供水格局，规划在现状可克达拉市水厂厂址远期改扩建用地内，建设中心城区备用水厂，水源渠自伊犁河，供水规模为6.0万立方米/日，新建泥渣回流高效澄清池一座、净水车间一座、清水池一座、吸水井一座、二级提升泵房一座、配电室一座，改造现状取水头部、加药间、一级提升泵房及相关自控系统，配套建设DN800出水总管，长度约4.8千米，沿长白山路与七一七大道敷设。在人饮水长输管网出现问题或者需要大检修时，将此水厂作为应急备用水源投用，以保障可克达拉市的人饮供水，同时解决现状水源地蓄水池进水不稳定的问题。同时，结合城市生命线安全风险综合监测预警指挥平台，集中供水管网的运行状态以及漏损、爆管等事故情况信息，实现城市基础设施运行主动式保障，提升供水保障韧性。加快推进人饮管网与绿化管网分离，实行分质供水，提高水资源利用效率。</w:t>
      </w:r>
    </w:p>
    <w:p w14:paraId="00E7ED8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快推进老旧供热设备及管网更新改造，在现状城市集中供热热源基础上，依托2×350MW热电联产项目，新建一座调压中继泵站、一座隔压站及配套设施，与原供热站共同承担供暖任务。同时，结合城市生命线安全风险综合监测预警指挥平台，对供热管网重要节点的供热温度、供热效率、运行状态进行监控和预判，实现城市基础设施运行主动式保障，提高供热保障能力。积极稳妥推进供热系统节能改造，实现燃煤锅炉烟气达标排放，推动供热系统向清洁低碳、安全高效方向转型。</w:t>
      </w:r>
    </w:p>
    <w:p w14:paraId="5C90B367">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补齐市政基础设施短板</w:t>
      </w:r>
    </w:p>
    <w:p w14:paraId="363F625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对标兵团住建“十五五”规划要求，系统补强市政基础设施承载能力。</w:t>
      </w:r>
    </w:p>
    <w:p w14:paraId="38AB91F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提升绿化供水设施规模</w:t>
      </w:r>
      <w:r>
        <w:rPr>
          <w:rFonts w:hint="default" w:ascii="Times New Roman" w:hAnsi="Times New Roman" w:cs="Times New Roman"/>
          <w:color w:val="000000" w:themeColor="text1"/>
          <w14:textFill>
            <w14:solidFill>
              <w14:schemeClr w14:val="tx1"/>
            </w14:solidFill>
          </w14:textFill>
        </w:rPr>
        <w:t>。对标兵团住建“十五五”分质供水要求，加快推进人饮管网与绿化管网分离。考虑可克达拉市水厂（绿化）规模难以满足绿化浇洒需求，在可克达拉市北干渠分水口南侧新建绿化水厂，规模为8万吨/天，水源取自北干渠，包括取水工程、净水或加压设施、清水池及送水泵房，同步实施自动化控制系统，实现经济高效的绿化供水，并配套建设输水干管。同步拓宽再生水利用渠道，优先在园林绿化、道路清洗等领域使用再生水。</w:t>
      </w:r>
    </w:p>
    <w:p w14:paraId="290AC6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提升供电设施容量。</w:t>
      </w:r>
      <w:r>
        <w:rPr>
          <w:rFonts w:hint="default" w:ascii="Times New Roman" w:hAnsi="Times New Roman" w:cs="Times New Roman"/>
          <w:color w:val="000000" w:themeColor="text1"/>
          <w14:textFill>
            <w14:solidFill>
              <w14:schemeClr w14:val="tx1"/>
            </w14:solidFill>
          </w14:textFill>
        </w:rPr>
        <w:t>响应相关政策，可克达拉将加快建设充换电基础设施体系，根据预测充电桩用电负荷将达到1.41万千瓦，现状110千伏变电站容量难以满足城市远期发展，通过新建110千伏变电站，规模为4×50兆瓦，提升供电设施容量，同步补齐中低压配电系统。同时，充电桩设施应统一建设、统一管理，形成一个“物理分布广泛、标准统一、数据互联互通、服务聚合便捷、市场竞争有序”的智能充电生态系统。</w:t>
      </w:r>
    </w:p>
    <w:p w14:paraId="022B6E0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提高通讯设施密度。</w:t>
      </w:r>
      <w:r>
        <w:rPr>
          <w:rFonts w:hint="default" w:ascii="Times New Roman" w:hAnsi="Times New Roman" w:cs="Times New Roman"/>
          <w:color w:val="000000" w:themeColor="text1"/>
          <w14:textFill>
            <w14:solidFill>
              <w14:schemeClr w14:val="tx1"/>
            </w14:solidFill>
          </w14:textFill>
        </w:rPr>
        <w:t>可克达拉市中心城区的存量站址资源较少，为更好满足中心城区的通信需求，使用户得到高速的体验，基站覆盖半径需要逐渐缩小，站址密度需要加大，需新建铁塔基站19座、5G宏基站125座、室内分布系统27个、微基站33个、通信汇聚机房2座，保障区域内的政务、生产、生活、学习的信息化需求。并以整个中心城区为中心主体，向城西区经开区等区域辐射建设，提供稳定、优质、高效的5G网络覆盖，保障</w:t>
      </w:r>
      <w:r>
        <w:rPr>
          <w:rFonts w:hint="eastAsia" w:ascii="Times New Roman" w:hAnsi="Times New Roman" w:cs="Times New Roman"/>
          <w:color w:val="000000" w:themeColor="text1"/>
          <w:lang w:eastAsia="zh-CN"/>
          <w14:textFill>
            <w14:solidFill>
              <w14:schemeClr w14:val="tx1"/>
            </w14:solidFill>
          </w14:textFill>
        </w:rPr>
        <w:t>招</w:t>
      </w:r>
      <w:r>
        <w:rPr>
          <w:rFonts w:hint="default" w:ascii="Times New Roman" w:hAnsi="Times New Roman" w:cs="Times New Roman"/>
          <w:color w:val="000000" w:themeColor="text1"/>
          <w14:textFill>
            <w14:solidFill>
              <w14:schemeClr w14:val="tx1"/>
            </w14:solidFill>
          </w14:textFill>
        </w:rPr>
        <w:t>商引资企业业务、生产、生活的信息化需求。</w:t>
      </w:r>
    </w:p>
    <w:p w14:paraId="2858B37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提升垃圾填埋容量</w:t>
      </w:r>
      <w:r>
        <w:rPr>
          <w:rFonts w:hint="default" w:ascii="Times New Roman" w:hAnsi="Times New Roman" w:cs="Times New Roman"/>
          <w:color w:val="000000" w:themeColor="text1"/>
          <w14:textFill>
            <w14:solidFill>
              <w14:schemeClr w14:val="tx1"/>
            </w14:solidFill>
          </w14:textFill>
        </w:rPr>
        <w:t>。对标兵团住建“十五五”要求，全面推进生活垃圾处置设施建设。考虑在建筑垃圾填埋场一期基础上进行扩容，扩容至51.99万立方米。推进垃圾综合分类制度和资源化利用项目，集约资源，实现垃圾资源化再利用，减轻垃圾填埋场负荷。加强建筑垃圾治理，强化源头管理和施工现场管控，加快推进建筑垃圾资源化利用设施建设。以制造再生建材和工地回填为主，消纳场填埋为辅，形成有效的建筑垃圾和工程渣土管理网络。同步加快生活垃圾分类收运能力建设，完善分类投放收集设施和分类转运系统。</w:t>
      </w:r>
    </w:p>
    <w:p w14:paraId="6DE902D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优化环卫设施布局。</w:t>
      </w:r>
      <w:r>
        <w:rPr>
          <w:rFonts w:hint="default" w:ascii="Times New Roman" w:hAnsi="Times New Roman" w:cs="Times New Roman"/>
          <w:color w:val="000000" w:themeColor="text1"/>
          <w14:textFill>
            <w14:solidFill>
              <w14:schemeClr w14:val="tx1"/>
            </w14:solidFill>
          </w14:textFill>
        </w:rPr>
        <w:t>对公厕、环卫休息所、环卫车辆停车场、环卫车辆清洗及加水站等设施缺乏的地区进行补建或改造，优化环卫系统设施布局。结合兵团住建“十五五”要求，配齐分类收运车辆，完善生活垃圾分类转运系统。</w:t>
      </w:r>
    </w:p>
    <w:p w14:paraId="4D53AAB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加快市政管线建设</w:t>
      </w:r>
      <w:r>
        <w:rPr>
          <w:rFonts w:hint="default" w:ascii="Times New Roman" w:hAnsi="Times New Roman" w:cs="Times New Roman"/>
          <w:color w:val="000000" w:themeColor="text1"/>
          <w14:textFill>
            <w14:solidFill>
              <w14:schemeClr w14:val="tx1"/>
            </w14:solidFill>
          </w14:textFill>
        </w:rPr>
        <w:t>。加快城市地下管网工程(供热、供水、排水、电力、通讯)管道统一规划、建设。</w:t>
      </w:r>
    </w:p>
    <w:p w14:paraId="1DC7F39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对标兵团住建“十五五”要求，补齐污水收集处理短板，适度超前新建扩建污水处理设施，加大新建城镇污水管网建设力度，有序推进老旧破损管网更新改造。考虑改造DN300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DN1000雨水管网90.2千米，通过构建“上蓄、中通、下排”体系，完善防洪排涝系统，并购置移动排涝设备2套。统筹推进雨污分流改造，合理布局泵站、雨水箅子、雨水渗井等设施，消除城镇易积水点。</w:t>
      </w:r>
    </w:p>
    <w:p w14:paraId="1AD9811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城镇燃气管网升级改造，全面推行使用管道天然气，逐步减少瓶装液化石油气用户比例；对各师市存在安全隐患的老旧燃气管网进行更新改造，全面排查燃气安全风险隐患，加强用户端燃气设施改造，推广使用带熄火保护装置的燃气设备，强化燃气泄漏智能化监控。新建DN160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DN315中压燃气管道33.2千米。</w:t>
      </w:r>
    </w:p>
    <w:p w14:paraId="253911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新建6孔</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12孔通讯管道39.5千米，新建DN200</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DN700绿化浇洒供水管道13.2千米，新建供水厂出水管DN800管网4.8千米，补齐雨水、燃气、通讯、绿化浇洒管道空白区，增加覆盖范围。所有市政管线应统一规划管理，兼顾近远期周边地块的发展。</w:t>
      </w:r>
    </w:p>
    <w:p w14:paraId="194F7863">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提高智慧管控水平</w:t>
      </w:r>
    </w:p>
    <w:p w14:paraId="46F759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依托兵团一体化政务服务平台推动重点领域数据互通，</w:t>
      </w:r>
      <w:bookmarkStart w:id="156" w:name="OLE_LINK2"/>
      <w:r>
        <w:rPr>
          <w:rFonts w:hint="default" w:ascii="Times New Roman" w:hAnsi="Times New Roman" w:cs="Times New Roman"/>
          <w:color w:val="000000" w:themeColor="text1"/>
          <w14:textFill>
            <w14:solidFill>
              <w14:schemeClr w14:val="tx1"/>
            </w14:solidFill>
          </w14:textFill>
        </w:rPr>
        <w:t>推进师市加快“一委一办一平台”工作体系建设，健全权责清晰、协同高效的城市综合行政执法体制。</w:t>
      </w:r>
      <w:bookmarkEnd w:id="156"/>
      <w:r>
        <w:rPr>
          <w:rFonts w:hint="default" w:ascii="Times New Roman" w:hAnsi="Times New Roman" w:cs="Times New Roman"/>
          <w:color w:val="000000" w:themeColor="text1"/>
          <w14:textFill>
            <w14:solidFill>
              <w14:schemeClr w14:val="tx1"/>
            </w14:solidFill>
          </w14:textFill>
        </w:rPr>
        <w:t>持续强化城市运行管理服务平台应用，推进综治信息化平台规划应用，完成师市层面行政执法综合管理监督系统接入部署，实现师市多级执法岗位联通。</w:t>
      </w:r>
    </w:p>
    <w:p w14:paraId="18CA39F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对标兵团住建“十五五”推进城市基础设施生命线安全工程建设要求，部署物联智能感知设备，逐步实现对城市基础设施生命线运行数据的全面感知、自动采集、监测分析、预警上报。</w:t>
      </w:r>
    </w:p>
    <w:p w14:paraId="211DB36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新建智慧水务调度指挥中心，内设调度指挥大厅、数据中心、智慧水质化验室三大核心功能区。针对可克达拉市及西线5个团场主管网、沿线供水厂、团级分水口和供水监控站、水厂调节池的智慧化整合提质改造。新建10大核心供水联动的智慧化软件平台，规划覆盖第四师可市辖区2个水厂和下属18个团场。平台具备智能调度、智慧安防、智慧决策、数据及数字孪生管理、水务综合业务管理、站内知识库、门户网站和小程序、实验室管理、无人机管理、DMA漏损分析及软件系统运行配套的安全运维体系和专网线路租赁。</w:t>
      </w:r>
    </w:p>
    <w:p w14:paraId="0B797D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提高运行效率和管控水平。开展城市基础设施普查，建立覆盖地上地下的城市基础设施数据库，健全数据库并动态更新。构建城市生命线安全工程监测感知网，对城市防洪渠、交通等生命线运行数据进行全面感知与监测分析。在城市运行管理服务平台上搭建综合性城市生命线安全风险综合监测预警指挥平台，加强相关部门数据共享，增强城市运行安全风险监测预警能力，逐步实现与国家平台的信息共享、分级监管、协同联动。</w:t>
      </w:r>
    </w:p>
    <w:p w14:paraId="27795D07">
      <w:pPr>
        <w:pStyle w:val="5"/>
        <w:pageBreakBefore w:val="0"/>
        <w:numPr>
          <w:ilvl w:val="3"/>
          <w:numId w:val="0"/>
        </w:numPr>
        <w:kinsoku/>
        <w:wordWrap/>
        <w:overflowPunct/>
        <w:topLinePunct w:val="0"/>
        <w:autoSpaceDE/>
        <w:autoSpaceDN/>
        <w:bidi w:val="0"/>
        <w:spacing w:line="560" w:lineRule="exact"/>
        <w:ind w:left="568" w:leftChars="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提高城镇防灾能力</w:t>
      </w:r>
    </w:p>
    <w:p w14:paraId="75F28EC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对标兵团住建“十五五”要求，加快推进城市应急水源、气源、热源工程建设，形成多源头保障安全格局，提高应对突发事件的安全保障能力；结合公园绿地、人防设施等稳步推进“平急两用”公共基础设施建设。</w:t>
      </w:r>
    </w:p>
    <w:p w14:paraId="755CAC8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优化应急保障体系。</w:t>
      </w:r>
      <w:r>
        <w:rPr>
          <w:rFonts w:hint="default" w:ascii="Times New Roman" w:hAnsi="Times New Roman" w:cs="Times New Roman"/>
          <w:color w:val="000000" w:themeColor="text1"/>
          <w14:textFill>
            <w14:solidFill>
              <w14:schemeClr w14:val="tx1"/>
            </w14:solidFill>
          </w14:textFill>
        </w:rPr>
        <w:t>规划保留现状5处避难场所，占地面积156.53万平方米，可紧急安置受灾群众约21.5万人，分别位于人民公园、朱雀湖公园、镇江高级中学、第四师第一高级中学、可克达拉职业技术学院；规划新建1处应急避难场所，位于可克达拉市特勤消防站旁，可</w:t>
      </w:r>
      <w:r>
        <w:rPr>
          <w:rFonts w:hint="eastAsia" w:ascii="Times New Roman" w:hAnsi="Times New Roman" w:cs="Times New Roman"/>
          <w:color w:val="000000" w:themeColor="text1"/>
          <w:lang w:eastAsia="zh-CN"/>
          <w14:textFill>
            <w14:solidFill>
              <w14:schemeClr w14:val="tx1"/>
            </w14:solidFill>
          </w14:textFill>
        </w:rPr>
        <w:t>满足</w:t>
      </w:r>
      <w:r>
        <w:rPr>
          <w:rFonts w:hint="default" w:ascii="Times New Roman" w:hAnsi="Times New Roman" w:cs="Times New Roman"/>
          <w:color w:val="000000" w:themeColor="text1"/>
          <w14:textFill>
            <w14:solidFill>
              <w14:schemeClr w14:val="tx1"/>
            </w14:solidFill>
          </w14:textFill>
        </w:rPr>
        <w:t>1700人应急避险需求。结合公园绿地与人防设施推进“平急两用”功能兼容，平时作为市民休闲活动空间，急时快速转换为应急避难与物资储备场所。</w:t>
      </w:r>
    </w:p>
    <w:p w14:paraId="7F53AC7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消除城区积水点较多问题。</w:t>
      </w:r>
      <w:r>
        <w:rPr>
          <w:rFonts w:hint="default" w:ascii="Times New Roman" w:hAnsi="Times New Roman" w:cs="Times New Roman"/>
          <w:color w:val="000000" w:themeColor="text1"/>
          <w14:textFill>
            <w14:solidFill>
              <w14:schemeClr w14:val="tx1"/>
            </w14:solidFill>
          </w14:textFill>
        </w:rPr>
        <w:t>提高防洪排涝建设标准，优化城镇排水管网，因地制宜推进雨污分流改造，合理布局泵站、雨水箅子、雨水渗井等防洪排涝设施，建立完善的排水防涝体系。考虑现状中心城区积水点较多问题，规划在内涝严重路段改造道路，重新规划道路竖向标高，并在道路一侧敷设植草沟，部分道路采用透水路面；近期无法道路改造路段，可通过排涝泵站</w:t>
      </w:r>
      <w:r>
        <w:rPr>
          <w:rFonts w:hint="eastAsia" w:ascii="Times New Roman" w:hAnsi="Times New Roman" w:cs="Times New Roman"/>
          <w:color w:val="000000" w:themeColor="text1"/>
          <w:lang w:eastAsia="zh-CN"/>
          <w14:textFill>
            <w14:solidFill>
              <w14:schemeClr w14:val="tx1"/>
            </w14:solidFill>
          </w14:textFill>
        </w:rPr>
        <w:t>缓解</w:t>
      </w:r>
      <w:r>
        <w:rPr>
          <w:rFonts w:hint="default" w:ascii="Times New Roman" w:hAnsi="Times New Roman" w:cs="Times New Roman"/>
          <w:color w:val="000000" w:themeColor="text1"/>
          <w14:textFill>
            <w14:solidFill>
              <w14:schemeClr w14:val="tx1"/>
            </w14:solidFill>
          </w14:textFill>
        </w:rPr>
        <w:t>内涝问题；</w:t>
      </w:r>
      <w:commentRangeStart w:id="10"/>
      <w:r>
        <w:rPr>
          <w:rFonts w:hint="default" w:ascii="Times New Roman" w:hAnsi="Times New Roman" w:cs="Times New Roman"/>
          <w:color w:val="000000" w:themeColor="text1"/>
          <w14:textFill>
            <w14:solidFill>
              <w14:schemeClr w14:val="tx1"/>
            </w14:solidFill>
          </w14:textFill>
        </w:rPr>
        <w:t>发挥中心城区绿化优势，结合中心城区四条水系，完善雨水调蓄设施，提高设施利用效率；</w:t>
      </w:r>
      <w:commentRangeEnd w:id="10"/>
      <w:r>
        <w:rPr>
          <w:rStyle w:val="34"/>
          <w:rFonts w:hint="default" w:ascii="Times New Roman" w:hAnsi="Times New Roman" w:cs="Times New Roman"/>
          <w:color w:val="000000" w:themeColor="text1"/>
          <w:sz w:val="32"/>
          <w:szCs w:val="32"/>
          <w14:textFill>
            <w14:solidFill>
              <w14:schemeClr w14:val="tx1"/>
            </w14:solidFill>
          </w14:textFill>
        </w:rPr>
        <w:commentReference w:id="10"/>
      </w:r>
      <w:r>
        <w:rPr>
          <w:rFonts w:hint="default" w:ascii="Times New Roman" w:hAnsi="Times New Roman" w:cs="Times New Roman"/>
          <w:color w:val="000000" w:themeColor="text1"/>
          <w14:textFill>
            <w14:solidFill>
              <w14:schemeClr w14:val="tx1"/>
            </w14:solidFill>
          </w14:textFill>
        </w:rPr>
        <w:t>通过修复改造抽排能力不足的泵站、建设下沉式绿地等方式，消除城镇易积水点；中心城区内部河道定期清淤，提高河道水体流动性；新建道路规划竖向标高时，合理设置地块与道路标高，减少内部积水点。</w:t>
      </w:r>
    </w:p>
    <w:p w14:paraId="480BD04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优化消防布局。</w:t>
      </w:r>
      <w:r>
        <w:rPr>
          <w:rFonts w:hint="default" w:ascii="Times New Roman" w:hAnsi="Times New Roman" w:cs="Times New Roman"/>
          <w:color w:val="000000" w:themeColor="text1"/>
          <w14:textFill>
            <w14:solidFill>
              <w14:schemeClr w14:val="tx1"/>
            </w14:solidFill>
          </w14:textFill>
        </w:rPr>
        <w:t>考虑城西产业园入驻企业性质，规划城西化工园区新建特勤消防站1座，城西北区新建一级普通消防站2座；考虑中心城区仅城北1处特勤消防站，无法辐射全城范围，规划新增一级普通消防站1处，占地面积约0.6公顷，位于岳麓山南路与珠江东路交叉口东北角。新建消防站应满足《城市消防站建设标准》（建标152</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2017）和相关标准的规定，建设规划对应等级标准消防站，并对消防装备进行配备。</w:t>
      </w:r>
    </w:p>
    <w:p w14:paraId="0841400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消除人防工程空白区。</w:t>
      </w:r>
      <w:r>
        <w:rPr>
          <w:rFonts w:hint="default" w:ascii="Times New Roman" w:hAnsi="Times New Roman" w:cs="Times New Roman"/>
          <w:color w:val="000000" w:themeColor="text1"/>
          <w14:textFill>
            <w14:solidFill>
              <w14:schemeClr w14:val="tx1"/>
            </w14:solidFill>
          </w14:textFill>
        </w:rPr>
        <w:t>根据《可克达拉市国土空间总体规划》（2021</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2035年），结合机关团体办公大楼修建附属式防空地下室，以中医院、人民医院为急救医院。</w:t>
      </w:r>
    </w:p>
    <w:p w14:paraId="4A42346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提高安全生产能力。</w:t>
      </w:r>
      <w:r>
        <w:rPr>
          <w:rFonts w:hint="default" w:ascii="Times New Roman" w:hAnsi="Times New Roman" w:cs="Times New Roman"/>
          <w:color w:val="000000" w:themeColor="text1"/>
          <w14:textFill>
            <w14:solidFill>
              <w14:schemeClr w14:val="tx1"/>
            </w14:solidFill>
          </w14:textFill>
        </w:rPr>
        <w:t>加强城镇燃气安全管理，全面排查燃气安全风险隐患，重点对燃气管道设施运行情况进行排查；加强用户端燃气设施改造，逐步推广使用或更换带熄火保护装置的燃气设备，强化燃气泄漏智能化监控，鼓励安装无线远传智能物联网表，切实提高燃气安全管理水平。对于城西产业园中存放有危险品的企业，应分类集中布局，防止易产生连锁反应的不同类的危险品集中存放，或同类危险品的过量集中；存放点周边应根据危险品的不同类别，设置足够宽度的绿化隔离带；危化品运输应规划专门运输通道，不得与应急疏散通道重合；危化品运输车辆应设置专门停车场，并与园区市政公用设施、各类工业项目保持一定安全距离；城西产业园应设置专门实训基地，并配备专门危险化学品应急救援队伍。</w:t>
      </w:r>
    </w:p>
    <w:p w14:paraId="68E0D716">
      <w:pPr>
        <w:pStyle w:val="47"/>
        <w:pageBreakBefore w:val="0"/>
        <w:kinsoku/>
        <w:wordWrap/>
        <w:overflowPunct/>
        <w:topLinePunct w:val="0"/>
        <w:autoSpaceDE/>
        <w:autoSpaceDN/>
        <w:bidi w:val="0"/>
        <w:spacing w:line="560" w:lineRule="exact"/>
        <w:ind w:left="280" w:leftChars="0" w:firstLine="36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57" w:name="_Toc215227336"/>
      <w:bookmarkStart w:id="158" w:name="_Toc229494917"/>
      <w:bookmarkStart w:id="159" w:name="_Toc227081191"/>
      <w:bookmarkStart w:id="160" w:name="_Toc213315629"/>
      <w:bookmarkStart w:id="161" w:name="_Toc235785902"/>
      <w:bookmarkStart w:id="162" w:name="_Toc215227278"/>
      <w:bookmarkStart w:id="163" w:name="_Toc230277512"/>
      <w:r>
        <w:rPr>
          <w:rFonts w:hint="default" w:ascii="Times New Roman" w:hAnsi="Times New Roman" w:cs="Times New Roman"/>
          <w:color w:val="000000" w:themeColor="text1"/>
          <w14:textFill>
            <w14:solidFill>
              <w14:schemeClr w14:val="tx1"/>
            </w14:solidFill>
          </w14:textFill>
        </w:rPr>
        <w:t>绿色低碳</w:t>
      </w:r>
      <w:bookmarkEnd w:id="157"/>
      <w:bookmarkEnd w:id="158"/>
      <w:bookmarkEnd w:id="159"/>
      <w:bookmarkEnd w:id="160"/>
      <w:bookmarkEnd w:id="161"/>
      <w:bookmarkEnd w:id="162"/>
      <w:bookmarkEnd w:id="163"/>
    </w:p>
    <w:p w14:paraId="14A8636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兵地大气联防联控，持续开展天山北坡城市群秋冬季空气质量改善攻坚。推进重点行业综合治理，推动设施设备节能更新。规划通过再生资源利用及科学合理的防治手段，实现水资源、水环境、大气环境和固体废弃资源等的综合管理与优化，达到经济效益、社会效益、环境效益三重提升，绿色低碳发展。践行低碳发展理念，推广绿色建筑标准，采用节能照明、循环供水等低碳技术，设置新能源汽车充电设施与共享单车停放点，打造绿色低碳的商业空间样板。</w:t>
      </w:r>
    </w:p>
    <w:p w14:paraId="1AF9216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Cs/>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鼓励资源再生。</w:t>
      </w:r>
      <w:r>
        <w:rPr>
          <w:rFonts w:hint="default" w:ascii="Times New Roman" w:hAnsi="Times New Roman" w:cs="Times New Roman"/>
          <w:bCs/>
          <w:color w:val="000000" w:themeColor="text1"/>
          <w14:textFill>
            <w14:solidFill>
              <w14:schemeClr w14:val="tx1"/>
            </w14:solidFill>
          </w14:textFill>
        </w:rPr>
        <w:t>完善城市垃圾分类处置体系，深入推进生活垃圾分类处置等项目，补充垃圾分类收集点，餐厨垃圾收集车及处理装置，生活垃圾分类转运站，完善垃圾分类收集处理体系;建筑垃圾资源化利用，缓解建筑垃圾填埋存储压力，集约资源，实现建筑材料再利用。对污水处理厂污泥进行资源化处理，资源化污泥可作为绿化有机肥原材料。</w:t>
      </w:r>
    </w:p>
    <w:p w14:paraId="628464B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利用非常规水资源。</w:t>
      </w:r>
      <w:r>
        <w:rPr>
          <w:rFonts w:hint="default" w:ascii="Times New Roman" w:hAnsi="Times New Roman" w:cs="Times New Roman"/>
          <w:bCs/>
          <w:color w:val="000000" w:themeColor="text1"/>
          <w14:textFill>
            <w14:solidFill>
              <w14:schemeClr w14:val="tx1"/>
            </w14:solidFill>
          </w14:textFill>
        </w:rPr>
        <w:t>开展中水和雨水回用，提高回用率。对现状污水处理厂尾水进行深度处理，中水优先用于热电联产生产冷却用水，剩余部分中水用于水系生态补水。新建31座调蓄池，雨后用于绿化浇洒或生态补水，缓解绿化供水压力。对南部生活区现状长度约21公里的现状水系进行清淤，新建一座沉砂池，对原水进行净化，提升水环境</w:t>
      </w:r>
      <w:r>
        <w:rPr>
          <w:rFonts w:hint="default" w:ascii="Times New Roman" w:hAnsi="Times New Roman" w:cs="Times New Roman"/>
          <w:color w:val="000000" w:themeColor="text1"/>
          <w14:textFill>
            <w14:solidFill>
              <w14:schemeClr w14:val="tx1"/>
            </w14:solidFill>
          </w14:textFill>
        </w:rPr>
        <w:t>。</w:t>
      </w:r>
    </w:p>
    <w:p w14:paraId="0C18553D">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巩固伊犁河流域生态保护与修复。</w:t>
      </w:r>
      <w:r>
        <w:rPr>
          <w:rFonts w:hint="default" w:ascii="Times New Roman" w:hAnsi="Times New Roman" w:cs="Times New Roman"/>
          <w:color w:val="000000" w:themeColor="text1"/>
          <w14:textFill>
            <w14:solidFill>
              <w14:schemeClr w14:val="tx1"/>
            </w14:solidFill>
          </w14:textFill>
        </w:rPr>
        <w:t>以增强生态系统功能为目标，巩固伊犁河流域两岸湿地生态系统的保护与修复工作，重点围绕伊犁河岸次生林生态系统综合保护工程建设。</w:t>
      </w:r>
    </w:p>
    <w:p w14:paraId="1C8AC4B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强化面源污染控制。</w:t>
      </w:r>
      <w:r>
        <w:rPr>
          <w:rFonts w:hint="default" w:ascii="Times New Roman" w:hAnsi="Times New Roman" w:cs="Times New Roman"/>
          <w:color w:val="000000" w:themeColor="text1"/>
          <w14:textFill>
            <w14:solidFill>
              <w14:schemeClr w14:val="tx1"/>
            </w14:solidFill>
          </w14:textFill>
        </w:rPr>
        <w:t>加强城市扬尘综合防控，积极推动“智慧工地”建设，建筑工地扬尘防控标准化管理全覆盖。控制道路交通扬尘污染，加强城市道路清扫保洁和洒水抑尘，提高机械化作业水平。</w:t>
      </w:r>
    </w:p>
    <w:p w14:paraId="12A8E21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能源清洁化。</w:t>
      </w:r>
      <w:r>
        <w:rPr>
          <w:rFonts w:hint="default" w:ascii="Times New Roman" w:hAnsi="Times New Roman" w:cs="Times New Roman"/>
          <w:color w:val="000000" w:themeColor="text1"/>
          <w14:textFill>
            <w14:solidFill>
              <w14:schemeClr w14:val="tx1"/>
            </w14:solidFill>
          </w14:textFill>
        </w:rPr>
        <w:t>鼓励通过光伏、氢能源、工业余热等方式，逐步降低化石能源的消费占比，推动碳减排。鼓励构建“源、网、荷、储”绿色微电网系统，以促进清洁能源消纳，实现园区综合能源的智慧调度与高效利用，提升电网运行稳定性，降低企业用电成本。支持将智慧能源单元与能源总线相结合，以更高效地利用可再生能源，实现能源的互补与共享。同时，鼓励采用能源总线技术，有助于提高能源传输的效率和稳定性，降低能源传输成本。</w:t>
      </w:r>
    </w:p>
    <w:p w14:paraId="6117E84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产业清洁化。</w:t>
      </w:r>
      <w:r>
        <w:rPr>
          <w:rFonts w:hint="default" w:ascii="Times New Roman" w:hAnsi="Times New Roman" w:cs="Times New Roman"/>
          <w:color w:val="000000" w:themeColor="text1"/>
          <w14:textFill>
            <w14:solidFill>
              <w14:schemeClr w14:val="tx1"/>
            </w14:solidFill>
          </w14:textFill>
        </w:rPr>
        <w:t>推动基础化工向高端精细化工与生物化工转型，采用绿色工艺与清洁生产技术，重点发展环保型产品，并通过园区内物料互供、能量梯级利用，构建循环耦合的产业生态；重点发展以可再生资源为原料的生物基材料，同时，利用生物技术将农业废弃物转化为高附加值产品，实现资源循环；锚定光伏等绿色能源应用方向，通过引入闭环制造、节能工艺与可再生能源电力直供，大幅降低高耗能生产环节的碳足迹，并布局产品回收再利用，构建绿色制造闭环，形成 “资源</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产品</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再生资源” 的循环经济模式，将可克达拉市建设成为新疆乃至西部地区特色鲜明、竞争力强的绿色低碳产业集聚示范区。</w:t>
      </w:r>
    </w:p>
    <w:p w14:paraId="6D380D9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绿色星级建筑。</w:t>
      </w:r>
      <w:r>
        <w:rPr>
          <w:rFonts w:hint="default" w:ascii="Times New Roman" w:hAnsi="Times New Roman" w:cs="Times New Roman"/>
          <w:color w:val="000000" w:themeColor="text1"/>
          <w14:textFill>
            <w14:solidFill>
              <w14:schemeClr w14:val="tx1"/>
            </w14:solidFill>
          </w14:textFill>
        </w:rPr>
        <w:t>对于未建设地块，开发建设时优先采用木材、再生钢材、低碳水泥、工业副产物等低碳环保材料，内部供排水、电力、供热系统采用水循环、光伏组件、空气热源泵等清洁能源系统；对于现状建筑，可选择政府大楼、管委会等部分建筑先行改造，作为后续推广绿色建筑标杆。</w:t>
      </w:r>
    </w:p>
    <w:p w14:paraId="22F5CF2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城市交通绿色化。</w:t>
      </w:r>
      <w:r>
        <w:rPr>
          <w:rFonts w:hint="default" w:ascii="Times New Roman" w:hAnsi="Times New Roman" w:cs="Times New Roman"/>
          <w:color w:val="000000" w:themeColor="text1"/>
          <w14:textFill>
            <w14:solidFill>
              <w14:schemeClr w14:val="tx1"/>
            </w14:solidFill>
          </w14:textFill>
        </w:rPr>
        <w:t>根据新疆维吾尔自治区人民政府发布《关于进一步加快新能源汽车推广应用及产业发展的指导意见》的通知，全区各级党政机关等公共机构新增及更新车辆中新能源汽车占比不低于80%；公共服务领域公交、出租、物流、环卫等新增及更新车辆中新能源汽车占比不低于50%，中心城区以此参考。优化公交线网，减少重复、覆盖盲区；提高停车费，执行“停车换乘”优惠政策，鼓励外围停车后换乘公共交通进城；固定成熟路线鼓励引入无人驾驶技术和服务。构建多层次充电网络，在公共停车场、商超等场景大规模建设公共充电桩；引入第三方专业运营单位，以市场化方式推进既有小区充电设施补充完善，统筹解决小区电容不足、建设空间有限、管理维护缺位等难题，通过统建统营、共享充电、私桩共享等模式提升小区充电桩覆盖水平。结合可克达拉30万光伏发电项目，推动“光储一体化”充电站建设。推动重卡运输清洁化转型，在物流园区、产业园区等场景优先推广新能源重卡，并配套布局专用充换电设施。搭建“碳普惠”平台，市民通过公交、骑行等绿色出行行为积累碳积分，可兑换商品或服务，对市民出行进行低碳引导。</w:t>
      </w:r>
    </w:p>
    <w:p w14:paraId="4B188DF1">
      <w:pPr>
        <w:pStyle w:val="3"/>
        <w:pageBreakBefore w:val="0"/>
        <w:kinsoku/>
        <w:wordWrap/>
        <w:overflowPunct/>
        <w:topLinePunct w:val="0"/>
        <w:autoSpaceDE/>
        <w:autoSpaceDN/>
        <w:bidi w:val="0"/>
        <w:spacing w:line="560" w:lineRule="exact"/>
        <w:textAlignment w:val="auto"/>
        <w:rPr>
          <w:rFonts w:hint="default" w:ascii="Times New Roman" w:hAnsi="Times New Roman" w:cs="Times New Roman"/>
          <w:color w:val="000000" w:themeColor="text1"/>
          <w14:textFill>
            <w14:solidFill>
              <w14:schemeClr w14:val="tx1"/>
            </w14:solidFill>
          </w14:textFill>
        </w:rPr>
      </w:pPr>
      <w:bookmarkStart w:id="164" w:name="_Toc215227279"/>
      <w:bookmarkStart w:id="165" w:name="_Toc230277513"/>
      <w:bookmarkStart w:id="166" w:name="_Toc213315630"/>
      <w:bookmarkStart w:id="167" w:name="_Toc229494918"/>
      <w:bookmarkStart w:id="168" w:name="_Toc235785903"/>
      <w:bookmarkStart w:id="169" w:name="_Toc215227337"/>
      <w:bookmarkStart w:id="170" w:name="_Toc227081192"/>
      <w:r>
        <w:rPr>
          <w:rFonts w:hint="default" w:ascii="Times New Roman" w:hAnsi="Times New Roman" w:cs="Times New Roman"/>
          <w:color w:val="000000" w:themeColor="text1"/>
          <w14:textFill>
            <w14:solidFill>
              <w14:schemeClr w14:val="tx1"/>
            </w14:solidFill>
          </w14:textFill>
        </w:rPr>
        <w:t>规划实施保障</w:t>
      </w:r>
      <w:bookmarkEnd w:id="164"/>
      <w:bookmarkEnd w:id="165"/>
      <w:bookmarkEnd w:id="166"/>
      <w:bookmarkEnd w:id="167"/>
      <w:bookmarkEnd w:id="168"/>
      <w:bookmarkEnd w:id="169"/>
      <w:bookmarkEnd w:id="170"/>
    </w:p>
    <w:p w14:paraId="080A25AE">
      <w:pPr>
        <w:pStyle w:val="47"/>
        <w:pageBreakBefore w:val="0"/>
        <w:numPr>
          <w:ilvl w:val="0"/>
          <w:numId w:val="17"/>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71" w:name="_Toc230277514"/>
      <w:bookmarkStart w:id="172" w:name="_Toc235785904"/>
      <w:bookmarkStart w:id="173" w:name="_Toc215227338"/>
      <w:bookmarkStart w:id="174" w:name="_Toc229494919"/>
      <w:bookmarkStart w:id="175" w:name="_Toc215227280"/>
      <w:bookmarkStart w:id="176" w:name="_Toc213315631"/>
      <w:bookmarkStart w:id="177" w:name="_Toc227081193"/>
      <w:r>
        <w:rPr>
          <w:rFonts w:hint="default" w:ascii="Times New Roman" w:hAnsi="Times New Roman" w:cs="Times New Roman"/>
          <w:color w:val="000000" w:themeColor="text1"/>
          <w14:textFill>
            <w14:solidFill>
              <w14:schemeClr w14:val="tx1"/>
            </w14:solidFill>
          </w14:textFill>
        </w:rPr>
        <w:t>加强组织领导</w:t>
      </w:r>
      <w:bookmarkEnd w:id="171"/>
      <w:bookmarkEnd w:id="172"/>
      <w:bookmarkEnd w:id="173"/>
      <w:bookmarkEnd w:id="174"/>
      <w:bookmarkEnd w:id="175"/>
      <w:bookmarkEnd w:id="176"/>
      <w:bookmarkEnd w:id="177"/>
    </w:p>
    <w:p w14:paraId="0854307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加强党的领导</w:t>
      </w:r>
      <w:bookmarkStart w:id="178" w:name="OLE_LINK7"/>
      <w:r>
        <w:rPr>
          <w:rFonts w:hint="default" w:ascii="Times New Roman" w:hAnsi="Times New Roman" w:cs="Times New Roman"/>
          <w:b/>
          <w:color w:val="000000" w:themeColor="text1"/>
          <w14:textFill>
            <w14:solidFill>
              <w14:schemeClr w14:val="tx1"/>
            </w14:solidFill>
          </w14:textFill>
        </w:rPr>
        <w:t>。</w:t>
      </w:r>
      <w:bookmarkEnd w:id="178"/>
      <w:r>
        <w:rPr>
          <w:rFonts w:hint="default" w:ascii="Times New Roman" w:hAnsi="Times New Roman" w:cs="Times New Roman"/>
          <w:color w:val="000000" w:themeColor="text1"/>
          <w14:textFill>
            <w14:solidFill>
              <w14:schemeClr w14:val="tx1"/>
            </w14:solidFill>
          </w14:textFill>
        </w:rPr>
        <w:t>深入学习贯彻习近平新时代中国特色社会主义思想，深刻领悟“两个确立”的决定性意义，增强“四个意识”、坚定“四个自信”、做到“两个维护”，不断提高政治判断力、政治领悟力、政治执行力，坚决把党的领导贯穿到可克达拉城市高质量发展建设的各领域和全过程，充分发挥党总揽全局、协调各方的领导核心作用。</w:t>
      </w:r>
    </w:p>
    <w:p w14:paraId="20D5390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强化协同配合。</w:t>
      </w:r>
      <w:r>
        <w:rPr>
          <w:rFonts w:hint="default" w:ascii="Times New Roman" w:hAnsi="Times New Roman" w:cs="Times New Roman"/>
          <w:color w:val="000000" w:themeColor="text1"/>
          <w14:textFill>
            <w14:solidFill>
              <w14:schemeClr w14:val="tx1"/>
            </w14:solidFill>
          </w14:textFill>
        </w:rPr>
        <w:t>各部门要立足部门职能，统一思想认识，在完整、准确、全面贯彻新发展理念中强化推进城市高质量发展，加强统筹协调，强化协同联动，切实推动各项任务落实落细。</w:t>
      </w:r>
    </w:p>
    <w:p w14:paraId="2EF9808F">
      <w:pPr>
        <w:pStyle w:val="47"/>
        <w:pageBreakBefore w:val="0"/>
        <w:numPr>
          <w:ilvl w:val="0"/>
          <w:numId w:val="17"/>
        </w:numPr>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79" w:name="_Toc215227281"/>
      <w:bookmarkStart w:id="180" w:name="_Toc229494920"/>
      <w:bookmarkStart w:id="181" w:name="_Toc230277515"/>
      <w:bookmarkStart w:id="182" w:name="_Toc235785905"/>
      <w:bookmarkStart w:id="183" w:name="_Toc215227339"/>
      <w:bookmarkStart w:id="184" w:name="_Toc213315632"/>
      <w:bookmarkStart w:id="185" w:name="_Toc227081194"/>
      <w:r>
        <w:rPr>
          <w:rFonts w:hint="default" w:ascii="Times New Roman" w:hAnsi="Times New Roman" w:cs="Times New Roman"/>
          <w:color w:val="000000" w:themeColor="text1"/>
          <w14:textFill>
            <w14:solidFill>
              <w14:schemeClr w14:val="tx1"/>
            </w14:solidFill>
          </w14:textFill>
        </w:rPr>
        <w:t>完善工作机制</w:t>
      </w:r>
      <w:bookmarkEnd w:id="179"/>
      <w:bookmarkEnd w:id="180"/>
      <w:bookmarkEnd w:id="181"/>
      <w:bookmarkEnd w:id="182"/>
      <w:bookmarkEnd w:id="183"/>
      <w:bookmarkEnd w:id="184"/>
      <w:bookmarkEnd w:id="185"/>
    </w:p>
    <w:p w14:paraId="34C5BE9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强化部门协同推进机制。</w:t>
      </w:r>
      <w:r>
        <w:rPr>
          <w:rFonts w:hint="default" w:ascii="Times New Roman" w:hAnsi="Times New Roman" w:cs="Times New Roman"/>
          <w:color w:val="000000" w:themeColor="text1"/>
          <w14:textFill>
            <w14:solidFill>
              <w14:schemeClr w14:val="tx1"/>
            </w14:solidFill>
          </w14:textFill>
        </w:rPr>
        <w:t>将规划实施重点任务纳入相关部门年度重点工作计划，建立常态化沟通协调渠道，定期调度工作进展，共同研究解决规划实施中的难点问题，形成职责清晰、协同高效的工作格局。</w:t>
      </w:r>
    </w:p>
    <w:p w14:paraId="212CD1F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建立评估督查机制。</w:t>
      </w:r>
      <w:r>
        <w:rPr>
          <w:rFonts w:hint="default" w:ascii="Times New Roman" w:hAnsi="Times New Roman" w:cs="Times New Roman"/>
          <w:color w:val="000000" w:themeColor="text1"/>
          <w14:textFill>
            <w14:solidFill>
              <w14:schemeClr w14:val="tx1"/>
            </w14:solidFill>
          </w14:textFill>
        </w:rPr>
        <w:t>结合城市体检评估，开展实施情况年度监测、中期评估和总结考核，强化事中事后监管，落实监管责任。</w:t>
      </w:r>
    </w:p>
    <w:p w14:paraId="4F7FABEC">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86" w:name="_Toc213315633"/>
      <w:bookmarkStart w:id="187" w:name="_Toc235785906"/>
      <w:bookmarkStart w:id="188" w:name="_Toc227081195"/>
      <w:bookmarkStart w:id="189" w:name="_Toc215227340"/>
      <w:bookmarkStart w:id="190" w:name="_Toc215227282"/>
      <w:bookmarkStart w:id="191" w:name="_Toc230277516"/>
      <w:bookmarkStart w:id="192" w:name="_Toc229494921"/>
      <w:r>
        <w:rPr>
          <w:rFonts w:hint="default" w:ascii="Times New Roman" w:hAnsi="Times New Roman" w:cs="Times New Roman"/>
          <w:color w:val="000000" w:themeColor="text1"/>
          <w14:textFill>
            <w14:solidFill>
              <w14:schemeClr w14:val="tx1"/>
            </w14:solidFill>
          </w14:textFill>
        </w:rPr>
        <w:t>体制机制保障</w:t>
      </w:r>
      <w:bookmarkEnd w:id="186"/>
      <w:bookmarkEnd w:id="187"/>
      <w:bookmarkEnd w:id="188"/>
      <w:bookmarkEnd w:id="189"/>
      <w:bookmarkEnd w:id="190"/>
      <w:bookmarkEnd w:id="191"/>
      <w:bookmarkEnd w:id="192"/>
    </w:p>
    <w:p w14:paraId="6FF3699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完善兵地融合体制机制。</w:t>
      </w:r>
      <w:r>
        <w:rPr>
          <w:rFonts w:hint="default" w:ascii="Times New Roman" w:hAnsi="Times New Roman" w:cs="Times New Roman"/>
          <w:color w:val="000000" w:themeColor="text1"/>
          <w14:textFill>
            <w14:solidFill>
              <w14:schemeClr w14:val="tx1"/>
            </w14:solidFill>
          </w14:textFill>
        </w:rPr>
        <w:t>牢固树立“兵地一盘棋”思想，坚持师市与伊犁州优势互补，设施共建、资源共享，主动融入“两霍两伊区域一体化”发展，促进兵地深度嵌入深度融合。进一步落实好兵地融合发展领导小组及联席会议制度，成立各项工作专班，加强沟通对接，在经济、文化、社会、干部人才、维稳、深化改革等各方面融合，形成经济融合发展、文化交融共建、维稳责任共担、民族团结共创的局面。</w:t>
      </w:r>
    </w:p>
    <w:p w14:paraId="6827363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深化对口援疆体制机制。</w:t>
      </w:r>
      <w:r>
        <w:rPr>
          <w:rFonts w:hint="default" w:ascii="Times New Roman" w:hAnsi="Times New Roman" w:cs="Times New Roman"/>
          <w:color w:val="000000" w:themeColor="text1"/>
          <w14:textFill>
            <w14:solidFill>
              <w14:schemeClr w14:val="tx1"/>
            </w14:solidFill>
          </w14:textFill>
        </w:rPr>
        <w:t>全面深化对口援疆体制机制，由师市</w:t>
      </w:r>
      <w:r>
        <w:rPr>
          <w:rFonts w:hint="default" w:ascii="Times New Roman" w:hAnsi="Times New Roman" w:cs="Times New Roman"/>
          <w:color w:val="000000" w:themeColor="text1"/>
          <w:shd w:val="clear" w:color="auto" w:fill="FFFFFF"/>
          <w14:textFill>
            <w14:solidFill>
              <w14:schemeClr w14:val="tx1"/>
            </w14:solidFill>
          </w14:textFill>
        </w:rPr>
        <w:t>主要领导和援助方指挥部领导共同牵头，打破部门壁垒，</w:t>
      </w:r>
      <w:r>
        <w:rPr>
          <w:rFonts w:hint="default" w:ascii="Times New Roman" w:hAnsi="Times New Roman" w:cs="Times New Roman"/>
          <w:color w:val="000000" w:themeColor="text1"/>
          <w14:textFill>
            <w14:solidFill>
              <w14:schemeClr w14:val="tx1"/>
            </w14:solidFill>
          </w14:textFill>
        </w:rPr>
        <w:t>深化互利合作，建立“共建共商共享”双向协同的工作机制。充分发挥江苏省镇江市对口支援的重要作用，按照因地施策、精准施策的原则，根据城市高质量发展需要，争取援疆人才、技术、资金支持，积极推进人才援疆、智力援疆、产业援疆，实现从“单项援助”向“系统赋能”的转变。提升援疆综合效益，激发可克达拉内生发展动力，实现城市高质量发展。</w:t>
      </w:r>
    </w:p>
    <w:p w14:paraId="43581D8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完善对外开放体制机制。</w:t>
      </w:r>
      <w:r>
        <w:rPr>
          <w:rFonts w:hint="default" w:ascii="Times New Roman" w:hAnsi="Times New Roman" w:cs="Times New Roman"/>
          <w:color w:val="000000" w:themeColor="text1"/>
          <w14:textFill>
            <w14:solidFill>
              <w14:schemeClr w14:val="tx1"/>
            </w14:solidFill>
          </w14:textFill>
        </w:rPr>
        <w:t>深化相关财税制度，税收收入实现“即征即用”，完善创新“跨区域绿电+产业一体化发展新模式”制度，深入实施自贸试验区提升战略，加快自贸试验区四师区块建设，持续推动改革试点任务落实，在产业招商、市场准入、金融开放、低碳环保等重点领域先行先试，因地制宜推出更多制度创新成果。大力建设平台载体，持续畅通对外开放通道、提升产业承载力，大力发展对外贸易，支持企业开展跨境电商业务，组织企业参加丝绸之路经济带沿线国家经贸活动，深入开展国际交流合作。</w:t>
      </w:r>
    </w:p>
    <w:p w14:paraId="267157FA">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健全科技创新发展体制机制。</w:t>
      </w:r>
      <w:r>
        <w:rPr>
          <w:rFonts w:hint="default" w:ascii="Times New Roman" w:hAnsi="Times New Roman" w:cs="Times New Roman"/>
          <w:color w:val="000000" w:themeColor="text1"/>
          <w14:textFill>
            <w14:solidFill>
              <w14:schemeClr w14:val="tx1"/>
            </w14:solidFill>
          </w14:textFill>
        </w:rPr>
        <w:t>强化科技创新引领高质量发展，突出企业创新主体地位，健全创新型企业梯度培育机制，落实高新技术企业、科技型中小企业后补助政策，引导企业加大研发投入，培育壮大科技领军企业；推动开发区提档升级。充分发挥开发区招商引资主力军、产业发展主引擎作用，强化经开区产业统筹与联动机制，建立师市全域团场与经开区、师市与周边县市的招商联动机制，明确联动规则与利益共享机制，成立师市层面的产业招商协调小组，统筹项目布局，避免同质化竞争。引导适合在经开区化工园区发展的项目向园区集聚，同时将相关配套、下游或特色产业项目根据资源禀赋合理布局至相应团场，形成“主导产业在园区、配套产业在团场”的协同发展体系。有序推进政企分开、管运分离，探索“管委会+平台公司+产投基金”市场化运营模式改革，营造稳定、公平、透明、可预期的良好环境。</w:t>
      </w:r>
    </w:p>
    <w:p w14:paraId="6548D16F">
      <w:pPr>
        <w:pStyle w:val="47"/>
        <w:pageBreakBefore w:val="0"/>
        <w:kinsoku/>
        <w:wordWrap/>
        <w:overflowPunct/>
        <w:topLinePunct w:val="0"/>
        <w:autoSpaceDE/>
        <w:autoSpaceDN/>
        <w:bidi w:val="0"/>
        <w:spacing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193" w:name="_Toc215227341"/>
      <w:bookmarkStart w:id="194" w:name="_Toc230277517"/>
      <w:bookmarkStart w:id="195" w:name="_Toc227081196"/>
      <w:bookmarkStart w:id="196" w:name="_Toc235785907"/>
      <w:bookmarkStart w:id="197" w:name="_Toc229494922"/>
      <w:bookmarkStart w:id="198" w:name="_Toc213315634"/>
      <w:bookmarkStart w:id="199" w:name="_Toc215227283"/>
      <w:r>
        <w:rPr>
          <w:rFonts w:hint="default" w:ascii="Times New Roman" w:hAnsi="Times New Roman" w:cs="Times New Roman"/>
          <w:color w:val="000000" w:themeColor="text1"/>
          <w14:textFill>
            <w14:solidFill>
              <w14:schemeClr w14:val="tx1"/>
            </w14:solidFill>
          </w14:textFill>
        </w:rPr>
        <w:t>加强政策创新</w:t>
      </w:r>
      <w:bookmarkEnd w:id="193"/>
      <w:bookmarkEnd w:id="194"/>
      <w:bookmarkEnd w:id="195"/>
      <w:bookmarkEnd w:id="196"/>
      <w:bookmarkEnd w:id="197"/>
      <w:bookmarkEnd w:id="198"/>
      <w:bookmarkEnd w:id="199"/>
    </w:p>
    <w:p w14:paraId="3597715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产业发展政策。</w:t>
      </w:r>
      <w:r>
        <w:rPr>
          <w:rFonts w:hint="default" w:ascii="Times New Roman" w:hAnsi="Times New Roman" w:cs="Times New Roman"/>
          <w:color w:val="000000" w:themeColor="text1"/>
          <w14:textFill>
            <w14:solidFill>
              <w14:schemeClr w14:val="tx1"/>
            </w14:solidFill>
          </w14:textFill>
        </w:rPr>
        <w:t>在可克达拉北部生态产业园实施负面清单管理，重点发展创新型生态产业。积极争取国家和自治区、兵团的特殊政策，在土地、税收、人才、金融等方面加大对生态产业、军民融合产业即援疆合作项目的扶持力度。实施市场主体培育行动，壮大规上服务业、推动批零住餐业规模化发展、支持商务服务业发展。开展平台载体建设，推动专业市场优化升级，进一步增强服务业对产业发展的支撑力。</w:t>
      </w:r>
    </w:p>
    <w:p w14:paraId="0DE393D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eastAsia="方正仿宋简体" w:cs="Times New Roman"/>
          <w:color w:val="000000" w:themeColor="text1"/>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人口导入和人才政策。</w:t>
      </w:r>
      <w:r>
        <w:rPr>
          <w:rFonts w:hint="default" w:ascii="Times New Roman" w:hAnsi="Times New Roman" w:cs="Times New Roman"/>
          <w:color w:val="000000" w:themeColor="text1"/>
          <w:szCs w:val="32"/>
          <w14:textFill>
            <w14:solidFill>
              <w14:schemeClr w14:val="tx1"/>
            </w14:solidFill>
          </w14:textFill>
        </w:rPr>
        <w:t>构建立体化模式，通过高校工作站、多类型招聘活动引进高层次和急需紧缺人才，实施“三支一扶”计划充实基层；充分发挥教育、医疗等优势，鼓励内地外来人口整家搬迁可克达拉市，探索开展子女享受十五年义务教育、高考加分政策，老人享受城镇养老保障等政策。制定特殊人才名录，对特定教师、医务人员、科研人员等迁入予以鼓励，如子女高考加分、医疗保障等方面。支持可克达拉市进一步扩大高等教育和职业教育办学规模和招生计划。对高校毕业生，提供社保补贴、创业担保贷款、就业创业补贴等多方面扶持，引导其就业创业。坚持“内培外引”人才引育工作思路，加快科技创新人才队伍建设。</w:t>
      </w:r>
    </w:p>
    <w:p w14:paraId="6EAB36E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金融政策。</w:t>
      </w:r>
      <w:r>
        <w:rPr>
          <w:rFonts w:hint="default" w:ascii="Times New Roman" w:hAnsi="Times New Roman" w:cs="Times New Roman"/>
          <w:color w:val="000000" w:themeColor="text1"/>
          <w14:textFill>
            <w14:solidFill>
              <w14:schemeClr w14:val="tx1"/>
            </w14:solidFill>
          </w14:textFill>
        </w:rPr>
        <w:t>持续健全和完善金融服务体系，强化金融业产业功能，大力引进银行、保险、证券等金融机构在可克达拉市设立分支机构。切实提升金融服务水平，加快推进政府产业引导基金设立进度，撬动社会资本投入，加快产业投资，延伸产业链，推动城市经济高质量发展。</w:t>
      </w:r>
    </w:p>
    <w:p w14:paraId="39673F86">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headerReference r:id="rId15" w:type="first"/>
          <w:footerReference r:id="rId18" w:type="first"/>
          <w:headerReference r:id="rId13" w:type="default"/>
          <w:footerReference r:id="rId16" w:type="default"/>
          <w:headerReference r:id="rId14" w:type="even"/>
          <w:footerReference r:id="rId17" w:type="even"/>
          <w:pgSz w:w="11906" w:h="16838"/>
          <w:pgMar w:top="1440" w:right="1800" w:bottom="1440" w:left="1800" w:header="851" w:footer="992" w:gutter="0"/>
          <w:pgNumType w:start="1"/>
          <w:cols w:space="425" w:num="1"/>
          <w:docGrid w:type="lines" w:linePitch="312" w:charSpace="0"/>
        </w:sectPr>
      </w:pPr>
    </w:p>
    <w:p w14:paraId="48FCC348">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p>
    <w:p w14:paraId="23DC8590">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p>
    <w:p w14:paraId="5DFCA812">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pPr>
    </w:p>
    <w:p w14:paraId="40C8B4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6EC8072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AC7F0E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371F0E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353310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031D337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24CD84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29126A3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281E74C">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可克达拉市城市高质量发展实施方案</w:t>
      </w:r>
    </w:p>
    <w:p w14:paraId="0C93193E">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楷体_GB2312" w:cs="Times New Roman"/>
          <w:b/>
          <w:color w:val="000000" w:themeColor="text1"/>
          <w:sz w:val="48"/>
          <w:szCs w:val="36"/>
          <w14:textFill>
            <w14:solidFill>
              <w14:schemeClr w14:val="tx1"/>
            </w14:solidFill>
          </w14:textFill>
        </w:rPr>
      </w:pPr>
    </w:p>
    <w:p w14:paraId="023C0FB5">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55333E5C">
      <w:pPr>
        <w:pageBreakBefore w:val="0"/>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p>
    <w:p w14:paraId="29EC44B0">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48"/>
          <w:szCs w:val="44"/>
          <w14:textFill>
            <w14:solidFill>
              <w14:schemeClr w14:val="tx1"/>
            </w14:solidFill>
          </w14:textFill>
        </w:rPr>
      </w:pPr>
      <w:r>
        <w:rPr>
          <w:rFonts w:hint="default" w:ascii="Times New Roman" w:hAnsi="Times New Roman" w:eastAsia="方正小标宋_GBK" w:cs="Times New Roman"/>
          <w:color w:val="000000" w:themeColor="text1"/>
          <w:sz w:val="48"/>
          <w:szCs w:val="44"/>
          <w14:textFill>
            <w14:solidFill>
              <w14:schemeClr w14:val="tx1"/>
            </w14:solidFill>
          </w14:textFill>
        </w:rPr>
        <w:t>文  本</w:t>
      </w:r>
    </w:p>
    <w:p w14:paraId="6813E8A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ED245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3CB088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5F140AB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1EEB4A1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p>
    <w:p w14:paraId="43857499">
      <w:pPr>
        <w:pageBreakBefore w:val="0"/>
        <w:widowControl/>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footerReference r:id="rId19" w:type="default"/>
          <w:pgSz w:w="11906" w:h="16838"/>
          <w:pgMar w:top="1440" w:right="1800" w:bottom="1440" w:left="1800" w:header="851" w:footer="992" w:gutter="0"/>
          <w:pgNumType w:start="1"/>
          <w:cols w:space="425" w:num="1"/>
          <w:docGrid w:type="lines" w:linePitch="312" w:charSpace="0"/>
        </w:sectPr>
      </w:pPr>
      <w:r>
        <w:rPr>
          <w:rFonts w:hint="default" w:ascii="Times New Roman" w:hAnsi="Times New Roman" w:cs="Times New Roman"/>
          <w:color w:val="000000" w:themeColor="text1"/>
          <w14:textFill>
            <w14:solidFill>
              <w14:schemeClr w14:val="tx1"/>
            </w14:solidFill>
          </w14:textFill>
        </w:rPr>
        <w:br w:type="page"/>
      </w:r>
    </w:p>
    <w:p w14:paraId="71D6E62C">
      <w:pPr>
        <w:pageBreakBefore w:val="0"/>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color w:val="000000" w:themeColor="text1"/>
          <w:sz w:val="36"/>
          <w:szCs w:val="36"/>
          <w14:textFill>
            <w14:solidFill>
              <w14:schemeClr w14:val="tx1"/>
            </w14:solidFill>
          </w14:textFill>
        </w:rPr>
      </w:pPr>
      <w:r>
        <w:rPr>
          <w:rFonts w:hint="default" w:ascii="Times New Roman" w:hAnsi="Times New Roman" w:eastAsia="方正小标宋_GBK" w:cs="Times New Roman"/>
          <w:color w:val="000000" w:themeColor="text1"/>
          <w:sz w:val="36"/>
          <w:szCs w:val="36"/>
          <w14:textFill>
            <w14:solidFill>
              <w14:schemeClr w14:val="tx1"/>
            </w14:solidFill>
          </w14:textFill>
        </w:rPr>
        <w:t>目  录</w:t>
      </w:r>
    </w:p>
    <w:p w14:paraId="5C4928F5">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iCs/>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color w:val="000000" w:themeColor="text1"/>
          <w:sz w:val="30"/>
          <w:szCs w:val="30"/>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TOC \o "1-3" \h \z \u </w:instrText>
      </w:r>
      <w:r>
        <w:rPr>
          <w:rFonts w:hint="default" w:ascii="Times New Roman" w:hAnsi="Times New Roman" w:cs="Times New Roman"/>
          <w:color w:val="000000" w:themeColor="text1"/>
          <w:sz w:val="30"/>
          <w:szCs w:val="30"/>
          <w14:textFill>
            <w14:solidFill>
              <w14:schemeClr w14:val="tx1"/>
            </w14:solidFill>
          </w14:textFill>
        </w:rPr>
        <w:fldChar w:fldCharType="separate"/>
      </w:r>
    </w:p>
    <w:p w14:paraId="7DB52C52">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"_Toc230277518"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明确总体要求</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_Toc230277518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A72468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"_Toc230277519"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指导思想</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_Toc230277519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D081230">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基本原则</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D140EE9">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拟定行动项目</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58CE8C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"_Toc230277523"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实施市中心建设策略行动，加强边疆维稳中枢职能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_Toc230277523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9CBA02C">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"_Toc230277524"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实施交通支撑策略行动，建设区域联动交通枢纽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_Toc230277524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3CC6517">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"_Toc230277525"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实施产城融合策略行动，实现中心城区引人聚人</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_Toc230277525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34F0A8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"_Toc230277526"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实施服务跃升策略行动，培育区域教育医疗物流高地</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_Toc230277526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A53E1D0">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"_Toc230277527"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(五) 实施城市特色策略行动，引领城市特色化发展</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_Toc230277527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F0AE3A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(六) 实施文旅融合策略行动，建设文化旅游康养核心区</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13</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5FCD01BE">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"_Toc230277529"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(七) 实施宜居品质策略行动，共建幸福宜居之城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_Toc230277529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14</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56C8C22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(八) 实施活力激发策略行动，塑造滨水魅力之城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16</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ECCE36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"_Toc230277531"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(九) 实施安全韧性策略行动，构建高质量韧性支撑体系</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_Toc230277531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17</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53CB7B7">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(十) 实施绿色低碳策略行动，建设生态宜居之城</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560C477">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"_Toc230277533"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保障各类要素</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_Toc230277533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28</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C5DF308">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"_Toc230277534"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资金保障措施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_Toc230277534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28</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2B413FAB">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"_Toc230277535"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土地保障措施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_Toc230277535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1343AB9">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"_Toc230277536"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资源保障措施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_Toc230277536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29</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4BBD762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"_Toc230277537"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劳动力保障措施</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_Toc230277537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30</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E6A1FFE">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"_Toc230277538"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创新体制机制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_Toc230277538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30</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85A1B35">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"_Toc230277539"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(一) 创新组织领导</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_Toc230277539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03D2821F">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"_Toc230277540"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(二) 明确主体责任</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_Toc230277540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3DD685C6">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"_Toc230277541"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(三) 协同监督机制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_Toc230277541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69D6E4B4">
      <w:pPr>
        <w:pStyle w:val="15"/>
        <w:pageBreakBefore w:val="0"/>
        <w:kinsoku/>
        <w:wordWrap/>
        <w:overflowPunct/>
        <w:topLinePunct w:val="0"/>
        <w:autoSpaceDE/>
        <w:autoSpaceDN/>
        <w:bidi w:val="0"/>
        <w:spacing w:line="560" w:lineRule="exact"/>
        <w:ind w:firstLine="530"/>
        <w:textAlignment w:val="auto"/>
        <w:rPr>
          <w:rFonts w:hint="default" w:ascii="Times New Roman" w:hAnsi="Times New Roman" w:cs="Times New Roman" w:eastAsiaTheme="minorEastAsia"/>
          <w:iCs w:val="0"/>
          <w:color w:val="000000" w:themeColor="text1"/>
          <w:kern w:val="2"/>
          <w:sz w:val="22"/>
          <w:szCs w:val="24"/>
          <w14:textFill>
            <w14:solidFill>
              <w14:schemeClr w14:val="tx1"/>
            </w14:solidFill>
          </w14:textFill>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"_Toc230277542" </w:instrText>
      </w:r>
      <w:r>
        <w:rPr>
          <w:rFonts w:hint="default" w:ascii="Times New Roman" w:hAnsi="Times New Roman" w:cs="Times New Roman"/>
        </w:rPr>
        <w:fldChar w:fldCharType="separate"/>
      </w:r>
      <w:r>
        <w:rPr>
          <w:rStyle w:val="33"/>
          <w:rFonts w:hint="default" w:ascii="Times New Roman" w:hAnsi="Times New Roman" w:cs="Times New Roman"/>
          <w:color w:val="000000" w:themeColor="text1"/>
          <w14:textFill>
            <w14:solidFill>
              <w14:schemeClr w14:val="tx1"/>
            </w14:solidFill>
          </w14:textFill>
        </w:rPr>
        <w:t>(四) 创新管理机制</w:t>
      </w:r>
      <w:r>
        <w:rPr>
          <w:rFonts w:hint="default" w:ascii="Times New Roman" w:hAnsi="Times New Roman" w:cs="Times New Roman"/>
          <w:color w:val="000000" w:themeColor="text1"/>
          <w14:textFill>
            <w14:solidFill>
              <w14:schemeClr w14:val="tx1"/>
            </w14:solidFill>
          </w14:textFill>
        </w:rPr>
        <w:tab/>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PAGEREF _Toc230277542 \h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32</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fldChar w:fldCharType="end"/>
      </w:r>
    </w:p>
    <w:p w14:paraId="7410BD2E">
      <w:pPr>
        <w:pStyle w:val="24"/>
        <w:pageBreakBefore w:val="0"/>
        <w:kinsoku/>
        <w:wordWrap/>
        <w:overflowPunct/>
        <w:topLinePunct w:val="0"/>
        <w:autoSpaceDE/>
        <w:autoSpaceDN/>
        <w:bidi w:val="0"/>
        <w:spacing w:line="560" w:lineRule="exact"/>
        <w:textAlignment w:val="auto"/>
        <w:rPr>
          <w:rFonts w:hint="default" w:ascii="Times New Roman" w:hAnsi="Times New Roman" w:cs="Times New Roman" w:eastAsiaTheme="minorEastAsia"/>
          <w:b w:val="0"/>
          <w:bCs w:val="0"/>
          <w:smallCaps w:val="0"/>
          <w:color w:val="000000" w:themeColor="text1"/>
          <w:kern w:val="2"/>
          <w:sz w:val="22"/>
          <w:szCs w:val="24"/>
          <w14:textFill>
            <w14:solidFill>
              <w14:schemeClr w14:val="tx1"/>
            </w14:solidFill>
          </w14:textFill>
          <w14:ligatures w14:val="standardContextual"/>
        </w:rPr>
      </w:pPr>
    </w:p>
    <w:p w14:paraId="64FA9B3C">
      <w:pPr>
        <w:pageBreakBefore w:val="0"/>
        <w:tabs>
          <w:tab w:val="left" w:pos="1102"/>
        </w:tabs>
        <w:kinsoku/>
        <w:wordWrap/>
        <w:overflowPunct/>
        <w:topLinePunct w:val="0"/>
        <w:autoSpaceDE/>
        <w:autoSpaceDN/>
        <w:bidi w:val="0"/>
        <w:spacing w:line="560" w:lineRule="exact"/>
        <w:ind w:firstLine="0" w:firstLineChars="0"/>
        <w:textAlignment w:val="auto"/>
        <w:rPr>
          <w:rFonts w:hint="default" w:ascii="Times New Roman" w:hAnsi="Times New Roman" w:cs="Times New Roman"/>
          <w:color w:val="000000" w:themeColor="text1"/>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r>
        <w:rPr>
          <w:rFonts w:hint="default" w:ascii="Times New Roman" w:hAnsi="Times New Roman" w:cs="Times New Roman"/>
          <w:color w:val="000000" w:themeColor="text1"/>
          <w14:textFill>
            <w14:solidFill>
              <w14:schemeClr w14:val="tx1"/>
            </w14:solidFill>
          </w14:textFill>
        </w:rPr>
        <w:fldChar w:fldCharType="end"/>
      </w:r>
    </w:p>
    <w:p w14:paraId="7D224308">
      <w:pPr>
        <w:pStyle w:val="3"/>
        <w:pageBreakBefore w:val="0"/>
        <w:numPr>
          <w:ilvl w:val="0"/>
          <w:numId w:val="18"/>
        </w:numPr>
        <w:kinsoku/>
        <w:wordWrap/>
        <w:overflowPunct/>
        <w:topLinePunct w:val="0"/>
        <w:autoSpaceDE/>
        <w:autoSpaceDN/>
        <w:bidi w:val="0"/>
        <w:spacing w:before="217" w:after="217" w:line="560" w:lineRule="exact"/>
        <w:ind w:firstLineChars="0"/>
        <w:textAlignment w:val="auto"/>
        <w:rPr>
          <w:rFonts w:hint="default" w:ascii="Times New Roman" w:hAnsi="Times New Roman" w:cs="Times New Roman"/>
          <w:color w:val="000000" w:themeColor="text1"/>
          <w14:textFill>
            <w14:solidFill>
              <w14:schemeClr w14:val="tx1"/>
            </w14:solidFill>
          </w14:textFill>
        </w:rPr>
      </w:pPr>
      <w:bookmarkStart w:id="200" w:name="_Toc213317151"/>
      <w:bookmarkStart w:id="201" w:name="_Toc230277518"/>
      <w:bookmarkStart w:id="202" w:name="_Toc213316096"/>
      <w:bookmarkStart w:id="203" w:name="_Toc213316004"/>
      <w:bookmarkStart w:id="204" w:name="_Toc229494865"/>
      <w:bookmarkStart w:id="205" w:name="_Toc227081259"/>
      <w:bookmarkStart w:id="206" w:name="_Toc213315635"/>
      <w:bookmarkStart w:id="207" w:name="_Toc230277460"/>
      <w:bookmarkStart w:id="208" w:name="_Toc235785908"/>
      <w:r>
        <w:rPr>
          <w:rFonts w:hint="default" w:ascii="Times New Roman" w:hAnsi="Times New Roman" w:cs="Times New Roman"/>
          <w:color w:val="000000" w:themeColor="text1"/>
          <w14:textFill>
            <w14:solidFill>
              <w14:schemeClr w14:val="tx1"/>
            </w14:solidFill>
          </w14:textFill>
        </w:rPr>
        <w:t>明确总体要求</w:t>
      </w:r>
      <w:bookmarkEnd w:id="200"/>
      <w:bookmarkEnd w:id="201"/>
      <w:bookmarkEnd w:id="202"/>
      <w:bookmarkEnd w:id="203"/>
      <w:bookmarkEnd w:id="204"/>
      <w:bookmarkEnd w:id="205"/>
      <w:bookmarkEnd w:id="206"/>
      <w:bookmarkEnd w:id="207"/>
      <w:bookmarkEnd w:id="208"/>
    </w:p>
    <w:p w14:paraId="26727BE0">
      <w:pPr>
        <w:pStyle w:val="47"/>
        <w:pageBreakBefore w:val="0"/>
        <w:numPr>
          <w:ilvl w:val="0"/>
          <w:numId w:val="19"/>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09" w:name="_Toc213316097"/>
      <w:bookmarkStart w:id="210" w:name="_Toc230277461"/>
      <w:bookmarkStart w:id="211" w:name="_Toc229494866"/>
      <w:bookmarkStart w:id="212" w:name="_Toc213317152"/>
      <w:bookmarkStart w:id="213" w:name="_Toc235785909"/>
      <w:bookmarkStart w:id="214" w:name="_Toc213316005"/>
      <w:bookmarkStart w:id="215" w:name="_Toc227081260"/>
      <w:bookmarkStart w:id="216" w:name="_Toc213315636"/>
      <w:bookmarkStart w:id="217" w:name="_Toc230277519"/>
      <w:r>
        <w:rPr>
          <w:rFonts w:hint="default" w:ascii="Times New Roman" w:hAnsi="Times New Roman" w:cs="Times New Roman"/>
          <w:color w:val="000000" w:themeColor="text1"/>
          <w14:textFill>
            <w14:solidFill>
              <w14:schemeClr w14:val="tx1"/>
            </w14:solidFill>
          </w14:textFill>
        </w:rPr>
        <w:t>指导思想</w:t>
      </w:r>
      <w:bookmarkEnd w:id="209"/>
      <w:bookmarkEnd w:id="210"/>
      <w:bookmarkEnd w:id="211"/>
      <w:bookmarkEnd w:id="212"/>
      <w:bookmarkEnd w:id="213"/>
      <w:bookmarkEnd w:id="214"/>
      <w:bookmarkEnd w:id="215"/>
      <w:bookmarkEnd w:id="216"/>
      <w:bookmarkEnd w:id="217"/>
    </w:p>
    <w:p w14:paraId="1106FE7E">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坚持以习近平新时代中国特色社会主义思想为指导，完整准确全面贯彻新时代党的治疆方略，加快构建双循环新发展格局，紧紧围绕新疆社会稳定和长治久安工作总目标，聚焦兵团维稳戍边职责使命，站在国家安全发展大局和新疆工作全局的战略高度，以铸牢中华民族共同体意识为主线，围绕高质量发展这个首要任务，融入“两霍两伊”一体化发展区，履行向西开放窗口、中哈边境维稳戍边战略要地职责，坚持有利于兵团发展壮大、有利于维稳作用发挥、有利于兵地互利共赢，以发展产业为突破，以改革创新为动力，以增强区域辐射带动为重点，以打造滨水生态宜居区为支撑，建设区域联动枢纽、市域行政中心、外向型产业基地、文化旅游康养核心区，全面推动可克达拉高质量现代化发展。</w:t>
      </w:r>
    </w:p>
    <w:p w14:paraId="545DF181">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18" w:name="_Toc213316098"/>
      <w:bookmarkStart w:id="219" w:name="_Toc230277520"/>
      <w:bookmarkStart w:id="220" w:name="_Toc227081261"/>
      <w:bookmarkStart w:id="221" w:name="_Toc229494867"/>
      <w:bookmarkStart w:id="222" w:name="_Toc213315637"/>
      <w:bookmarkStart w:id="223" w:name="_Toc213317153"/>
      <w:bookmarkStart w:id="224" w:name="_Toc213316006"/>
      <w:bookmarkStart w:id="225" w:name="_Toc235785910"/>
      <w:bookmarkStart w:id="226" w:name="_Toc230277462"/>
      <w:r>
        <w:rPr>
          <w:rFonts w:hint="default" w:ascii="Times New Roman" w:hAnsi="Times New Roman" w:cs="Times New Roman"/>
          <w:color w:val="000000" w:themeColor="text1"/>
          <w14:textFill>
            <w14:solidFill>
              <w14:schemeClr w14:val="tx1"/>
            </w14:solidFill>
          </w14:textFill>
        </w:rPr>
        <w:t>基本原则</w:t>
      </w:r>
      <w:bookmarkEnd w:id="218"/>
      <w:bookmarkEnd w:id="219"/>
      <w:bookmarkEnd w:id="220"/>
      <w:bookmarkEnd w:id="221"/>
      <w:bookmarkEnd w:id="222"/>
      <w:bookmarkEnd w:id="223"/>
      <w:bookmarkEnd w:id="224"/>
      <w:bookmarkEnd w:id="225"/>
      <w:bookmarkEnd w:id="226"/>
    </w:p>
    <w:p w14:paraId="3306B18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坚持前瞻思考、系统推进。</w:t>
      </w:r>
      <w:r>
        <w:rPr>
          <w:rFonts w:hint="default" w:ascii="Times New Roman" w:hAnsi="Times New Roman" w:cs="Times New Roman"/>
          <w:color w:val="000000" w:themeColor="text1"/>
          <w14:textFill>
            <w14:solidFill>
              <w14:schemeClr w14:val="tx1"/>
            </w14:solidFill>
          </w14:textFill>
        </w:rPr>
        <w:t>坚持目标导向，从战略性长远性高度出发，把可克达拉高质量发展建设置于国家工作全局、新疆和兵团发展大局中谋划推进，解放思想观念，开阔思路视野，做到前瞻性思考、全局性谋划、整体性推进。</w:t>
      </w:r>
    </w:p>
    <w:p w14:paraId="22D4CBA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坚持问题牵引、注重实效。</w:t>
      </w:r>
      <w:r>
        <w:rPr>
          <w:rFonts w:hint="default" w:ascii="Times New Roman" w:hAnsi="Times New Roman" w:cs="Times New Roman"/>
          <w:color w:val="000000" w:themeColor="text1"/>
          <w14:textFill>
            <w14:solidFill>
              <w14:schemeClr w14:val="tx1"/>
            </w14:solidFill>
          </w14:textFill>
        </w:rPr>
        <w:t>坚持问题导向，围绕当前制约可克达拉城市高质量发展建设的关键问题，找准切入点、发力点，精准研究推进政策支持、项目实施等重点工作，有效破解瓶颈制约，推动可克达拉城市高质量发展建设取得新成效。</w:t>
      </w:r>
    </w:p>
    <w:p w14:paraId="5895901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坚持聚人为重，营城留人。</w:t>
      </w:r>
      <w:r>
        <w:rPr>
          <w:rFonts w:hint="default" w:ascii="Times New Roman" w:hAnsi="Times New Roman" w:cs="Times New Roman"/>
          <w:color w:val="000000" w:themeColor="text1"/>
          <w14:textFill>
            <w14:solidFill>
              <w14:schemeClr w14:val="tx1"/>
            </w14:solidFill>
          </w14:textFill>
        </w:rPr>
        <w:t>坚持聚人导向，围绕增加就业推动“育产”“营城”。增进民生福祉，着力解决各族群众反映强烈的突出问题，努力创造宜业、宜居、宜乐、宜游的良好环境，持续提高城市精细化治理水平，增强中心城区凝聚力、带动力、向心力。</w:t>
      </w:r>
    </w:p>
    <w:p w14:paraId="7CC4EA8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坚持面向实施、重点突破。</w:t>
      </w:r>
      <w:r>
        <w:rPr>
          <w:rFonts w:hint="default" w:ascii="Times New Roman" w:hAnsi="Times New Roman" w:cs="Times New Roman"/>
          <w:color w:val="000000" w:themeColor="text1"/>
          <w14:textFill>
            <w14:solidFill>
              <w14:schemeClr w14:val="tx1"/>
            </w14:solidFill>
          </w14:textFill>
        </w:rPr>
        <w:t>坚持实施导向，围绕可克达拉城市高质量发展建设目标和职能支撑条件，将目标职能和总体蓝图路径化、任务化；围绕重点领域和关键环节强化重点突破，确保城市高质量发展建设快见效、显形象。</w:t>
      </w:r>
    </w:p>
    <w:p w14:paraId="542E9D85">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227" w:name="_Toc227081263"/>
      <w:bookmarkStart w:id="228" w:name="_Toc213315639"/>
      <w:bookmarkStart w:id="229" w:name="_Toc229494869"/>
      <w:bookmarkStart w:id="230" w:name="_Toc230277522"/>
      <w:bookmarkStart w:id="231" w:name="_Toc230277464"/>
      <w:bookmarkStart w:id="232" w:name="_Toc213317155"/>
      <w:bookmarkStart w:id="233" w:name="_Toc213316008"/>
      <w:bookmarkStart w:id="234" w:name="_Toc213316100"/>
      <w:bookmarkStart w:id="235" w:name="_Toc235785911"/>
      <w:r>
        <w:rPr>
          <w:rFonts w:hint="default" w:ascii="Times New Roman" w:hAnsi="Times New Roman" w:cs="Times New Roman"/>
          <w:color w:val="000000" w:themeColor="text1"/>
          <w14:textFill>
            <w14:solidFill>
              <w14:schemeClr w14:val="tx1"/>
            </w14:solidFill>
          </w14:textFill>
        </w:rPr>
        <w:t>拟定行动项目</w:t>
      </w:r>
      <w:bookmarkEnd w:id="227"/>
      <w:bookmarkEnd w:id="228"/>
      <w:bookmarkEnd w:id="229"/>
      <w:bookmarkEnd w:id="230"/>
      <w:bookmarkEnd w:id="231"/>
      <w:bookmarkEnd w:id="232"/>
      <w:bookmarkEnd w:id="233"/>
      <w:bookmarkEnd w:id="234"/>
      <w:bookmarkEnd w:id="235"/>
    </w:p>
    <w:p w14:paraId="1B5DEA8F">
      <w:pPr>
        <w:pStyle w:val="47"/>
        <w:pageBreakBefore w:val="0"/>
        <w:numPr>
          <w:ilvl w:val="0"/>
          <w:numId w:val="20"/>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36" w:name="_Toc213316009"/>
      <w:bookmarkStart w:id="237" w:name="_Toc230277465"/>
      <w:bookmarkStart w:id="238" w:name="_Toc227081264"/>
      <w:bookmarkStart w:id="239" w:name="_Toc229494870"/>
      <w:bookmarkStart w:id="240" w:name="_Toc213316101"/>
      <w:bookmarkStart w:id="241" w:name="_Toc235785912"/>
      <w:bookmarkStart w:id="242" w:name="_Toc213315640"/>
      <w:bookmarkStart w:id="243" w:name="_Toc213317156"/>
      <w:bookmarkStart w:id="244" w:name="_Toc230277523"/>
      <w:bookmarkStart w:id="245" w:name="OLE_LINK1"/>
      <w:r>
        <w:rPr>
          <w:rFonts w:hint="default" w:ascii="Times New Roman" w:hAnsi="Times New Roman" w:cs="Times New Roman"/>
          <w:color w:val="000000" w:themeColor="text1"/>
          <w14:textFill>
            <w14:solidFill>
              <w14:schemeClr w14:val="tx1"/>
            </w14:solidFill>
          </w14:textFill>
        </w:rPr>
        <w:t>实施市中心建设策略行动，加强边疆维稳中枢职能</w:t>
      </w:r>
      <w:bookmarkEnd w:id="236"/>
      <w:bookmarkEnd w:id="237"/>
      <w:bookmarkEnd w:id="238"/>
      <w:bookmarkEnd w:id="239"/>
      <w:bookmarkEnd w:id="240"/>
      <w:bookmarkEnd w:id="241"/>
      <w:bookmarkEnd w:id="242"/>
      <w:bookmarkEnd w:id="243"/>
      <w:bookmarkEnd w:id="244"/>
    </w:p>
    <w:p w14:paraId="5192BBA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实施铸牢中华民族共同体意识城市工程。</w:t>
      </w:r>
      <w:r>
        <w:rPr>
          <w:rFonts w:hint="default" w:ascii="Times New Roman" w:hAnsi="Times New Roman" w:cs="Times New Roman"/>
          <w:color w:val="000000" w:themeColor="text1"/>
          <w:szCs w:val="32"/>
          <w14:textFill>
            <w14:solidFill>
              <w14:schemeClr w14:val="tx1"/>
            </w14:solidFill>
          </w14:textFill>
        </w:rPr>
        <w:t>拓展“祖国情·中华行”青少年爱国主义参观学习活动，加强师市学校与镇江市学校“手拉手”结队共建。广泛开展“强国复兴有我”群众性主题活动、举办“童声里的中国”少儿歌咏活动、创作文明乡风主题文艺作品等。倡导简约适度的婚俗礼仪，培育文明向上的婚俗文化，推进殡葬领域移风易俗。制定《第四师可克达拉市法治宣传教育第九个五年规划（2026</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2030）》，结合法律“九进”“群众法治大培训”和“法治大宣讲”等法治宣传教育活动，常态化开展法治宣传教育。</w:t>
      </w:r>
    </w:p>
    <w:p w14:paraId="7CFC315C">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构建协同维稳中枢体系。</w:t>
      </w:r>
      <w:r>
        <w:rPr>
          <w:rFonts w:hint="default" w:ascii="Times New Roman" w:hAnsi="Times New Roman" w:cs="Times New Roman"/>
          <w:color w:val="000000" w:themeColor="text1"/>
          <w:szCs w:val="32"/>
          <w14:textFill>
            <w14:solidFill>
              <w14:schemeClr w14:val="tx1"/>
            </w14:solidFill>
          </w14:textFill>
        </w:rPr>
        <w:t>为加强边疆维稳中枢职能，近中期在维稳方面采取的实施方案具体措施主要为强化四师综合指挥中心平台作为中枢核心的作用,同步推进执法办案管理中心和公安司法鉴定中心等项目建设，实现“指挥调度</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执法办案</w:t>
      </w:r>
      <w:r>
        <w:rPr>
          <w:rFonts w:hint="eastAsia"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技术鉴定”全流程高效协同。</w:t>
      </w:r>
    </w:p>
    <w:p w14:paraId="71FE8636">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夯实基层维稳基建支撑。</w:t>
      </w:r>
      <w:r>
        <w:rPr>
          <w:rFonts w:hint="default" w:ascii="Times New Roman" w:hAnsi="Times New Roman" w:cs="Times New Roman"/>
          <w:color w:val="000000" w:themeColor="text1"/>
          <w:szCs w:val="32"/>
          <w14:textFill>
            <w14:solidFill>
              <w14:schemeClr w14:val="tx1"/>
            </w14:solidFill>
          </w14:textFill>
        </w:rPr>
        <w:t>新建可克达拉市经济技术开发区派出所，精准布局进一步完善社区维稳服务网络，提升基层维稳响应速度与处置效能；加快公安局、交警大队、特警支队等业务技术用房及配套基础设施建设，为高效履行其职能提供基础载体支撑。</w:t>
      </w:r>
    </w:p>
    <w:p w14:paraId="135F10A4">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强化重点要素管控防线。</w:t>
      </w:r>
      <w:r>
        <w:rPr>
          <w:rFonts w:hint="default" w:ascii="Times New Roman" w:hAnsi="Times New Roman" w:cs="Times New Roman"/>
          <w:color w:val="000000" w:themeColor="text1"/>
          <w14:textFill>
            <w14:solidFill>
              <w14:schemeClr w14:val="tx1"/>
            </w14:solidFill>
          </w14:textFill>
        </w:rPr>
        <w:t>推进师市加快“一委一办一平台”工作体系建设，健全权责清晰、协同高效的城市综合行政执法体制。</w:t>
      </w:r>
      <w:r>
        <w:rPr>
          <w:rFonts w:hint="default" w:ascii="Times New Roman" w:hAnsi="Times New Roman" w:cs="Times New Roman"/>
          <w:color w:val="000000" w:themeColor="text1"/>
          <w:szCs w:val="32"/>
          <w14:textFill>
            <w14:solidFill>
              <w14:schemeClr w14:val="tx1"/>
            </w14:solidFill>
          </w14:textFill>
        </w:rPr>
        <w:t>健全师市综合行政执法协调监督机构，巩固以师市为主的行政执法体制改革措施的落实。严格落实反恐防恐“六住”措施，严管严控涉枪涉爆、管制器具、危险化学品等重点物品。加强流动人口管理，健全“两头抓、双向管”工作机制，严格落实“369”限时工作法，精准精细做好流入人员过滤筛查、服务管理工作。加强重点部位防范，对重点场所、部位、单位，开展“三防”建设专项检查。加强社会治安整体防控体系建设，提升重点领域风险防化解能力。建立“情指行”一体化联动机制，实现扁平化指挥、快速调度。推动在经开区、重点企业和高校等企事业单位成立基层人武部，促进人民武装工作向末端延伸。加大党政机关、企事业单位和街道的编兵力度，进一步拓宽多元化编兵格局。按照《关于健全完善兵团连队(村、社区)工作事项准入制度的推进方案》，切实抓好61团5连、68团3连工作事项清单编制工作。</w:t>
      </w:r>
    </w:p>
    <w:p w14:paraId="4C6FC61E">
      <w:pPr>
        <w:pStyle w:val="72"/>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szCs w:val="32"/>
          <w14:textFill>
            <w14:solidFill>
              <w14:schemeClr w14:val="tx1"/>
            </w14:solidFill>
          </w14:textFill>
        </w:rPr>
      </w:pPr>
      <w:r>
        <w:rPr>
          <w:rFonts w:hint="default" w:ascii="Times New Roman" w:hAnsi="Times New Roman" w:cs="Times New Roman"/>
          <w:b/>
          <w:bCs/>
          <w:color w:val="000000" w:themeColor="text1"/>
          <w:szCs w:val="32"/>
          <w14:textFill>
            <w14:solidFill>
              <w14:schemeClr w14:val="tx1"/>
            </w14:solidFill>
          </w14:textFill>
        </w:rPr>
        <w:t>升级边境防控感知网络。</w:t>
      </w:r>
      <w:r>
        <w:rPr>
          <w:rFonts w:hint="default" w:ascii="Times New Roman" w:hAnsi="Times New Roman" w:cs="Times New Roman"/>
          <w:color w:val="000000" w:themeColor="text1"/>
          <w:szCs w:val="32"/>
          <w14:textFill>
            <w14:solidFill>
              <w14:schemeClr w14:val="tx1"/>
            </w14:solidFill>
          </w14:textFill>
        </w:rPr>
        <w:t>推进第四师综合态势感知、边境无人机、边境视频监控、低空守卫者等系统更新建设项目，通过构建、升级边境相关感知与防控系统，提升边境区域态势感知、监控及安全防范能力，助力构建更严密、更高效的边疆维稳防护网。</w:t>
      </w:r>
    </w:p>
    <w:p w14:paraId="77105A84">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46" w:name="_Toc230277466"/>
      <w:bookmarkStart w:id="247" w:name="_Toc213316102"/>
      <w:bookmarkStart w:id="248" w:name="_Toc227081265"/>
      <w:bookmarkStart w:id="249" w:name="_Toc213317157"/>
      <w:bookmarkStart w:id="250" w:name="_Toc229494871"/>
      <w:bookmarkStart w:id="251" w:name="_Toc213315641"/>
      <w:bookmarkStart w:id="252" w:name="_Toc235785913"/>
      <w:bookmarkStart w:id="253" w:name="_Toc230277524"/>
      <w:bookmarkStart w:id="254" w:name="_Toc213316010"/>
      <w:r>
        <w:rPr>
          <w:rFonts w:hint="default" w:ascii="Times New Roman" w:hAnsi="Times New Roman" w:cs="Times New Roman"/>
          <w:color w:val="000000" w:themeColor="text1"/>
          <w14:textFill>
            <w14:solidFill>
              <w14:schemeClr w14:val="tx1"/>
            </w14:solidFill>
          </w14:textFill>
        </w:rPr>
        <w:t>实施交通支撑策略行动，建设区域联动交通枢纽</w:t>
      </w:r>
      <w:bookmarkEnd w:id="246"/>
      <w:bookmarkEnd w:id="247"/>
      <w:bookmarkEnd w:id="248"/>
      <w:bookmarkEnd w:id="249"/>
      <w:bookmarkEnd w:id="250"/>
      <w:bookmarkEnd w:id="251"/>
      <w:bookmarkEnd w:id="252"/>
      <w:bookmarkEnd w:id="253"/>
      <w:bookmarkEnd w:id="254"/>
    </w:p>
    <w:p w14:paraId="1424C50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构建综合互联互通的立体交通体系。</w:t>
      </w:r>
      <w:r>
        <w:rPr>
          <w:rFonts w:hint="default" w:ascii="Times New Roman" w:hAnsi="Times New Roman" w:cs="Times New Roman"/>
          <w:color w:val="000000" w:themeColor="text1"/>
          <w14:textFill>
            <w14:solidFill>
              <w14:schemeClr w14:val="tx1"/>
            </w14:solidFill>
          </w14:textFill>
        </w:rPr>
        <w:t>综合客货运枢纽与公交首末站协同布局，构建城市内外客运衔接网络以便利市民出行与物流集散，依托霍尔果斯专用线支线铁路强化对外货运通道、助力口岸经贸联动，借助通用机场建设项目拓展航空维度</w:t>
      </w:r>
      <w:commentRangeStart w:id="11"/>
      <w:r>
        <w:rPr>
          <w:rFonts w:hint="default" w:ascii="Times New Roman" w:hAnsi="Times New Roman" w:cs="Times New Roman"/>
          <w:strike w:val="0"/>
          <w:color w:val="auto"/>
        </w:rPr>
        <w:t>，引导城市功能、人口和产业有序向西疏解和布局，为可克达拉市未来的长远发展储备战略空间。这对于盘活土地资源、均衡配置公共服务设施、打造城市景观带和活力经济带具有决定性作用</w:t>
      </w:r>
      <w:commentRangeEnd w:id="11"/>
      <w:r>
        <w:rPr>
          <w:rStyle w:val="34"/>
          <w:rFonts w:hint="default" w:ascii="Times New Roman" w:hAnsi="Times New Roman" w:cs="Times New Roman"/>
          <w:strike w:val="0"/>
          <w:color w:val="auto"/>
          <w:sz w:val="32"/>
          <w:szCs w:val="32"/>
        </w:rPr>
        <w:commentReference w:id="11"/>
      </w:r>
      <w:r>
        <w:rPr>
          <w:rFonts w:hint="default" w:ascii="Times New Roman" w:hAnsi="Times New Roman" w:cs="Times New Roman"/>
          <w:strike w:val="0"/>
          <w:color w:val="auto"/>
        </w:rPr>
        <w:t>。</w:t>
      </w:r>
      <w:r>
        <w:rPr>
          <w:rFonts w:hint="default" w:ascii="Times New Roman" w:hAnsi="Times New Roman" w:cs="Times New Roman"/>
          <w:color w:val="000000" w:themeColor="text1"/>
          <w14:textFill>
            <w14:solidFill>
              <w14:schemeClr w14:val="tx1"/>
            </w14:solidFill>
          </w14:textFill>
        </w:rPr>
        <w:t>通过多元交通设施协同完善区域综合立体交通体系，统筹推进可克达拉市核心区道路对外互联互通衔接工作，赋能城市经济发展。</w:t>
      </w:r>
    </w:p>
    <w:p w14:paraId="0675D3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优化城市内部道路连通。</w:t>
      </w:r>
      <w:r>
        <w:rPr>
          <w:rFonts w:hint="default" w:ascii="Times New Roman" w:hAnsi="Times New Roman" w:cs="Times New Roman"/>
          <w:color w:val="000000" w:themeColor="text1"/>
          <w14:textFill>
            <w14:solidFill>
              <w14:schemeClr w14:val="tx1"/>
            </w14:solidFill>
          </w14:textFill>
        </w:rPr>
        <w:t>重点打通“断头路”，畅通“微循环”。加强街区联系，优化城市内部通行效率。为产业联动、招商引资和商业发展创造了优越的交通条件，能够有效激发沿线区域的经济活力，形成新的经济增长点。</w:t>
      </w:r>
    </w:p>
    <w:p w14:paraId="7141BA8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现状道路优化提升。</w:t>
      </w:r>
      <w:r>
        <w:rPr>
          <w:rFonts w:hint="default" w:ascii="Times New Roman" w:hAnsi="Times New Roman" w:cs="Times New Roman"/>
          <w:color w:val="000000" w:themeColor="text1"/>
          <w14:textFill>
            <w14:solidFill>
              <w14:schemeClr w14:val="tx1"/>
            </w14:solidFill>
          </w14:textFill>
        </w:rPr>
        <w:t>优化道路断面设置、保障慢行通道连续畅通，结合道路沿线用地布局构建完善、连续且人性化的慢行网络，促进城市的可持续发展和居民生活质量的提升。通过规范化精细化的现状道路断面交叉口优化，充分利用现有辅路系统，改善中心城区现状非机动车道部分缺失，混行交通严重问题。完善交叉口信控设施，优化信号灯配时，提升交叉口通行效率。</w:t>
      </w:r>
    </w:p>
    <w:p w14:paraId="019F073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打造智慧绿色交通。</w:t>
      </w:r>
      <w:r>
        <w:rPr>
          <w:rFonts w:hint="default" w:ascii="Times New Roman" w:hAnsi="Times New Roman" w:cs="Times New Roman"/>
          <w:color w:val="000000" w:themeColor="text1"/>
          <w14:textFill>
            <w14:solidFill>
              <w14:schemeClr w14:val="tx1"/>
            </w14:solidFill>
          </w14:textFill>
        </w:rPr>
        <w:t>建设城市交通大脑平台，整合路网监测、公交调度、停车管理等数据，实现信号灯智能调控、路况实时预警。开展公交车电动化改造，建设智能公交调度中心与光伏充电场站，构建绿色能源交通生态，智能调度与大数据平台提升公交运营效率和交通管理智慧化水平。推广低碳施工技术，减少交通建设对生态环境的影响，全方位推动城市交通向绿色、智慧、高效升级，助力交通体系优化与可持续发展。</w:t>
      </w:r>
    </w:p>
    <w:p w14:paraId="4CE3DDC2">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构建产业园与中心城区联动发展的公共交通体系。</w:t>
      </w:r>
      <w:r>
        <w:rPr>
          <w:rFonts w:hint="default" w:ascii="Times New Roman" w:hAnsi="Times New Roman" w:cs="Times New Roman"/>
          <w:color w:val="000000" w:themeColor="text1"/>
          <w14:textFill>
            <w14:solidFill>
              <w14:schemeClr w14:val="tx1"/>
            </w14:solidFill>
          </w14:textFill>
        </w:rPr>
        <w:t>立足可克达拉市“产业园集聚发展、中心城区功能辐射”的空间布局，以“通勤高效、覆盖全面、衔接顺畅、绿色智慧”为导向，构建适配产业人群出行需求的公共交通体系。在产业园主集散点建设“通勤服务综合体”，配套标准化候车亭（遮阳避雨、座椅、照明）、电子公示屏、充电设施、临时停车场（供员工接驳车停靠）。升级公交总站、可克达拉站“产业园通勤专线”专用区域，设置独立候车区、检票口，与常规公交、出租车、网约车停靠点相邻布局。适配企业个性化需求，提升公共交通灵活性。依托可克达拉大桥、二桥配套建设两岸连接线，加密可克达拉市、团场连接线公交班次。</w:t>
      </w:r>
    </w:p>
    <w:p w14:paraId="5CBF381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构建“规范运营、绿色升级、城乡延伸”的出租车（网约车）服务体系。</w:t>
      </w:r>
      <w:r>
        <w:rPr>
          <w:rFonts w:hint="default" w:ascii="Times New Roman" w:hAnsi="Times New Roman" w:cs="Times New Roman"/>
          <w:color w:val="000000" w:themeColor="text1"/>
          <w14:textFill>
            <w14:solidFill>
              <w14:schemeClr w14:val="tx1"/>
            </w14:solidFill>
          </w14:textFill>
        </w:rPr>
        <w:t>根据市区人口规模、客流分布及团场出行需求，科学核定出租车运力指标，重点向城乡结合部、团场镇区倾斜；鼓励出租车企业开展“结对服务”，每个企业对接2</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3个团场，保障团场群众出行。在可克达拉站、师团客运站、伊宁机场可克达拉接驳点等交通枢纽，划定网约车专用停靠区，实现与城际班车、出租车的无缝换乘；支持网约车平台与旅游企业合作，开通“机场/车站</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景区”“景区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团场”定制服务。</w:t>
      </w:r>
    </w:p>
    <w:p w14:paraId="2ED79CC7">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55" w:name="_Toc230277467"/>
      <w:bookmarkStart w:id="256" w:name="_Toc227081266"/>
      <w:bookmarkStart w:id="257" w:name="_Toc230277525"/>
      <w:bookmarkStart w:id="258" w:name="_Toc213317158"/>
      <w:bookmarkStart w:id="259" w:name="_Toc213316103"/>
      <w:bookmarkStart w:id="260" w:name="_Toc235785914"/>
      <w:bookmarkStart w:id="261" w:name="_Toc229494872"/>
      <w:bookmarkStart w:id="262" w:name="_Toc213316011"/>
      <w:bookmarkStart w:id="263" w:name="_Toc213315642"/>
      <w:r>
        <w:rPr>
          <w:rFonts w:hint="default" w:ascii="Times New Roman" w:hAnsi="Times New Roman" w:cs="Times New Roman"/>
          <w:color w:val="000000" w:themeColor="text1"/>
          <w14:textFill>
            <w14:solidFill>
              <w14:schemeClr w14:val="tx1"/>
            </w14:solidFill>
          </w14:textFill>
        </w:rPr>
        <w:t>实施产城融合策略行动，实现中心城区引人聚人</w:t>
      </w:r>
      <w:bookmarkEnd w:id="255"/>
      <w:bookmarkEnd w:id="256"/>
      <w:bookmarkEnd w:id="257"/>
      <w:bookmarkEnd w:id="258"/>
      <w:bookmarkEnd w:id="259"/>
      <w:bookmarkEnd w:id="260"/>
      <w:bookmarkEnd w:id="261"/>
      <w:bookmarkEnd w:id="262"/>
      <w:bookmarkEnd w:id="263"/>
    </w:p>
    <w:p w14:paraId="20A650A4">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聚焦产城融合发展，实施城镇化水平提升行动。完善以迎宾大道为中心的经济中心建设，加强丰富城市业态。加快推进特色产业集群、跨境冷链物流通道、完整产业社区、产业园职工食堂、活力街区步行街改造等建设，促进产城融合，提升通勤效率和服务便利性，发挥引人留人聚人的战略作用，实现“以产聚人、以人兴城、产城共荣”。</w:t>
      </w:r>
    </w:p>
    <w:p w14:paraId="27706EF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推进与</w:t>
      </w:r>
      <w:r>
        <w:rPr>
          <w:rFonts w:hint="default" w:ascii="Times New Roman" w:hAnsi="Times New Roman" w:cs="Times New Roman"/>
          <w:b/>
          <w:bCs/>
          <w:color w:val="000000" w:themeColor="text1"/>
          <w:lang w:eastAsia="zh-CN"/>
          <w14:textFill>
            <w14:solidFill>
              <w14:schemeClr w14:val="tx1"/>
            </w14:solidFill>
          </w14:textFill>
        </w:rPr>
        <w:t>66团</w:t>
      </w:r>
      <w:r>
        <w:rPr>
          <w:rFonts w:hint="default" w:ascii="Times New Roman" w:hAnsi="Times New Roman" w:cs="Times New Roman"/>
          <w:b/>
          <w:bCs/>
          <w:color w:val="000000" w:themeColor="text1"/>
          <w14:textFill>
            <w14:solidFill>
              <w14:schemeClr w14:val="tx1"/>
            </w14:solidFill>
          </w14:textFill>
        </w:rPr>
        <w:t>镇区一体化发展。</w:t>
      </w:r>
      <w:r>
        <w:rPr>
          <w:rFonts w:hint="default" w:ascii="Times New Roman" w:hAnsi="Times New Roman" w:cs="Times New Roman"/>
          <w:color w:val="000000" w:themeColor="text1"/>
          <w14:textFill>
            <w14:solidFill>
              <w14:schemeClr w14:val="tx1"/>
            </w14:solidFill>
          </w14:textFill>
        </w:rPr>
        <w:t>加强对城镇一体化成果研究运用工作，推动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融入“两霍两伊”一体化发展战略。对</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土地利用情况进行系统摸底，高质量完成全域土地综合整治工作。坚持存量更新与增量拓展并重，将</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镇区打造为产业服务核心节点及与伊宁协同发展的桥头堡，着力打响“亮剑团”和“中国薰衣草之乡”品牌。其中，</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以更新改造为主，通过城市更新完善配套、提升人居环境，并引入重大公共服务设施带动市团一体化发展；镇区东侧建设产居融合组团，向东对接伊宁产业园、向西联动镇区；镇区北侧依托交通优势打造产业组团，加强产业协同与互补发展，引导大中型企业落地；城区东部片区依托良好生态和公共配套，拓展新增生活空间，吸引伊宁工业园产业人口来可克达拉居住生活。同时，盘活存量空间，以产城融合推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镇区更新发展，通过连队整合促进镇区生活空间改造提升；做优增量空间，在</w:t>
      </w:r>
      <w:r>
        <w:rPr>
          <w:rFonts w:hint="default" w:ascii="Times New Roman" w:hAnsi="Times New Roman" w:cs="Times New Roman"/>
          <w:color w:val="000000" w:themeColor="text1"/>
          <w:lang w:eastAsia="zh-CN"/>
          <w14:textFill>
            <w14:solidFill>
              <w14:schemeClr w14:val="tx1"/>
            </w14:solidFill>
          </w14:textFill>
        </w:rPr>
        <w:t>66团</w:t>
      </w:r>
      <w:r>
        <w:rPr>
          <w:rFonts w:hint="default" w:ascii="Times New Roman" w:hAnsi="Times New Roman" w:cs="Times New Roman"/>
          <w:color w:val="000000" w:themeColor="text1"/>
          <w14:textFill>
            <w14:solidFill>
              <w14:schemeClr w14:val="tx1"/>
            </w14:solidFill>
          </w14:textFill>
        </w:rPr>
        <w:t>金梁镇中心镇区西北侧及东侧预留产业空间，作为远景发展区，进一步强化引人聚人能力。</w:t>
      </w:r>
    </w:p>
    <w:p w14:paraId="1F5D7C8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打造特色产业集群。</w:t>
      </w:r>
      <w:r>
        <w:rPr>
          <w:rFonts w:hint="default" w:ascii="Times New Roman" w:hAnsi="Times New Roman" w:cs="Times New Roman"/>
          <w:color w:val="000000" w:themeColor="text1"/>
          <w14:textFill>
            <w14:solidFill>
              <w14:schemeClr w14:val="tx1"/>
            </w14:solidFill>
          </w14:textFill>
        </w:rPr>
        <w:t>聚焦特色产业发展近中期建设可克达拉经开区新兴产业基地等项目；远期利用精伊霍铁路优势建设农产品跨境冷链物流通道，打通特色产品对外输出的关键链路，为产业规模化发展提供物流保障。积极推动合成生物研究院、中试基地等重点项目开工建设，有序开展算力公共服务平台建设，为人工智能企业提供安全普惠的算力支持，开展一站式大模型训练推理服务。持续推进乡村振兴，实施连队人居环境整治，推动优势产业高质量发展，连队经济进一步壮大。推动自贸试验区四师区块创新发展，积极融入全国统一大市场。加快爱华国际出口商品车改装、永嘉产业智能制造中心等项目建设，大力发展落地加工产业。积极申报霍尔果斯综合保税区扩区，统筹协调重点企业在国内外知名展会设立特色产品展区，集中展示粮油、畜禽、果蔬等绿色农牧产品和新能源新材料等特色成果，精准对接国际商协会资源。重点推进以玉米等农副产品为原料的深加工产业发展，聚焦发展氨基酸、酵母、原料药等产品。建设丝路国际物流枢纽港，推进霍尔果斯丝路国际贸易物流有限公司霍尔果斯站铁路专用线建设。加快推进伊犁产业协作园区兵团片区规划编制、产业布局、项目建设、招商引资等工作。</w:t>
      </w:r>
    </w:p>
    <w:p w14:paraId="7C84B61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推动产城融合建设。</w:t>
      </w:r>
      <w:r>
        <w:rPr>
          <w:rFonts w:hint="default" w:ascii="Times New Roman" w:hAnsi="Times New Roman" w:cs="Times New Roman"/>
          <w:color w:val="000000" w:themeColor="text1"/>
          <w14:textFill>
            <w14:solidFill>
              <w14:schemeClr w14:val="tx1"/>
            </w14:solidFill>
          </w14:textFill>
        </w:rPr>
        <w:t>在打造完整产业社区服务配套方面，北部产业区细分</w:t>
      </w:r>
      <w:r>
        <w:rPr>
          <w:rFonts w:hint="eastAsia" w:ascii="Times New Roman" w:hAnsi="Times New Roman" w:cs="Times New Roman"/>
          <w:color w:val="000000" w:themeColor="text1"/>
          <w:lang w:eastAsia="zh-CN"/>
          <w14:textFill>
            <w14:solidFill>
              <w14:schemeClr w14:val="tx1"/>
            </w14:solidFill>
          </w14:textFill>
        </w:rPr>
        <w:t>七</w:t>
      </w:r>
      <w:r>
        <w:rPr>
          <w:rFonts w:hint="default" w:ascii="Times New Roman" w:hAnsi="Times New Roman" w:cs="Times New Roman"/>
          <w:color w:val="000000" w:themeColor="text1"/>
          <w14:textFill>
            <w14:solidFill>
              <w14:schemeClr w14:val="tx1"/>
            </w14:solidFill>
          </w14:textFill>
        </w:rPr>
        <w:t>大产业片区，近中期建设</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完整产业社区配套设施，并在产业园区建设集中职工食堂，更好的解决厂区工人基本生活和居住需求，实现“职住近接”以减少通勤成本；南部生活区作为可克达拉综合服务中心，也可为产业区提供区域高水平医疗、教育、文化等公共服务设施；在打造城市活力街区方面，近中期在南部生活区打造学府活力街区、九九活力街区、朱雀湖活力街区等三大活力街区步行街改造项目，提升城市活力并辐射北部产业区。适应新青年服务需求，推进共青团服务和促进大学生就业行动，提升“青年驿站”服务质效，为高校毕业生异地求职提供便利。</w:t>
      </w:r>
    </w:p>
    <w:p w14:paraId="6403CF8E">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64" w:name="_Toc213315643"/>
      <w:bookmarkStart w:id="265" w:name="_Toc235785915"/>
      <w:bookmarkStart w:id="266" w:name="_Toc230277526"/>
      <w:bookmarkStart w:id="267" w:name="_Toc213316104"/>
      <w:bookmarkStart w:id="268" w:name="_Toc229494873"/>
      <w:bookmarkStart w:id="269" w:name="_Toc213317159"/>
      <w:bookmarkStart w:id="270" w:name="_Toc230277468"/>
      <w:bookmarkStart w:id="271" w:name="_Toc213316012"/>
      <w:bookmarkStart w:id="272" w:name="_Toc227081267"/>
      <w:r>
        <w:rPr>
          <w:rFonts w:hint="default" w:ascii="Times New Roman" w:hAnsi="Times New Roman" w:cs="Times New Roman"/>
          <w:color w:val="000000" w:themeColor="text1"/>
          <w14:textFill>
            <w14:solidFill>
              <w14:schemeClr w14:val="tx1"/>
            </w14:solidFill>
          </w14:textFill>
        </w:rPr>
        <w:t>实施服务跃升策略行动，培育区域教育医疗物流高地</w:t>
      </w:r>
      <w:bookmarkEnd w:id="264"/>
      <w:bookmarkEnd w:id="265"/>
      <w:bookmarkEnd w:id="266"/>
      <w:bookmarkEnd w:id="267"/>
      <w:bookmarkEnd w:id="268"/>
      <w:bookmarkEnd w:id="269"/>
      <w:bookmarkEnd w:id="270"/>
      <w:bookmarkEnd w:id="271"/>
      <w:bookmarkEnd w:id="272"/>
    </w:p>
    <w:p w14:paraId="013E61D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加强兵地国土空间规划合图研究，公共服务设施协同布局，为培育区域教育医疗物流高地、促进产城融合发展，近中期在民生配套与产业协同建设方面采取如下实施方案。</w:t>
      </w:r>
    </w:p>
    <w:p w14:paraId="513C341F">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打造区域教育医疗高地</w:t>
      </w:r>
    </w:p>
    <w:p w14:paraId="0DA859E4">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聚焦教育设施完善。</w:t>
      </w:r>
      <w:r>
        <w:rPr>
          <w:rFonts w:hint="default" w:ascii="Times New Roman" w:hAnsi="Times New Roman" w:cs="Times New Roman"/>
          <w:color w:val="000000" w:themeColor="text1"/>
          <w14:textFill>
            <w14:solidFill>
              <w14:schemeClr w14:val="tx1"/>
            </w14:solidFill>
          </w14:textFill>
        </w:rPr>
        <w:t>推进可克达拉职业技术学院建设项目（二期）、第二高中、第二小学等2所小学及特殊教育学校建设，提高可克达拉市教育引人能力，提升可克达拉市职业技术学院在校学生规模。开展第四师教育系统理化生实验室设施设备购置，落实多所中学“互联网+教育”设施建设，分阶段补齐教育硬件短板，优化教学环境，为南部生活区及产业人才子女提供优质教育服务。</w:t>
      </w:r>
    </w:p>
    <w:p w14:paraId="0E8D297E">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发力卫生体系升级。</w:t>
      </w:r>
      <w:r>
        <w:rPr>
          <w:rFonts w:hint="default" w:ascii="Times New Roman" w:hAnsi="Times New Roman" w:cs="Times New Roman"/>
          <w:color w:val="000000" w:themeColor="text1"/>
          <w14:textFill>
            <w14:solidFill>
              <w14:schemeClr w14:val="tx1"/>
            </w14:solidFill>
          </w14:textFill>
        </w:rPr>
        <w:t>实施第四师医院配置PETCT、疾病预防控制中心实验室检测能力提升改扩建等项目，强化医疗设施与服务支撑，保障南部生活区居民及北部产业区工人健康需求。提升现有医院诊疗服务功能，补齐专科服务短板，切实构建“三级引领、二级枢纽、一级网底、专科补充”的师域医疗新格局。开展重点人群免费健康普查专项行动，为65岁以上老年人开展免费健康体检，为适龄妇女开展“两癌”筛查，实现可克达拉市域内5家基层医疗机构的数字化预防接种门诊建设。</w:t>
      </w:r>
    </w:p>
    <w:p w14:paraId="587D79F3">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培育现代化智慧物流基地</w:t>
      </w:r>
    </w:p>
    <w:p w14:paraId="60BC3B7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推进综合物流服务站、智慧物流信息平台建设，完善物流基建与信息化体系，助力北部产业区物资流通。同时，推动“产业社区、活力街区”建设，北部产业区聚焦特色产业，细分</w:t>
      </w:r>
      <w:r>
        <w:rPr>
          <w:rFonts w:hint="eastAsia" w:ascii="Times New Roman" w:hAnsi="Times New Roman" w:cs="Times New Roman"/>
          <w:color w:val="000000" w:themeColor="text1"/>
          <w:lang w:eastAsia="zh-CN"/>
          <w14:textFill>
            <w14:solidFill>
              <w14:schemeClr w14:val="tx1"/>
            </w14:solidFill>
          </w14:textFill>
        </w:rPr>
        <w:t>四</w:t>
      </w:r>
      <w:r>
        <w:rPr>
          <w:rFonts w:hint="default" w:ascii="Times New Roman" w:hAnsi="Times New Roman" w:cs="Times New Roman"/>
          <w:color w:val="000000" w:themeColor="text1"/>
          <w14:textFill>
            <w14:solidFill>
              <w14:schemeClr w14:val="tx1"/>
            </w14:solidFill>
          </w14:textFill>
        </w:rPr>
        <w:t>大产业片区，配套</w:t>
      </w:r>
      <w:r>
        <w:rPr>
          <w:rFonts w:hint="eastAsia" w:ascii="Times New Roman" w:hAnsi="Times New Roman" w:cs="Times New Roman"/>
          <w:color w:val="000000" w:themeColor="text1"/>
          <w:lang w:eastAsia="zh-CN"/>
          <w14:textFill>
            <w14:solidFill>
              <w14:schemeClr w14:val="tx1"/>
            </w14:solidFill>
          </w14:textFill>
        </w:rPr>
        <w:t>三</w:t>
      </w:r>
      <w:r>
        <w:rPr>
          <w:rFonts w:hint="default" w:ascii="Times New Roman" w:hAnsi="Times New Roman" w:cs="Times New Roman"/>
          <w:color w:val="000000" w:themeColor="text1"/>
          <w14:textFill>
            <w14:solidFill>
              <w14:schemeClr w14:val="tx1"/>
            </w14:solidFill>
          </w14:textFill>
        </w:rPr>
        <w:t>个“完整产业社区”，实现“职住近接”。</w:t>
      </w:r>
    </w:p>
    <w:p w14:paraId="2F95E095">
      <w:pPr>
        <w:pStyle w:val="5"/>
        <w:pageBreakBefore w:val="0"/>
        <w:numPr>
          <w:ilvl w:val="3"/>
          <w:numId w:val="0"/>
        </w:numPr>
        <w:tabs>
          <w:tab w:val="left" w:pos="360"/>
        </w:tabs>
        <w:kinsoku/>
        <w:wordWrap/>
        <w:overflowPunct/>
        <w:topLinePunct w:val="0"/>
        <w:autoSpaceDE/>
        <w:autoSpaceDN/>
        <w:bidi w:val="0"/>
        <w:spacing w:line="560" w:lineRule="exact"/>
        <w:ind w:firstLine="643"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专注康养与养老服务</w:t>
      </w:r>
    </w:p>
    <w:p w14:paraId="3CE51A3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围绕文旅康养品牌建设，推进康养与生态、中医、养老产业深度融合，全面放开灵活就业人员参加企业职工基本养老保险户籍限制，构建具有兵团特色的康养服务体系。加快构建“市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街道</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社区”三级养老服务网络，依托现有养老机构打造街道区域综合养老服务中心，以社区为单元，配置养老服务站点，拓展居家上门“六助”服务，持续推进老年助餐食堂运营，建设城市“十五分钟养老生活圈”。</w:t>
      </w:r>
    </w:p>
    <w:p w14:paraId="3041219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73" w:name="_Toc235785916"/>
      <w:bookmarkStart w:id="274" w:name="_Toc213316105"/>
      <w:bookmarkStart w:id="275" w:name="_Toc213317160"/>
      <w:bookmarkStart w:id="276" w:name="_Toc213316013"/>
      <w:bookmarkStart w:id="277" w:name="_Toc229494874"/>
      <w:bookmarkStart w:id="278" w:name="_Toc230277527"/>
      <w:bookmarkStart w:id="279" w:name="_Toc230277469"/>
      <w:bookmarkStart w:id="280" w:name="_Toc213315644"/>
      <w:bookmarkStart w:id="281" w:name="_Toc227081268"/>
      <w:r>
        <w:rPr>
          <w:rFonts w:hint="default" w:ascii="Times New Roman" w:hAnsi="Times New Roman" w:cs="Times New Roman"/>
          <w:color w:val="000000" w:themeColor="text1"/>
          <w14:textFill>
            <w14:solidFill>
              <w14:schemeClr w14:val="tx1"/>
            </w14:solidFill>
          </w14:textFill>
        </w:rPr>
        <w:t>实施城市特色策略行动，引领城市特色化发展</w:t>
      </w:r>
      <w:bookmarkEnd w:id="273"/>
      <w:bookmarkEnd w:id="274"/>
      <w:bookmarkEnd w:id="275"/>
      <w:bookmarkEnd w:id="276"/>
      <w:bookmarkEnd w:id="277"/>
      <w:bookmarkEnd w:id="278"/>
      <w:bookmarkEnd w:id="279"/>
      <w:bookmarkEnd w:id="280"/>
      <w:bookmarkEnd w:id="281"/>
    </w:p>
    <w:p w14:paraId="4DB15E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为推进可克达拉市构建“显山水融田园的公园之城，军垦文化特色鲜明的红色之城、伊犁河谷生态宜居的康养之城”城市总体形象，近中期在城市特色化发展方面采取如下实施方案。</w:t>
      </w:r>
    </w:p>
    <w:p w14:paraId="0DED6E83">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实施建设崇德向善文明城市工程。</w:t>
      </w:r>
      <w:r>
        <w:rPr>
          <w:rFonts w:hint="default" w:ascii="Times New Roman" w:hAnsi="Times New Roman" w:cs="Times New Roman"/>
          <w:color w:val="000000" w:themeColor="text1"/>
          <w14:textFill>
            <w14:solidFill>
              <w14:schemeClr w14:val="tx1"/>
            </w14:solidFill>
          </w14:textFill>
        </w:rPr>
        <w:t>加强社会主义精神文明建设，全力推进可克达拉市创建全国文明城市。持续宣介“时代楷模”等国家级先进典型，挖掘选树推荐“兵团榜样”等先进典型。强化城市规划的管控和引导作用，将中华文化元素符号有机融入城市，推动实现功能复合、密度适中、高低错落、蓝绿交织合理的城市风貌。加强建筑设计管理，在设计阶段积极融入和突出中华文化特点和时代风貌。严格落实师市现有15处已认定的历史文化建筑保护与活化利用，积极融入伊犁州全域旅游资源。鼓励符合条件的团场、连队积极申报兵团历史文化名镇、名村。稳妥推进不规范地名清理整治。严格落实公共文化场馆免费开放制度，健全基本文化服务项目，丰富展览、阅读、培训、辅导、公益演出等内容，提升服务供给质量与群众参与度。</w:t>
      </w:r>
    </w:p>
    <w:p w14:paraId="28717F79">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打造五大重点片区。</w:t>
      </w:r>
      <w:r>
        <w:rPr>
          <w:rFonts w:hint="default" w:ascii="Times New Roman" w:hAnsi="Times New Roman" w:cs="Times New Roman"/>
          <w:color w:val="000000" w:themeColor="text1"/>
          <w14:textFill>
            <w14:solidFill>
              <w14:schemeClr w14:val="tx1"/>
            </w14:solidFill>
          </w14:textFill>
        </w:rPr>
        <w:t>聚焦重点片区打造，以中心城区文化旅游休闲街区、消费集聚区为内核强化消费体验；依托北部产城融合发展区，推动产业升级与空间拓展；借南部可克达拉伊犁河旅游度假区，促进河城融合及沿河跨河发展；沿西部可克达拉伊犁河文化旅游区主线，统筹城西功能板块，实现城区景区化、景区连片化。</w:t>
      </w:r>
    </w:p>
    <w:p w14:paraId="253416A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塑造城市特色场景。</w:t>
      </w:r>
      <w:r>
        <w:rPr>
          <w:rFonts w:hint="default" w:ascii="Times New Roman" w:hAnsi="Times New Roman" w:cs="Times New Roman"/>
          <w:color w:val="000000" w:themeColor="text1"/>
          <w14:textFill>
            <w14:solidFill>
              <w14:schemeClr w14:val="tx1"/>
            </w14:solidFill>
          </w14:textFill>
        </w:rPr>
        <w:t>以东部田园生活观光体验区，培育伊犁河畔田园生活新场景。围绕城市IP塑造，突出“中亚湿岛・交响夏都”标签，深挖《草原之夜》IP价值，建设沉浸式剧场、篝火晚会体验及夜市街；融合红色军垦精神、草原游牧文化与艺术名家印记，打造主题展馆与文化地标；联通城市休闲游憩公园环，植入音乐互动装置；强化“紫色经济+酒文化走廊”，增设游客服务中心。</w:t>
      </w:r>
    </w:p>
    <w:p w14:paraId="5A54F7E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构建多元体验载体。</w:t>
      </w:r>
      <w:r>
        <w:rPr>
          <w:rFonts w:hint="default" w:ascii="Times New Roman" w:hAnsi="Times New Roman" w:cs="Times New Roman"/>
          <w:color w:val="000000" w:themeColor="text1"/>
          <w14:textFill>
            <w14:solidFill>
              <w14:schemeClr w14:val="tx1"/>
            </w14:solidFill>
          </w14:textFill>
        </w:rPr>
        <w:t>提升可克达拉伊犁河旅游度假区、，草原之夜文化旅游休闲街区等载体，打造伊犁河文化旅游区，分阶段构建多元文旅场景；发力场景营造，打造“屯垦记忆环线”慢行景观轴，结合街区微更新布设红色内容、建设城市记忆展厅；植入沉浸式体验，在特色街区引入主题业态，打造民族风情体验节点与文化演艺联动场景；推进“文旅+消费”融合，改造升级商业区，引入特色文创与体验业态，激活夜游经济。通过片区联动、IP赋能、项目建设与场景运营协同，夯实文旅发展基础，塑造特色文旅品牌 。</w:t>
      </w:r>
    </w:p>
    <w:p w14:paraId="08B640F8">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82" w:name="_Toc230277470"/>
      <w:bookmarkStart w:id="283" w:name="_Toc213316014"/>
      <w:bookmarkStart w:id="284" w:name="_Toc213317161"/>
      <w:bookmarkStart w:id="285" w:name="_Toc235785917"/>
      <w:bookmarkStart w:id="286" w:name="_Toc230277528"/>
      <w:bookmarkStart w:id="287" w:name="_Toc213315645"/>
      <w:bookmarkStart w:id="288" w:name="_Toc227081269"/>
      <w:bookmarkStart w:id="289" w:name="_Toc229494875"/>
      <w:bookmarkStart w:id="290" w:name="_Toc213316106"/>
      <w:r>
        <w:rPr>
          <w:rFonts w:hint="default" w:ascii="Times New Roman" w:hAnsi="Times New Roman" w:cs="Times New Roman"/>
          <w:color w:val="000000" w:themeColor="text1"/>
          <w14:textFill>
            <w14:solidFill>
              <w14:schemeClr w14:val="tx1"/>
            </w14:solidFill>
          </w14:textFill>
        </w:rPr>
        <w:t>实施文旅融合策略行动，建设文化旅游康养核心区</w:t>
      </w:r>
      <w:bookmarkEnd w:id="282"/>
      <w:bookmarkEnd w:id="283"/>
      <w:bookmarkEnd w:id="284"/>
      <w:bookmarkEnd w:id="285"/>
      <w:bookmarkEnd w:id="286"/>
      <w:bookmarkEnd w:id="287"/>
      <w:bookmarkEnd w:id="288"/>
      <w:bookmarkEnd w:id="289"/>
      <w:bookmarkEnd w:id="290"/>
    </w:p>
    <w:p w14:paraId="52E70F7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发挥好与伊犁州建立的“三地九方”全域旅游发展联盟的作用，因地制宜推进互嵌式试点工程，依托援疆资金完善点位提升。强化特色IP引领，拓展品牌国际化，深化可克达拉市文旅影响力需要推进可克达拉市国际会展中心、薰衣草“四季”产业基地、西部酒城创意集市、酒文化创意集市、“草原之夜”音乐小镇、军垦故事沉浸式剧场基地、康养小镇、数字非遗体验馆等建设，打造多元文旅场景，释放文旅经济活力。提升改造66团7连、8连薰衣草观光园区，打造66团清水片区组团薰衣草农文旅融合示范项目，借助66团8连毗邻霍城县晃晃村等地旅游业的发展优势，推动兵地融合旅游产业发展。</w:t>
      </w:r>
    </w:p>
    <w:p w14:paraId="0549D407">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推动产业融合型文旅（农业+工业+文旅）。</w:t>
      </w:r>
      <w:r>
        <w:rPr>
          <w:rFonts w:hint="default" w:ascii="Times New Roman" w:hAnsi="Times New Roman" w:cs="Times New Roman"/>
          <w:color w:val="000000" w:themeColor="text1"/>
          <w14:textFill>
            <w14:solidFill>
              <w14:schemeClr w14:val="tx1"/>
            </w14:solidFill>
          </w14:textFill>
        </w:rPr>
        <w:t>聚焦薰衣草产业、推动酒企等特色产业旅游化改造，近期建设薰衣草“四季”产业基地、西部酒城创意集市，打造“种植</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研发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体验”全产业基地，开放薰衣草加工企业参观通道，建设西部酒城，形成“工业参观+消费”模式；并依托地理优势建设可克达拉市国际会展中心，提升可克达拉文旅品牌在国内外的知名度，吸引企业与游客集聚，推动文旅产业与实体经济联动发展。</w:t>
      </w:r>
    </w:p>
    <w:p w14:paraId="7C57CB0F">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塑造文化驱动型文旅（文化+红色+文旅）。</w:t>
      </w:r>
      <w:r>
        <w:rPr>
          <w:rFonts w:hint="default" w:ascii="Times New Roman" w:hAnsi="Times New Roman" w:cs="Times New Roman"/>
          <w:color w:val="000000" w:themeColor="text1"/>
          <w14:textFill>
            <w14:solidFill>
              <w14:schemeClr w14:val="tx1"/>
            </w14:solidFill>
          </w14:textFill>
        </w:rPr>
        <w:t>依托红军团纪念馆、军垦博物馆，近期建设军垦故事沉浸式剧场基地，设计红色线路，建设文旅街区，挖掘“四师故事”；以音乐节、文化节等为载体，近期建设“草原之夜”音乐小镇、酒文化创意集市，融合音乐、民俗元素、当地特色，培育文创商业与特色美食体验。</w:t>
      </w:r>
    </w:p>
    <w:p w14:paraId="4F15F95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建设生态赋能型文旅（生态+城市+文旅）。</w:t>
      </w:r>
      <w:r>
        <w:rPr>
          <w:rFonts w:hint="default" w:ascii="Times New Roman" w:hAnsi="Times New Roman" w:cs="Times New Roman"/>
          <w:color w:val="000000" w:themeColor="text1"/>
          <w14:textFill>
            <w14:solidFill>
              <w14:schemeClr w14:val="tx1"/>
            </w14:solidFill>
          </w14:textFill>
        </w:rPr>
        <w:t>构建“一水穿城、绿屏环抱、蓝绿交织”绿地系统，开发滨水慢行通道、北山坡生态游等项目；近期完善市级文化设施，联动生态空间与公共服务，既提升城市文旅承载力，也为居民与游客提供高品质休闲场所，实现“文旅发展”与“民生改善”双赢。</w:t>
      </w:r>
    </w:p>
    <w:p w14:paraId="190B0786">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发展创新拓展型文旅（科技+夜间+文旅）。</w:t>
      </w:r>
      <w:r>
        <w:rPr>
          <w:rFonts w:hint="default" w:ascii="Times New Roman" w:hAnsi="Times New Roman" w:cs="Times New Roman"/>
          <w:color w:val="000000" w:themeColor="text1"/>
          <w14:textFill>
            <w14:solidFill>
              <w14:schemeClr w14:val="tx1"/>
            </w14:solidFill>
          </w14:textFill>
        </w:rPr>
        <w:t>发展云演艺、虚拟体验等数字产品，近期建设数字非遗体验馆，以科技赋能非遗传承与文旅体验，打破“时空限制”，吸引更多年轻游客群体，提升文旅产品的创新性与吸引力；升级滨河公园、朱雀湖水幕灯光秀，举办特色文旅活动，打造“夜间消费+文化体验”集聚区。</w:t>
      </w:r>
    </w:p>
    <w:p w14:paraId="572C6AC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291" w:name="_Toc230277471"/>
      <w:bookmarkStart w:id="292" w:name="_Toc227081270"/>
      <w:bookmarkStart w:id="293" w:name="_Toc213316107"/>
      <w:bookmarkStart w:id="294" w:name="_Toc235785918"/>
      <w:bookmarkStart w:id="295" w:name="_Toc213316015"/>
      <w:bookmarkStart w:id="296" w:name="_Toc230277529"/>
      <w:bookmarkStart w:id="297" w:name="_Toc213315646"/>
      <w:bookmarkStart w:id="298" w:name="_Toc229494876"/>
      <w:bookmarkStart w:id="299" w:name="_Toc213317162"/>
      <w:r>
        <w:rPr>
          <w:rFonts w:hint="default" w:ascii="Times New Roman" w:hAnsi="Times New Roman" w:cs="Times New Roman"/>
          <w:color w:val="000000" w:themeColor="text1"/>
          <w14:textFill>
            <w14:solidFill>
              <w14:schemeClr w14:val="tx1"/>
            </w14:solidFill>
          </w14:textFill>
        </w:rPr>
        <w:t>实施宜居品质策略行动，共建幸福宜居之城</w:t>
      </w:r>
      <w:bookmarkEnd w:id="291"/>
      <w:bookmarkEnd w:id="292"/>
      <w:bookmarkEnd w:id="293"/>
      <w:bookmarkEnd w:id="294"/>
      <w:bookmarkEnd w:id="295"/>
      <w:bookmarkEnd w:id="296"/>
      <w:bookmarkEnd w:id="297"/>
      <w:bookmarkEnd w:id="298"/>
      <w:bookmarkEnd w:id="299"/>
    </w:p>
    <w:p w14:paraId="5E086E7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为推进可克达拉市打造“幸福宜居之城”城市形象，近期在人居环境与社区服务建设方面采取如下实施方案。</w:t>
      </w:r>
    </w:p>
    <w:p w14:paraId="0482AAD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聚焦社区类型多元构建。</w:t>
      </w:r>
      <w:r>
        <w:rPr>
          <w:rFonts w:hint="default" w:ascii="Times New Roman" w:hAnsi="Times New Roman" w:cs="Times New Roman"/>
          <w:color w:val="000000" w:themeColor="text1"/>
          <w14:textFill>
            <w14:solidFill>
              <w14:schemeClr w14:val="tx1"/>
            </w14:solidFill>
          </w14:textFill>
        </w:rPr>
        <w:t>推进5个完整社区建设，依托金山街道、花城街道现状建设基础，细分青年友好型、老年友好型、其他友好型三类特色社区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青年友好型布局潮流消费、运动场地等设施，老年友好型配套社区医院、日间照料中心，其他友好型完善公服体系，同步改造超低能耗住宅。</w:t>
      </w:r>
    </w:p>
    <w:p w14:paraId="23E0CB4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构建宜居生活社区体系。</w:t>
      </w:r>
      <w:r>
        <w:rPr>
          <w:rFonts w:hint="default" w:ascii="Times New Roman" w:hAnsi="Times New Roman" w:cs="Times New Roman"/>
          <w:color w:val="000000" w:themeColor="text1"/>
          <w14:textFill>
            <w14:solidFill>
              <w14:schemeClr w14:val="tx1"/>
            </w14:solidFill>
          </w14:textFill>
        </w:rPr>
        <w:t>布局7个生活社区于金山、花城街道，保障居住用地供给，配置商业设施，按需建设养老服务站、幼儿园、社区医院、社区服务中心等公共服务设施，构建</w:t>
      </w:r>
      <w:r>
        <w:rPr>
          <w:rFonts w:hint="default" w:ascii="Times New Roman" w:hAnsi="Times New Roman" w:cs="Times New Roman"/>
          <w:color w:val="000000" w:themeColor="text1"/>
          <w:lang w:eastAsia="zh-CN"/>
          <w14:textFill>
            <w14:solidFill>
              <w14:schemeClr w14:val="tx1"/>
            </w14:solidFill>
          </w14:textFill>
        </w:rPr>
        <w:t>一刻钟生活圈</w:t>
      </w:r>
      <w:r>
        <w:rPr>
          <w:rFonts w:hint="default" w:ascii="Times New Roman" w:hAnsi="Times New Roman" w:cs="Times New Roman"/>
          <w:color w:val="000000" w:themeColor="text1"/>
          <w14:textFill>
            <w14:solidFill>
              <w14:schemeClr w14:val="tx1"/>
            </w14:solidFill>
          </w14:textFill>
        </w:rPr>
        <w:t>。</w:t>
      </w:r>
    </w:p>
    <w:p w14:paraId="01E24B98">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打造产城融合产业社区。</w:t>
      </w:r>
      <w:r>
        <w:rPr>
          <w:rFonts w:hint="default" w:ascii="Times New Roman" w:hAnsi="Times New Roman" w:cs="Times New Roman"/>
          <w:color w:val="000000" w:themeColor="text1"/>
          <w14:textFill>
            <w14:solidFill>
              <w14:schemeClr w14:val="tx1"/>
            </w14:solidFill>
          </w14:textFill>
        </w:rPr>
        <w:t>规划2个产业社区在七一七大道以北产业园区，打造以现代工业、商贸物流为主的产业区，配套医疗卫生、文化体育及社会福利设施，完善产城融合生态。</w:t>
      </w:r>
    </w:p>
    <w:p w14:paraId="617AA490">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推进社区品质提升。</w:t>
      </w:r>
      <w:r>
        <w:rPr>
          <w:rFonts w:hint="default" w:ascii="Times New Roman" w:hAnsi="Times New Roman" w:cs="Times New Roman"/>
          <w:color w:val="000000" w:themeColor="text1"/>
          <w14:textFill>
            <w14:solidFill>
              <w14:schemeClr w14:val="tx1"/>
            </w14:solidFill>
          </w14:textFill>
        </w:rPr>
        <w:t>严格控制商品房库存去化周期，建立“人房地钱”要素联动机制。推动“好房子”建设，建设品质住房小区。实施城镇危旧房改造，切实提升</w:t>
      </w:r>
      <w:r>
        <w:rPr>
          <w:rFonts w:hint="eastAsia" w:ascii="Times New Roman" w:hAnsi="Times New Roman" w:cs="Times New Roman"/>
          <w:color w:val="000000" w:themeColor="text1"/>
          <w:lang w:eastAsia="zh-CN"/>
          <w14:textFill>
            <w14:solidFill>
              <w14:schemeClr w14:val="tx1"/>
            </w14:solidFill>
          </w14:textFill>
        </w:rPr>
        <w:t>师市</w:t>
      </w:r>
      <w:r>
        <w:rPr>
          <w:rFonts w:hint="default" w:ascii="Times New Roman" w:hAnsi="Times New Roman" w:cs="Times New Roman"/>
          <w:color w:val="000000" w:themeColor="text1"/>
          <w14:textFill>
            <w14:solidFill>
              <w14:schemeClr w14:val="tx1"/>
            </w14:solidFill>
          </w14:textFill>
        </w:rPr>
        <w:t>职工群众居住品质，持续推进老旧小区和住宅老旧电梯更新。同步推进城镇环境焕新，实施城北园区、金山街道、花城街道等城镇人居环境改造提升工程，优化城镇空间风貌；发力社区服务完善，新建汉江西路、乌孙山路等多社区服务中心，构建便捷社区服务网络，满足居民日常需求；开展适老化与街区美化行动，推进长江路社区适老化改造、峨眉山路社区街区美化建设，兼顾民生关怀与环境颜值；通过功能分区精准落地、环境改造聚焦特色、服务配套覆盖全龄协同推进，筑牢城镇民生建设基石，着力打造宜居宜业的高品质城镇。</w:t>
      </w:r>
    </w:p>
    <w:p w14:paraId="2D14C49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优化住房相关机制体制。</w:t>
      </w:r>
      <w:r>
        <w:rPr>
          <w:rFonts w:hint="default" w:ascii="Times New Roman" w:hAnsi="Times New Roman" w:cs="Times New Roman"/>
          <w:color w:val="000000" w:themeColor="text1"/>
          <w14:textFill>
            <w14:solidFill>
              <w14:schemeClr w14:val="tx1"/>
            </w14:solidFill>
          </w14:textFill>
        </w:rPr>
        <w:t>推广“交房即办证”模式，严格落实商品房预售资金监管及项目资本金制度，积极引导房地产开发企业现房销售。建设保障性租赁住房，有效缓解园区外来务工人员等群体住房难题。开展实施“治理物业服务突出问题”“家园焕新”重大民生实事集中整治，加强物业服务业企业准入退出监管，加快推进已纳入师市老旧小区改造项目库的前期手续办理。</w:t>
      </w:r>
    </w:p>
    <w:p w14:paraId="390817CF">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00" w:name="_Toc227081271"/>
      <w:bookmarkStart w:id="301" w:name="_Toc213317163"/>
      <w:bookmarkStart w:id="302" w:name="_Toc230277472"/>
      <w:bookmarkStart w:id="303" w:name="_Toc235785919"/>
      <w:bookmarkStart w:id="304" w:name="_Toc230277530"/>
      <w:bookmarkStart w:id="305" w:name="_Toc213316016"/>
      <w:bookmarkStart w:id="306" w:name="_Toc229494877"/>
      <w:bookmarkStart w:id="307" w:name="_Toc213316108"/>
      <w:bookmarkStart w:id="308" w:name="_Toc213315647"/>
      <w:r>
        <w:rPr>
          <w:rFonts w:hint="default" w:ascii="Times New Roman" w:hAnsi="Times New Roman" w:cs="Times New Roman"/>
          <w:color w:val="000000" w:themeColor="text1"/>
          <w14:textFill>
            <w14:solidFill>
              <w14:schemeClr w14:val="tx1"/>
            </w14:solidFill>
          </w14:textFill>
        </w:rPr>
        <w:t>实施活力激发策略行动，塑造滨水魅力之城</w:t>
      </w:r>
      <w:bookmarkEnd w:id="300"/>
      <w:bookmarkEnd w:id="301"/>
      <w:bookmarkEnd w:id="302"/>
      <w:bookmarkEnd w:id="303"/>
      <w:bookmarkEnd w:id="304"/>
      <w:bookmarkEnd w:id="305"/>
      <w:bookmarkEnd w:id="306"/>
      <w:bookmarkEnd w:id="307"/>
      <w:bookmarkEnd w:id="308"/>
    </w:p>
    <w:p w14:paraId="0686357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规划以商业消费空间激发城市活力，形成“四圈四带”商业消费空间，创新多重商业模式，塑造可克达拉滨水魅力之城。加强环境卫生、交通组织与经营秩序管理，推动“夜间经济”与周边商业、文化资源的互动融合。加强对新天地、鑫时代等既有商业街区的业态指导力度，引导沿街商铺差异化经营。</w:t>
      </w:r>
    </w:p>
    <w:p w14:paraId="65BE0B31">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打造三大特色商圈。</w:t>
      </w:r>
      <w:r>
        <w:rPr>
          <w:rFonts w:hint="default" w:ascii="Times New Roman" w:hAnsi="Times New Roman" w:cs="Times New Roman"/>
          <w:color w:val="000000" w:themeColor="text1"/>
          <w14:textFill>
            <w14:solidFill>
              <w14:schemeClr w14:val="tx1"/>
            </w14:solidFill>
          </w14:textFill>
        </w:rPr>
        <w:t>近中期依托城北园区产业展销中心建设、伊帕尔汗薰衣草文化产业园改造提升、可克达拉市商业中心建设特色项目，丰富城北产业展销商圈、薰衣草文创商圈、可克达拉中心商圈三大商圈，通过推出新兴产业商品展销、伊帕尔汗薰衣草主题文创、一站式购物娱乐和朱雀湖公园文旅夜消费等多元业态，形成功能互补、层次清晰的商业服务体系，全面覆盖市民与游客的多重消费需求，增强城市商业活力与品牌吸引力。</w:t>
      </w:r>
    </w:p>
    <w:p w14:paraId="46C04565">
      <w:pPr>
        <w:pageBreakBefore w:val="0"/>
        <w:kinsoku/>
        <w:wordWrap/>
        <w:overflowPunct/>
        <w:topLinePunct w:val="0"/>
        <w:autoSpaceDE/>
        <w:autoSpaceDN/>
        <w:bidi w:val="0"/>
        <w:spacing w:line="56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培育四大活力街区</w:t>
      </w:r>
      <w:r>
        <w:rPr>
          <w:rFonts w:hint="default" w:ascii="Times New Roman" w:hAnsi="Times New Roman" w:cs="Times New Roman"/>
          <w:color w:val="000000" w:themeColor="text1"/>
          <w14:textFill>
            <w14:solidFill>
              <w14:schemeClr w14:val="tx1"/>
            </w14:solidFill>
          </w14:textFill>
        </w:rPr>
        <w:t>。近期全面推进可克达拉美食街风貌整治、可克达拉数字文创体验馆建设、伊犁河亲水商业街区风貌整治等一系列重点项目实施，以推动形成功能互补、特色鲜明的四大活力街区</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可克达拉美食街区、可克达拉中心商业街区、文博文创活力街区以及伊犁河畔滨水休闲街区。美食街区汇聚地方特色餐饮与多元饮食文化，打造沉浸式美食体验目的地；中心商业街区依托现代商业综合体和消费新场景，构建城市时尚消费核心；文博文创街区依托“四馆”等文化节点，融合“云演艺、云展览、云直播”等数字文化产品，塑造文旅融合新高地；伊犁河畔滨水休闲街区则通过生态景观提升与亲水业态引入，实现自然风貌与休闲商业的和谐共生。通过贯通“美食+美景”“文化+生活”的多维体验脉络，整体提升可克达拉的城市形象与活力，实现商业、文化与生态的协同发展。</w:t>
      </w:r>
    </w:p>
    <w:bookmarkEnd w:id="245"/>
    <w:p w14:paraId="5933116D">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09" w:name="_Toc213315648"/>
      <w:bookmarkStart w:id="310" w:name="_Toc213317164"/>
      <w:bookmarkStart w:id="311" w:name="_Toc229494878"/>
      <w:bookmarkStart w:id="312" w:name="_Toc213316017"/>
      <w:bookmarkStart w:id="313" w:name="_Toc230277473"/>
      <w:bookmarkStart w:id="314" w:name="_Toc235785920"/>
      <w:bookmarkStart w:id="315" w:name="_Toc227081272"/>
      <w:bookmarkStart w:id="316" w:name="_Toc213316109"/>
      <w:bookmarkStart w:id="317" w:name="_Toc230277531"/>
      <w:r>
        <w:rPr>
          <w:rFonts w:hint="default" w:ascii="Times New Roman" w:hAnsi="Times New Roman" w:cs="Times New Roman"/>
          <w:color w:val="000000" w:themeColor="text1"/>
          <w14:textFill>
            <w14:solidFill>
              <w14:schemeClr w14:val="tx1"/>
            </w14:solidFill>
          </w14:textFill>
        </w:rPr>
        <w:t>实施安全韧性策略行动，构建高质量韧性支撑体系</w:t>
      </w:r>
      <w:bookmarkEnd w:id="309"/>
      <w:bookmarkEnd w:id="310"/>
      <w:bookmarkEnd w:id="311"/>
      <w:bookmarkEnd w:id="312"/>
      <w:bookmarkEnd w:id="313"/>
      <w:bookmarkEnd w:id="314"/>
      <w:bookmarkEnd w:id="315"/>
      <w:bookmarkEnd w:id="316"/>
      <w:bookmarkEnd w:id="317"/>
    </w:p>
    <w:p w14:paraId="05350971">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一体化推进城市体检和城市更新，动态管理和更新住建领域项目库，完善城市地下管网更新改造方案，推动城市供热、雨污分流等市政基础设施改扩建项目实施。</w:t>
      </w:r>
    </w:p>
    <w:p w14:paraId="1730655B">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bookmarkStart w:id="318" w:name="_Toc213316019"/>
      <w:bookmarkStart w:id="319" w:name="_Toc213317166"/>
      <w:bookmarkStart w:id="320" w:name="_Toc213316111"/>
      <w:bookmarkStart w:id="321" w:name="_Toc213315650"/>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提升设施保障能力，建设安全可靠的韧性系统</w:t>
      </w:r>
    </w:p>
    <w:p w14:paraId="36AD16F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给水系统为分质供水系统，即生活(工业)用水系统和道路浇洒、绿化景观用水系统。由两座集中供水水厂供水，分别为霍尔果斯河水厂和可克达拉市水厂。生活(工业)用水系统由64团的霍尔果斯河水厂引出两根DN800供水管接至七一七大道主管进行供水，为单一水源供水，缺少应急备用水源。在中心城区现状给水管网已基本成环状布置，但局部区域管道老化，漏损率较高，且供水压力较大，存在爆管风险，供水安全性低。现状霍尔果斯河水厂规模为6.5万吨/日，随着可克达拉市的发展以及城乡一体化的供水需求，供水能力在2025年已达到满负荷，储备供水量不足。</w:t>
      </w:r>
    </w:p>
    <w:p w14:paraId="7E9970A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可克达拉市现状热源为燃煤锅炉房1座，于2018年建设，运行规模186兆瓦。现状热源负荷余量仅30兆瓦，目前城区供热面积以约60万平方米/年的速度增长，现状热源即将满负荷，供热保障不足，供热期间</w:t>
      </w:r>
      <w:r>
        <w:rPr>
          <w:rFonts w:hint="default" w:ascii="Times New Roman" w:hAnsi="Times New Roman" w:cs="Times New Roman"/>
          <w:color w:val="000000" w:themeColor="text1"/>
          <w:highlight w:val="none"/>
          <w14:textFill>
            <w14:solidFill>
              <w14:schemeClr w14:val="tx1"/>
            </w14:solidFill>
          </w14:textFill>
        </w:rPr>
        <w:t>，燃煤锅炉的停机已</w:t>
      </w:r>
      <w:r>
        <w:rPr>
          <w:rFonts w:hint="eastAsia" w:ascii="Times New Roman" w:hAnsi="Times New Roman" w:cs="Times New Roman"/>
          <w:color w:val="000000" w:themeColor="text1"/>
          <w:highlight w:val="none"/>
          <w:lang w:eastAsia="zh-CN"/>
          <w14:textFill>
            <w14:solidFill>
              <w14:schemeClr w14:val="tx1"/>
            </w14:solidFill>
          </w14:textFill>
        </w:rPr>
        <w:t>多次</w:t>
      </w:r>
      <w:r>
        <w:rPr>
          <w:rFonts w:hint="default" w:ascii="Times New Roman" w:hAnsi="Times New Roman" w:cs="Times New Roman"/>
          <w:color w:val="000000" w:themeColor="text1"/>
          <w:highlight w:val="none"/>
          <w14:textFill>
            <w14:solidFill>
              <w14:schemeClr w14:val="tx1"/>
            </w14:solidFill>
          </w14:textFill>
        </w:rPr>
        <w:t>造成城区整体停暖，对城区用户舒适度影响较大，收费率低，部分用户因供热问题冬季在周边城镇居住。</w:t>
      </w:r>
    </w:p>
    <w:p w14:paraId="3EDC37DF">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2"/>
      <w:r>
        <w:rPr>
          <w:rFonts w:hint="default" w:ascii="Times New Roman" w:hAnsi="Times New Roman" w:cs="Times New Roman"/>
          <w:color w:val="000000" w:themeColor="text1"/>
          <w:highlight w:val="none"/>
          <w14:textFill>
            <w14:solidFill>
              <w14:schemeClr w14:val="tx1"/>
            </w14:solidFill>
          </w14:textFill>
        </w:rPr>
        <w:t>针对以上问题，本次规划建设霍尔果斯河水厂二期工程，二期水厂扩建规模为3.5万吨/日，扩建完成后总规模达到10万吨/日，满足用水需求；并规划建设可克达拉中心城区备用水厂，水源渠自伊犁河，供水规模为6.0万立方米/日。在人饮水长输管网出现问题或者需要大检修时，将此水厂作为应急备用水源投用，以保障可克达拉市的人饮供水。</w:t>
      </w:r>
      <w:commentRangeEnd w:id="12"/>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2"/>
      </w:r>
    </w:p>
    <w:p w14:paraId="64DE6F0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同时，更新局部老旧及爆管率高的管道，管径DN200</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DN800，并增设减压阀，降低供水管网漏损率，保障可克达拉市供水安全。</w:t>
      </w:r>
    </w:p>
    <w:p w14:paraId="2D1CA4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3"/>
      <w:r>
        <w:rPr>
          <w:rFonts w:hint="default" w:ascii="Times New Roman" w:hAnsi="Times New Roman" w:cs="Times New Roman"/>
          <w:color w:val="000000" w:themeColor="text1"/>
          <w:highlight w:val="none"/>
          <w14:textFill>
            <w14:solidFill>
              <w14:schemeClr w14:val="tx1"/>
            </w14:solidFill>
          </w14:textFill>
        </w:rPr>
        <w:t>规划在现状城市集中供热热源的基础上，依托2</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350MW热电联产项目，配套两根DN1000输热主管线，一座调压中继泵站，新建一座隔压站及配套设施，与原供热站共同供暖。同时新建两根供热管道，改造现状换热站，新建换热站。</w:t>
      </w:r>
      <w:commentRangeEnd w:id="13"/>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3"/>
      </w:r>
    </w:p>
    <w:p w14:paraId="2F739A7A">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14:textFill>
            <w14:solidFill>
              <w14:schemeClr w14:val="tx1"/>
            </w14:solidFill>
          </w14:textFill>
        </w:rPr>
        <w:t>补齐市政基础设施短板，推动城市更新</w:t>
      </w:r>
    </w:p>
    <w:p w14:paraId="28A4FB7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科学制定实施城市更新专项规划，一体化推进城市体检和城市更新，动态调整完善师市“十五五”基础设施更新改造项目库内项目，督促指导库内项目实施主体加快项目前期手续办理。加快更新完善可克达拉市城市地下管网管廊更新改造实施方案和城市供水、燃气等中长期发展规划，做优、做实城市基础设施项目方案。整合师市各类资源，积极申报争取国家城市更新工作样板试点城市。</w:t>
      </w:r>
    </w:p>
    <w:p w14:paraId="00CDFD2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可克达拉市中心城区道路浇洒、绿化景观用水系统由城区东南部的可克达拉市水厂进行供水，现状规模6.0万吨/天，夏季供水能力不足的问题凸显。现状110千伏变电站规模不满足高质量充电基础设施体系建设的用电需求。通讯设施站址密度低，尚未实现良好的网络覆盖现状建筑垃圾填埋场一期库容为9.77万立方米，已达填埋上限，亟需扩容。环卫基础设施存在密度不足</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布局不均</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雨水、燃气、通讯管线未按规划进行敷设等问题。</w:t>
      </w:r>
    </w:p>
    <w:p w14:paraId="6D4A4DF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4"/>
      <w:r>
        <w:rPr>
          <w:rFonts w:hint="default" w:ascii="Times New Roman" w:hAnsi="Times New Roman" w:cs="Times New Roman"/>
          <w:color w:val="000000" w:themeColor="text1"/>
          <w:highlight w:val="none"/>
          <w14:textFill>
            <w14:solidFill>
              <w14:schemeClr w14:val="tx1"/>
            </w14:solidFill>
          </w14:textFill>
        </w:rPr>
        <w:t>针对以上问题，规划在可克达拉市北干渠分水口南侧新建城北片区绿化供水厂，规模为8.6万吨/天，水源来自伊犁河北岸干渠，配套建设自动化控制系统，实现无人值守，自动调水调压，分区智慧灌溉，经济高效的绿化供水。并配套建设出厂主管，沿峨眉山路敷设，接入现状绿化供水管网。同时，新建绿化浇洒供水管道。</w:t>
      </w:r>
      <w:commentRangeEnd w:id="14"/>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4"/>
      </w:r>
    </w:p>
    <w:p w14:paraId="2B1A38D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根据《新疆维吾尔自治区人民政府办公厅关于印发</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加快构建自治区高质量充电基础</w:t>
      </w:r>
      <w:r>
        <w:rPr>
          <w:rFonts w:hint="eastAsia" w:ascii="Times New Roman" w:hAnsi="Times New Roman" w:cs="Times New Roman"/>
          <w:color w:val="000000" w:themeColor="text1"/>
          <w:highlight w:val="none"/>
          <w:lang w:eastAsia="zh-CN"/>
          <w14:textFill>
            <w14:solidFill>
              <w14:schemeClr w14:val="tx1"/>
            </w14:solidFill>
          </w14:textFill>
        </w:rPr>
        <w:t>设施体系的实施方案</w:t>
      </w:r>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cs="仿宋_GB2312"/>
          <w:color w:val="000000" w:themeColor="text1"/>
          <w:highlight w:val="none"/>
          <w:lang w:eastAsia="zh-CN"/>
          <w14:textFill>
            <w14:solidFill>
              <w14:schemeClr w14:val="tx1"/>
            </w14:solidFill>
          </w14:textFill>
        </w:rPr>
        <w:t>的</w:t>
      </w:r>
      <w:r>
        <w:rPr>
          <w:rFonts w:hint="default" w:ascii="Times New Roman" w:hAnsi="Times New Roman" w:cs="Times New Roman"/>
          <w:color w:val="000000" w:themeColor="text1"/>
          <w14:textFill>
            <w14:solidFill>
              <w14:schemeClr w14:val="tx1"/>
            </w14:solidFill>
          </w14:textFill>
        </w:rPr>
        <w:t>通知》及《关于印发</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关于进一步加快新能源汽车推广应用及产业发展的指导意见</w:t>
      </w:r>
      <w:r>
        <w:rPr>
          <w:rFonts w:hint="eastAsia" w:ascii="仿宋_GB2312" w:hAnsi="仿宋_GB2312" w:eastAsia="仿宋_GB2312" w:cs="仿宋_GB2312"/>
          <w:color w:val="000000" w:themeColor="text1"/>
          <w:highlight w:val="none"/>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的通知》等相关政策要求，新疆地区需持续优化城市公共充电网络，积极推动居住区充电基础设施建设，将新建小区固定车位100%预留充电设施安装条件和配变电设施增容空间作为小区合格验收重要环节。按此背景进行预测，可克达拉中心城区将增加充电桩，快慢充比例按1:7进行配置，同时系数考虑0.3，可克达拉用电负荷将增加1.41万千瓦，现状两座110千伏变电站启用后，规模为18.15万千瓦，考虑其他用途的用电需求，容载比取1.8，现状变电站规模不足，考虑新建110千伏变电站，规模为2×50兆瓦，提升供电设施容量，同步新建21座10千伏开闭所，完善中低压配电系统。同时，充电桩设施应统一建设、统一管理，形成一个“物理分布广泛、标准统一、数据互联互通、服务聚合便捷、市场竞争有序”的智能充电生态系统。</w:t>
      </w:r>
    </w:p>
    <w:p w14:paraId="4E9442C2">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共有宏站47座，室分62座，中心区域存量站址较丰富，边缘区域还需进行少量补充，工业园区的站址密度低，尚未实现良好的网络覆盖。针对以上问题，可通过需求整合原则匹配存量资源，优先利旧通信铁塔，其次新建三家共享。新建站尽量不出现一家独享站点的情况，根据覆盖三家运营商频段覆盖范围，优先整合到存量站点，利旧或改造。现有通信铁塔无法满足5G网络建设需求，确须采取站址新建方式解决时，应将距离相近、覆盖目标相似的需求加以整合。在新建区域，以新建多功能杆塔为主。微站的规划，重点考虑区域范围内的密集城区、小区、商超等区域的覆盖，作为后期弱覆盖区域的补充措施，对网络能力起补充增强</w:t>
      </w:r>
      <w:r>
        <w:rPr>
          <w:rFonts w:hint="default" w:ascii="Times New Roman" w:hAnsi="Times New Roman" w:cs="Times New Roman"/>
          <w:color w:val="000000" w:themeColor="text1"/>
          <w:highlight w:val="none"/>
          <w14:textFill>
            <w14:solidFill>
              <w14:schemeClr w14:val="tx1"/>
            </w14:solidFill>
          </w14:textFill>
        </w:rPr>
        <w:t>作用。</w:t>
      </w:r>
      <w:commentRangeStart w:id="15"/>
      <w:r>
        <w:rPr>
          <w:rFonts w:hint="default" w:ascii="Times New Roman" w:hAnsi="Times New Roman" w:cs="Times New Roman"/>
          <w:color w:val="000000" w:themeColor="text1"/>
          <w:highlight w:val="none"/>
          <w14:textFill>
            <w14:solidFill>
              <w14:schemeClr w14:val="tx1"/>
            </w14:solidFill>
          </w14:textFill>
        </w:rPr>
        <w:t>根据以上原则，中心城区需新建铁塔基站、5G宏基站、室内分布系统、微基站、通信汇聚机房。实施完成后，中心城区每平方公里4.3座站址，宏基站站间距可达到为300</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500米，全部采用美化景观塔进行建设，可为整个中心城区提供稳定、优质、高效的5G网络覆盖。</w:t>
      </w:r>
      <w:commentRangeEnd w:id="15"/>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5"/>
      </w:r>
    </w:p>
    <w:p w14:paraId="6A5622A5">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在建筑垃圾填埋场一期基础上进行扩容，提升库容42.22万立方米，扩建后总库容为51.99万立方米，建立建筑垃圾收运和处置的管理体系，强化源头减量、优先就地平衡，以制造再生建材和工地回填为主，消纳场填埋为辅，形成有效的建筑垃圾和工程渣土管理网络，杜绝垃圾乱扔的现象。</w:t>
      </w:r>
    </w:p>
    <w:p w14:paraId="686B89B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6"/>
      <w:r>
        <w:rPr>
          <w:rFonts w:hint="default" w:ascii="Times New Roman" w:hAnsi="Times New Roman" w:cs="Times New Roman"/>
          <w:color w:val="000000" w:themeColor="text1"/>
          <w:highlight w:val="none"/>
          <w14:textFill>
            <w14:solidFill>
              <w14:schemeClr w14:val="tx1"/>
            </w14:solidFill>
          </w14:textFill>
        </w:rPr>
        <w:t>沿迎宾大道、昆仑山路、滨河路等新建中压燃气管线，补齐燃气管线空白区，形成环状布置，同时新建加气站，提高燃气系统运行稳定性；沿七一七大道、太行山路、滨河路、峨眉山北路新建通讯管道，补齐通讯管线空白区；实施已建成区内的雨水管道，完善雨水排水防涝系统。</w:t>
      </w:r>
      <w:commentRangeEnd w:id="16"/>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6"/>
      </w:r>
    </w:p>
    <w:p w14:paraId="0972728E">
      <w:pPr>
        <w:pStyle w:val="5"/>
        <w:pageBreakBefore w:val="0"/>
        <w:numPr>
          <w:ilvl w:val="3"/>
          <w:numId w:val="0"/>
        </w:numPr>
        <w:kinsoku/>
        <w:wordWrap/>
        <w:overflowPunct/>
        <w:topLinePunct w:val="0"/>
        <w:autoSpaceDE/>
        <w:autoSpaceDN/>
        <w:bidi w:val="0"/>
        <w:spacing w:line="560" w:lineRule="exact"/>
        <w:ind w:firstLine="643"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14:textFill>
            <w14:solidFill>
              <w14:schemeClr w14:val="tx1"/>
            </w14:solidFill>
          </w14:textFill>
        </w:rPr>
        <w:t>搭建城市生命线智慧管控平台，实现高效运行和智慧化管理</w:t>
      </w:r>
    </w:p>
    <w:p w14:paraId="06A1769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可克达拉市中心城区生命线平台建设落后于城市管网建设水平，物联智能感知设备数量已不能满足城</w:t>
      </w:r>
      <w:r>
        <w:rPr>
          <w:rFonts w:hint="default" w:ascii="Times New Roman" w:hAnsi="Times New Roman" w:cs="Times New Roman"/>
          <w:color w:val="000000" w:themeColor="text1"/>
          <w14:textFill>
            <w14:solidFill>
              <w14:schemeClr w14:val="tx1"/>
            </w14:solidFill>
          </w14:textFill>
        </w:rPr>
        <w:t>网所需重要节点监测、风险预警等能力较差，如排水系统中厂</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网</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源尚未形成联动控制、燃气管道输气压力和泄露缺乏监测、供热系统缺乏水温监测及供热效率分析等。</w:t>
      </w:r>
    </w:p>
    <w:p w14:paraId="7B4F8A3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围绕以上问题，规划考虑分四步构建智慧平台。（1）开展城市生命线工程设施普查，搭建城市生命线安全工程数据库：基于城市地下市政基础设施普查等工作成果，开展城市生命线工程风险评估工作。以城市生命线安全风险评估数据为基础，依托市级政务数据共享交换平台，建立覆盖地上地下的城市生命线安全工程数据库。（2）构建城市生命线安全工程监测感知网，建设城市生命线安全运行监测系统：实现“三高”区域重点监测，形成城市燃气、雨水、污水、热力、供水、环卫等各领域监测感知“一张网”，逐步实现对城市生命线安全运行数据的自动采集、全面感知和动态监测。（3）搭建城市生命线安全风险综合监测预警指挥平台：建立城市生命线安全风险综合监测预警平台，实现二三维一体化展示,在“一张图”上集中综合管网基础信息、重要节点基础信息、运行状态、事故情况信息。建设燃气、雨水、污水、热力、供水、环卫等6项智慧应用，形成智能监测体系，实现城市基础设施运行主动式保障。（4）完善城市生命线安全工程标准体系：研究制定城市生命线安全工程数据对接标准、考核评估标准及有关专项标准库，显著提升城市公共设施管理效能。同时，将对可克达拉市主城区4个片区共71条道路的现有路灯实施智能化节能改造，进一步提高城市照明系统的运行效率与节能水平。</w:t>
      </w:r>
    </w:p>
    <w:p w14:paraId="173FE35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智慧平台维护方面，持续提升96359热线工单办理质效，严格落实“首接负责制”和“日筛查、周研判、月分析”等制度，解决好事关群众切身利益的问题。强化城市运行管理服务平台应用，逐步拓展完善平台功能，深化物联网设备在城市基础设施领域应用，提升智慧化监管效能。完善市域综治中心常态化运行模式，持续推进综治信息化平台常态化规范应用，以信息化、数字化手段提升基层社会治理精细化、科学化水平。完成师市层面行政执法综合管理监督系统接入部署，实现系统与师市各执法部门、团场(镇)、街道执法岗位全面联通。</w:t>
      </w:r>
    </w:p>
    <w:p w14:paraId="0BAF06B7">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健全防灾减灾长效机制，夯实城市韧性发展根基</w:t>
      </w:r>
    </w:p>
    <w:p w14:paraId="2C1A655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督促重点领域行业监管部门严格落实“三管三必须”。扎实推动消防安全治本攻坚三年行动。加强“平急两用”公共基础设施建设，补齐城市公园、学校、体育场等场所应急避难设施短板。配强高空消防救援装备，开展消防演练。加强特种设备安全监管，持续开展锅炉安全提升行动、场(厂)内专用机动车辆使用安全治理行动，对危险化学品、燃气器具、消防产品等开展质量监督抽查。开展师市房屋市政工程施工、监理企业信用评级、项目经理记分考核、监理企业履职考核，对考核结果进行公示，切实压实参建各方安全生产主体责任。统筹开展师市城镇燃气安全专项整治，聚焦燃气生产、经营、销售、使用全过程，严防安全事故的发生，督促天然气经营企业做好天然气供应保障工作。动态更新辖区10年以上车龄和50座以上营运客车清单，加强企业假期期间重大危险源提级管控细化措施落实情况抽查。推进兵团区域应急救援第四师分中心建设，组建专业化紧急医学救援队伍，实现“黄金1小时”快速救援目标。严格执行城市超高层建筑限高标准。积极保障“平急两用”公共基础设施项目合理用地需求。</w:t>
      </w:r>
    </w:p>
    <w:p w14:paraId="1E3A047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22" w:name="_Toc230277474"/>
      <w:bookmarkStart w:id="323" w:name="_Toc235785921"/>
      <w:bookmarkStart w:id="324" w:name="_Toc227081273"/>
      <w:bookmarkStart w:id="325" w:name="_Toc213315649"/>
      <w:bookmarkStart w:id="326" w:name="_Toc213317165"/>
      <w:bookmarkStart w:id="327" w:name="_Toc230277532"/>
      <w:bookmarkStart w:id="328" w:name="_Toc229494879"/>
      <w:bookmarkStart w:id="329" w:name="_Toc213316018"/>
      <w:bookmarkStart w:id="330" w:name="_Toc213316110"/>
      <w:r>
        <w:rPr>
          <w:rFonts w:hint="default" w:ascii="Times New Roman" w:hAnsi="Times New Roman" w:cs="Times New Roman"/>
          <w:color w:val="000000" w:themeColor="text1"/>
          <w14:textFill>
            <w14:solidFill>
              <w14:schemeClr w14:val="tx1"/>
            </w14:solidFill>
          </w14:textFill>
        </w:rPr>
        <w:t>实施绿色低碳策略行动，建设生态宜居之城</w:t>
      </w:r>
      <w:bookmarkEnd w:id="322"/>
      <w:bookmarkEnd w:id="323"/>
      <w:bookmarkEnd w:id="324"/>
      <w:bookmarkEnd w:id="325"/>
      <w:bookmarkEnd w:id="326"/>
      <w:bookmarkEnd w:id="327"/>
      <w:bookmarkEnd w:id="328"/>
      <w:bookmarkEnd w:id="329"/>
      <w:bookmarkEnd w:id="330"/>
    </w:p>
    <w:p w14:paraId="32C8FCF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以建设生态宜居之城为目标，规划通过发展绿色经济鼓励资源再生、利用非常规水资源、巩固并强化水污染及大气污染防治工作，实现综合管理，推动绿色低碳行动实施。</w:t>
      </w:r>
    </w:p>
    <w:p w14:paraId="639DD6D0">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发展绿色经济，鼓励资源再生</w:t>
      </w:r>
    </w:p>
    <w:p w14:paraId="3946DB2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中心城区现状无垃圾中转站，且未开展垃圾分类。小区居民的生活垃圾由垃圾箱收集，公共场所、道路垃圾以果皮箱、果壳箱收集；城镇餐厨垃圾与生活垃圾一并收集，由密闭式垃圾压缩车直接运输至城西工业园区的垃圾填埋场或伊宁市垃圾焚烧厂；建筑垃圾由产生单位自行处理；医疗垃圾均由医院自行收集、运输，委托有处理医疗垃圾资质的相关企业进行无害化处理。</w:t>
      </w:r>
    </w:p>
    <w:p w14:paraId="6E524F1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可克达拉市污水厂现状污泥经板框压力机脱水后外运出厂处置污泥含水率60%进行卫生填埋处置，缺乏回收利用措施。</w:t>
      </w:r>
    </w:p>
    <w:p w14:paraId="349BD50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bCs/>
          <w:color w:val="000000" w:themeColor="text1"/>
          <w:highlight w:val="none"/>
          <w14:textFill>
            <w14:solidFill>
              <w14:schemeClr w14:val="tx1"/>
            </w14:solidFill>
          </w14:textFill>
        </w:rPr>
      </w:pPr>
      <w:commentRangeStart w:id="17"/>
      <w:r>
        <w:rPr>
          <w:rFonts w:hint="default" w:ascii="Times New Roman" w:hAnsi="Times New Roman" w:cs="Times New Roman"/>
          <w:color w:val="000000" w:themeColor="text1"/>
          <w:highlight w:val="none"/>
          <w14:textFill>
            <w14:solidFill>
              <w14:schemeClr w14:val="tx1"/>
            </w14:solidFill>
          </w14:textFill>
        </w:rPr>
        <w:t>针对以上问题，规划建设垃圾分类收集点，配套餐厨垃圾收集车，购置餐厨垃圾处理设施；建设生活垃圾分类转运站，完善垃圾分类收集处理体系。对污水处理厂污泥进行资源化处理，新建污泥资源再利用生产车间</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库房</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堆放棚库</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进行场地硬化</w:t>
      </w:r>
      <w:r>
        <w:rPr>
          <w:rFonts w:hint="eastAsia" w:ascii="Times New Roman" w:hAnsi="Times New Roman" w:cs="Times New Roman"/>
          <w:color w:val="000000" w:themeColor="text1"/>
          <w:highlight w:val="none"/>
          <w:lang w:eastAsia="zh-CN"/>
          <w14:textFill>
            <w14:solidFill>
              <w14:schemeClr w14:val="tx1"/>
            </w14:solidFill>
          </w14:textFill>
        </w:rPr>
        <w:t>和</w:t>
      </w:r>
      <w:r>
        <w:rPr>
          <w:rFonts w:hint="default" w:ascii="Times New Roman" w:hAnsi="Times New Roman" w:cs="Times New Roman"/>
          <w:color w:val="000000" w:themeColor="text1"/>
          <w:highlight w:val="none"/>
          <w14:textFill>
            <w14:solidFill>
              <w14:schemeClr w14:val="tx1"/>
            </w14:solidFill>
          </w14:textFill>
        </w:rPr>
        <w:t>资源化污泥可作为绿化有机肥原材料。</w:t>
      </w:r>
      <w:commentRangeEnd w:id="17"/>
      <w:r>
        <w:rPr>
          <w:rStyle w:val="34"/>
          <w:rFonts w:hint="default" w:ascii="Times New Roman" w:hAnsi="Times New Roman" w:cs="Times New Roman"/>
          <w:bCs/>
          <w:color w:val="000000" w:themeColor="text1"/>
          <w:sz w:val="32"/>
          <w:szCs w:val="32"/>
          <w:highlight w:val="none"/>
          <w14:textFill>
            <w14:solidFill>
              <w14:schemeClr w14:val="tx1"/>
            </w14:solidFill>
          </w14:textFill>
        </w:rPr>
        <w:commentReference w:id="17"/>
      </w:r>
    </w:p>
    <w:p w14:paraId="5948B68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加强城市扬尘综合防控，积极推动“智慧工地”建设，建筑工地扬尘防控标准化管理全覆盖。控制道路交通扬尘污染，加强城市道路清扫保洁和洒水抑尘，提高机械化作业水平。</w:t>
      </w:r>
    </w:p>
    <w:p w14:paraId="558E2C7B">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利用非常规水资源，实现水资源和水环境综合管理</w:t>
      </w:r>
    </w:p>
    <w:p w14:paraId="4A4D5E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污水厂处理可克达拉中心城区的污水，66团中心镇区城镇居民的生活污水以及一和生物、四方糖业和马利食品厂等企业的工业废水。污水处理厂尾水排放标准达一级A，处理达标排至厂区南侧湿地，缺乏回收利用措施。</w:t>
      </w:r>
    </w:p>
    <w:p w14:paraId="1535CD38">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中心城区的雨水或自然散排状态，或经雨水和合流管道收集后最终排放至伊犁河，而绿化浇洒用水紧缺，海绵城市建设滞后，缺乏对雨水的调蓄和利用。</w:t>
      </w:r>
    </w:p>
    <w:p w14:paraId="4C0EA3E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可克达拉市中心城区内有三条主要水系，由北岸干渠引出分别沿天山路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乌孙山路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昆仑山路</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朱雀湖</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岳麓山路，最终汇入伊犁河。由于可克达拉水厂含沙量较大，目前南部生活区内部水系存在一定淤积。</w:t>
      </w:r>
    </w:p>
    <w:p w14:paraId="68B398F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commentRangeStart w:id="18"/>
      <w:r>
        <w:rPr>
          <w:rFonts w:hint="default" w:ascii="Times New Roman" w:hAnsi="Times New Roman" w:cs="Times New Roman"/>
          <w:color w:val="000000" w:themeColor="text1"/>
          <w:highlight w:val="none"/>
          <w14:textFill>
            <w14:solidFill>
              <w14:schemeClr w14:val="tx1"/>
            </w14:solidFill>
          </w14:textFill>
        </w:rPr>
        <w:t>针对以上问题，系统谋划城市与66团城镇一体化发展区域生活污水管网衔接互通，推动城市中水回用、雨污分流体系建设。规划考虑开展可克达拉市污水处理厂尾水再生工程，对现状污水处理厂尾水进行深度处理，优先用于热电联产生产冷却用水，剩余水量用于水系生态补水，并配套建设再生水专用管。</w:t>
      </w:r>
    </w:p>
    <w:p w14:paraId="31B40369">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在汉江路、学府西路、长江路等雨水管道末端位置新建调蓄池，雨后用于绿化浇洒或生态补水。开展可克达拉市水系提升工程，对现状水系进行清淤和原水除砂净化，优化水环境。</w:t>
      </w:r>
      <w:commentRangeEnd w:id="18"/>
      <w:r>
        <w:rPr>
          <w:rStyle w:val="34"/>
          <w:rFonts w:hint="default" w:ascii="Times New Roman" w:hAnsi="Times New Roman" w:cs="Times New Roman"/>
          <w:color w:val="000000" w:themeColor="text1"/>
          <w:sz w:val="32"/>
          <w:szCs w:val="32"/>
          <w:highlight w:val="none"/>
          <w14:textFill>
            <w14:solidFill>
              <w14:schemeClr w14:val="tx1"/>
            </w14:solidFill>
          </w14:textFill>
        </w:rPr>
        <w:commentReference w:id="18"/>
      </w:r>
    </w:p>
    <w:p w14:paraId="2DB8C9C0">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伊犁河流域多属于灌丛、草甸生态系统,主要物种包括马鹿、石貂、胡桃、新疆野苹果、天山桦、欧洲山杨、半日花、伊犁泡囊草。以增强生态系统功能为目标，巩固伊犁河流域两岸湿地生态系统的保护与修</w:t>
      </w:r>
      <w:r>
        <w:rPr>
          <w:rFonts w:hint="default" w:ascii="Times New Roman" w:hAnsi="Times New Roman" w:cs="Times New Roman"/>
          <w:color w:val="000000" w:themeColor="text1"/>
          <w14:textFill>
            <w14:solidFill>
              <w14:schemeClr w14:val="tx1"/>
            </w14:solidFill>
          </w14:textFill>
        </w:rPr>
        <w:t>复工作，重点围绕伊犁河岸次生林生态系统综合保护工程建设，兵地协同提升伊犁河河流廊道生态功能;有效防治外来物种入侵。</w:t>
      </w:r>
    </w:p>
    <w:p w14:paraId="2B85F983">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深化污染治理与源头管控</w:t>
      </w:r>
    </w:p>
    <w:p w14:paraId="0C914BAA">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强化兵地大气联防联控，联合修编《重污染天气应急预案》，推进水泥行业超低排放改造、硅冶炼行业工业炉窑综合治理、燃煤锅炉治理，落实污染物减排措施。深入推进第四师可克达拉市生态环境质量提升与绿色产业融合开发（EOD）项目，强化城市噪声污染、新污染物治理。严格落实环境影响评价制度，严禁“两高”项目盲目上马。强化固定资产投资项目节能审查，要求节能报告中添加项目碳排放评价内容，开展66团清洁取暖试点工作。完善城市建筑垃圾、生活垃圾分类处置体系，强化餐饮油烟、建筑垃圾、建筑扬尘治理。</w:t>
      </w:r>
    </w:p>
    <w:p w14:paraId="3518FCF3">
      <w:pPr>
        <w:pStyle w:val="5"/>
        <w:pageBreakBefore w:val="0"/>
        <w:numPr>
          <w:ilvl w:val="3"/>
          <w:numId w:val="0"/>
        </w:numPr>
        <w:kinsoku/>
        <w:wordWrap/>
        <w:overflowPunct/>
        <w:topLinePunct w:val="0"/>
        <w:autoSpaceDE/>
        <w:autoSpaceDN/>
        <w:bidi w:val="0"/>
        <w:spacing w:line="560" w:lineRule="exact"/>
        <w:ind w:left="568" w:leftChars="0"/>
        <w:textAlignment w:val="auto"/>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推动绿色建造与低碳交通</w:t>
      </w:r>
    </w:p>
    <w:p w14:paraId="1C1B50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引导建材企业积极申报绿色建材认证，强化施工图设计文件审查，严把城市新建建筑100%执行绿色建筑标准。积极推广工厂化生产、装配化施工、智能化建造，推动城镇建造方式向绿色低碳发展转型。组织开展师市星级绿色建筑评定工作。持续推动工业领域设备更新行动，积极组织绿色工厂申报评价。推进反食品浪费宣传，营造节约光荣、浪费可耻的就餐理念。建设公交充电桩3座，结合可克达拉市路网布局，优先在公交首末站、换乘枢纽建设快充桩，同步改造电网接入条件，保障充电需求。搭建公交智慧调度平台，实现“客流动态调整、车辆智能调度”。持续推进新能源城市公交车及动力电池更新。推动师市商贸流通领域经营主体一次性塑料制品使用减量。</w:t>
      </w:r>
    </w:p>
    <w:p w14:paraId="5CC752FC">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331" w:name="_Toc230277533"/>
      <w:bookmarkStart w:id="332" w:name="_Toc235785922"/>
      <w:bookmarkStart w:id="333" w:name="_Toc230277475"/>
      <w:bookmarkStart w:id="334" w:name="_Toc229494880"/>
      <w:bookmarkStart w:id="335" w:name="_Toc227081274"/>
      <w:r>
        <w:rPr>
          <w:rFonts w:hint="default" w:ascii="Times New Roman" w:hAnsi="Times New Roman" w:cs="Times New Roman"/>
          <w:color w:val="000000" w:themeColor="text1"/>
          <w14:textFill>
            <w14:solidFill>
              <w14:schemeClr w14:val="tx1"/>
            </w14:solidFill>
          </w14:textFill>
        </w:rPr>
        <w:t>保障各类要素</w:t>
      </w:r>
      <w:bookmarkEnd w:id="318"/>
      <w:bookmarkEnd w:id="319"/>
      <w:bookmarkEnd w:id="320"/>
      <w:bookmarkEnd w:id="321"/>
      <w:bookmarkEnd w:id="331"/>
      <w:bookmarkEnd w:id="332"/>
      <w:bookmarkEnd w:id="333"/>
      <w:bookmarkEnd w:id="334"/>
      <w:bookmarkEnd w:id="335"/>
    </w:p>
    <w:p w14:paraId="65C76AC2">
      <w:pPr>
        <w:pStyle w:val="47"/>
        <w:pageBreakBefore w:val="0"/>
        <w:numPr>
          <w:ilvl w:val="0"/>
          <w:numId w:val="21"/>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36" w:name="_Toc213316020"/>
      <w:bookmarkStart w:id="337" w:name="_Toc213316112"/>
      <w:bookmarkStart w:id="338" w:name="_Toc229494881"/>
      <w:bookmarkStart w:id="339" w:name="_Toc227081275"/>
      <w:bookmarkStart w:id="340" w:name="_Toc213315651"/>
      <w:bookmarkStart w:id="341" w:name="_Toc235785923"/>
      <w:bookmarkStart w:id="342" w:name="_Toc230277476"/>
      <w:bookmarkStart w:id="343" w:name="_Toc230277534"/>
      <w:bookmarkStart w:id="344" w:name="_Toc213317167"/>
      <w:r>
        <w:rPr>
          <w:rFonts w:hint="default" w:ascii="Times New Roman" w:hAnsi="Times New Roman" w:cs="Times New Roman"/>
          <w:color w:val="000000" w:themeColor="text1"/>
          <w14:textFill>
            <w14:solidFill>
              <w14:schemeClr w14:val="tx1"/>
            </w14:solidFill>
          </w14:textFill>
        </w:rPr>
        <w:t>资金保障措施</w:t>
      </w:r>
      <w:bookmarkEnd w:id="336"/>
      <w:bookmarkEnd w:id="337"/>
      <w:bookmarkEnd w:id="338"/>
      <w:bookmarkEnd w:id="339"/>
      <w:bookmarkEnd w:id="340"/>
      <w:bookmarkEnd w:id="341"/>
      <w:bookmarkEnd w:id="342"/>
      <w:bookmarkEnd w:id="343"/>
      <w:bookmarkEnd w:id="344"/>
    </w:p>
    <w:p w14:paraId="575C754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争取中央和兵团财政对符合可克达拉市高质量发展建设总体目标、战略任务的项目给予支持。强化金融业产业功能，通过大力引进银行、保险、证券等金融机构设立分支机构来丰富服务主体，同时切实提升金融服务水平，加快政府产业引导基金设立进度，进而加快产业投资、延伸产业链。</w:t>
      </w:r>
    </w:p>
    <w:p w14:paraId="69BCAE9D">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紧密贴合国家“两重”“两新”和城市更新投向，积极争取中央预算内投资、超长期特别国债、专项债券等资金支持，优化城市基础设施新建、改建项目申报路径。探索引导社会资本通过</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专项债作资本金+银行贷款</w:t>
      </w:r>
      <w:r>
        <w:rPr>
          <w:rFonts w:hint="eastAsia"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、EOD等模式参与城市基础设施和公共服务项目建设运营，加强对资金的使用监管和绩效评价。</w:t>
      </w:r>
    </w:p>
    <w:p w14:paraId="6E68E5FB">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45" w:name="_Toc230277535"/>
      <w:bookmarkStart w:id="346" w:name="_Toc235785924"/>
      <w:bookmarkStart w:id="347" w:name="_Toc213316113"/>
      <w:bookmarkStart w:id="348" w:name="_Toc213315652"/>
      <w:bookmarkStart w:id="349" w:name="_Toc230277477"/>
      <w:bookmarkStart w:id="350" w:name="_Toc229494882"/>
      <w:bookmarkStart w:id="351" w:name="_Toc227081276"/>
      <w:bookmarkStart w:id="352" w:name="_Toc213316021"/>
      <w:bookmarkStart w:id="353" w:name="_Toc213317168"/>
      <w:r>
        <w:rPr>
          <w:rFonts w:hint="default" w:ascii="Times New Roman" w:hAnsi="Times New Roman" w:cs="Times New Roman"/>
          <w:color w:val="000000" w:themeColor="text1"/>
          <w14:textFill>
            <w14:solidFill>
              <w14:schemeClr w14:val="tx1"/>
            </w14:solidFill>
          </w14:textFill>
        </w:rPr>
        <w:t>土地保障措施</w:t>
      </w:r>
      <w:bookmarkEnd w:id="345"/>
      <w:bookmarkEnd w:id="346"/>
      <w:bookmarkEnd w:id="347"/>
      <w:bookmarkEnd w:id="348"/>
      <w:bookmarkEnd w:id="349"/>
      <w:bookmarkEnd w:id="350"/>
      <w:bookmarkEnd w:id="351"/>
      <w:bookmarkEnd w:id="352"/>
      <w:bookmarkEnd w:id="353"/>
    </w:p>
    <w:p w14:paraId="494BAE1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shd w:val="clear" w:color="auto" w:fill="FFFFFF"/>
          <w14:textFill>
            <w14:solidFill>
              <w14:schemeClr w14:val="tx1"/>
            </w14:solidFill>
          </w14:textFill>
        </w:rPr>
      </w:pPr>
      <w:r>
        <w:rPr>
          <w:rFonts w:hint="default" w:ascii="Times New Roman" w:hAnsi="Times New Roman" w:cs="Times New Roman"/>
          <w:color w:val="000000" w:themeColor="text1"/>
          <w:shd w:val="clear" w:color="auto" w:fill="FFFFFF"/>
          <w14:textFill>
            <w14:solidFill>
              <w14:schemeClr w14:val="tx1"/>
            </w14:solidFill>
          </w14:textFill>
        </w:rPr>
        <w:t>在规划层面，</w:t>
      </w:r>
      <w:r>
        <w:rPr>
          <w:rFonts w:hint="default" w:ascii="Times New Roman" w:hAnsi="Times New Roman" w:cs="Times New Roman"/>
          <w:color w:val="000000" w:themeColor="text1"/>
          <w14:textFill>
            <w14:solidFill>
              <w14:schemeClr w14:val="tx1"/>
            </w14:solidFill>
          </w14:textFill>
        </w:rPr>
        <w:t>进一步推进国土空间总体规划评估调整和国土空间详细规划修编完善工作，优化国土空间发展格局，坚持要素跟着项目走，建立项目跟踪管理台账，将谋划项目纳入国土空间总体规划，保障项目落地实施。</w:t>
      </w:r>
      <w:r>
        <w:rPr>
          <w:rFonts w:hint="default" w:ascii="Times New Roman" w:hAnsi="Times New Roman" w:cs="Times New Roman"/>
          <w:color w:val="000000" w:themeColor="text1"/>
          <w:shd w:val="clear" w:color="auto" w:fill="FFFFFF"/>
          <w14:textFill>
            <w14:solidFill>
              <w14:schemeClr w14:val="tx1"/>
            </w14:solidFill>
          </w14:textFill>
        </w:rPr>
        <w:t>科学布局土地利用、严格划定工业用地保护红线；同时积极争取将</w:t>
      </w:r>
      <w:r>
        <w:rPr>
          <w:rFonts w:hint="default" w:ascii="Times New Roman" w:hAnsi="Times New Roman" w:cs="Times New Roman"/>
          <w:color w:val="000000" w:themeColor="text1"/>
          <w14:textFill>
            <w14:solidFill>
              <w14:schemeClr w14:val="tx1"/>
            </w14:solidFill>
          </w14:textFill>
        </w:rPr>
        <w:t>66</w:t>
      </w:r>
      <w:r>
        <w:rPr>
          <w:rFonts w:hint="default" w:ascii="Times New Roman" w:hAnsi="Times New Roman" w:cs="Times New Roman"/>
          <w:color w:val="000000" w:themeColor="text1"/>
          <w:shd w:val="clear" w:color="auto" w:fill="FFFFFF"/>
          <w14:textFill>
            <w14:solidFill>
              <w14:schemeClr w14:val="tx1"/>
            </w14:solidFill>
          </w14:textFill>
        </w:rPr>
        <w:t>团纳入中心城区统一规划、协同发展。</w:t>
      </w:r>
      <w:r>
        <w:rPr>
          <w:rFonts w:hint="default" w:ascii="Times New Roman" w:hAnsi="Times New Roman" w:cs="Times New Roman"/>
          <w:color w:val="000000" w:themeColor="text1"/>
          <w14:textFill>
            <w14:solidFill>
              <w14:schemeClr w14:val="tx1"/>
            </w14:solidFill>
          </w14:textFill>
        </w:rPr>
        <w:t>持续深化重点区域城市设计，合理确定地块强制性指标。</w:t>
      </w:r>
      <w:r>
        <w:rPr>
          <w:rFonts w:hint="default" w:ascii="Times New Roman" w:hAnsi="Times New Roman" w:cs="Times New Roman"/>
          <w:color w:val="000000" w:themeColor="text1"/>
          <w:shd w:val="clear" w:color="auto" w:fill="FFFFFF"/>
          <w14:textFill>
            <w14:solidFill>
              <w14:schemeClr w14:val="tx1"/>
            </w14:solidFill>
          </w14:textFill>
        </w:rPr>
        <w:t>在存量层面，全面清查并盘活闲置和低效用地，</w:t>
      </w:r>
      <w:r>
        <w:rPr>
          <w:rFonts w:hint="default" w:ascii="Times New Roman" w:hAnsi="Times New Roman" w:cs="Times New Roman"/>
          <w:color w:val="000000" w:themeColor="text1"/>
          <w14:textFill>
            <w14:solidFill>
              <w14:schemeClr w14:val="tx1"/>
            </w14:solidFill>
          </w14:textFill>
        </w:rPr>
        <w:t>加大批而未供土地处置力度，</w:t>
      </w:r>
      <w:r>
        <w:rPr>
          <w:rFonts w:hint="default" w:ascii="Times New Roman" w:hAnsi="Times New Roman" w:cs="Times New Roman"/>
          <w:color w:val="000000" w:themeColor="text1"/>
          <w:shd w:val="clear" w:color="auto" w:fill="FFFFFF"/>
          <w14:textFill>
            <w14:solidFill>
              <w14:schemeClr w14:val="tx1"/>
            </w14:solidFill>
          </w14:textFill>
        </w:rPr>
        <w:t>积极推动企业实施“零地技改”，促进集约发展。在机制层面，加强土地批后监管、建设过程监督与竣工核实，建设覆盖项目全生命周期的闭环管理体系，为重点项目开设审批绿色通道，探索弹性年期和差别化供地方式，建立健全亩均效益考核评价机制，全面提升土地利用效率和管理水平。</w:t>
      </w:r>
    </w:p>
    <w:p w14:paraId="77629560">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54" w:name="_Toc213317169"/>
      <w:bookmarkStart w:id="355" w:name="_Toc235785925"/>
      <w:bookmarkStart w:id="356" w:name="_Toc229494883"/>
      <w:bookmarkStart w:id="357" w:name="_Toc213315653"/>
      <w:bookmarkStart w:id="358" w:name="_Toc227081277"/>
      <w:bookmarkStart w:id="359" w:name="_Toc230277536"/>
      <w:bookmarkStart w:id="360" w:name="_Toc230277478"/>
      <w:bookmarkStart w:id="361" w:name="_Toc213316114"/>
      <w:bookmarkStart w:id="362" w:name="_Toc213316022"/>
      <w:r>
        <w:rPr>
          <w:rFonts w:hint="default" w:ascii="Times New Roman" w:hAnsi="Times New Roman" w:cs="Times New Roman"/>
          <w:color w:val="000000" w:themeColor="text1"/>
          <w14:textFill>
            <w14:solidFill>
              <w14:schemeClr w14:val="tx1"/>
            </w14:solidFill>
          </w14:textFill>
        </w:rPr>
        <w:t>资源保障措施</w:t>
      </w:r>
      <w:bookmarkEnd w:id="354"/>
      <w:bookmarkEnd w:id="355"/>
      <w:bookmarkEnd w:id="356"/>
      <w:bookmarkEnd w:id="357"/>
      <w:bookmarkEnd w:id="358"/>
      <w:bookmarkEnd w:id="359"/>
      <w:bookmarkEnd w:id="360"/>
      <w:bookmarkEnd w:id="361"/>
      <w:bookmarkEnd w:id="362"/>
    </w:p>
    <w:p w14:paraId="1C0968B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加强水资源保障，提升水资源循环利用率以降低环境压力，鼓励非常规水源开发利用，通过拓展再生水回用方向、建设雨水调蓄系统，制定微咸水、再生水利用奖励办法；支持可克达拉市减少高耗水经济作物种植规模，适当增加粮食作物种植比例，采取精准灌溉方式，推广设施农业，提高农业灌溉效率。在工业区禁止高耗水企业入驻，鼓励企业采取中水回用措施，减少新水用量。发展绿色经济、鼓励资源再生，开展垃圾分类促进可回收物循环利用。大力推进新能源建设，完善电力供给。</w:t>
      </w:r>
    </w:p>
    <w:p w14:paraId="3003944B">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63" w:name="_Toc227081278"/>
      <w:bookmarkStart w:id="364" w:name="_Toc213316023"/>
      <w:bookmarkStart w:id="365" w:name="_Toc213315654"/>
      <w:bookmarkStart w:id="366" w:name="_Toc235785926"/>
      <w:bookmarkStart w:id="367" w:name="_Toc230277537"/>
      <w:bookmarkStart w:id="368" w:name="_Toc229494884"/>
      <w:bookmarkStart w:id="369" w:name="_Toc213316115"/>
      <w:bookmarkStart w:id="370" w:name="_Toc213317170"/>
      <w:bookmarkStart w:id="371" w:name="_Toc230277479"/>
      <w:r>
        <w:rPr>
          <w:rFonts w:hint="default" w:ascii="Times New Roman" w:hAnsi="Times New Roman" w:cs="Times New Roman"/>
          <w:color w:val="000000" w:themeColor="text1"/>
          <w14:textFill>
            <w14:solidFill>
              <w14:schemeClr w14:val="tx1"/>
            </w14:solidFill>
          </w14:textFill>
        </w:rPr>
        <w:t>劳动力保障措施</w:t>
      </w:r>
      <w:bookmarkEnd w:id="363"/>
      <w:bookmarkEnd w:id="364"/>
      <w:bookmarkEnd w:id="365"/>
      <w:bookmarkEnd w:id="366"/>
      <w:bookmarkEnd w:id="367"/>
      <w:bookmarkEnd w:id="368"/>
      <w:bookmarkEnd w:id="369"/>
      <w:bookmarkEnd w:id="370"/>
      <w:bookmarkEnd w:id="371"/>
    </w:p>
    <w:p w14:paraId="145CCA3B">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立体化模式，通过高校工作站、多类型招聘活动引进高层次和急需紧缺人才，实施“三支一扶”计划充实基层；充分发挥教育、医疗等优势，鼓励内地外来人口整家搬迁可克达拉市，探索各类保障政策。制定特殊人才名录，特定人员予以鼓励。支持可克达拉市进一步扩大高等教育和职业教育办学规模和招生计划。对高校毕业生，提供社保补贴、创业担保贷款、就业创业补贴等多方面扶持，引导其就业创业，确保人才引得进、留得住。</w:t>
      </w:r>
    </w:p>
    <w:p w14:paraId="46C6E9C3">
      <w:pPr>
        <w:pStyle w:val="3"/>
        <w:pageBreakBefore w:val="0"/>
        <w:kinsoku/>
        <w:wordWrap/>
        <w:overflowPunct/>
        <w:topLinePunct w:val="0"/>
        <w:autoSpaceDE/>
        <w:autoSpaceDN/>
        <w:bidi w:val="0"/>
        <w:spacing w:before="217" w:after="217" w:line="560" w:lineRule="exact"/>
        <w:textAlignment w:val="auto"/>
        <w:rPr>
          <w:rFonts w:hint="default" w:ascii="Times New Roman" w:hAnsi="Times New Roman" w:cs="Times New Roman"/>
          <w:color w:val="000000" w:themeColor="text1"/>
          <w14:textFill>
            <w14:solidFill>
              <w14:schemeClr w14:val="tx1"/>
            </w14:solidFill>
          </w14:textFill>
        </w:rPr>
      </w:pPr>
      <w:bookmarkStart w:id="372" w:name="_Toc213316024"/>
      <w:bookmarkStart w:id="373" w:name="_Toc213317171"/>
      <w:bookmarkStart w:id="374" w:name="_Toc230277480"/>
      <w:bookmarkStart w:id="375" w:name="_Toc213315655"/>
      <w:bookmarkStart w:id="376" w:name="_Toc229494885"/>
      <w:bookmarkStart w:id="377" w:name="_Toc230277538"/>
      <w:bookmarkStart w:id="378" w:name="_Toc213316116"/>
      <w:bookmarkStart w:id="379" w:name="_Toc227081279"/>
      <w:bookmarkStart w:id="380" w:name="_Toc235785927"/>
      <w:r>
        <w:rPr>
          <w:rFonts w:hint="default" w:ascii="Times New Roman" w:hAnsi="Times New Roman" w:cs="Times New Roman"/>
          <w:color w:val="000000" w:themeColor="text1"/>
          <w14:textFill>
            <w14:solidFill>
              <w14:schemeClr w14:val="tx1"/>
            </w14:solidFill>
          </w14:textFill>
        </w:rPr>
        <w:t>创新体制机制</w:t>
      </w:r>
      <w:bookmarkEnd w:id="372"/>
      <w:bookmarkEnd w:id="373"/>
      <w:bookmarkEnd w:id="374"/>
      <w:bookmarkEnd w:id="375"/>
      <w:bookmarkEnd w:id="376"/>
      <w:bookmarkEnd w:id="377"/>
      <w:bookmarkEnd w:id="378"/>
      <w:bookmarkEnd w:id="379"/>
      <w:bookmarkEnd w:id="380"/>
    </w:p>
    <w:p w14:paraId="5802BDBF">
      <w:pPr>
        <w:pStyle w:val="47"/>
        <w:pageBreakBefore w:val="0"/>
        <w:numPr>
          <w:ilvl w:val="0"/>
          <w:numId w:val="22"/>
        </w:numPr>
        <w:kinsoku/>
        <w:wordWrap/>
        <w:overflowPunct/>
        <w:topLinePunct w:val="0"/>
        <w:autoSpaceDE/>
        <w:autoSpaceDN/>
        <w:bidi w:val="0"/>
        <w:spacing w:before="217" w:after="217" w:line="560" w:lineRule="exact"/>
        <w:ind w:left="280" w:leftChars="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81" w:name="_Toc235785928"/>
      <w:bookmarkStart w:id="382" w:name="_Toc230277481"/>
      <w:bookmarkStart w:id="383" w:name="_Toc213316117"/>
      <w:bookmarkStart w:id="384" w:name="_Toc229494886"/>
      <w:bookmarkStart w:id="385" w:name="_Toc230277539"/>
      <w:bookmarkStart w:id="386" w:name="_Toc213317172"/>
      <w:bookmarkStart w:id="387" w:name="_Toc213315656"/>
      <w:bookmarkStart w:id="388" w:name="_Toc227081280"/>
      <w:bookmarkStart w:id="389" w:name="_Toc213316025"/>
      <w:r>
        <w:rPr>
          <w:rFonts w:hint="default" w:ascii="Times New Roman" w:hAnsi="Times New Roman" w:cs="Times New Roman"/>
          <w:color w:val="000000" w:themeColor="text1"/>
          <w14:textFill>
            <w14:solidFill>
              <w14:schemeClr w14:val="tx1"/>
            </w14:solidFill>
          </w14:textFill>
        </w:rPr>
        <w:t>创新组织领导</w:t>
      </w:r>
      <w:bookmarkEnd w:id="381"/>
      <w:bookmarkEnd w:id="382"/>
      <w:bookmarkEnd w:id="383"/>
      <w:bookmarkEnd w:id="384"/>
      <w:bookmarkEnd w:id="385"/>
      <w:bookmarkEnd w:id="386"/>
      <w:bookmarkEnd w:id="387"/>
      <w:bookmarkEnd w:id="388"/>
      <w:bookmarkEnd w:id="389"/>
    </w:p>
    <w:p w14:paraId="7C363567">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构建“创新高效、跨界融合、激励包容”新型管理模式，系统提升项目推进效率。在架构创新方面，着力打破部门壁垒，由师市主要领导牵头，成立“城市高质量发展建设工作领导小组”，强化顶层设计与统筹协调。整合发改委、财政局、自然资源和规划局、住建局等核心职能部门，实现对项目全生命周期的覆盖管理。同时，创新设立“项目专员”制度，为每个重点项目配备专职跟进人员，提供从立项审批、资金落实到建设监督、竣工验收的“一对一”全程跟踪服务，确保各个环节无缝衔接、责任到人，显著提升项目推进的秩序性与执行力。</w:t>
      </w:r>
    </w:p>
    <w:p w14:paraId="46ABBBA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90" w:name="_Toc213316118"/>
      <w:bookmarkStart w:id="391" w:name="_Toc229494887"/>
      <w:bookmarkStart w:id="392" w:name="_Toc213317173"/>
      <w:bookmarkStart w:id="393" w:name="_Toc213316026"/>
      <w:bookmarkStart w:id="394" w:name="_Toc230277482"/>
      <w:bookmarkStart w:id="395" w:name="_Toc230277540"/>
      <w:bookmarkStart w:id="396" w:name="_Toc213315657"/>
      <w:bookmarkStart w:id="397" w:name="_Toc235785929"/>
      <w:bookmarkStart w:id="398" w:name="_Toc227081281"/>
      <w:r>
        <w:rPr>
          <w:rFonts w:hint="default" w:ascii="Times New Roman" w:hAnsi="Times New Roman" w:cs="Times New Roman"/>
          <w:color w:val="000000" w:themeColor="text1"/>
          <w14:textFill>
            <w14:solidFill>
              <w14:schemeClr w14:val="tx1"/>
            </w14:solidFill>
          </w14:textFill>
        </w:rPr>
        <w:t>明确主体责任</w:t>
      </w:r>
      <w:bookmarkEnd w:id="390"/>
      <w:bookmarkEnd w:id="391"/>
      <w:bookmarkEnd w:id="392"/>
      <w:bookmarkEnd w:id="393"/>
      <w:bookmarkEnd w:id="394"/>
      <w:bookmarkEnd w:id="395"/>
      <w:bookmarkEnd w:id="396"/>
      <w:bookmarkEnd w:id="397"/>
      <w:bookmarkEnd w:id="398"/>
    </w:p>
    <w:p w14:paraId="454A2293">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以“压实责任、保障落地”为目标。在组织模式上，形成清晰的多级联动机制：顶层严格遵循“三重一大”集体决策制度，对重大决策、重要人事、重大项目及大额资金运作等进行科学统筹与协调；中层依托“部门</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科室</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个人”三级责任链逐级分解任务、明确执行主体，确保项目一线落实，同时嵌入专业化“工作专班”提供关键支撑与资源协调，实现纵向贯通、横向协同的高效工作推进组织模式。在管理体系方面，系统推行以“责任明确界定</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全过程动态管控</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绩效严格考核奖惩</w:t>
      </w:r>
      <w:r>
        <w:rPr>
          <w:rFonts w:hint="eastAsia" w:ascii="Times New Roman" w:hAnsi="Times New Roman" w:cs="Times New Roman"/>
          <w:bCs/>
          <w:color w:val="000000" w:themeColor="text1"/>
          <w:lang w:eastAsia="zh-CN"/>
          <w14:textFill>
            <w14:solidFill>
              <w14:schemeClr w14:val="tx1"/>
            </w14:solidFill>
          </w14:textFill>
        </w:rPr>
        <w:t>—</w:t>
      </w:r>
      <w:r>
        <w:rPr>
          <w:rFonts w:hint="default" w:ascii="Times New Roman" w:hAnsi="Times New Roman" w:cs="Times New Roman"/>
          <w:bCs/>
          <w:color w:val="000000" w:themeColor="text1"/>
          <w14:textFill>
            <w14:solidFill>
              <w14:schemeClr w14:val="tx1"/>
            </w14:solidFill>
          </w14:textFill>
        </w:rPr>
        <w:t>失职严肃追溯”为核心的四维闭环机制，确保各项职责可跟踪、可评价、可问责，从根本上杜绝责任虚化、模糊和无人承担的问题，切实增强项目推进的持续力和约束力</w:t>
      </w:r>
      <w:r>
        <w:rPr>
          <w:rFonts w:hint="default" w:ascii="Times New Roman" w:hAnsi="Times New Roman" w:cs="Times New Roman"/>
          <w:color w:val="000000" w:themeColor="text1"/>
          <w14:textFill>
            <w14:solidFill>
              <w14:schemeClr w14:val="tx1"/>
            </w14:solidFill>
          </w14:textFill>
        </w:rPr>
        <w:t>。</w:t>
      </w:r>
    </w:p>
    <w:p w14:paraId="481D2A62">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399" w:name="_Toc235785930"/>
      <w:bookmarkStart w:id="400" w:name="_Toc230277483"/>
      <w:bookmarkStart w:id="401" w:name="_Toc230277541"/>
      <w:bookmarkStart w:id="402" w:name="_Toc213316027"/>
      <w:bookmarkStart w:id="403" w:name="_Toc213317174"/>
      <w:bookmarkStart w:id="404" w:name="_Toc229494888"/>
      <w:bookmarkStart w:id="405" w:name="_Toc213315658"/>
      <w:bookmarkStart w:id="406" w:name="_Toc213316119"/>
      <w:bookmarkStart w:id="407" w:name="_Toc227081282"/>
      <w:r>
        <w:rPr>
          <w:rFonts w:hint="default" w:ascii="Times New Roman" w:hAnsi="Times New Roman" w:cs="Times New Roman"/>
          <w:color w:val="000000" w:themeColor="text1"/>
          <w14:textFill>
            <w14:solidFill>
              <w14:schemeClr w14:val="tx1"/>
            </w14:solidFill>
          </w14:textFill>
        </w:rPr>
        <w:t>协同监督机制</w:t>
      </w:r>
      <w:bookmarkEnd w:id="399"/>
      <w:bookmarkEnd w:id="400"/>
      <w:bookmarkEnd w:id="401"/>
      <w:bookmarkEnd w:id="402"/>
      <w:bookmarkEnd w:id="403"/>
      <w:bookmarkEnd w:id="404"/>
      <w:bookmarkEnd w:id="405"/>
      <w:bookmarkEnd w:id="406"/>
      <w:bookmarkEnd w:id="407"/>
    </w:p>
    <w:p w14:paraId="21EFC84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Cs/>
          <w:color w:val="000000" w:themeColor="text1"/>
          <w14:textFill>
            <w14:solidFill>
              <w14:schemeClr w14:val="tx1"/>
            </w14:solidFill>
          </w14:textFill>
        </w:rPr>
        <w:t>以“多元联动、全程覆盖、精准高效”为目标，构建“三维协同+双轨赋能”监督体系。</w:t>
      </w:r>
      <w:r>
        <w:rPr>
          <w:rFonts w:hint="default" w:ascii="Times New Roman" w:hAnsi="Times New Roman" w:cs="Times New Roman"/>
          <w:color w:val="000000" w:themeColor="text1"/>
          <w14:textFill>
            <w14:solidFill>
              <w14:schemeClr w14:val="tx1"/>
            </w14:solidFill>
          </w14:textFill>
        </w:rPr>
        <w:t>监督主体上强调三方联动，政府部门通过联席会商、联合检查信息互通与执法互补，</w:t>
      </w:r>
      <w:r>
        <w:rPr>
          <w:rFonts w:hint="default" w:ascii="Times New Roman" w:hAnsi="Times New Roman" w:cs="Times New Roman"/>
          <w:color w:val="000000" w:themeColor="text1"/>
          <w:shd w:val="clear" w:color="auto" w:fill="FFFFFF"/>
          <w14:textFill>
            <w14:solidFill>
              <w14:schemeClr w14:val="tx1"/>
            </w14:solidFill>
          </w14:textFill>
        </w:rPr>
        <w:t>引入第三方专业机构开展独立、客观的技术评估与效能诊断，弥补行政监督盲区</w:t>
      </w:r>
      <w:r>
        <w:rPr>
          <w:rFonts w:hint="default" w:ascii="Times New Roman" w:hAnsi="Times New Roman" w:cs="Times New Roman"/>
          <w:color w:val="000000" w:themeColor="text1"/>
          <w14:textFill>
            <w14:solidFill>
              <w14:schemeClr w14:val="tx1"/>
            </w14:solidFill>
          </w14:textFill>
        </w:rPr>
        <w:t>，依托数字化平台畅通公众反馈渠道，鼓励社会公众参与常态化监督，形成多元主体协同监督格局；监督流程上形成全流程闭环，事前加强风险研判与合规性审查，事中建立平台数据共享、动态整改机制，</w:t>
      </w:r>
      <w:r>
        <w:rPr>
          <w:rFonts w:hint="default" w:ascii="Times New Roman" w:hAnsi="Times New Roman" w:cs="Times New Roman"/>
          <w:color w:val="000000" w:themeColor="text1"/>
          <w:shd w:val="clear" w:color="auto" w:fill="FFFFFF"/>
          <w14:textFill>
            <w14:solidFill>
              <w14:schemeClr w14:val="tx1"/>
            </w14:solidFill>
          </w14:textFill>
        </w:rPr>
        <w:t>事后强化绩效审计、复盘总结与运维评估，实现持续优</w:t>
      </w:r>
      <w:r>
        <w:rPr>
          <w:rFonts w:hint="default" w:ascii="Times New Roman" w:hAnsi="Times New Roman" w:cs="Times New Roman"/>
          <w:color w:val="000000" w:themeColor="text1"/>
          <w14:textFill>
            <w14:solidFill>
              <w14:schemeClr w14:val="tx1"/>
            </w14:solidFill>
          </w14:textFill>
        </w:rPr>
        <w:t>化；监督保障上推行“技术+制度”双轨赋能，技术层面综合运用智能监控、大数据分析和物联网感知等数字化手段，实现风险精准识别与智能预警；制度层面出台专项监督管理办法，建</w:t>
      </w:r>
      <w:r>
        <w:rPr>
          <w:rFonts w:hint="default" w:ascii="Times New Roman" w:hAnsi="Times New Roman" w:cs="Times New Roman"/>
          <w:color w:val="000000" w:themeColor="text1"/>
          <w:shd w:val="clear" w:color="auto" w:fill="FFFFFF"/>
          <w14:textFill>
            <w14:solidFill>
              <w14:schemeClr w14:val="tx1"/>
            </w14:solidFill>
          </w14:textFill>
        </w:rPr>
        <w:t>立与信用评价挂钩、奖惩分明、问责到人的机制体系，确保监督工作高效有力、全程无隙覆盖</w:t>
      </w:r>
      <w:r>
        <w:rPr>
          <w:rFonts w:hint="default" w:ascii="Times New Roman" w:hAnsi="Times New Roman" w:cs="Times New Roman"/>
          <w:color w:val="000000" w:themeColor="text1"/>
          <w14:textFill>
            <w14:solidFill>
              <w14:schemeClr w14:val="tx1"/>
            </w14:solidFill>
          </w14:textFill>
        </w:rPr>
        <w:t>。</w:t>
      </w:r>
    </w:p>
    <w:p w14:paraId="06E3C528">
      <w:pPr>
        <w:pStyle w:val="47"/>
        <w:pageBreakBefore w:val="0"/>
        <w:kinsoku/>
        <w:wordWrap/>
        <w:overflowPunct/>
        <w:topLinePunct w:val="0"/>
        <w:autoSpaceDE/>
        <w:autoSpaceDN/>
        <w:bidi w:val="0"/>
        <w:spacing w:before="217" w:after="217" w:line="560" w:lineRule="exact"/>
        <w:ind w:left="280" w:leftChars="0" w:firstLine="640" w:firstLineChars="0"/>
        <w:jc w:val="both"/>
        <w:textAlignment w:val="auto"/>
        <w:rPr>
          <w:rFonts w:hint="default" w:ascii="Times New Roman" w:hAnsi="Times New Roman" w:cs="Times New Roman"/>
          <w:color w:val="000000" w:themeColor="text1"/>
          <w14:textFill>
            <w14:solidFill>
              <w14:schemeClr w14:val="tx1"/>
            </w14:solidFill>
          </w14:textFill>
        </w:rPr>
      </w:pPr>
      <w:bookmarkStart w:id="408" w:name="_Toc230277542"/>
      <w:bookmarkStart w:id="409" w:name="_Toc213315659"/>
      <w:bookmarkStart w:id="410" w:name="_Toc227081283"/>
      <w:bookmarkStart w:id="411" w:name="_Toc213316028"/>
      <w:bookmarkStart w:id="412" w:name="_Toc230277484"/>
      <w:bookmarkStart w:id="413" w:name="_Toc213316120"/>
      <w:bookmarkStart w:id="414" w:name="_Toc213317175"/>
      <w:bookmarkStart w:id="415" w:name="_Toc229494889"/>
      <w:bookmarkStart w:id="416" w:name="_Toc235785931"/>
      <w:r>
        <w:rPr>
          <w:rFonts w:hint="default" w:ascii="Times New Roman" w:hAnsi="Times New Roman" w:cs="Times New Roman"/>
          <w:color w:val="000000" w:themeColor="text1"/>
          <w14:textFill>
            <w14:solidFill>
              <w14:schemeClr w14:val="tx1"/>
            </w14:solidFill>
          </w14:textFill>
        </w:rPr>
        <w:t>创新管理机制</w:t>
      </w:r>
      <w:bookmarkEnd w:id="408"/>
      <w:bookmarkEnd w:id="409"/>
      <w:bookmarkEnd w:id="410"/>
      <w:bookmarkEnd w:id="411"/>
      <w:bookmarkEnd w:id="412"/>
      <w:bookmarkEnd w:id="413"/>
      <w:bookmarkEnd w:id="414"/>
      <w:bookmarkEnd w:id="415"/>
      <w:bookmarkEnd w:id="416"/>
    </w:p>
    <w:p w14:paraId="6D2813AC">
      <w:pPr>
        <w:pageBreakBefore w:val="0"/>
        <w:kinsoku/>
        <w:wordWrap/>
        <w:overflowPunct/>
        <w:topLinePunct w:val="0"/>
        <w:autoSpaceDE/>
        <w:autoSpaceDN/>
        <w:bidi w:val="0"/>
        <w:spacing w:line="560" w:lineRule="exact"/>
        <w:ind w:firstLine="640"/>
        <w:textAlignment w:val="auto"/>
        <w:rPr>
          <w:rFonts w:hint="default" w:ascii="Times New Roman" w:hAnsi="Times New Roman" w:cs="Times New Roman"/>
          <w:color w:val="000000" w:themeColor="text1"/>
          <w14:textFill>
            <w14:solidFill>
              <w14:schemeClr w14:val="tx1"/>
            </w14:solidFill>
          </w14:textFill>
        </w:rPr>
      </w:pPr>
      <w:bookmarkStart w:id="417" w:name="OLE_LINK5"/>
      <w:r>
        <w:rPr>
          <w:rFonts w:hint="default" w:ascii="Times New Roman" w:hAnsi="Times New Roman" w:cs="Times New Roman"/>
          <w:color w:val="000000" w:themeColor="text1"/>
          <w:shd w:val="clear" w:color="auto" w:fill="FFFFFF"/>
          <w14:textFill>
            <w14:solidFill>
              <w14:schemeClr w14:val="tx1"/>
            </w14:solidFill>
          </w14:textFill>
        </w:rPr>
        <w:t>以</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全周期管控、高效化推进、高质量落地</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为核心，构建</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三阶段闭环+双支撑保障</w:t>
      </w:r>
      <w:r>
        <w:rPr>
          <w:rFonts w:hint="eastAsia" w:ascii="Times New Roman" w:hAnsi="Times New Roman" w:cs="Times New Roman"/>
          <w:color w:val="000000" w:themeColor="text1"/>
          <w:shd w:val="clear" w:color="auto" w:fill="FFFFFF"/>
          <w:lang w:eastAsia="zh-CN"/>
          <w14:textFill>
            <w14:solidFill>
              <w14:schemeClr w14:val="tx1"/>
            </w14:solidFill>
          </w14:textFill>
        </w:rPr>
        <w:t>”</w:t>
      </w:r>
      <w:r>
        <w:rPr>
          <w:rFonts w:hint="default" w:ascii="Times New Roman" w:hAnsi="Times New Roman" w:cs="Times New Roman"/>
          <w:color w:val="000000" w:themeColor="text1"/>
          <w:shd w:val="clear" w:color="auto" w:fill="FFFFFF"/>
          <w14:textFill>
            <w14:solidFill>
              <w14:schemeClr w14:val="tx1"/>
            </w14:solidFill>
          </w14:textFill>
        </w:rPr>
        <w:t>的新型管理体系。立项筹备阶段，建立动态项目储备库与专业评审机制，依托专家论证和精准方案设计，强化项目前瞻性与可行性，杜绝盲目立项。建设实施阶段，全面推行清单化管理与实时协同调度，通过数字化平台实现数据实时上传、多方在线协同，结合动态质量抽检，实现全过程精细化管控。验收运维阶段，实施多维评价与综合验收，建立完备的运维档案并系统开展项目复盘，持续优化管理机制。技术支撑方面，强化平台智能预警功能，引入BIM全生命周期管理、大数据分析等智慧手段，实现数字赋能。制度支撑方面，出台项目管理办法，明确考核激励与容错纠错机制，规范权责边界，全方位保障项目系统化、规范化、高效化落地。</w:t>
      </w:r>
      <w:bookmarkEnd w:id="417"/>
    </w:p>
    <w:sectPr>
      <w:headerReference r:id="rId22" w:type="first"/>
      <w:footerReference r:id="rId25" w:type="first"/>
      <w:headerReference r:id="rId20" w:type="default"/>
      <w:footerReference r:id="rId23" w:type="default"/>
      <w:headerReference r:id="rId21" w:type="even"/>
      <w:footerReference r:id="rId24" w:type="even"/>
      <w:pgSz w:w="11906" w:h="16838"/>
      <w:pgMar w:top="1440" w:right="1985" w:bottom="1440" w:left="1800" w:header="851" w:footer="992" w:gutter="0"/>
      <w:pgNumType w:start="1"/>
      <w:cols w:space="425" w:num="1"/>
      <w:docGrid w:type="lines" w:linePitch="435"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 w:date="2026-08-10T16:44:00Z" w:initials="Z">
    <w:p w14:paraId="1DE635F2">
      <w:pPr>
        <w:pStyle w:val="13"/>
        <w:rPr>
          <w:rFonts w:hint="eastAsia"/>
        </w:rPr>
      </w:pPr>
      <w:r>
        <w:rPr>
          <w:rFonts w:hint="eastAsia"/>
        </w:rPr>
        <w:t>已修改</w:t>
      </w:r>
    </w:p>
  </w:comment>
  <w:comment w:id="1" w:author="Z" w:date="2026-08-10T16:42:00Z" w:initials="Z">
    <w:p w14:paraId="079F3DCA">
      <w:pPr>
        <w:pStyle w:val="13"/>
        <w:rPr>
          <w:rFonts w:hint="eastAsia"/>
        </w:rPr>
      </w:pPr>
      <w:r>
        <w:rPr>
          <w:rFonts w:hint="eastAsia"/>
        </w:rPr>
        <w:t>已修改去掉人名</w:t>
      </w:r>
    </w:p>
  </w:comment>
  <w:comment w:id="2" w:author="Z" w:date="2026-08-10T16:34:00Z" w:initials="Z">
    <w:p w14:paraId="1974825A">
      <w:pPr>
        <w:pStyle w:val="13"/>
        <w:rPr>
          <w:rFonts w:hint="eastAsia"/>
        </w:rPr>
      </w:pPr>
      <w:r>
        <w:rPr>
          <w:rFonts w:hint="eastAsia"/>
        </w:rPr>
        <w:t>已修改</w:t>
      </w:r>
    </w:p>
  </w:comment>
  <w:comment w:id="3" w:author="Z" w:date="2026-08-10T16:26:00Z" w:initials="Z">
    <w:p w14:paraId="0747517F">
      <w:pPr>
        <w:pStyle w:val="13"/>
        <w:rPr>
          <w:rFonts w:hint="eastAsia"/>
        </w:rPr>
      </w:pPr>
      <w:r>
        <w:rPr>
          <w:rFonts w:hint="eastAsia"/>
        </w:rPr>
        <w:t>已修</w:t>
      </w:r>
    </w:p>
  </w:comment>
  <w:comment w:id="4" w:author="Z" w:date="2026-08-10T16:24:00Z" w:initials="Z">
    <w:p w14:paraId="6F4D5BF4">
      <w:pPr>
        <w:pStyle w:val="13"/>
        <w:rPr>
          <w:rFonts w:hint="eastAsia"/>
        </w:rPr>
      </w:pPr>
      <w:r>
        <w:rPr>
          <w:rFonts w:hint="eastAsia"/>
        </w:rPr>
        <w:t>已修改</w:t>
      </w:r>
    </w:p>
  </w:comment>
  <w:comment w:id="5" w:author="Z" w:date="2026-08-10T16:20:00Z" w:initials="Z">
    <w:p w14:paraId="5698B3E9">
      <w:pPr>
        <w:pStyle w:val="13"/>
        <w:rPr>
          <w:rFonts w:hint="eastAsia"/>
        </w:rPr>
      </w:pPr>
      <w:r>
        <w:rPr>
          <w:rFonts w:hint="eastAsia"/>
        </w:rPr>
        <w:t>已修改</w:t>
      </w:r>
    </w:p>
  </w:comment>
  <w:comment w:id="6" w:author="Z" w:date="2026-08-10T16:10:00Z" w:initials="Z">
    <w:p w14:paraId="0B835D4E">
      <w:pPr>
        <w:pStyle w:val="13"/>
        <w:rPr>
          <w:rFonts w:hint="eastAsia"/>
        </w:rPr>
      </w:pPr>
      <w:r>
        <w:rPr>
          <w:rFonts w:hint="eastAsia"/>
        </w:rPr>
        <w:t>已改</w:t>
      </w:r>
    </w:p>
  </w:comment>
  <w:comment w:id="7" w:author="Z" w:date="2026-08-10T16:13:00Z" w:initials="Z">
    <w:p w14:paraId="32B9CB6B">
      <w:pPr>
        <w:pStyle w:val="13"/>
        <w:rPr>
          <w:rFonts w:hint="eastAsia"/>
        </w:rPr>
      </w:pPr>
      <w:r>
        <w:rPr>
          <w:rFonts w:hint="eastAsia"/>
        </w:rPr>
        <w:t>已改</w:t>
      </w:r>
    </w:p>
  </w:comment>
  <w:comment w:id="8" w:author="Z" w:date="2026-08-10T16:09:00Z" w:initials="Z">
    <w:p w14:paraId="1B8C9ABA">
      <w:pPr>
        <w:pStyle w:val="13"/>
        <w:rPr>
          <w:rFonts w:hint="eastAsia"/>
        </w:rPr>
      </w:pPr>
      <w:r>
        <w:rPr>
          <w:rStyle w:val="34"/>
          <w:rFonts w:hint="eastAsia"/>
        </w:rPr>
        <w:t>已修改</w:t>
      </w:r>
    </w:p>
  </w:comment>
  <w:comment w:id="9" w:author="Z" w:date="2026-08-10T16:08:00Z" w:initials="Z">
    <w:p w14:paraId="5F3A9A03">
      <w:pPr>
        <w:pStyle w:val="13"/>
        <w:rPr>
          <w:rFonts w:hint="eastAsia"/>
        </w:rPr>
      </w:pPr>
      <w:r>
        <w:rPr>
          <w:rFonts w:hint="eastAsia"/>
        </w:rPr>
        <w:t>已修改</w:t>
      </w:r>
    </w:p>
  </w:comment>
  <w:comment w:id="10" w:author="Z" w:date="2026-08-10T15:52:00Z" w:initials="Z">
    <w:p w14:paraId="217AB4CF">
      <w:pPr>
        <w:pStyle w:val="13"/>
        <w:rPr>
          <w:rFonts w:hint="eastAsia"/>
        </w:rPr>
      </w:pPr>
      <w:r>
        <w:rPr>
          <w:rFonts w:hint="eastAsia"/>
        </w:rPr>
        <w:t>已修改</w:t>
      </w:r>
    </w:p>
  </w:comment>
  <w:comment w:id="11" w:author="Administrator" w:date="2026-08-10T15:42:00Z" w:initials="A">
    <w:p w14:paraId="61A69E17">
      <w:pPr>
        <w:pStyle w:val="13"/>
        <w:ind w:firstLine="640"/>
        <w:rPr>
          <w:rFonts w:hint="eastAsia"/>
        </w:rPr>
      </w:pPr>
      <w:r>
        <w:rPr>
          <w:rFonts w:hint="eastAsia"/>
        </w:rPr>
        <w:t>删除此段文字</w:t>
      </w:r>
    </w:p>
  </w:comment>
  <w:comment w:id="12" w:author="刘启" w:date="2026-08-10T14:40:00Z" w:initials="">
    <w:p w14:paraId="6DAE7C18">
      <w:pPr>
        <w:pStyle w:val="13"/>
        <w:rPr>
          <w:rFonts w:hint="eastAsia"/>
        </w:rPr>
      </w:pPr>
      <w:r>
        <w:rPr>
          <w:rFonts w:hint="eastAsia"/>
        </w:rPr>
        <w:t>此处修改</w:t>
      </w:r>
    </w:p>
  </w:comment>
  <w:comment w:id="13" w:author="刘启" w:date="2026-08-10T14:59:00Z" w:initials="">
    <w:p w14:paraId="761EF3AB">
      <w:pPr>
        <w:pStyle w:val="13"/>
        <w:rPr>
          <w:rFonts w:hint="eastAsia"/>
        </w:rPr>
      </w:pPr>
      <w:r>
        <w:rPr>
          <w:rFonts w:hint="eastAsia"/>
        </w:rPr>
        <w:t>此段落修改</w:t>
      </w:r>
    </w:p>
  </w:comment>
  <w:comment w:id="14" w:author="刘启" w:date="2026-08-10T14:58:00Z" w:initials="">
    <w:p w14:paraId="1C1793E4">
      <w:pPr>
        <w:pStyle w:val="13"/>
        <w:rPr>
          <w:rFonts w:hint="eastAsia"/>
        </w:rPr>
      </w:pPr>
      <w:r>
        <w:rPr>
          <w:rFonts w:hint="eastAsia"/>
        </w:rPr>
        <w:t>此段落修改</w:t>
      </w:r>
    </w:p>
  </w:comment>
  <w:comment w:id="15" w:author="刘启" w:date="2026-08-10T14:57:00Z" w:initials="">
    <w:p w14:paraId="7068137E">
      <w:pPr>
        <w:pStyle w:val="13"/>
        <w:rPr>
          <w:rFonts w:hint="eastAsia"/>
        </w:rPr>
      </w:pPr>
      <w:r>
        <w:rPr>
          <w:rFonts w:hint="eastAsia"/>
        </w:rPr>
        <w:t>此段落修改</w:t>
      </w:r>
    </w:p>
  </w:comment>
  <w:comment w:id="16" w:author="刘启" w:date="2026-08-10T14:56:00Z" w:initials="">
    <w:p w14:paraId="79496D25">
      <w:pPr>
        <w:pStyle w:val="13"/>
        <w:rPr>
          <w:rFonts w:hint="eastAsia"/>
        </w:rPr>
      </w:pPr>
      <w:r>
        <w:rPr>
          <w:rFonts w:hint="eastAsia"/>
        </w:rPr>
        <w:t>此段落修改</w:t>
      </w:r>
    </w:p>
  </w:comment>
  <w:comment w:id="17" w:author="刘启" w:date="2026-08-10T14:54:00Z" w:initials="">
    <w:p w14:paraId="43B91BAE">
      <w:pPr>
        <w:pStyle w:val="13"/>
        <w:rPr>
          <w:rFonts w:hint="eastAsia"/>
        </w:rPr>
      </w:pPr>
      <w:r>
        <w:rPr>
          <w:rFonts w:hint="eastAsia"/>
        </w:rPr>
        <w:t>此段路修改</w:t>
      </w:r>
    </w:p>
  </w:comment>
  <w:comment w:id="18" w:author="刘启" w:date="2026-08-10T14:54:00Z" w:initials="">
    <w:p w14:paraId="4E23C247">
      <w:pPr>
        <w:pStyle w:val="13"/>
        <w:rPr>
          <w:rFonts w:hint="eastAsia"/>
        </w:rPr>
      </w:pPr>
      <w:r>
        <w:rPr>
          <w:rFonts w:hint="eastAsia"/>
        </w:rPr>
        <w:t>此段落修改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DE635F2" w15:done="0"/>
  <w15:commentEx w15:paraId="079F3DCA" w15:done="0"/>
  <w15:commentEx w15:paraId="1974825A" w15:done="0"/>
  <w15:commentEx w15:paraId="0747517F" w15:done="0"/>
  <w15:commentEx w15:paraId="6F4D5BF4" w15:done="0"/>
  <w15:commentEx w15:paraId="5698B3E9" w15:done="0"/>
  <w15:commentEx w15:paraId="0B835D4E" w15:done="0"/>
  <w15:commentEx w15:paraId="32B9CB6B" w15:done="0"/>
  <w15:commentEx w15:paraId="1B8C9ABA" w15:done="0"/>
  <w15:commentEx w15:paraId="5F3A9A03" w15:done="0"/>
  <w15:commentEx w15:paraId="217AB4CF" w15:done="0"/>
  <w15:commentEx w15:paraId="61A69E17" w15:done="0"/>
  <w15:commentEx w15:paraId="6DAE7C18" w15:done="0"/>
  <w15:commentEx w15:paraId="761EF3AB" w15:done="0"/>
  <w15:commentEx w15:paraId="1C1793E4" w15:done="0"/>
  <w15:commentEx w15:paraId="7068137E" w15:done="0"/>
  <w15:commentEx w15:paraId="79496D25" w15:done="0"/>
  <w15:commentEx w15:paraId="43B91BAE" w15:done="0"/>
  <w15:commentEx w15:paraId="4E23C24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118D94-6A3A-4737-A301-81ECB4424E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9978B61C-2E04-46B1-BF60-5D87D0749260}"/>
  </w:font>
  <w:font w:name="方正小标宋_GBK">
    <w:panose1 w:val="03000509000000000000"/>
    <w:charset w:val="86"/>
    <w:family w:val="script"/>
    <w:pitch w:val="default"/>
    <w:sig w:usb0="00000001" w:usb1="080E0000" w:usb2="00000000" w:usb3="00000000" w:csb0="00040000" w:csb1="00000000"/>
    <w:embedRegular r:id="rId3" w:fontKey="{6669E3EA-E8E6-4AB8-8B13-4DDCEB88730C}"/>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embedRegular r:id="rId4" w:fontKey="{F4F6D962-68F9-4721-AEEC-3FA6005CDEFD}"/>
  </w:font>
  <w:font w:name="微软雅黑">
    <w:panose1 w:val="020B0503020204020204"/>
    <w:charset w:val="86"/>
    <w:family w:val="swiss"/>
    <w:pitch w:val="default"/>
    <w:sig w:usb0="80000287" w:usb1="2ACF3C50" w:usb2="00000016" w:usb3="00000000" w:csb0="0004001F" w:csb1="00000000"/>
    <w:embedRegular r:id="rId5" w:fontKey="{EFC3691A-949B-4FBA-B15C-6223B6AD5F6C}"/>
  </w:font>
  <w:font w:name="Cambria">
    <w:panose1 w:val="02040503050406030204"/>
    <w:charset w:val="00"/>
    <w:family w:val="roman"/>
    <w:pitch w:val="default"/>
    <w:sig w:usb0="E00006FF" w:usb1="420024FF" w:usb2="02000000" w:usb3="00000000" w:csb0="2000019F" w:csb1="00000000"/>
  </w:font>
  <w:font w:name="方正仿宋简体">
    <w:altName w:val="微软雅黑"/>
    <w:panose1 w:val="02010601030101010101"/>
    <w:charset w:val="86"/>
    <w:family w:val="auto"/>
    <w:pitch w:val="default"/>
    <w:sig w:usb0="00000000" w:usb1="00000000" w:usb2="00000010" w:usb3="00000000" w:csb0="00040000" w:csb1="00000000"/>
    <w:embedRegular r:id="rId6" w:fontKey="{4D66196F-D059-460F-9250-02E8B2BE2861}"/>
  </w:font>
  <w:font w:name="WPSEMBED1">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9858621"/>
      <w:showingPlcHdr/>
    </w:sdtPr>
    <w:sdtContent>
      <w:p w14:paraId="39105184">
        <w:pPr>
          <w:pStyle w:val="19"/>
          <w:ind w:firstLine="360"/>
          <w:jc w:val="center"/>
          <w:rPr>
            <w:rFonts w:hint="eastAsia"/>
          </w:rPr>
        </w:pPr>
        <w:r>
          <w:rPr>
            <w:rFonts w:hint="eastAsia"/>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456E9">
    <w:pPr>
      <w:pStyle w:val="19"/>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E06DC">
    <w:pPr>
      <w:pStyle w:val="19"/>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0820976"/>
    </w:sdtPr>
    <w:sdtContent>
      <w:p w14:paraId="52C983E6">
        <w:pPr>
          <w:pStyle w:val="19"/>
          <w:ind w:firstLine="360"/>
          <w:jc w:val="center"/>
          <w:rPr>
            <w:rFonts w:hint="eastAsia"/>
          </w:rPr>
        </w:pPr>
        <w:r>
          <w:fldChar w:fldCharType="begin"/>
        </w:r>
        <w:r>
          <w:instrText xml:space="preserve">PAGE   \* MERGEFORMAT</w:instrText>
        </w:r>
        <w:r>
          <w:fldChar w:fldCharType="separate"/>
        </w:r>
        <w:r>
          <w:rPr>
            <w:lang w:val="zh-CN"/>
          </w:rPr>
          <w:t>99</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1A08E">
    <w:pPr>
      <w:pStyle w:val="19"/>
      <w:ind w:firstLine="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6FCF3">
    <w:pPr>
      <w:pStyle w:val="19"/>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6080727"/>
      <w:showingPlcHdr/>
    </w:sdtPr>
    <w:sdtContent>
      <w:p w14:paraId="6DF2EF2E">
        <w:pPr>
          <w:pStyle w:val="19"/>
          <w:ind w:firstLine="360"/>
          <w:jc w:val="center"/>
          <w:rPr>
            <w:rFonts w:hint="eastAsia"/>
          </w:rPr>
        </w:pPr>
        <w:r>
          <w:rPr>
            <w:rFonts w:hint="eastAsia"/>
          </w:rPr>
          <w:t xml:space="preserve">     </w: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5142040"/>
      <w:docPartObj>
        <w:docPartGallery w:val="autotext"/>
      </w:docPartObj>
    </w:sdtPr>
    <w:sdtContent>
      <w:p w14:paraId="3CB950E7">
        <w:pPr>
          <w:pStyle w:val="19"/>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42B17">
    <w:pPr>
      <w:pStyle w:val="19"/>
      <w:ind w:firstLine="360"/>
      <w:rPr>
        <w:rFonts w:hint="eastAsi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0B22F">
    <w:pPr>
      <w:pStyle w:val="19"/>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8226C">
    <w:pPr>
      <w:ind w:left="64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3388D">
    <w:pPr>
      <w:pStyle w:val="2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661E8">
    <w:pPr>
      <w:ind w:firstLine="64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A61AD">
    <w:pPr>
      <w:ind w:left="640" w:firstLine="0" w:firstLineChars="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7756B">
    <w:pPr>
      <w:pStyle w:val="20"/>
      <w:ind w:firstLine="360"/>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586F9">
    <w:pPr>
      <w:pStyle w:val="20"/>
      <w:ind w:firstLine="360"/>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B6112">
    <w:pPr>
      <w:ind w:left="640" w:firstLine="0" w:firstLineChars="0"/>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F0194">
    <w:pPr>
      <w:pStyle w:val="20"/>
      <w:ind w:firstLine="360"/>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5939E">
    <w:pPr>
      <w:pStyle w:val="20"/>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F96"/>
    <w:multiLevelType w:val="multilevel"/>
    <w:tmpl w:val="00F27F96"/>
    <w:lvl w:ilvl="0" w:tentative="0">
      <w:start w:val="1"/>
      <w:numFmt w:val="decimal"/>
      <w:pStyle w:val="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B3510C1"/>
    <w:multiLevelType w:val="multilevel"/>
    <w:tmpl w:val="0B3510C1"/>
    <w:lvl w:ilvl="0" w:tentative="0">
      <w:start w:val="1"/>
      <w:numFmt w:val="chineseCountingThousand"/>
      <w:suff w:val="nothing"/>
      <w:lvlText w:val="第%1章 "/>
      <w:lvlJc w:val="left"/>
      <w:pPr>
        <w:ind w:left="425" w:hanging="425"/>
      </w:pPr>
      <w:rPr>
        <w:rFonts w:hint="eastAsia"/>
      </w:rPr>
    </w:lvl>
    <w:lvl w:ilvl="1" w:tentative="0">
      <w:start w:val="1"/>
      <w:numFmt w:val="chineseCountingThousand"/>
      <w:lvlText w:val="第%2节"/>
      <w:lvlJc w:val="left"/>
      <w:pPr>
        <w:ind w:left="992" w:hanging="567"/>
      </w:pPr>
      <w:rPr>
        <w:rFonts w:hint="eastAsia"/>
      </w:rPr>
    </w:lvl>
    <w:lvl w:ilvl="2" w:tentative="0">
      <w:start w:val="1"/>
      <w:numFmt w:val="decimal"/>
      <w:lvlText w:val="第%3条"/>
      <w:lvlJc w:val="left"/>
      <w:pPr>
        <w:ind w:left="1418" w:hanging="567"/>
      </w:pPr>
      <w:rPr>
        <w:rFonts w:hint="eastAsia"/>
      </w:rPr>
    </w:lvl>
    <w:lvl w:ilvl="3" w:tentative="0">
      <w:start w:val="1"/>
      <w:numFmt w:val="decimal"/>
      <w:pStyle w:val="5"/>
      <w:suff w:val="nothing"/>
      <w:lvlText w:val="%4、"/>
      <w:lvlJc w:val="left"/>
      <w:pPr>
        <w:ind w:left="-112" w:firstLine="68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3D87FFD"/>
    <w:multiLevelType w:val="multilevel"/>
    <w:tmpl w:val="13D87FFD"/>
    <w:lvl w:ilvl="0" w:tentative="0">
      <w:start w:val="1"/>
      <w:numFmt w:val="decimal"/>
      <w:pStyle w:val="50"/>
      <w:suff w:val="nothing"/>
      <w:lvlText w:val="图%1 "/>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152B376D"/>
    <w:multiLevelType w:val="multilevel"/>
    <w:tmpl w:val="152B376D"/>
    <w:lvl w:ilvl="0" w:tentative="0">
      <w:start w:val="1"/>
      <w:numFmt w:val="chineseCountingThousand"/>
      <w:pStyle w:val="47"/>
      <w:suff w:val="space"/>
      <w:lvlText w:val="(%1)"/>
      <w:lvlJc w:val="left"/>
      <w:pPr>
        <w:ind w:left="280" w:firstLine="680"/>
      </w:pPr>
      <w:rPr>
        <w:rFonts w:hint="eastAsia"/>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207D09F0"/>
    <w:multiLevelType w:val="multilevel"/>
    <w:tmpl w:val="207D09F0"/>
    <w:lvl w:ilvl="0" w:tentative="0">
      <w:start w:val="1"/>
      <w:numFmt w:val="decimal"/>
      <w:pStyle w:val="52"/>
      <w:suff w:val="nothing"/>
      <w:lvlText w:val="表%1 "/>
      <w:lvlJc w:val="left"/>
      <w:pPr>
        <w:ind w:left="0" w:firstLine="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03207C"/>
    <w:multiLevelType w:val="multilevel"/>
    <w:tmpl w:val="2103207C"/>
    <w:lvl w:ilvl="0" w:tentative="0">
      <w:start w:val="1"/>
      <w:numFmt w:val="decimal"/>
      <w:pStyle w:val="82"/>
      <w:lvlText w:val="图%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8224C7C"/>
    <w:multiLevelType w:val="multilevel"/>
    <w:tmpl w:val="28224C7C"/>
    <w:lvl w:ilvl="0" w:tentative="0">
      <w:start w:val="1"/>
      <w:numFmt w:val="decimal"/>
      <w:pStyle w:val="41"/>
      <w:lvlText w:val="表%1"/>
      <w:lvlJc w:val="center"/>
      <w:pPr>
        <w:ind w:left="3680" w:hanging="420"/>
      </w:pPr>
      <w:rPr>
        <w:rFonts w:hint="eastAsia" w:ascii="黑体" w:hAnsi="黑体" w:eastAsia="黑体"/>
        <w:b/>
        <w:i w:val="0"/>
        <w:sz w:val="24"/>
        <w:szCs w:val="24"/>
        <w:lang w:val="en-US"/>
      </w:rPr>
    </w:lvl>
    <w:lvl w:ilvl="1" w:tentative="0">
      <w:start w:val="1"/>
      <w:numFmt w:val="lowerLetter"/>
      <w:lvlText w:val="%2)"/>
      <w:lvlJc w:val="left"/>
      <w:pPr>
        <w:ind w:left="4100" w:hanging="420"/>
      </w:pPr>
    </w:lvl>
    <w:lvl w:ilvl="2" w:tentative="0">
      <w:start w:val="1"/>
      <w:numFmt w:val="lowerRoman"/>
      <w:lvlText w:val="%3."/>
      <w:lvlJc w:val="right"/>
      <w:pPr>
        <w:ind w:left="4520" w:hanging="420"/>
      </w:pPr>
    </w:lvl>
    <w:lvl w:ilvl="3" w:tentative="0">
      <w:start w:val="1"/>
      <w:numFmt w:val="decimal"/>
      <w:lvlText w:val="%4."/>
      <w:lvlJc w:val="left"/>
      <w:pPr>
        <w:ind w:left="4940" w:hanging="420"/>
      </w:pPr>
    </w:lvl>
    <w:lvl w:ilvl="4" w:tentative="0">
      <w:start w:val="1"/>
      <w:numFmt w:val="lowerLetter"/>
      <w:lvlText w:val="%5)"/>
      <w:lvlJc w:val="left"/>
      <w:pPr>
        <w:ind w:left="5360" w:hanging="420"/>
      </w:pPr>
    </w:lvl>
    <w:lvl w:ilvl="5" w:tentative="0">
      <w:start w:val="1"/>
      <w:numFmt w:val="lowerRoman"/>
      <w:lvlText w:val="%6."/>
      <w:lvlJc w:val="right"/>
      <w:pPr>
        <w:ind w:left="5780" w:hanging="420"/>
      </w:pPr>
    </w:lvl>
    <w:lvl w:ilvl="6" w:tentative="0">
      <w:start w:val="1"/>
      <w:numFmt w:val="decimal"/>
      <w:lvlText w:val="%7."/>
      <w:lvlJc w:val="left"/>
      <w:pPr>
        <w:ind w:left="6200" w:hanging="420"/>
      </w:pPr>
    </w:lvl>
    <w:lvl w:ilvl="7" w:tentative="0">
      <w:start w:val="1"/>
      <w:numFmt w:val="lowerLetter"/>
      <w:lvlText w:val="%8)"/>
      <w:lvlJc w:val="left"/>
      <w:pPr>
        <w:ind w:left="6620" w:hanging="420"/>
      </w:pPr>
    </w:lvl>
    <w:lvl w:ilvl="8" w:tentative="0">
      <w:start w:val="1"/>
      <w:numFmt w:val="lowerRoman"/>
      <w:lvlText w:val="%9."/>
      <w:lvlJc w:val="right"/>
      <w:pPr>
        <w:ind w:left="7040" w:hanging="420"/>
      </w:pPr>
    </w:lvl>
  </w:abstractNum>
  <w:abstractNum w:abstractNumId="7">
    <w:nsid w:val="40DC760D"/>
    <w:multiLevelType w:val="multilevel"/>
    <w:tmpl w:val="40DC760D"/>
    <w:lvl w:ilvl="0" w:tentative="0">
      <w:start w:val="1"/>
      <w:numFmt w:val="chineseCountingThousand"/>
      <w:suff w:val="nothing"/>
      <w:lvlText w:val="第%1章 "/>
      <w:lvlJc w:val="left"/>
      <w:pPr>
        <w:ind w:left="0" w:firstLine="5246"/>
      </w:pPr>
      <w:rPr>
        <w:rFonts w:hint="eastAsia"/>
      </w:rPr>
    </w:lvl>
    <w:lvl w:ilvl="1" w:tentative="0">
      <w:start w:val="1"/>
      <w:numFmt w:val="chineseCountingThousand"/>
      <w:lvlText w:val="第%2节"/>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413C5154"/>
    <w:multiLevelType w:val="multilevel"/>
    <w:tmpl w:val="413C5154"/>
    <w:lvl w:ilvl="0" w:tentative="0">
      <w:start w:val="1"/>
      <w:numFmt w:val="chineseCountingThousand"/>
      <w:pStyle w:val="3"/>
      <w:suff w:val="nothing"/>
      <w:lvlText w:val="%1、"/>
      <w:lvlJc w:val="left"/>
      <w:pPr>
        <w:ind w:left="0" w:firstLine="0"/>
      </w:pPr>
      <w:rPr>
        <w:rFonts w:hint="eastAsia"/>
        <w:lang w:val="en-US"/>
      </w:rPr>
    </w:lvl>
    <w:lvl w:ilvl="1" w:tentative="0">
      <w:start w:val="1"/>
      <w:numFmt w:val="lowerLetter"/>
      <w:lvlText w:val="%2)"/>
      <w:lvlJc w:val="left"/>
      <w:pPr>
        <w:ind w:left="1832" w:hanging="420"/>
      </w:pPr>
    </w:lvl>
    <w:lvl w:ilvl="2" w:tentative="0">
      <w:start w:val="1"/>
      <w:numFmt w:val="lowerRoman"/>
      <w:lvlText w:val="%3."/>
      <w:lvlJc w:val="right"/>
      <w:pPr>
        <w:ind w:left="2252" w:hanging="420"/>
      </w:pPr>
    </w:lvl>
    <w:lvl w:ilvl="3" w:tentative="0">
      <w:start w:val="1"/>
      <w:numFmt w:val="decimal"/>
      <w:lvlText w:val="%4."/>
      <w:lvlJc w:val="left"/>
      <w:pPr>
        <w:ind w:left="2672" w:hanging="420"/>
      </w:pPr>
    </w:lvl>
    <w:lvl w:ilvl="4" w:tentative="0">
      <w:start w:val="1"/>
      <w:numFmt w:val="lowerLetter"/>
      <w:lvlText w:val="%5)"/>
      <w:lvlJc w:val="left"/>
      <w:pPr>
        <w:ind w:left="3092" w:hanging="420"/>
      </w:pPr>
    </w:lvl>
    <w:lvl w:ilvl="5" w:tentative="0">
      <w:start w:val="1"/>
      <w:numFmt w:val="lowerRoman"/>
      <w:lvlText w:val="%6."/>
      <w:lvlJc w:val="right"/>
      <w:pPr>
        <w:ind w:left="3512" w:hanging="420"/>
      </w:pPr>
    </w:lvl>
    <w:lvl w:ilvl="6" w:tentative="0">
      <w:start w:val="1"/>
      <w:numFmt w:val="decimal"/>
      <w:lvlText w:val="%7."/>
      <w:lvlJc w:val="left"/>
      <w:pPr>
        <w:ind w:left="3932" w:hanging="420"/>
      </w:pPr>
    </w:lvl>
    <w:lvl w:ilvl="7" w:tentative="0">
      <w:start w:val="1"/>
      <w:numFmt w:val="lowerLetter"/>
      <w:lvlText w:val="%8)"/>
      <w:lvlJc w:val="left"/>
      <w:pPr>
        <w:ind w:left="4352" w:hanging="420"/>
      </w:pPr>
    </w:lvl>
    <w:lvl w:ilvl="8" w:tentative="0">
      <w:start w:val="1"/>
      <w:numFmt w:val="lowerRoman"/>
      <w:lvlText w:val="%9."/>
      <w:lvlJc w:val="right"/>
      <w:pPr>
        <w:ind w:left="4772" w:hanging="420"/>
      </w:pPr>
    </w:lvl>
  </w:abstractNum>
  <w:abstractNum w:abstractNumId="9">
    <w:nsid w:val="4FC575C6"/>
    <w:multiLevelType w:val="multilevel"/>
    <w:tmpl w:val="4FC575C6"/>
    <w:lvl w:ilvl="0" w:tentative="0">
      <w:start w:val="1"/>
      <w:numFmt w:val="decimal"/>
      <w:pStyle w:val="55"/>
      <w:suff w:val="nothing"/>
      <w:lvlText w:val="专栏%1 "/>
      <w:lvlJc w:val="left"/>
      <w:pPr>
        <w:ind w:left="0" w:firstLine="0"/>
      </w:pPr>
      <w:rPr>
        <w:rFonts w:hint="eastAsia"/>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DB52A77"/>
    <w:multiLevelType w:val="multilevel"/>
    <w:tmpl w:val="5DB52A77"/>
    <w:lvl w:ilvl="0" w:tentative="0">
      <w:start w:val="1"/>
      <w:numFmt w:val="decimal"/>
      <w:pStyle w:val="42"/>
      <w:lvlText w:val="表%1"/>
      <w:lvlJc w:val="center"/>
      <w:pPr>
        <w:ind w:left="420" w:hanging="420"/>
      </w:pPr>
      <w:rPr>
        <w:rFonts w:hint="eastAsia" w:ascii="宋体" w:eastAsia="宋体"/>
        <w:b/>
        <w:i w:val="0"/>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22D130B"/>
    <w:multiLevelType w:val="multilevel"/>
    <w:tmpl w:val="622D130B"/>
    <w:lvl w:ilvl="0" w:tentative="0">
      <w:start w:val="1"/>
      <w:numFmt w:val="chineseCountingThousand"/>
      <w:pStyle w:val="46"/>
      <w:suff w:val="space"/>
      <w:lvlText w:val="(%1)"/>
      <w:lvlJc w:val="left"/>
      <w:pPr>
        <w:ind w:left="0" w:firstLine="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93F6A5C"/>
    <w:multiLevelType w:val="multilevel"/>
    <w:tmpl w:val="693F6A5C"/>
    <w:lvl w:ilvl="0" w:tentative="0">
      <w:start w:val="1"/>
      <w:numFmt w:val="chineseCountingThousand"/>
      <w:pStyle w:val="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lvlOverride w:ilvl="0">
      <w:lvl w:ilvl="0" w:tentative="1">
        <w:start w:val="1"/>
        <w:numFmt w:val="chineseCountingThousand"/>
        <w:pStyle w:val="2"/>
        <w:suff w:val="nothing"/>
        <w:lvlText w:val="第%1章 "/>
        <w:lvlJc w:val="left"/>
        <w:pPr>
          <w:ind w:left="0" w:firstLine="0"/>
        </w:pPr>
        <w:rPr>
          <w:rFonts w:hint="eastAsia"/>
          <w:color w:val="auto"/>
        </w:rPr>
      </w:lvl>
    </w:lvlOverride>
    <w:lvlOverride w:ilvl="1">
      <w:lvl w:ilvl="1" w:tentative="1">
        <w:start w:val="1"/>
        <w:numFmt w:val="chineseCountingThousand"/>
        <w:lvlText w:val="第%2节"/>
        <w:lvlJc w:val="left"/>
        <w:pPr>
          <w:ind w:left="992" w:hanging="567"/>
        </w:pPr>
        <w:rPr>
          <w:rFonts w:hint="eastAsia"/>
        </w:rPr>
      </w:lvl>
    </w:lvlOverride>
    <w:lvlOverride w:ilvl="2">
      <w:lvl w:ilvl="2" w:tentative="1">
        <w:start w:val="1"/>
        <w:numFmt w:val="decimal"/>
        <w:lvlText w:val="%1.%2.%3"/>
        <w:lvlJc w:val="left"/>
        <w:pPr>
          <w:ind w:left="1418" w:hanging="567"/>
        </w:pPr>
        <w:rPr>
          <w:rFonts w:hint="eastAsia"/>
        </w:rPr>
      </w:lvl>
    </w:lvlOverride>
    <w:lvlOverride w:ilvl="3">
      <w:lvl w:ilvl="3" w:tentative="1">
        <w:start w:val="1"/>
        <w:numFmt w:val="decimal"/>
        <w:lvlText w:val="%1.%2.%3.%4"/>
        <w:lvlJc w:val="left"/>
        <w:pPr>
          <w:ind w:left="1984" w:hanging="708"/>
        </w:pPr>
        <w:rPr>
          <w:rFonts w:hint="eastAsia"/>
        </w:rPr>
      </w:lvl>
    </w:lvlOverride>
    <w:lvlOverride w:ilvl="4">
      <w:lvl w:ilvl="4" w:tentative="1">
        <w:start w:val="1"/>
        <w:numFmt w:val="decimal"/>
        <w:lvlText w:val="%1.%2.%3.%4.%5"/>
        <w:lvlJc w:val="left"/>
        <w:pPr>
          <w:ind w:left="2551" w:hanging="850"/>
        </w:pPr>
        <w:rPr>
          <w:rFonts w:hint="eastAsia"/>
        </w:rPr>
      </w:lvl>
    </w:lvlOverride>
    <w:lvlOverride w:ilvl="5">
      <w:lvl w:ilvl="5" w:tentative="1">
        <w:start w:val="1"/>
        <w:numFmt w:val="decimal"/>
        <w:lvlText w:val="%1.%2.%3.%4.%5.%6"/>
        <w:lvlJc w:val="left"/>
        <w:pPr>
          <w:ind w:left="3260" w:hanging="1134"/>
        </w:pPr>
        <w:rPr>
          <w:rFonts w:hint="eastAsia"/>
        </w:rPr>
      </w:lvl>
    </w:lvlOverride>
    <w:lvlOverride w:ilvl="6">
      <w:lvl w:ilvl="6" w:tentative="1">
        <w:start w:val="1"/>
        <w:numFmt w:val="decimal"/>
        <w:lvlText w:val="%1.%2.%3.%4.%5.%6.%7"/>
        <w:lvlJc w:val="left"/>
        <w:pPr>
          <w:ind w:left="3827" w:hanging="1276"/>
        </w:pPr>
        <w:rPr>
          <w:rFonts w:hint="eastAsia"/>
        </w:rPr>
      </w:lvl>
    </w:lvlOverride>
    <w:lvlOverride w:ilvl="7">
      <w:lvl w:ilvl="7" w:tentative="1">
        <w:start w:val="1"/>
        <w:numFmt w:val="decimal"/>
        <w:lvlText w:val="%1.%2.%3.%4.%5.%6.%7.%8"/>
        <w:lvlJc w:val="left"/>
        <w:pPr>
          <w:ind w:left="4394" w:hanging="1418"/>
        </w:pPr>
        <w:rPr>
          <w:rFonts w:hint="eastAsia"/>
        </w:rPr>
      </w:lvl>
    </w:lvlOverride>
    <w:lvlOverride w:ilvl="8">
      <w:lvl w:ilvl="8" w:tentative="1">
        <w:start w:val="1"/>
        <w:numFmt w:val="decimal"/>
        <w:lvlText w:val="%1.%2.%3.%4.%5.%6.%7.%8.%9"/>
        <w:lvlJc w:val="left"/>
        <w:pPr>
          <w:ind w:left="5102" w:hanging="1700"/>
        </w:pPr>
        <w:rPr>
          <w:rFonts w:hint="eastAsia"/>
        </w:rPr>
      </w:lvl>
    </w:lvlOverride>
  </w:num>
  <w:num w:numId="2">
    <w:abstractNumId w:val="8"/>
  </w:num>
  <w:num w:numId="3">
    <w:abstractNumId w:val="12"/>
  </w:num>
  <w:num w:numId="4">
    <w:abstractNumId w:val="1"/>
  </w:num>
  <w:num w:numId="5">
    <w:abstractNumId w:val="6"/>
  </w:num>
  <w:num w:numId="6">
    <w:abstractNumId w:val="10"/>
  </w:num>
  <w:num w:numId="7">
    <w:abstractNumId w:val="11"/>
  </w:num>
  <w:num w:numId="8">
    <w:abstractNumId w:val="3"/>
  </w:num>
  <w:num w:numId="9">
    <w:abstractNumId w:val="2"/>
  </w:num>
  <w:num w:numId="10">
    <w:abstractNumId w:val="4"/>
  </w:num>
  <w:num w:numId="11">
    <w:abstractNumId w:val="9"/>
  </w:num>
  <w:num w:numId="12">
    <w:abstractNumId w:val="0"/>
  </w:num>
  <w:num w:numId="13">
    <w:abstractNumId w:val="5"/>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
    <w15:presenceInfo w15:providerId="None" w15:userId="Z"/>
  </w15:person>
  <w15:person w15:author="Administrator">
    <w15:presenceInfo w15:providerId="None" w15:userId="Administrator"/>
  </w15:person>
  <w15:person w15:author="刘启">
    <w15:presenceInfo w15:providerId="None" w15:userId="刘启"/>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revisionView w:markup="0"/>
  <w:documentProtection w:enforcement="0"/>
  <w:defaultTabStop w:val="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197"/>
    <w:rsid w:val="00000EED"/>
    <w:rsid w:val="00001178"/>
    <w:rsid w:val="00001C85"/>
    <w:rsid w:val="000029DF"/>
    <w:rsid w:val="00002ACA"/>
    <w:rsid w:val="00002CEE"/>
    <w:rsid w:val="00002E88"/>
    <w:rsid w:val="000030B4"/>
    <w:rsid w:val="00003304"/>
    <w:rsid w:val="00003E06"/>
    <w:rsid w:val="00003ED0"/>
    <w:rsid w:val="00003EF6"/>
    <w:rsid w:val="00004F28"/>
    <w:rsid w:val="000053F8"/>
    <w:rsid w:val="000056A8"/>
    <w:rsid w:val="00005E6B"/>
    <w:rsid w:val="000060D3"/>
    <w:rsid w:val="0000626A"/>
    <w:rsid w:val="00006D54"/>
    <w:rsid w:val="00007A0E"/>
    <w:rsid w:val="00007C71"/>
    <w:rsid w:val="00007E4F"/>
    <w:rsid w:val="0001068F"/>
    <w:rsid w:val="000109A5"/>
    <w:rsid w:val="00010A32"/>
    <w:rsid w:val="00010CAE"/>
    <w:rsid w:val="00010DB1"/>
    <w:rsid w:val="00010E72"/>
    <w:rsid w:val="00010FD6"/>
    <w:rsid w:val="000110DB"/>
    <w:rsid w:val="000112FC"/>
    <w:rsid w:val="00011818"/>
    <w:rsid w:val="00011A62"/>
    <w:rsid w:val="00011C15"/>
    <w:rsid w:val="00011DC6"/>
    <w:rsid w:val="00011DD0"/>
    <w:rsid w:val="00012053"/>
    <w:rsid w:val="000128EB"/>
    <w:rsid w:val="000138B6"/>
    <w:rsid w:val="00013B4D"/>
    <w:rsid w:val="0001410C"/>
    <w:rsid w:val="00014239"/>
    <w:rsid w:val="000142AA"/>
    <w:rsid w:val="00014325"/>
    <w:rsid w:val="00014AAA"/>
    <w:rsid w:val="00014BA0"/>
    <w:rsid w:val="00014E37"/>
    <w:rsid w:val="00015253"/>
    <w:rsid w:val="00015BD4"/>
    <w:rsid w:val="00015F76"/>
    <w:rsid w:val="00016040"/>
    <w:rsid w:val="0001648C"/>
    <w:rsid w:val="00016698"/>
    <w:rsid w:val="00016DD7"/>
    <w:rsid w:val="00016E3C"/>
    <w:rsid w:val="00016F4C"/>
    <w:rsid w:val="00016FAD"/>
    <w:rsid w:val="00017210"/>
    <w:rsid w:val="00017525"/>
    <w:rsid w:val="00017987"/>
    <w:rsid w:val="00017C47"/>
    <w:rsid w:val="00017D97"/>
    <w:rsid w:val="000204AC"/>
    <w:rsid w:val="0002057D"/>
    <w:rsid w:val="000206F9"/>
    <w:rsid w:val="000209F8"/>
    <w:rsid w:val="00020E62"/>
    <w:rsid w:val="00021092"/>
    <w:rsid w:val="0002133D"/>
    <w:rsid w:val="000219A9"/>
    <w:rsid w:val="00021D2A"/>
    <w:rsid w:val="00021EF0"/>
    <w:rsid w:val="00022651"/>
    <w:rsid w:val="0002286C"/>
    <w:rsid w:val="000228F4"/>
    <w:rsid w:val="000229EA"/>
    <w:rsid w:val="00022F53"/>
    <w:rsid w:val="000231D5"/>
    <w:rsid w:val="0002328A"/>
    <w:rsid w:val="000232A5"/>
    <w:rsid w:val="000235FC"/>
    <w:rsid w:val="00023974"/>
    <w:rsid w:val="00023BA6"/>
    <w:rsid w:val="000244BC"/>
    <w:rsid w:val="000245AD"/>
    <w:rsid w:val="0002541F"/>
    <w:rsid w:val="00025AB3"/>
    <w:rsid w:val="00025D30"/>
    <w:rsid w:val="00025DCD"/>
    <w:rsid w:val="000266C9"/>
    <w:rsid w:val="000267C4"/>
    <w:rsid w:val="00026824"/>
    <w:rsid w:val="00026C66"/>
    <w:rsid w:val="0002707C"/>
    <w:rsid w:val="00027459"/>
    <w:rsid w:val="0002766F"/>
    <w:rsid w:val="00030404"/>
    <w:rsid w:val="0003074A"/>
    <w:rsid w:val="000308D1"/>
    <w:rsid w:val="00031389"/>
    <w:rsid w:val="00031C95"/>
    <w:rsid w:val="00031CC2"/>
    <w:rsid w:val="000320C6"/>
    <w:rsid w:val="000322F6"/>
    <w:rsid w:val="00032312"/>
    <w:rsid w:val="0003268B"/>
    <w:rsid w:val="00032C62"/>
    <w:rsid w:val="00033AF1"/>
    <w:rsid w:val="000345B8"/>
    <w:rsid w:val="0003468F"/>
    <w:rsid w:val="00035294"/>
    <w:rsid w:val="00035A74"/>
    <w:rsid w:val="00035D89"/>
    <w:rsid w:val="00036251"/>
    <w:rsid w:val="00036338"/>
    <w:rsid w:val="0003646B"/>
    <w:rsid w:val="00036B29"/>
    <w:rsid w:val="00036C09"/>
    <w:rsid w:val="000372DF"/>
    <w:rsid w:val="00037573"/>
    <w:rsid w:val="00037802"/>
    <w:rsid w:val="0004073C"/>
    <w:rsid w:val="00040A22"/>
    <w:rsid w:val="00040EDB"/>
    <w:rsid w:val="00041669"/>
    <w:rsid w:val="00041E52"/>
    <w:rsid w:val="0004201D"/>
    <w:rsid w:val="0004203A"/>
    <w:rsid w:val="0004302B"/>
    <w:rsid w:val="000433D3"/>
    <w:rsid w:val="000434A3"/>
    <w:rsid w:val="00044491"/>
    <w:rsid w:val="0004498C"/>
    <w:rsid w:val="0004520F"/>
    <w:rsid w:val="0004554F"/>
    <w:rsid w:val="0004565D"/>
    <w:rsid w:val="000457D9"/>
    <w:rsid w:val="000458AF"/>
    <w:rsid w:val="0004611E"/>
    <w:rsid w:val="00046405"/>
    <w:rsid w:val="00046839"/>
    <w:rsid w:val="00046955"/>
    <w:rsid w:val="000469BF"/>
    <w:rsid w:val="00046C75"/>
    <w:rsid w:val="000475AB"/>
    <w:rsid w:val="00047857"/>
    <w:rsid w:val="00047B02"/>
    <w:rsid w:val="00047E90"/>
    <w:rsid w:val="00050015"/>
    <w:rsid w:val="00050A53"/>
    <w:rsid w:val="00050AA8"/>
    <w:rsid w:val="000510AA"/>
    <w:rsid w:val="00051BBC"/>
    <w:rsid w:val="00051EC0"/>
    <w:rsid w:val="00052087"/>
    <w:rsid w:val="0005228D"/>
    <w:rsid w:val="000526E3"/>
    <w:rsid w:val="0005297F"/>
    <w:rsid w:val="000530BC"/>
    <w:rsid w:val="000546A2"/>
    <w:rsid w:val="00055262"/>
    <w:rsid w:val="00055289"/>
    <w:rsid w:val="00056309"/>
    <w:rsid w:val="00056D44"/>
    <w:rsid w:val="00057194"/>
    <w:rsid w:val="00057675"/>
    <w:rsid w:val="00057B00"/>
    <w:rsid w:val="000604C7"/>
    <w:rsid w:val="00060E93"/>
    <w:rsid w:val="00060F60"/>
    <w:rsid w:val="000613A5"/>
    <w:rsid w:val="000615D8"/>
    <w:rsid w:val="0006179D"/>
    <w:rsid w:val="00061C12"/>
    <w:rsid w:val="00061CE8"/>
    <w:rsid w:val="0006245D"/>
    <w:rsid w:val="00062C6B"/>
    <w:rsid w:val="00063242"/>
    <w:rsid w:val="00063C64"/>
    <w:rsid w:val="00063D2B"/>
    <w:rsid w:val="00063F88"/>
    <w:rsid w:val="00064261"/>
    <w:rsid w:val="000645BC"/>
    <w:rsid w:val="000647AE"/>
    <w:rsid w:val="00064D9B"/>
    <w:rsid w:val="00065560"/>
    <w:rsid w:val="0006585B"/>
    <w:rsid w:val="00065A7B"/>
    <w:rsid w:val="00065A85"/>
    <w:rsid w:val="00066AE0"/>
    <w:rsid w:val="00066F9A"/>
    <w:rsid w:val="00067226"/>
    <w:rsid w:val="0006782E"/>
    <w:rsid w:val="00067A3E"/>
    <w:rsid w:val="00067D5B"/>
    <w:rsid w:val="00067E8E"/>
    <w:rsid w:val="00067FDB"/>
    <w:rsid w:val="00070268"/>
    <w:rsid w:val="000705DC"/>
    <w:rsid w:val="000709C0"/>
    <w:rsid w:val="00071105"/>
    <w:rsid w:val="00071165"/>
    <w:rsid w:val="00071C7C"/>
    <w:rsid w:val="00071E9B"/>
    <w:rsid w:val="00072BB5"/>
    <w:rsid w:val="00073943"/>
    <w:rsid w:val="0007435A"/>
    <w:rsid w:val="00074A56"/>
    <w:rsid w:val="0007514F"/>
    <w:rsid w:val="000754CE"/>
    <w:rsid w:val="000756BF"/>
    <w:rsid w:val="00075AB2"/>
    <w:rsid w:val="00075C79"/>
    <w:rsid w:val="000765B7"/>
    <w:rsid w:val="00076773"/>
    <w:rsid w:val="00076BD8"/>
    <w:rsid w:val="00076C58"/>
    <w:rsid w:val="00077317"/>
    <w:rsid w:val="00077AFD"/>
    <w:rsid w:val="0008011E"/>
    <w:rsid w:val="00080429"/>
    <w:rsid w:val="00080652"/>
    <w:rsid w:val="00080DDE"/>
    <w:rsid w:val="00080E59"/>
    <w:rsid w:val="000815E5"/>
    <w:rsid w:val="000815EE"/>
    <w:rsid w:val="00081711"/>
    <w:rsid w:val="00081737"/>
    <w:rsid w:val="00081C35"/>
    <w:rsid w:val="00081EA5"/>
    <w:rsid w:val="00081F3F"/>
    <w:rsid w:val="00082184"/>
    <w:rsid w:val="0008294A"/>
    <w:rsid w:val="000832DB"/>
    <w:rsid w:val="000837DE"/>
    <w:rsid w:val="00083DB1"/>
    <w:rsid w:val="00084174"/>
    <w:rsid w:val="0008465D"/>
    <w:rsid w:val="00085243"/>
    <w:rsid w:val="000855A2"/>
    <w:rsid w:val="0008578C"/>
    <w:rsid w:val="0008580C"/>
    <w:rsid w:val="00085968"/>
    <w:rsid w:val="000859CC"/>
    <w:rsid w:val="00085D4B"/>
    <w:rsid w:val="00086060"/>
    <w:rsid w:val="000860D9"/>
    <w:rsid w:val="00086100"/>
    <w:rsid w:val="0008616B"/>
    <w:rsid w:val="0008631A"/>
    <w:rsid w:val="00086D63"/>
    <w:rsid w:val="0008715E"/>
    <w:rsid w:val="000879BD"/>
    <w:rsid w:val="00087A23"/>
    <w:rsid w:val="00087A92"/>
    <w:rsid w:val="0009063E"/>
    <w:rsid w:val="0009074A"/>
    <w:rsid w:val="00090D59"/>
    <w:rsid w:val="00091199"/>
    <w:rsid w:val="000916AA"/>
    <w:rsid w:val="00091AC9"/>
    <w:rsid w:val="00091CF5"/>
    <w:rsid w:val="0009287E"/>
    <w:rsid w:val="0009356F"/>
    <w:rsid w:val="00093F1F"/>
    <w:rsid w:val="000942DA"/>
    <w:rsid w:val="0009466F"/>
    <w:rsid w:val="00094AE2"/>
    <w:rsid w:val="00094AFB"/>
    <w:rsid w:val="00094BC6"/>
    <w:rsid w:val="0009521D"/>
    <w:rsid w:val="000954A0"/>
    <w:rsid w:val="00095683"/>
    <w:rsid w:val="0009577D"/>
    <w:rsid w:val="00095921"/>
    <w:rsid w:val="000960C5"/>
    <w:rsid w:val="00096293"/>
    <w:rsid w:val="000967CD"/>
    <w:rsid w:val="0009687A"/>
    <w:rsid w:val="00096916"/>
    <w:rsid w:val="00096937"/>
    <w:rsid w:val="00096ACD"/>
    <w:rsid w:val="00096ED5"/>
    <w:rsid w:val="00097649"/>
    <w:rsid w:val="00097829"/>
    <w:rsid w:val="00097B29"/>
    <w:rsid w:val="00097B55"/>
    <w:rsid w:val="00097E23"/>
    <w:rsid w:val="00097F7F"/>
    <w:rsid w:val="000A06B9"/>
    <w:rsid w:val="000A0A87"/>
    <w:rsid w:val="000A0D4B"/>
    <w:rsid w:val="000A0E39"/>
    <w:rsid w:val="000A23D6"/>
    <w:rsid w:val="000A2719"/>
    <w:rsid w:val="000A279C"/>
    <w:rsid w:val="000A29FE"/>
    <w:rsid w:val="000A2CF8"/>
    <w:rsid w:val="000A2E26"/>
    <w:rsid w:val="000A2F71"/>
    <w:rsid w:val="000A2FF9"/>
    <w:rsid w:val="000A3231"/>
    <w:rsid w:val="000A35F6"/>
    <w:rsid w:val="000A4331"/>
    <w:rsid w:val="000A447C"/>
    <w:rsid w:val="000A455D"/>
    <w:rsid w:val="000A4EB1"/>
    <w:rsid w:val="000A645C"/>
    <w:rsid w:val="000A66C6"/>
    <w:rsid w:val="000A6992"/>
    <w:rsid w:val="000A6AAA"/>
    <w:rsid w:val="000A6BD0"/>
    <w:rsid w:val="000A6E28"/>
    <w:rsid w:val="000A7EC5"/>
    <w:rsid w:val="000B0079"/>
    <w:rsid w:val="000B068A"/>
    <w:rsid w:val="000B0935"/>
    <w:rsid w:val="000B0BC1"/>
    <w:rsid w:val="000B0D82"/>
    <w:rsid w:val="000B0E45"/>
    <w:rsid w:val="000B1188"/>
    <w:rsid w:val="000B1424"/>
    <w:rsid w:val="000B14E6"/>
    <w:rsid w:val="000B24EC"/>
    <w:rsid w:val="000B333D"/>
    <w:rsid w:val="000B3B5F"/>
    <w:rsid w:val="000B3E77"/>
    <w:rsid w:val="000B3FA5"/>
    <w:rsid w:val="000B4177"/>
    <w:rsid w:val="000B42F7"/>
    <w:rsid w:val="000B4EB8"/>
    <w:rsid w:val="000B4FC7"/>
    <w:rsid w:val="000B5606"/>
    <w:rsid w:val="000B5A22"/>
    <w:rsid w:val="000B5D41"/>
    <w:rsid w:val="000B5DD6"/>
    <w:rsid w:val="000B605F"/>
    <w:rsid w:val="000B69B4"/>
    <w:rsid w:val="000B6B75"/>
    <w:rsid w:val="000B6CF1"/>
    <w:rsid w:val="000B6E94"/>
    <w:rsid w:val="000B7090"/>
    <w:rsid w:val="000C0066"/>
    <w:rsid w:val="000C006B"/>
    <w:rsid w:val="000C0503"/>
    <w:rsid w:val="000C086E"/>
    <w:rsid w:val="000C0E06"/>
    <w:rsid w:val="000C1185"/>
    <w:rsid w:val="000C15B9"/>
    <w:rsid w:val="000C1769"/>
    <w:rsid w:val="000C1A30"/>
    <w:rsid w:val="000C1BE2"/>
    <w:rsid w:val="000C1BFE"/>
    <w:rsid w:val="000C20CC"/>
    <w:rsid w:val="000C29A3"/>
    <w:rsid w:val="000C2B9F"/>
    <w:rsid w:val="000C2DAF"/>
    <w:rsid w:val="000C32E1"/>
    <w:rsid w:val="000C3378"/>
    <w:rsid w:val="000C4122"/>
    <w:rsid w:val="000C4D2E"/>
    <w:rsid w:val="000C4E74"/>
    <w:rsid w:val="000C4F73"/>
    <w:rsid w:val="000C5516"/>
    <w:rsid w:val="000C5649"/>
    <w:rsid w:val="000C59EF"/>
    <w:rsid w:val="000C5FE2"/>
    <w:rsid w:val="000C6EB6"/>
    <w:rsid w:val="000C73F4"/>
    <w:rsid w:val="000C7B88"/>
    <w:rsid w:val="000C7FEB"/>
    <w:rsid w:val="000D0333"/>
    <w:rsid w:val="000D081F"/>
    <w:rsid w:val="000D0940"/>
    <w:rsid w:val="000D0A1F"/>
    <w:rsid w:val="000D0B12"/>
    <w:rsid w:val="000D110F"/>
    <w:rsid w:val="000D159E"/>
    <w:rsid w:val="000D1B03"/>
    <w:rsid w:val="000D2887"/>
    <w:rsid w:val="000D2BD1"/>
    <w:rsid w:val="000D341F"/>
    <w:rsid w:val="000D3CCB"/>
    <w:rsid w:val="000D4170"/>
    <w:rsid w:val="000D4A10"/>
    <w:rsid w:val="000D547C"/>
    <w:rsid w:val="000D5568"/>
    <w:rsid w:val="000D5808"/>
    <w:rsid w:val="000D58FB"/>
    <w:rsid w:val="000D6076"/>
    <w:rsid w:val="000D62A0"/>
    <w:rsid w:val="000D6BC8"/>
    <w:rsid w:val="000D6EFA"/>
    <w:rsid w:val="000D7487"/>
    <w:rsid w:val="000E0231"/>
    <w:rsid w:val="000E054A"/>
    <w:rsid w:val="000E0B23"/>
    <w:rsid w:val="000E0B6A"/>
    <w:rsid w:val="000E0B74"/>
    <w:rsid w:val="000E0C08"/>
    <w:rsid w:val="000E1618"/>
    <w:rsid w:val="000E182F"/>
    <w:rsid w:val="000E1F1C"/>
    <w:rsid w:val="000E2246"/>
    <w:rsid w:val="000E2CA2"/>
    <w:rsid w:val="000E2DB1"/>
    <w:rsid w:val="000E376B"/>
    <w:rsid w:val="000E3783"/>
    <w:rsid w:val="000E45BD"/>
    <w:rsid w:val="000E468E"/>
    <w:rsid w:val="000E4C13"/>
    <w:rsid w:val="000E597C"/>
    <w:rsid w:val="000E66A9"/>
    <w:rsid w:val="000E67AC"/>
    <w:rsid w:val="000E67F3"/>
    <w:rsid w:val="000E68D8"/>
    <w:rsid w:val="000E6929"/>
    <w:rsid w:val="000E6FAF"/>
    <w:rsid w:val="000E7A87"/>
    <w:rsid w:val="000F00DD"/>
    <w:rsid w:val="000F0E72"/>
    <w:rsid w:val="000F0F57"/>
    <w:rsid w:val="000F181B"/>
    <w:rsid w:val="000F1855"/>
    <w:rsid w:val="000F18C3"/>
    <w:rsid w:val="000F1BCF"/>
    <w:rsid w:val="000F1F13"/>
    <w:rsid w:val="000F2001"/>
    <w:rsid w:val="000F252C"/>
    <w:rsid w:val="000F317D"/>
    <w:rsid w:val="000F3730"/>
    <w:rsid w:val="000F3AAD"/>
    <w:rsid w:val="000F3EE5"/>
    <w:rsid w:val="000F4079"/>
    <w:rsid w:val="000F49C7"/>
    <w:rsid w:val="000F4D0F"/>
    <w:rsid w:val="000F4FF2"/>
    <w:rsid w:val="000F6052"/>
    <w:rsid w:val="000F6D79"/>
    <w:rsid w:val="000F73E9"/>
    <w:rsid w:val="000F75A3"/>
    <w:rsid w:val="000F7AA1"/>
    <w:rsid w:val="00100121"/>
    <w:rsid w:val="0010068C"/>
    <w:rsid w:val="0010069F"/>
    <w:rsid w:val="001008F2"/>
    <w:rsid w:val="001011A2"/>
    <w:rsid w:val="00101842"/>
    <w:rsid w:val="00101B67"/>
    <w:rsid w:val="00101E4D"/>
    <w:rsid w:val="00102514"/>
    <w:rsid w:val="00102599"/>
    <w:rsid w:val="00102E83"/>
    <w:rsid w:val="00102F31"/>
    <w:rsid w:val="00103024"/>
    <w:rsid w:val="0010359F"/>
    <w:rsid w:val="00103D71"/>
    <w:rsid w:val="001052F8"/>
    <w:rsid w:val="0010547D"/>
    <w:rsid w:val="00105771"/>
    <w:rsid w:val="00105B16"/>
    <w:rsid w:val="00106025"/>
    <w:rsid w:val="001066B0"/>
    <w:rsid w:val="0010767A"/>
    <w:rsid w:val="00107782"/>
    <w:rsid w:val="001079E6"/>
    <w:rsid w:val="0011037C"/>
    <w:rsid w:val="0011049B"/>
    <w:rsid w:val="0011069F"/>
    <w:rsid w:val="00110899"/>
    <w:rsid w:val="00110BF1"/>
    <w:rsid w:val="00110CD2"/>
    <w:rsid w:val="00111C11"/>
    <w:rsid w:val="0011244F"/>
    <w:rsid w:val="00112645"/>
    <w:rsid w:val="00112F50"/>
    <w:rsid w:val="0011337E"/>
    <w:rsid w:val="00114C2C"/>
    <w:rsid w:val="00114E49"/>
    <w:rsid w:val="00114E6A"/>
    <w:rsid w:val="00114FA8"/>
    <w:rsid w:val="001153B2"/>
    <w:rsid w:val="00115555"/>
    <w:rsid w:val="00115AF7"/>
    <w:rsid w:val="00115C84"/>
    <w:rsid w:val="00115E63"/>
    <w:rsid w:val="0011625A"/>
    <w:rsid w:val="00116520"/>
    <w:rsid w:val="0011660A"/>
    <w:rsid w:val="00120237"/>
    <w:rsid w:val="0012037F"/>
    <w:rsid w:val="0012052E"/>
    <w:rsid w:val="00120B99"/>
    <w:rsid w:val="00120BD7"/>
    <w:rsid w:val="00120E51"/>
    <w:rsid w:val="0012130D"/>
    <w:rsid w:val="0012153B"/>
    <w:rsid w:val="0012163A"/>
    <w:rsid w:val="00121B6B"/>
    <w:rsid w:val="00121CAD"/>
    <w:rsid w:val="00121DCF"/>
    <w:rsid w:val="0012235A"/>
    <w:rsid w:val="00122762"/>
    <w:rsid w:val="00122D59"/>
    <w:rsid w:val="00123651"/>
    <w:rsid w:val="00123846"/>
    <w:rsid w:val="001240EE"/>
    <w:rsid w:val="00124115"/>
    <w:rsid w:val="00124401"/>
    <w:rsid w:val="00124509"/>
    <w:rsid w:val="0012458C"/>
    <w:rsid w:val="0012463C"/>
    <w:rsid w:val="00124646"/>
    <w:rsid w:val="00124780"/>
    <w:rsid w:val="001251BA"/>
    <w:rsid w:val="0012540C"/>
    <w:rsid w:val="0012584B"/>
    <w:rsid w:val="00125C0E"/>
    <w:rsid w:val="00125D72"/>
    <w:rsid w:val="00126048"/>
    <w:rsid w:val="00126B24"/>
    <w:rsid w:val="0012783A"/>
    <w:rsid w:val="00127B73"/>
    <w:rsid w:val="001301DE"/>
    <w:rsid w:val="00130830"/>
    <w:rsid w:val="00131462"/>
    <w:rsid w:val="00131995"/>
    <w:rsid w:val="00131BCF"/>
    <w:rsid w:val="00132A56"/>
    <w:rsid w:val="00132F82"/>
    <w:rsid w:val="0013309D"/>
    <w:rsid w:val="00133366"/>
    <w:rsid w:val="001336FD"/>
    <w:rsid w:val="00133A83"/>
    <w:rsid w:val="00133B96"/>
    <w:rsid w:val="00135874"/>
    <w:rsid w:val="001359B7"/>
    <w:rsid w:val="001359F3"/>
    <w:rsid w:val="00136433"/>
    <w:rsid w:val="001366F6"/>
    <w:rsid w:val="00136DBC"/>
    <w:rsid w:val="00137EB1"/>
    <w:rsid w:val="00140098"/>
    <w:rsid w:val="001404A4"/>
    <w:rsid w:val="00140B45"/>
    <w:rsid w:val="00140CE3"/>
    <w:rsid w:val="00140F64"/>
    <w:rsid w:val="00140F9E"/>
    <w:rsid w:val="0014157E"/>
    <w:rsid w:val="0014159C"/>
    <w:rsid w:val="001418B9"/>
    <w:rsid w:val="0014200E"/>
    <w:rsid w:val="00142015"/>
    <w:rsid w:val="0014476D"/>
    <w:rsid w:val="001457B1"/>
    <w:rsid w:val="00145A15"/>
    <w:rsid w:val="001468AA"/>
    <w:rsid w:val="00146CB7"/>
    <w:rsid w:val="0014706A"/>
    <w:rsid w:val="0014728E"/>
    <w:rsid w:val="00147849"/>
    <w:rsid w:val="001478F0"/>
    <w:rsid w:val="00150378"/>
    <w:rsid w:val="0015059D"/>
    <w:rsid w:val="00150695"/>
    <w:rsid w:val="001508F7"/>
    <w:rsid w:val="00150ADE"/>
    <w:rsid w:val="00150F81"/>
    <w:rsid w:val="0015120A"/>
    <w:rsid w:val="001515F5"/>
    <w:rsid w:val="00151744"/>
    <w:rsid w:val="00151A78"/>
    <w:rsid w:val="00151B6A"/>
    <w:rsid w:val="00151BB1"/>
    <w:rsid w:val="00151FEC"/>
    <w:rsid w:val="00152B5B"/>
    <w:rsid w:val="00152D50"/>
    <w:rsid w:val="00153841"/>
    <w:rsid w:val="00153C5F"/>
    <w:rsid w:val="001541CF"/>
    <w:rsid w:val="00154BA6"/>
    <w:rsid w:val="00154F10"/>
    <w:rsid w:val="00154F39"/>
    <w:rsid w:val="00154FC1"/>
    <w:rsid w:val="00155967"/>
    <w:rsid w:val="00155ABF"/>
    <w:rsid w:val="00155FC5"/>
    <w:rsid w:val="0015614F"/>
    <w:rsid w:val="00156455"/>
    <w:rsid w:val="001565F5"/>
    <w:rsid w:val="001566BF"/>
    <w:rsid w:val="00156BF0"/>
    <w:rsid w:val="00156C56"/>
    <w:rsid w:val="00157353"/>
    <w:rsid w:val="00157866"/>
    <w:rsid w:val="00160289"/>
    <w:rsid w:val="00160570"/>
    <w:rsid w:val="00160723"/>
    <w:rsid w:val="001607B6"/>
    <w:rsid w:val="00160BDB"/>
    <w:rsid w:val="00161120"/>
    <w:rsid w:val="00161633"/>
    <w:rsid w:val="001622D8"/>
    <w:rsid w:val="001632AB"/>
    <w:rsid w:val="00164514"/>
    <w:rsid w:val="00164768"/>
    <w:rsid w:val="00164FAA"/>
    <w:rsid w:val="00165029"/>
    <w:rsid w:val="00165D40"/>
    <w:rsid w:val="00166044"/>
    <w:rsid w:val="00166333"/>
    <w:rsid w:val="001668A9"/>
    <w:rsid w:val="001668DA"/>
    <w:rsid w:val="0016717F"/>
    <w:rsid w:val="00167189"/>
    <w:rsid w:val="00167784"/>
    <w:rsid w:val="001679F0"/>
    <w:rsid w:val="00167D5B"/>
    <w:rsid w:val="00170259"/>
    <w:rsid w:val="001708AD"/>
    <w:rsid w:val="001708B5"/>
    <w:rsid w:val="00170AFF"/>
    <w:rsid w:val="0017119B"/>
    <w:rsid w:val="001711A2"/>
    <w:rsid w:val="001711FF"/>
    <w:rsid w:val="00171329"/>
    <w:rsid w:val="001714D7"/>
    <w:rsid w:val="001724DF"/>
    <w:rsid w:val="00172585"/>
    <w:rsid w:val="00172D30"/>
    <w:rsid w:val="0017347D"/>
    <w:rsid w:val="001734A1"/>
    <w:rsid w:val="001738DA"/>
    <w:rsid w:val="00174476"/>
    <w:rsid w:val="001746E9"/>
    <w:rsid w:val="00174F53"/>
    <w:rsid w:val="001751CB"/>
    <w:rsid w:val="00175756"/>
    <w:rsid w:val="00176A3E"/>
    <w:rsid w:val="00176B40"/>
    <w:rsid w:val="0017725E"/>
    <w:rsid w:val="0017727B"/>
    <w:rsid w:val="001774FA"/>
    <w:rsid w:val="00177584"/>
    <w:rsid w:val="001800ED"/>
    <w:rsid w:val="00180CA3"/>
    <w:rsid w:val="00180D5D"/>
    <w:rsid w:val="001817FB"/>
    <w:rsid w:val="00182651"/>
    <w:rsid w:val="0018299B"/>
    <w:rsid w:val="001829AF"/>
    <w:rsid w:val="001829F1"/>
    <w:rsid w:val="00182AFC"/>
    <w:rsid w:val="00182D4C"/>
    <w:rsid w:val="00183210"/>
    <w:rsid w:val="00183268"/>
    <w:rsid w:val="001832BC"/>
    <w:rsid w:val="00183A9E"/>
    <w:rsid w:val="0018409B"/>
    <w:rsid w:val="001840E2"/>
    <w:rsid w:val="001853A8"/>
    <w:rsid w:val="00185543"/>
    <w:rsid w:val="001855A0"/>
    <w:rsid w:val="0018581D"/>
    <w:rsid w:val="0018612D"/>
    <w:rsid w:val="001862CB"/>
    <w:rsid w:val="0018698C"/>
    <w:rsid w:val="0018747C"/>
    <w:rsid w:val="001875E0"/>
    <w:rsid w:val="00187AAA"/>
    <w:rsid w:val="00187C40"/>
    <w:rsid w:val="00187CD0"/>
    <w:rsid w:val="001901F8"/>
    <w:rsid w:val="00190249"/>
    <w:rsid w:val="00190838"/>
    <w:rsid w:val="00190879"/>
    <w:rsid w:val="00190A7A"/>
    <w:rsid w:val="00191006"/>
    <w:rsid w:val="00191596"/>
    <w:rsid w:val="001919FF"/>
    <w:rsid w:val="00191CDE"/>
    <w:rsid w:val="00191D2D"/>
    <w:rsid w:val="00191F99"/>
    <w:rsid w:val="00191FD7"/>
    <w:rsid w:val="0019201C"/>
    <w:rsid w:val="0019240E"/>
    <w:rsid w:val="00192990"/>
    <w:rsid w:val="00192BD1"/>
    <w:rsid w:val="00192F95"/>
    <w:rsid w:val="00194994"/>
    <w:rsid w:val="00194ACA"/>
    <w:rsid w:val="0019584B"/>
    <w:rsid w:val="00195967"/>
    <w:rsid w:val="00195B0B"/>
    <w:rsid w:val="00195BA3"/>
    <w:rsid w:val="00195CA6"/>
    <w:rsid w:val="00196184"/>
    <w:rsid w:val="0019685C"/>
    <w:rsid w:val="001969D6"/>
    <w:rsid w:val="0019792F"/>
    <w:rsid w:val="00197BFA"/>
    <w:rsid w:val="001A0A6A"/>
    <w:rsid w:val="001A0C73"/>
    <w:rsid w:val="001A0ED8"/>
    <w:rsid w:val="001A1119"/>
    <w:rsid w:val="001A11A2"/>
    <w:rsid w:val="001A1363"/>
    <w:rsid w:val="001A144E"/>
    <w:rsid w:val="001A1A92"/>
    <w:rsid w:val="001A1B55"/>
    <w:rsid w:val="001A1D7B"/>
    <w:rsid w:val="001A2252"/>
    <w:rsid w:val="001A230C"/>
    <w:rsid w:val="001A24AF"/>
    <w:rsid w:val="001A25BC"/>
    <w:rsid w:val="001A2620"/>
    <w:rsid w:val="001A3020"/>
    <w:rsid w:val="001A3219"/>
    <w:rsid w:val="001A3263"/>
    <w:rsid w:val="001A336E"/>
    <w:rsid w:val="001A35C6"/>
    <w:rsid w:val="001A39B5"/>
    <w:rsid w:val="001A3BF8"/>
    <w:rsid w:val="001A3CC6"/>
    <w:rsid w:val="001A3CCA"/>
    <w:rsid w:val="001A41E4"/>
    <w:rsid w:val="001A4358"/>
    <w:rsid w:val="001A4616"/>
    <w:rsid w:val="001A4E3A"/>
    <w:rsid w:val="001A4F88"/>
    <w:rsid w:val="001A5774"/>
    <w:rsid w:val="001A6074"/>
    <w:rsid w:val="001A67CA"/>
    <w:rsid w:val="001A6908"/>
    <w:rsid w:val="001A6B29"/>
    <w:rsid w:val="001A71EA"/>
    <w:rsid w:val="001A795C"/>
    <w:rsid w:val="001A7E5B"/>
    <w:rsid w:val="001B0210"/>
    <w:rsid w:val="001B04D5"/>
    <w:rsid w:val="001B0791"/>
    <w:rsid w:val="001B097D"/>
    <w:rsid w:val="001B09EE"/>
    <w:rsid w:val="001B0C7F"/>
    <w:rsid w:val="001B0EC2"/>
    <w:rsid w:val="001B141C"/>
    <w:rsid w:val="001B1470"/>
    <w:rsid w:val="001B17C9"/>
    <w:rsid w:val="001B190D"/>
    <w:rsid w:val="001B1F1A"/>
    <w:rsid w:val="001B222A"/>
    <w:rsid w:val="001B2D72"/>
    <w:rsid w:val="001B31D9"/>
    <w:rsid w:val="001B349C"/>
    <w:rsid w:val="001B34D9"/>
    <w:rsid w:val="001B3868"/>
    <w:rsid w:val="001B3969"/>
    <w:rsid w:val="001B3A57"/>
    <w:rsid w:val="001B3C4F"/>
    <w:rsid w:val="001B3E2D"/>
    <w:rsid w:val="001B5393"/>
    <w:rsid w:val="001B594E"/>
    <w:rsid w:val="001B5D32"/>
    <w:rsid w:val="001B5DB8"/>
    <w:rsid w:val="001B6389"/>
    <w:rsid w:val="001B6B47"/>
    <w:rsid w:val="001B7039"/>
    <w:rsid w:val="001B78D2"/>
    <w:rsid w:val="001C0192"/>
    <w:rsid w:val="001C0FF5"/>
    <w:rsid w:val="001C1453"/>
    <w:rsid w:val="001C1600"/>
    <w:rsid w:val="001C1731"/>
    <w:rsid w:val="001C1B00"/>
    <w:rsid w:val="001C1D72"/>
    <w:rsid w:val="001C1E03"/>
    <w:rsid w:val="001C219B"/>
    <w:rsid w:val="001C26A2"/>
    <w:rsid w:val="001C2B33"/>
    <w:rsid w:val="001C3058"/>
    <w:rsid w:val="001C32A2"/>
    <w:rsid w:val="001C338B"/>
    <w:rsid w:val="001C3455"/>
    <w:rsid w:val="001C3618"/>
    <w:rsid w:val="001C40C6"/>
    <w:rsid w:val="001C472B"/>
    <w:rsid w:val="001C4B0F"/>
    <w:rsid w:val="001C58E9"/>
    <w:rsid w:val="001C5A3C"/>
    <w:rsid w:val="001C5AA7"/>
    <w:rsid w:val="001C5BF9"/>
    <w:rsid w:val="001C5C9E"/>
    <w:rsid w:val="001C6020"/>
    <w:rsid w:val="001C617B"/>
    <w:rsid w:val="001C622B"/>
    <w:rsid w:val="001C6399"/>
    <w:rsid w:val="001C679F"/>
    <w:rsid w:val="001C6E8A"/>
    <w:rsid w:val="001C7252"/>
    <w:rsid w:val="001C752E"/>
    <w:rsid w:val="001C7893"/>
    <w:rsid w:val="001C7BDF"/>
    <w:rsid w:val="001C7ED2"/>
    <w:rsid w:val="001D01BC"/>
    <w:rsid w:val="001D0AA8"/>
    <w:rsid w:val="001D0C2A"/>
    <w:rsid w:val="001D114C"/>
    <w:rsid w:val="001D1C6B"/>
    <w:rsid w:val="001D20BB"/>
    <w:rsid w:val="001D24F3"/>
    <w:rsid w:val="001D2568"/>
    <w:rsid w:val="001D25F7"/>
    <w:rsid w:val="001D2910"/>
    <w:rsid w:val="001D2C3C"/>
    <w:rsid w:val="001D2FE0"/>
    <w:rsid w:val="001D3F89"/>
    <w:rsid w:val="001D4A52"/>
    <w:rsid w:val="001D5AC6"/>
    <w:rsid w:val="001D6ABA"/>
    <w:rsid w:val="001D6C64"/>
    <w:rsid w:val="001D724D"/>
    <w:rsid w:val="001D7354"/>
    <w:rsid w:val="001D7B14"/>
    <w:rsid w:val="001D7ECD"/>
    <w:rsid w:val="001E04DC"/>
    <w:rsid w:val="001E174A"/>
    <w:rsid w:val="001E178E"/>
    <w:rsid w:val="001E1E4F"/>
    <w:rsid w:val="001E1F95"/>
    <w:rsid w:val="001E21AB"/>
    <w:rsid w:val="001E2856"/>
    <w:rsid w:val="001E31C0"/>
    <w:rsid w:val="001E44A1"/>
    <w:rsid w:val="001E5296"/>
    <w:rsid w:val="001E5E4A"/>
    <w:rsid w:val="001E5FE1"/>
    <w:rsid w:val="001E62A6"/>
    <w:rsid w:val="001E6564"/>
    <w:rsid w:val="001E65EF"/>
    <w:rsid w:val="001E66A6"/>
    <w:rsid w:val="001E6F3D"/>
    <w:rsid w:val="001E73FE"/>
    <w:rsid w:val="001E77AA"/>
    <w:rsid w:val="001E7B24"/>
    <w:rsid w:val="001E7BB2"/>
    <w:rsid w:val="001E7F7F"/>
    <w:rsid w:val="001F0DC8"/>
    <w:rsid w:val="001F1377"/>
    <w:rsid w:val="001F1452"/>
    <w:rsid w:val="001F1517"/>
    <w:rsid w:val="001F1618"/>
    <w:rsid w:val="001F2048"/>
    <w:rsid w:val="001F2DD3"/>
    <w:rsid w:val="001F2EB7"/>
    <w:rsid w:val="001F35A5"/>
    <w:rsid w:val="001F35D7"/>
    <w:rsid w:val="001F35FF"/>
    <w:rsid w:val="001F374E"/>
    <w:rsid w:val="001F3A73"/>
    <w:rsid w:val="001F3B64"/>
    <w:rsid w:val="001F4E46"/>
    <w:rsid w:val="001F4F3F"/>
    <w:rsid w:val="001F53BA"/>
    <w:rsid w:val="001F5470"/>
    <w:rsid w:val="001F56C9"/>
    <w:rsid w:val="001F5794"/>
    <w:rsid w:val="001F5C49"/>
    <w:rsid w:val="001F5D1B"/>
    <w:rsid w:val="001F66B4"/>
    <w:rsid w:val="001F7752"/>
    <w:rsid w:val="002001C9"/>
    <w:rsid w:val="0020030D"/>
    <w:rsid w:val="00200EA5"/>
    <w:rsid w:val="00200F9D"/>
    <w:rsid w:val="00201367"/>
    <w:rsid w:val="002018C7"/>
    <w:rsid w:val="00201C64"/>
    <w:rsid w:val="00202171"/>
    <w:rsid w:val="00202858"/>
    <w:rsid w:val="00202E07"/>
    <w:rsid w:val="00203148"/>
    <w:rsid w:val="002035C4"/>
    <w:rsid w:val="002035DA"/>
    <w:rsid w:val="002039F6"/>
    <w:rsid w:val="00203B7B"/>
    <w:rsid w:val="00204905"/>
    <w:rsid w:val="00204D0D"/>
    <w:rsid w:val="0020513C"/>
    <w:rsid w:val="002052EF"/>
    <w:rsid w:val="002055DA"/>
    <w:rsid w:val="002058D5"/>
    <w:rsid w:val="00205C5E"/>
    <w:rsid w:val="00206413"/>
    <w:rsid w:val="00206B38"/>
    <w:rsid w:val="00207087"/>
    <w:rsid w:val="0020776A"/>
    <w:rsid w:val="002077A8"/>
    <w:rsid w:val="002077B9"/>
    <w:rsid w:val="00207D03"/>
    <w:rsid w:val="00210028"/>
    <w:rsid w:val="00210128"/>
    <w:rsid w:val="00210936"/>
    <w:rsid w:val="002109B9"/>
    <w:rsid w:val="00210D29"/>
    <w:rsid w:val="00210E15"/>
    <w:rsid w:val="00211333"/>
    <w:rsid w:val="0021144B"/>
    <w:rsid w:val="0021195F"/>
    <w:rsid w:val="00212077"/>
    <w:rsid w:val="0021219A"/>
    <w:rsid w:val="00212737"/>
    <w:rsid w:val="00212E53"/>
    <w:rsid w:val="002131C9"/>
    <w:rsid w:val="002134EA"/>
    <w:rsid w:val="00213EA2"/>
    <w:rsid w:val="0021434B"/>
    <w:rsid w:val="00214A7E"/>
    <w:rsid w:val="00215A2B"/>
    <w:rsid w:val="00216E0F"/>
    <w:rsid w:val="00216EAB"/>
    <w:rsid w:val="002178D4"/>
    <w:rsid w:val="00217DE9"/>
    <w:rsid w:val="00220204"/>
    <w:rsid w:val="002202BA"/>
    <w:rsid w:val="00220499"/>
    <w:rsid w:val="002207AB"/>
    <w:rsid w:val="00220C9B"/>
    <w:rsid w:val="002215E6"/>
    <w:rsid w:val="002222F9"/>
    <w:rsid w:val="0022322E"/>
    <w:rsid w:val="0022342E"/>
    <w:rsid w:val="002237BE"/>
    <w:rsid w:val="002238C5"/>
    <w:rsid w:val="00223911"/>
    <w:rsid w:val="00223991"/>
    <w:rsid w:val="00223B7E"/>
    <w:rsid w:val="00223BA4"/>
    <w:rsid w:val="00223E54"/>
    <w:rsid w:val="002242A6"/>
    <w:rsid w:val="00224D1A"/>
    <w:rsid w:val="00224FFE"/>
    <w:rsid w:val="0022514C"/>
    <w:rsid w:val="00225195"/>
    <w:rsid w:val="00225777"/>
    <w:rsid w:val="00225933"/>
    <w:rsid w:val="00225B19"/>
    <w:rsid w:val="00226094"/>
    <w:rsid w:val="00226539"/>
    <w:rsid w:val="002268A4"/>
    <w:rsid w:val="00226A5F"/>
    <w:rsid w:val="00226CDD"/>
    <w:rsid w:val="00226DF7"/>
    <w:rsid w:val="00227ADC"/>
    <w:rsid w:val="00227BA0"/>
    <w:rsid w:val="00227BCB"/>
    <w:rsid w:val="00227DDB"/>
    <w:rsid w:val="00230BD0"/>
    <w:rsid w:val="00231039"/>
    <w:rsid w:val="00231103"/>
    <w:rsid w:val="002313E9"/>
    <w:rsid w:val="00231787"/>
    <w:rsid w:val="002320B1"/>
    <w:rsid w:val="002321CA"/>
    <w:rsid w:val="0023222E"/>
    <w:rsid w:val="002323FF"/>
    <w:rsid w:val="0023354E"/>
    <w:rsid w:val="00233B9F"/>
    <w:rsid w:val="002343AF"/>
    <w:rsid w:val="002345E7"/>
    <w:rsid w:val="002347B3"/>
    <w:rsid w:val="00235990"/>
    <w:rsid w:val="00236099"/>
    <w:rsid w:val="00237224"/>
    <w:rsid w:val="00237ADC"/>
    <w:rsid w:val="00240087"/>
    <w:rsid w:val="0024032A"/>
    <w:rsid w:val="00240A73"/>
    <w:rsid w:val="0024118C"/>
    <w:rsid w:val="002411F7"/>
    <w:rsid w:val="002419CE"/>
    <w:rsid w:val="002425C2"/>
    <w:rsid w:val="00242752"/>
    <w:rsid w:val="00242B7D"/>
    <w:rsid w:val="00242D88"/>
    <w:rsid w:val="00243180"/>
    <w:rsid w:val="002436B3"/>
    <w:rsid w:val="00243984"/>
    <w:rsid w:val="00244506"/>
    <w:rsid w:val="0024463E"/>
    <w:rsid w:val="00244940"/>
    <w:rsid w:val="0024508A"/>
    <w:rsid w:val="002453BE"/>
    <w:rsid w:val="002454E9"/>
    <w:rsid w:val="00245CFC"/>
    <w:rsid w:val="00246719"/>
    <w:rsid w:val="00246857"/>
    <w:rsid w:val="00246CCB"/>
    <w:rsid w:val="00247E37"/>
    <w:rsid w:val="00247EC7"/>
    <w:rsid w:val="00250541"/>
    <w:rsid w:val="0025107F"/>
    <w:rsid w:val="00251DBA"/>
    <w:rsid w:val="0025294D"/>
    <w:rsid w:val="00252D07"/>
    <w:rsid w:val="00252D3A"/>
    <w:rsid w:val="002531DD"/>
    <w:rsid w:val="002534AE"/>
    <w:rsid w:val="0025382B"/>
    <w:rsid w:val="00253C53"/>
    <w:rsid w:val="002544B7"/>
    <w:rsid w:val="0025469D"/>
    <w:rsid w:val="00254DED"/>
    <w:rsid w:val="002553E1"/>
    <w:rsid w:val="0025586A"/>
    <w:rsid w:val="00255DDC"/>
    <w:rsid w:val="00256CDA"/>
    <w:rsid w:val="00257779"/>
    <w:rsid w:val="002600EC"/>
    <w:rsid w:val="00260979"/>
    <w:rsid w:val="002614BC"/>
    <w:rsid w:val="0026153B"/>
    <w:rsid w:val="002616ED"/>
    <w:rsid w:val="0026186A"/>
    <w:rsid w:val="00261CE4"/>
    <w:rsid w:val="002627F9"/>
    <w:rsid w:val="00262D90"/>
    <w:rsid w:val="00263247"/>
    <w:rsid w:val="002636F8"/>
    <w:rsid w:val="00263898"/>
    <w:rsid w:val="00263E46"/>
    <w:rsid w:val="00263E5A"/>
    <w:rsid w:val="00264338"/>
    <w:rsid w:val="00264712"/>
    <w:rsid w:val="00264E7A"/>
    <w:rsid w:val="0026537F"/>
    <w:rsid w:val="00265474"/>
    <w:rsid w:val="002655C6"/>
    <w:rsid w:val="00265738"/>
    <w:rsid w:val="0026585D"/>
    <w:rsid w:val="00265C4C"/>
    <w:rsid w:val="00265C99"/>
    <w:rsid w:val="002660CC"/>
    <w:rsid w:val="002663D3"/>
    <w:rsid w:val="00266699"/>
    <w:rsid w:val="00266D96"/>
    <w:rsid w:val="00267547"/>
    <w:rsid w:val="002705C4"/>
    <w:rsid w:val="00270ACC"/>
    <w:rsid w:val="0027158E"/>
    <w:rsid w:val="002719E5"/>
    <w:rsid w:val="00271DB8"/>
    <w:rsid w:val="00271F75"/>
    <w:rsid w:val="00272355"/>
    <w:rsid w:val="0027235E"/>
    <w:rsid w:val="002723E2"/>
    <w:rsid w:val="00272B03"/>
    <w:rsid w:val="00272B8E"/>
    <w:rsid w:val="002731E3"/>
    <w:rsid w:val="00273810"/>
    <w:rsid w:val="00273F2F"/>
    <w:rsid w:val="00274456"/>
    <w:rsid w:val="00274E9E"/>
    <w:rsid w:val="0027503B"/>
    <w:rsid w:val="00275133"/>
    <w:rsid w:val="0027575A"/>
    <w:rsid w:val="00275830"/>
    <w:rsid w:val="00275841"/>
    <w:rsid w:val="00275D09"/>
    <w:rsid w:val="00275F82"/>
    <w:rsid w:val="0027657C"/>
    <w:rsid w:val="00276DD2"/>
    <w:rsid w:val="00276F09"/>
    <w:rsid w:val="0027725B"/>
    <w:rsid w:val="0027740C"/>
    <w:rsid w:val="0027748C"/>
    <w:rsid w:val="0027760F"/>
    <w:rsid w:val="00277C46"/>
    <w:rsid w:val="00280280"/>
    <w:rsid w:val="00280577"/>
    <w:rsid w:val="0028090E"/>
    <w:rsid w:val="00280E12"/>
    <w:rsid w:val="00281051"/>
    <w:rsid w:val="00281472"/>
    <w:rsid w:val="002815F1"/>
    <w:rsid w:val="0028160A"/>
    <w:rsid w:val="00281AEF"/>
    <w:rsid w:val="00281E41"/>
    <w:rsid w:val="00282036"/>
    <w:rsid w:val="00282505"/>
    <w:rsid w:val="00282599"/>
    <w:rsid w:val="00282867"/>
    <w:rsid w:val="002829A1"/>
    <w:rsid w:val="00282B25"/>
    <w:rsid w:val="00282BBC"/>
    <w:rsid w:val="0028341B"/>
    <w:rsid w:val="00283935"/>
    <w:rsid w:val="002839C1"/>
    <w:rsid w:val="00284167"/>
    <w:rsid w:val="002841DF"/>
    <w:rsid w:val="00284705"/>
    <w:rsid w:val="0028487E"/>
    <w:rsid w:val="00284B24"/>
    <w:rsid w:val="00284B73"/>
    <w:rsid w:val="00284BF3"/>
    <w:rsid w:val="00284D64"/>
    <w:rsid w:val="00285572"/>
    <w:rsid w:val="00285664"/>
    <w:rsid w:val="00285E9C"/>
    <w:rsid w:val="0028641A"/>
    <w:rsid w:val="00286A9D"/>
    <w:rsid w:val="00286DB8"/>
    <w:rsid w:val="00287836"/>
    <w:rsid w:val="00290661"/>
    <w:rsid w:val="0029095D"/>
    <w:rsid w:val="002909BD"/>
    <w:rsid w:val="00290F11"/>
    <w:rsid w:val="002916EB"/>
    <w:rsid w:val="002919F8"/>
    <w:rsid w:val="00291EE1"/>
    <w:rsid w:val="00291F39"/>
    <w:rsid w:val="00292118"/>
    <w:rsid w:val="00292560"/>
    <w:rsid w:val="0029276C"/>
    <w:rsid w:val="00292AE7"/>
    <w:rsid w:val="0029383D"/>
    <w:rsid w:val="00293A68"/>
    <w:rsid w:val="002947A0"/>
    <w:rsid w:val="00294A3D"/>
    <w:rsid w:val="00294B2D"/>
    <w:rsid w:val="00294CEA"/>
    <w:rsid w:val="00294FB1"/>
    <w:rsid w:val="0029512C"/>
    <w:rsid w:val="00295186"/>
    <w:rsid w:val="002951AF"/>
    <w:rsid w:val="0029536D"/>
    <w:rsid w:val="002953A8"/>
    <w:rsid w:val="00295E7C"/>
    <w:rsid w:val="002964AC"/>
    <w:rsid w:val="00296F34"/>
    <w:rsid w:val="00297047"/>
    <w:rsid w:val="00297495"/>
    <w:rsid w:val="00297D47"/>
    <w:rsid w:val="00297D9A"/>
    <w:rsid w:val="002A0053"/>
    <w:rsid w:val="002A008D"/>
    <w:rsid w:val="002A00E2"/>
    <w:rsid w:val="002A045D"/>
    <w:rsid w:val="002A0D15"/>
    <w:rsid w:val="002A107E"/>
    <w:rsid w:val="002A16E3"/>
    <w:rsid w:val="002A19CE"/>
    <w:rsid w:val="002A1DF0"/>
    <w:rsid w:val="002A2458"/>
    <w:rsid w:val="002A24CF"/>
    <w:rsid w:val="002A300D"/>
    <w:rsid w:val="002A354F"/>
    <w:rsid w:val="002A3B21"/>
    <w:rsid w:val="002A3C97"/>
    <w:rsid w:val="002A4C45"/>
    <w:rsid w:val="002A4CDC"/>
    <w:rsid w:val="002A4D20"/>
    <w:rsid w:val="002A4F1B"/>
    <w:rsid w:val="002A4F8D"/>
    <w:rsid w:val="002A5181"/>
    <w:rsid w:val="002A52A8"/>
    <w:rsid w:val="002A550C"/>
    <w:rsid w:val="002A57A9"/>
    <w:rsid w:val="002A5B27"/>
    <w:rsid w:val="002A5CB4"/>
    <w:rsid w:val="002A6344"/>
    <w:rsid w:val="002A6F2C"/>
    <w:rsid w:val="002A74AF"/>
    <w:rsid w:val="002A75AB"/>
    <w:rsid w:val="002A76CC"/>
    <w:rsid w:val="002A7B2D"/>
    <w:rsid w:val="002A7FEB"/>
    <w:rsid w:val="002B001E"/>
    <w:rsid w:val="002B00A9"/>
    <w:rsid w:val="002B079B"/>
    <w:rsid w:val="002B08C1"/>
    <w:rsid w:val="002B09E4"/>
    <w:rsid w:val="002B0D55"/>
    <w:rsid w:val="002B0D77"/>
    <w:rsid w:val="002B1276"/>
    <w:rsid w:val="002B2137"/>
    <w:rsid w:val="002B25DA"/>
    <w:rsid w:val="002B26EA"/>
    <w:rsid w:val="002B29E9"/>
    <w:rsid w:val="002B3C59"/>
    <w:rsid w:val="002B3F2B"/>
    <w:rsid w:val="002B417E"/>
    <w:rsid w:val="002B451C"/>
    <w:rsid w:val="002B4949"/>
    <w:rsid w:val="002B4D49"/>
    <w:rsid w:val="002B4DCE"/>
    <w:rsid w:val="002B4E6F"/>
    <w:rsid w:val="002B5126"/>
    <w:rsid w:val="002B5ACF"/>
    <w:rsid w:val="002B5BBF"/>
    <w:rsid w:val="002B5D9B"/>
    <w:rsid w:val="002B631E"/>
    <w:rsid w:val="002B7248"/>
    <w:rsid w:val="002B78DA"/>
    <w:rsid w:val="002B7AE9"/>
    <w:rsid w:val="002B7D32"/>
    <w:rsid w:val="002C0190"/>
    <w:rsid w:val="002C0E1F"/>
    <w:rsid w:val="002C1040"/>
    <w:rsid w:val="002C1881"/>
    <w:rsid w:val="002C1AFD"/>
    <w:rsid w:val="002C1B8F"/>
    <w:rsid w:val="002C1EC4"/>
    <w:rsid w:val="002C2014"/>
    <w:rsid w:val="002C262B"/>
    <w:rsid w:val="002C299B"/>
    <w:rsid w:val="002C29D7"/>
    <w:rsid w:val="002C2B0A"/>
    <w:rsid w:val="002C39A8"/>
    <w:rsid w:val="002C3B20"/>
    <w:rsid w:val="002C3B6E"/>
    <w:rsid w:val="002C4380"/>
    <w:rsid w:val="002C49CE"/>
    <w:rsid w:val="002C5943"/>
    <w:rsid w:val="002C5E87"/>
    <w:rsid w:val="002C5EB1"/>
    <w:rsid w:val="002C6143"/>
    <w:rsid w:val="002C688A"/>
    <w:rsid w:val="002C6AE2"/>
    <w:rsid w:val="002C6CAD"/>
    <w:rsid w:val="002C7D20"/>
    <w:rsid w:val="002D0197"/>
    <w:rsid w:val="002D03CC"/>
    <w:rsid w:val="002D0B21"/>
    <w:rsid w:val="002D0C30"/>
    <w:rsid w:val="002D1010"/>
    <w:rsid w:val="002D1E3F"/>
    <w:rsid w:val="002D334B"/>
    <w:rsid w:val="002D38F2"/>
    <w:rsid w:val="002D3CA2"/>
    <w:rsid w:val="002D3DA5"/>
    <w:rsid w:val="002D3E0A"/>
    <w:rsid w:val="002D461D"/>
    <w:rsid w:val="002D4932"/>
    <w:rsid w:val="002D4F9B"/>
    <w:rsid w:val="002D4FAD"/>
    <w:rsid w:val="002D540E"/>
    <w:rsid w:val="002D5961"/>
    <w:rsid w:val="002D61BC"/>
    <w:rsid w:val="002D64A7"/>
    <w:rsid w:val="002D6524"/>
    <w:rsid w:val="002D6F7A"/>
    <w:rsid w:val="002D6FD1"/>
    <w:rsid w:val="002E0204"/>
    <w:rsid w:val="002E0923"/>
    <w:rsid w:val="002E0DB9"/>
    <w:rsid w:val="002E10A4"/>
    <w:rsid w:val="002E1131"/>
    <w:rsid w:val="002E18AE"/>
    <w:rsid w:val="002E190E"/>
    <w:rsid w:val="002E1CB6"/>
    <w:rsid w:val="002E232F"/>
    <w:rsid w:val="002E285D"/>
    <w:rsid w:val="002E28CE"/>
    <w:rsid w:val="002E2927"/>
    <w:rsid w:val="002E29E7"/>
    <w:rsid w:val="002E2F64"/>
    <w:rsid w:val="002E2FCE"/>
    <w:rsid w:val="002E4056"/>
    <w:rsid w:val="002E4915"/>
    <w:rsid w:val="002E4957"/>
    <w:rsid w:val="002E4B35"/>
    <w:rsid w:val="002E4C10"/>
    <w:rsid w:val="002E4CF1"/>
    <w:rsid w:val="002E4DA7"/>
    <w:rsid w:val="002E57E2"/>
    <w:rsid w:val="002E57FB"/>
    <w:rsid w:val="002E5C45"/>
    <w:rsid w:val="002E604D"/>
    <w:rsid w:val="002E61F8"/>
    <w:rsid w:val="002E6290"/>
    <w:rsid w:val="002E6466"/>
    <w:rsid w:val="002E6932"/>
    <w:rsid w:val="002E6CE3"/>
    <w:rsid w:val="002E797A"/>
    <w:rsid w:val="002E7EB2"/>
    <w:rsid w:val="002F0445"/>
    <w:rsid w:val="002F051D"/>
    <w:rsid w:val="002F0A42"/>
    <w:rsid w:val="002F10D9"/>
    <w:rsid w:val="002F1103"/>
    <w:rsid w:val="002F1606"/>
    <w:rsid w:val="002F2706"/>
    <w:rsid w:val="002F2976"/>
    <w:rsid w:val="002F2C05"/>
    <w:rsid w:val="002F325C"/>
    <w:rsid w:val="002F43C2"/>
    <w:rsid w:val="002F5215"/>
    <w:rsid w:val="002F53CC"/>
    <w:rsid w:val="002F53FE"/>
    <w:rsid w:val="002F551A"/>
    <w:rsid w:val="002F5E20"/>
    <w:rsid w:val="002F715D"/>
    <w:rsid w:val="0030044C"/>
    <w:rsid w:val="00300F4F"/>
    <w:rsid w:val="0030115D"/>
    <w:rsid w:val="00301EE1"/>
    <w:rsid w:val="003022CB"/>
    <w:rsid w:val="003024EF"/>
    <w:rsid w:val="0030251F"/>
    <w:rsid w:val="00302CD4"/>
    <w:rsid w:val="00303347"/>
    <w:rsid w:val="00303499"/>
    <w:rsid w:val="0030369E"/>
    <w:rsid w:val="00303EAE"/>
    <w:rsid w:val="00304006"/>
    <w:rsid w:val="003044DA"/>
    <w:rsid w:val="00304875"/>
    <w:rsid w:val="00304ACF"/>
    <w:rsid w:val="003060AD"/>
    <w:rsid w:val="00306736"/>
    <w:rsid w:val="00306B49"/>
    <w:rsid w:val="00306CAB"/>
    <w:rsid w:val="00307049"/>
    <w:rsid w:val="0030709F"/>
    <w:rsid w:val="003070E1"/>
    <w:rsid w:val="00307495"/>
    <w:rsid w:val="003107E9"/>
    <w:rsid w:val="0031092D"/>
    <w:rsid w:val="003111FF"/>
    <w:rsid w:val="0031159F"/>
    <w:rsid w:val="0031181A"/>
    <w:rsid w:val="0031203C"/>
    <w:rsid w:val="0031215E"/>
    <w:rsid w:val="00312CD4"/>
    <w:rsid w:val="00312F40"/>
    <w:rsid w:val="00313291"/>
    <w:rsid w:val="0031349E"/>
    <w:rsid w:val="003134E7"/>
    <w:rsid w:val="003139A5"/>
    <w:rsid w:val="00313A18"/>
    <w:rsid w:val="00314611"/>
    <w:rsid w:val="00314855"/>
    <w:rsid w:val="00314B10"/>
    <w:rsid w:val="003151C1"/>
    <w:rsid w:val="00315264"/>
    <w:rsid w:val="003159C5"/>
    <w:rsid w:val="00315A2C"/>
    <w:rsid w:val="00315B4D"/>
    <w:rsid w:val="00315FA9"/>
    <w:rsid w:val="00316842"/>
    <w:rsid w:val="0031709A"/>
    <w:rsid w:val="00317A66"/>
    <w:rsid w:val="00317C2B"/>
    <w:rsid w:val="00317D0E"/>
    <w:rsid w:val="00317DD5"/>
    <w:rsid w:val="00317F94"/>
    <w:rsid w:val="0032164B"/>
    <w:rsid w:val="00322550"/>
    <w:rsid w:val="00323159"/>
    <w:rsid w:val="00323240"/>
    <w:rsid w:val="00325059"/>
    <w:rsid w:val="00325101"/>
    <w:rsid w:val="00325735"/>
    <w:rsid w:val="00325DEE"/>
    <w:rsid w:val="00325F4B"/>
    <w:rsid w:val="00326248"/>
    <w:rsid w:val="0032669D"/>
    <w:rsid w:val="00326B91"/>
    <w:rsid w:val="00326CE0"/>
    <w:rsid w:val="00326EF8"/>
    <w:rsid w:val="00326F76"/>
    <w:rsid w:val="00327041"/>
    <w:rsid w:val="00327287"/>
    <w:rsid w:val="003279F3"/>
    <w:rsid w:val="00327A6E"/>
    <w:rsid w:val="00330155"/>
    <w:rsid w:val="00330384"/>
    <w:rsid w:val="003305F3"/>
    <w:rsid w:val="00330920"/>
    <w:rsid w:val="00330B4D"/>
    <w:rsid w:val="00330CC2"/>
    <w:rsid w:val="00330D8D"/>
    <w:rsid w:val="00330E5C"/>
    <w:rsid w:val="00330EA9"/>
    <w:rsid w:val="0033148D"/>
    <w:rsid w:val="00331530"/>
    <w:rsid w:val="00331F68"/>
    <w:rsid w:val="00332252"/>
    <w:rsid w:val="0033293E"/>
    <w:rsid w:val="00333A02"/>
    <w:rsid w:val="003343B3"/>
    <w:rsid w:val="0033491E"/>
    <w:rsid w:val="0033524B"/>
    <w:rsid w:val="00335298"/>
    <w:rsid w:val="00335B5F"/>
    <w:rsid w:val="00335E84"/>
    <w:rsid w:val="00335F2C"/>
    <w:rsid w:val="0033651E"/>
    <w:rsid w:val="00336547"/>
    <w:rsid w:val="00336795"/>
    <w:rsid w:val="0033680C"/>
    <w:rsid w:val="00336BF5"/>
    <w:rsid w:val="00336E21"/>
    <w:rsid w:val="0033737B"/>
    <w:rsid w:val="00337E8B"/>
    <w:rsid w:val="003406CA"/>
    <w:rsid w:val="00340F92"/>
    <w:rsid w:val="00340FDE"/>
    <w:rsid w:val="00341994"/>
    <w:rsid w:val="003419E0"/>
    <w:rsid w:val="00341A70"/>
    <w:rsid w:val="0034201A"/>
    <w:rsid w:val="0034224A"/>
    <w:rsid w:val="003427DD"/>
    <w:rsid w:val="0034315B"/>
    <w:rsid w:val="00343187"/>
    <w:rsid w:val="003435BF"/>
    <w:rsid w:val="00343888"/>
    <w:rsid w:val="00343BE4"/>
    <w:rsid w:val="00344303"/>
    <w:rsid w:val="0034468F"/>
    <w:rsid w:val="00345283"/>
    <w:rsid w:val="0034531D"/>
    <w:rsid w:val="003457C0"/>
    <w:rsid w:val="00345D29"/>
    <w:rsid w:val="00345DA8"/>
    <w:rsid w:val="00345E73"/>
    <w:rsid w:val="003460E3"/>
    <w:rsid w:val="00346BEA"/>
    <w:rsid w:val="00347656"/>
    <w:rsid w:val="003477E3"/>
    <w:rsid w:val="00347820"/>
    <w:rsid w:val="00347A45"/>
    <w:rsid w:val="00347D7A"/>
    <w:rsid w:val="0035011E"/>
    <w:rsid w:val="003505EF"/>
    <w:rsid w:val="00350695"/>
    <w:rsid w:val="0035083E"/>
    <w:rsid w:val="00350EE8"/>
    <w:rsid w:val="00351049"/>
    <w:rsid w:val="003510AC"/>
    <w:rsid w:val="003511C1"/>
    <w:rsid w:val="00351767"/>
    <w:rsid w:val="00352308"/>
    <w:rsid w:val="003529B7"/>
    <w:rsid w:val="00352B50"/>
    <w:rsid w:val="00353082"/>
    <w:rsid w:val="0035365A"/>
    <w:rsid w:val="00353703"/>
    <w:rsid w:val="00353940"/>
    <w:rsid w:val="00353B87"/>
    <w:rsid w:val="003541AA"/>
    <w:rsid w:val="003546D0"/>
    <w:rsid w:val="0035492F"/>
    <w:rsid w:val="003549A9"/>
    <w:rsid w:val="00355599"/>
    <w:rsid w:val="003556C0"/>
    <w:rsid w:val="00355C32"/>
    <w:rsid w:val="00355F1B"/>
    <w:rsid w:val="00356237"/>
    <w:rsid w:val="00356930"/>
    <w:rsid w:val="00356EA4"/>
    <w:rsid w:val="00356FB9"/>
    <w:rsid w:val="00357D9C"/>
    <w:rsid w:val="00357E9A"/>
    <w:rsid w:val="00360DE0"/>
    <w:rsid w:val="0036124B"/>
    <w:rsid w:val="0036170D"/>
    <w:rsid w:val="00361801"/>
    <w:rsid w:val="003618B6"/>
    <w:rsid w:val="003622A0"/>
    <w:rsid w:val="003629BD"/>
    <w:rsid w:val="00362A6C"/>
    <w:rsid w:val="00362AE5"/>
    <w:rsid w:val="00362B7A"/>
    <w:rsid w:val="00362E19"/>
    <w:rsid w:val="0036308D"/>
    <w:rsid w:val="003630F6"/>
    <w:rsid w:val="0036358E"/>
    <w:rsid w:val="003639FC"/>
    <w:rsid w:val="0036595C"/>
    <w:rsid w:val="00365B7B"/>
    <w:rsid w:val="00365F47"/>
    <w:rsid w:val="00366102"/>
    <w:rsid w:val="0037001B"/>
    <w:rsid w:val="00370FFB"/>
    <w:rsid w:val="0037120F"/>
    <w:rsid w:val="00371FC9"/>
    <w:rsid w:val="0037211E"/>
    <w:rsid w:val="0037228B"/>
    <w:rsid w:val="003723F3"/>
    <w:rsid w:val="00373776"/>
    <w:rsid w:val="00373CC2"/>
    <w:rsid w:val="00373D84"/>
    <w:rsid w:val="00373D91"/>
    <w:rsid w:val="00374B0A"/>
    <w:rsid w:val="00374D3B"/>
    <w:rsid w:val="00374EA8"/>
    <w:rsid w:val="003752B0"/>
    <w:rsid w:val="00375C56"/>
    <w:rsid w:val="00375D18"/>
    <w:rsid w:val="00376234"/>
    <w:rsid w:val="00377378"/>
    <w:rsid w:val="0037776E"/>
    <w:rsid w:val="00377C58"/>
    <w:rsid w:val="003804E0"/>
    <w:rsid w:val="00380911"/>
    <w:rsid w:val="00380C8B"/>
    <w:rsid w:val="00380CD4"/>
    <w:rsid w:val="00381362"/>
    <w:rsid w:val="00381652"/>
    <w:rsid w:val="003818F5"/>
    <w:rsid w:val="003822FC"/>
    <w:rsid w:val="00382A54"/>
    <w:rsid w:val="00382A9B"/>
    <w:rsid w:val="00382ABA"/>
    <w:rsid w:val="00382CAB"/>
    <w:rsid w:val="00382FCC"/>
    <w:rsid w:val="00383302"/>
    <w:rsid w:val="003837E3"/>
    <w:rsid w:val="0038418E"/>
    <w:rsid w:val="003844B9"/>
    <w:rsid w:val="00384C17"/>
    <w:rsid w:val="00384D55"/>
    <w:rsid w:val="00384DBD"/>
    <w:rsid w:val="003854D0"/>
    <w:rsid w:val="003857AC"/>
    <w:rsid w:val="00385C3D"/>
    <w:rsid w:val="00385D00"/>
    <w:rsid w:val="0038601E"/>
    <w:rsid w:val="0038647D"/>
    <w:rsid w:val="00386606"/>
    <w:rsid w:val="0038677E"/>
    <w:rsid w:val="00386FFB"/>
    <w:rsid w:val="00387134"/>
    <w:rsid w:val="00387211"/>
    <w:rsid w:val="00387728"/>
    <w:rsid w:val="003878C7"/>
    <w:rsid w:val="0039026C"/>
    <w:rsid w:val="00390C7F"/>
    <w:rsid w:val="00390C82"/>
    <w:rsid w:val="00390DAC"/>
    <w:rsid w:val="003914E6"/>
    <w:rsid w:val="00391EB7"/>
    <w:rsid w:val="0039209C"/>
    <w:rsid w:val="00392261"/>
    <w:rsid w:val="003922A5"/>
    <w:rsid w:val="00392353"/>
    <w:rsid w:val="00392363"/>
    <w:rsid w:val="003923AA"/>
    <w:rsid w:val="00392458"/>
    <w:rsid w:val="003925D2"/>
    <w:rsid w:val="003927F9"/>
    <w:rsid w:val="00392CC9"/>
    <w:rsid w:val="00392D45"/>
    <w:rsid w:val="003930F2"/>
    <w:rsid w:val="00393C90"/>
    <w:rsid w:val="00394337"/>
    <w:rsid w:val="00394382"/>
    <w:rsid w:val="00394534"/>
    <w:rsid w:val="00394AED"/>
    <w:rsid w:val="00394CF2"/>
    <w:rsid w:val="00394F2F"/>
    <w:rsid w:val="00395B51"/>
    <w:rsid w:val="00395D6D"/>
    <w:rsid w:val="0039649C"/>
    <w:rsid w:val="00396930"/>
    <w:rsid w:val="00397C96"/>
    <w:rsid w:val="00397E31"/>
    <w:rsid w:val="003A00A5"/>
    <w:rsid w:val="003A026D"/>
    <w:rsid w:val="003A0364"/>
    <w:rsid w:val="003A0372"/>
    <w:rsid w:val="003A0ADE"/>
    <w:rsid w:val="003A0D71"/>
    <w:rsid w:val="003A1364"/>
    <w:rsid w:val="003A1550"/>
    <w:rsid w:val="003A1C6E"/>
    <w:rsid w:val="003A2144"/>
    <w:rsid w:val="003A27D6"/>
    <w:rsid w:val="003A3198"/>
    <w:rsid w:val="003A35F9"/>
    <w:rsid w:val="003A376D"/>
    <w:rsid w:val="003A3791"/>
    <w:rsid w:val="003A3907"/>
    <w:rsid w:val="003A4714"/>
    <w:rsid w:val="003A4814"/>
    <w:rsid w:val="003A4829"/>
    <w:rsid w:val="003A4E15"/>
    <w:rsid w:val="003A536D"/>
    <w:rsid w:val="003A538A"/>
    <w:rsid w:val="003A5E69"/>
    <w:rsid w:val="003A60B6"/>
    <w:rsid w:val="003A6545"/>
    <w:rsid w:val="003A6A67"/>
    <w:rsid w:val="003A72AD"/>
    <w:rsid w:val="003A7463"/>
    <w:rsid w:val="003A7736"/>
    <w:rsid w:val="003A787B"/>
    <w:rsid w:val="003B0065"/>
    <w:rsid w:val="003B016B"/>
    <w:rsid w:val="003B03BB"/>
    <w:rsid w:val="003B03D7"/>
    <w:rsid w:val="003B12AE"/>
    <w:rsid w:val="003B19A3"/>
    <w:rsid w:val="003B2415"/>
    <w:rsid w:val="003B2831"/>
    <w:rsid w:val="003B3228"/>
    <w:rsid w:val="003B3358"/>
    <w:rsid w:val="003B33FF"/>
    <w:rsid w:val="003B3443"/>
    <w:rsid w:val="003B3845"/>
    <w:rsid w:val="003B3A38"/>
    <w:rsid w:val="003B3DB5"/>
    <w:rsid w:val="003B4093"/>
    <w:rsid w:val="003B4E32"/>
    <w:rsid w:val="003B535E"/>
    <w:rsid w:val="003B53C1"/>
    <w:rsid w:val="003B64DA"/>
    <w:rsid w:val="003B7495"/>
    <w:rsid w:val="003B7D3B"/>
    <w:rsid w:val="003C020F"/>
    <w:rsid w:val="003C05F3"/>
    <w:rsid w:val="003C0D74"/>
    <w:rsid w:val="003C0EE3"/>
    <w:rsid w:val="003C0F0D"/>
    <w:rsid w:val="003C104E"/>
    <w:rsid w:val="003C105A"/>
    <w:rsid w:val="003C1676"/>
    <w:rsid w:val="003C17BA"/>
    <w:rsid w:val="003C1B3F"/>
    <w:rsid w:val="003C212B"/>
    <w:rsid w:val="003C2D05"/>
    <w:rsid w:val="003C2DD0"/>
    <w:rsid w:val="003C2F5B"/>
    <w:rsid w:val="003C3549"/>
    <w:rsid w:val="003C386C"/>
    <w:rsid w:val="003C3C79"/>
    <w:rsid w:val="003C44AE"/>
    <w:rsid w:val="003C44B6"/>
    <w:rsid w:val="003C451D"/>
    <w:rsid w:val="003C45C9"/>
    <w:rsid w:val="003C4A1C"/>
    <w:rsid w:val="003C4ED4"/>
    <w:rsid w:val="003C50FB"/>
    <w:rsid w:val="003C573F"/>
    <w:rsid w:val="003C57A3"/>
    <w:rsid w:val="003C58DD"/>
    <w:rsid w:val="003C6B6B"/>
    <w:rsid w:val="003C713C"/>
    <w:rsid w:val="003C752A"/>
    <w:rsid w:val="003D061D"/>
    <w:rsid w:val="003D0B54"/>
    <w:rsid w:val="003D0D9E"/>
    <w:rsid w:val="003D0E14"/>
    <w:rsid w:val="003D13E5"/>
    <w:rsid w:val="003D1C7E"/>
    <w:rsid w:val="003D1DDD"/>
    <w:rsid w:val="003D20D3"/>
    <w:rsid w:val="003D24DF"/>
    <w:rsid w:val="003D2971"/>
    <w:rsid w:val="003D3E1F"/>
    <w:rsid w:val="003D3E43"/>
    <w:rsid w:val="003D409D"/>
    <w:rsid w:val="003D4BF8"/>
    <w:rsid w:val="003D4DCB"/>
    <w:rsid w:val="003D4F08"/>
    <w:rsid w:val="003D54AC"/>
    <w:rsid w:val="003D5A87"/>
    <w:rsid w:val="003D5BBC"/>
    <w:rsid w:val="003D6247"/>
    <w:rsid w:val="003D6A07"/>
    <w:rsid w:val="003D6F7A"/>
    <w:rsid w:val="003D713C"/>
    <w:rsid w:val="003D73CE"/>
    <w:rsid w:val="003D7659"/>
    <w:rsid w:val="003D7E88"/>
    <w:rsid w:val="003E04E7"/>
    <w:rsid w:val="003E089A"/>
    <w:rsid w:val="003E0AAD"/>
    <w:rsid w:val="003E0D38"/>
    <w:rsid w:val="003E1A26"/>
    <w:rsid w:val="003E2476"/>
    <w:rsid w:val="003E2963"/>
    <w:rsid w:val="003E2E9E"/>
    <w:rsid w:val="003E3297"/>
    <w:rsid w:val="003E32BE"/>
    <w:rsid w:val="003E3874"/>
    <w:rsid w:val="003E3B98"/>
    <w:rsid w:val="003E3C81"/>
    <w:rsid w:val="003E408B"/>
    <w:rsid w:val="003E4147"/>
    <w:rsid w:val="003E4520"/>
    <w:rsid w:val="003E47C3"/>
    <w:rsid w:val="003E48ED"/>
    <w:rsid w:val="003E4919"/>
    <w:rsid w:val="003E4B63"/>
    <w:rsid w:val="003E4D22"/>
    <w:rsid w:val="003E4EE4"/>
    <w:rsid w:val="003E573E"/>
    <w:rsid w:val="003E66CB"/>
    <w:rsid w:val="003E6920"/>
    <w:rsid w:val="003E6A94"/>
    <w:rsid w:val="003E6CDA"/>
    <w:rsid w:val="003E6D51"/>
    <w:rsid w:val="003E6F52"/>
    <w:rsid w:val="003E6FBC"/>
    <w:rsid w:val="003E78F3"/>
    <w:rsid w:val="003E7FC1"/>
    <w:rsid w:val="003F06A7"/>
    <w:rsid w:val="003F0809"/>
    <w:rsid w:val="003F0D61"/>
    <w:rsid w:val="003F0FED"/>
    <w:rsid w:val="003F0FFF"/>
    <w:rsid w:val="003F1086"/>
    <w:rsid w:val="003F12A2"/>
    <w:rsid w:val="003F1370"/>
    <w:rsid w:val="003F1423"/>
    <w:rsid w:val="003F1E51"/>
    <w:rsid w:val="003F20D4"/>
    <w:rsid w:val="003F3566"/>
    <w:rsid w:val="003F3685"/>
    <w:rsid w:val="003F3780"/>
    <w:rsid w:val="003F404A"/>
    <w:rsid w:val="003F41D5"/>
    <w:rsid w:val="003F4446"/>
    <w:rsid w:val="003F4489"/>
    <w:rsid w:val="003F53BA"/>
    <w:rsid w:val="003F54F0"/>
    <w:rsid w:val="003F57B8"/>
    <w:rsid w:val="003F5941"/>
    <w:rsid w:val="003F5B1C"/>
    <w:rsid w:val="003F6F13"/>
    <w:rsid w:val="003F766B"/>
    <w:rsid w:val="003F7BA8"/>
    <w:rsid w:val="003F7E9E"/>
    <w:rsid w:val="004001B6"/>
    <w:rsid w:val="00400CB9"/>
    <w:rsid w:val="004012CE"/>
    <w:rsid w:val="00401858"/>
    <w:rsid w:val="00401F68"/>
    <w:rsid w:val="00401FF9"/>
    <w:rsid w:val="00402057"/>
    <w:rsid w:val="00402880"/>
    <w:rsid w:val="00402BFC"/>
    <w:rsid w:val="00402CE5"/>
    <w:rsid w:val="00402F80"/>
    <w:rsid w:val="0040307D"/>
    <w:rsid w:val="00403170"/>
    <w:rsid w:val="00403BC1"/>
    <w:rsid w:val="00403F4A"/>
    <w:rsid w:val="004042EB"/>
    <w:rsid w:val="00404AA3"/>
    <w:rsid w:val="00404E1A"/>
    <w:rsid w:val="004058D6"/>
    <w:rsid w:val="00405907"/>
    <w:rsid w:val="00406594"/>
    <w:rsid w:val="00406647"/>
    <w:rsid w:val="004069B7"/>
    <w:rsid w:val="00406A44"/>
    <w:rsid w:val="00407A4F"/>
    <w:rsid w:val="00407AD1"/>
    <w:rsid w:val="00407C4B"/>
    <w:rsid w:val="00407EB4"/>
    <w:rsid w:val="00407F0E"/>
    <w:rsid w:val="00410D68"/>
    <w:rsid w:val="00411E62"/>
    <w:rsid w:val="004132C7"/>
    <w:rsid w:val="004138B5"/>
    <w:rsid w:val="00413CEC"/>
    <w:rsid w:val="00414FC1"/>
    <w:rsid w:val="00415155"/>
    <w:rsid w:val="004156CB"/>
    <w:rsid w:val="00415BD2"/>
    <w:rsid w:val="00415FCC"/>
    <w:rsid w:val="0041616C"/>
    <w:rsid w:val="00417245"/>
    <w:rsid w:val="004172ED"/>
    <w:rsid w:val="00417F51"/>
    <w:rsid w:val="004200AE"/>
    <w:rsid w:val="0042014A"/>
    <w:rsid w:val="004203B7"/>
    <w:rsid w:val="0042040A"/>
    <w:rsid w:val="00420BF1"/>
    <w:rsid w:val="0042120D"/>
    <w:rsid w:val="004219B2"/>
    <w:rsid w:val="004220B8"/>
    <w:rsid w:val="00422969"/>
    <w:rsid w:val="00422C33"/>
    <w:rsid w:val="00423254"/>
    <w:rsid w:val="00423B43"/>
    <w:rsid w:val="00423CEF"/>
    <w:rsid w:val="00423EC2"/>
    <w:rsid w:val="00424108"/>
    <w:rsid w:val="00424217"/>
    <w:rsid w:val="0042525D"/>
    <w:rsid w:val="004252B1"/>
    <w:rsid w:val="0042588A"/>
    <w:rsid w:val="00425A37"/>
    <w:rsid w:val="00425DDD"/>
    <w:rsid w:val="00426D7D"/>
    <w:rsid w:val="00430900"/>
    <w:rsid w:val="004310FF"/>
    <w:rsid w:val="004312D8"/>
    <w:rsid w:val="00431778"/>
    <w:rsid w:val="004319D8"/>
    <w:rsid w:val="00431AA9"/>
    <w:rsid w:val="00431DEB"/>
    <w:rsid w:val="00431E19"/>
    <w:rsid w:val="00432080"/>
    <w:rsid w:val="004324B1"/>
    <w:rsid w:val="00432C5A"/>
    <w:rsid w:val="00432C98"/>
    <w:rsid w:val="00432D7D"/>
    <w:rsid w:val="004332E7"/>
    <w:rsid w:val="004333FB"/>
    <w:rsid w:val="00434004"/>
    <w:rsid w:val="0043403A"/>
    <w:rsid w:val="00434AFD"/>
    <w:rsid w:val="00434C0C"/>
    <w:rsid w:val="00434C57"/>
    <w:rsid w:val="00434F0C"/>
    <w:rsid w:val="00434F5F"/>
    <w:rsid w:val="0043547F"/>
    <w:rsid w:val="00435813"/>
    <w:rsid w:val="00435BCB"/>
    <w:rsid w:val="00435CC2"/>
    <w:rsid w:val="00435F48"/>
    <w:rsid w:val="00436033"/>
    <w:rsid w:val="00436245"/>
    <w:rsid w:val="00436A8B"/>
    <w:rsid w:val="00436D6C"/>
    <w:rsid w:val="00436E92"/>
    <w:rsid w:val="00436F63"/>
    <w:rsid w:val="00436FBC"/>
    <w:rsid w:val="0043721F"/>
    <w:rsid w:val="004373A7"/>
    <w:rsid w:val="004374A8"/>
    <w:rsid w:val="004400AB"/>
    <w:rsid w:val="00440169"/>
    <w:rsid w:val="004402A9"/>
    <w:rsid w:val="0044046C"/>
    <w:rsid w:val="004406BF"/>
    <w:rsid w:val="0044163C"/>
    <w:rsid w:val="00441EC0"/>
    <w:rsid w:val="00441FE4"/>
    <w:rsid w:val="00442046"/>
    <w:rsid w:val="00442B90"/>
    <w:rsid w:val="00442C75"/>
    <w:rsid w:val="004436A7"/>
    <w:rsid w:val="004440EF"/>
    <w:rsid w:val="004441BB"/>
    <w:rsid w:val="004451C1"/>
    <w:rsid w:val="00445288"/>
    <w:rsid w:val="0044575D"/>
    <w:rsid w:val="00445853"/>
    <w:rsid w:val="00446928"/>
    <w:rsid w:val="00446AEF"/>
    <w:rsid w:val="00446B02"/>
    <w:rsid w:val="00446E2E"/>
    <w:rsid w:val="00446EA9"/>
    <w:rsid w:val="00447416"/>
    <w:rsid w:val="00450020"/>
    <w:rsid w:val="0045005C"/>
    <w:rsid w:val="00450B26"/>
    <w:rsid w:val="00450B9A"/>
    <w:rsid w:val="00450D9C"/>
    <w:rsid w:val="00451365"/>
    <w:rsid w:val="0045170E"/>
    <w:rsid w:val="00451A54"/>
    <w:rsid w:val="00451C64"/>
    <w:rsid w:val="00452C67"/>
    <w:rsid w:val="004530B3"/>
    <w:rsid w:val="004536FA"/>
    <w:rsid w:val="00453EF7"/>
    <w:rsid w:val="00454087"/>
    <w:rsid w:val="00454313"/>
    <w:rsid w:val="00454720"/>
    <w:rsid w:val="0045472A"/>
    <w:rsid w:val="0045472B"/>
    <w:rsid w:val="00454A08"/>
    <w:rsid w:val="004550E0"/>
    <w:rsid w:val="004553E8"/>
    <w:rsid w:val="004558CC"/>
    <w:rsid w:val="004560E8"/>
    <w:rsid w:val="004564B2"/>
    <w:rsid w:val="004571D0"/>
    <w:rsid w:val="0045751B"/>
    <w:rsid w:val="00457BFE"/>
    <w:rsid w:val="004605F6"/>
    <w:rsid w:val="004609AC"/>
    <w:rsid w:val="00460FC0"/>
    <w:rsid w:val="004612C5"/>
    <w:rsid w:val="00461BE4"/>
    <w:rsid w:val="00462A6A"/>
    <w:rsid w:val="00462F5D"/>
    <w:rsid w:val="00463898"/>
    <w:rsid w:val="00464B11"/>
    <w:rsid w:val="00464CAF"/>
    <w:rsid w:val="0046558F"/>
    <w:rsid w:val="004657AD"/>
    <w:rsid w:val="00465931"/>
    <w:rsid w:val="00465C92"/>
    <w:rsid w:val="004666D8"/>
    <w:rsid w:val="004667EB"/>
    <w:rsid w:val="00466C4B"/>
    <w:rsid w:val="0046751B"/>
    <w:rsid w:val="0047020D"/>
    <w:rsid w:val="00470C34"/>
    <w:rsid w:val="004713AC"/>
    <w:rsid w:val="004714DE"/>
    <w:rsid w:val="00471882"/>
    <w:rsid w:val="0047257E"/>
    <w:rsid w:val="004729CC"/>
    <w:rsid w:val="004729E6"/>
    <w:rsid w:val="00472C2A"/>
    <w:rsid w:val="00473151"/>
    <w:rsid w:val="00473C37"/>
    <w:rsid w:val="00473CD9"/>
    <w:rsid w:val="00473D09"/>
    <w:rsid w:val="00473F69"/>
    <w:rsid w:val="00474E98"/>
    <w:rsid w:val="00474FA0"/>
    <w:rsid w:val="00475087"/>
    <w:rsid w:val="00475154"/>
    <w:rsid w:val="00475590"/>
    <w:rsid w:val="00475934"/>
    <w:rsid w:val="004760C6"/>
    <w:rsid w:val="00476658"/>
    <w:rsid w:val="004767EE"/>
    <w:rsid w:val="00476B57"/>
    <w:rsid w:val="004770EF"/>
    <w:rsid w:val="00477389"/>
    <w:rsid w:val="00477539"/>
    <w:rsid w:val="00477720"/>
    <w:rsid w:val="0047788F"/>
    <w:rsid w:val="00477D29"/>
    <w:rsid w:val="00477F16"/>
    <w:rsid w:val="004801EB"/>
    <w:rsid w:val="004802F7"/>
    <w:rsid w:val="004808E8"/>
    <w:rsid w:val="00480C07"/>
    <w:rsid w:val="00480E00"/>
    <w:rsid w:val="0048105B"/>
    <w:rsid w:val="0048152C"/>
    <w:rsid w:val="004816E7"/>
    <w:rsid w:val="00481D4B"/>
    <w:rsid w:val="004823B4"/>
    <w:rsid w:val="004828F9"/>
    <w:rsid w:val="00482ACE"/>
    <w:rsid w:val="00483593"/>
    <w:rsid w:val="00484C68"/>
    <w:rsid w:val="00485218"/>
    <w:rsid w:val="0048529C"/>
    <w:rsid w:val="004853EE"/>
    <w:rsid w:val="00485D0E"/>
    <w:rsid w:val="004863C6"/>
    <w:rsid w:val="0048689A"/>
    <w:rsid w:val="0048754A"/>
    <w:rsid w:val="00487884"/>
    <w:rsid w:val="004878AA"/>
    <w:rsid w:val="00487922"/>
    <w:rsid w:val="00487C8B"/>
    <w:rsid w:val="0049058F"/>
    <w:rsid w:val="00490FCC"/>
    <w:rsid w:val="00491096"/>
    <w:rsid w:val="0049113B"/>
    <w:rsid w:val="00491229"/>
    <w:rsid w:val="0049192F"/>
    <w:rsid w:val="00491A0B"/>
    <w:rsid w:val="004921EA"/>
    <w:rsid w:val="00492EF9"/>
    <w:rsid w:val="0049338D"/>
    <w:rsid w:val="00493745"/>
    <w:rsid w:val="00493DBE"/>
    <w:rsid w:val="00494037"/>
    <w:rsid w:val="004942C8"/>
    <w:rsid w:val="00494DF5"/>
    <w:rsid w:val="00494F71"/>
    <w:rsid w:val="00495AA8"/>
    <w:rsid w:val="00495BA8"/>
    <w:rsid w:val="0049607C"/>
    <w:rsid w:val="004963D3"/>
    <w:rsid w:val="00496758"/>
    <w:rsid w:val="00496991"/>
    <w:rsid w:val="00496BDB"/>
    <w:rsid w:val="00496C16"/>
    <w:rsid w:val="00496C9B"/>
    <w:rsid w:val="00496F3C"/>
    <w:rsid w:val="00496FF9"/>
    <w:rsid w:val="004978A9"/>
    <w:rsid w:val="004978EA"/>
    <w:rsid w:val="00497A74"/>
    <w:rsid w:val="004A01B0"/>
    <w:rsid w:val="004A068D"/>
    <w:rsid w:val="004A088B"/>
    <w:rsid w:val="004A08CA"/>
    <w:rsid w:val="004A0B0A"/>
    <w:rsid w:val="004A0FCB"/>
    <w:rsid w:val="004A129C"/>
    <w:rsid w:val="004A14C2"/>
    <w:rsid w:val="004A16F2"/>
    <w:rsid w:val="004A1D5D"/>
    <w:rsid w:val="004A1E14"/>
    <w:rsid w:val="004A2579"/>
    <w:rsid w:val="004A2736"/>
    <w:rsid w:val="004A2C90"/>
    <w:rsid w:val="004A31E9"/>
    <w:rsid w:val="004A3384"/>
    <w:rsid w:val="004A3F70"/>
    <w:rsid w:val="004A4F0E"/>
    <w:rsid w:val="004A5156"/>
    <w:rsid w:val="004A539D"/>
    <w:rsid w:val="004A53A5"/>
    <w:rsid w:val="004A582C"/>
    <w:rsid w:val="004A6328"/>
    <w:rsid w:val="004A6819"/>
    <w:rsid w:val="004A6AC9"/>
    <w:rsid w:val="004A6C99"/>
    <w:rsid w:val="004B046B"/>
    <w:rsid w:val="004B05B1"/>
    <w:rsid w:val="004B0800"/>
    <w:rsid w:val="004B0C42"/>
    <w:rsid w:val="004B0CC4"/>
    <w:rsid w:val="004B14DC"/>
    <w:rsid w:val="004B15D9"/>
    <w:rsid w:val="004B17E9"/>
    <w:rsid w:val="004B19D5"/>
    <w:rsid w:val="004B19D7"/>
    <w:rsid w:val="004B1A99"/>
    <w:rsid w:val="004B1C4F"/>
    <w:rsid w:val="004B1EFC"/>
    <w:rsid w:val="004B2A4B"/>
    <w:rsid w:val="004B2C16"/>
    <w:rsid w:val="004B330E"/>
    <w:rsid w:val="004B34A0"/>
    <w:rsid w:val="004B34A1"/>
    <w:rsid w:val="004B3C49"/>
    <w:rsid w:val="004B3DD6"/>
    <w:rsid w:val="004B4597"/>
    <w:rsid w:val="004B4668"/>
    <w:rsid w:val="004B4C55"/>
    <w:rsid w:val="004B554B"/>
    <w:rsid w:val="004B5A8B"/>
    <w:rsid w:val="004B5B59"/>
    <w:rsid w:val="004B5FF8"/>
    <w:rsid w:val="004B6168"/>
    <w:rsid w:val="004B61C0"/>
    <w:rsid w:val="004B63F5"/>
    <w:rsid w:val="004B6ABD"/>
    <w:rsid w:val="004B72E4"/>
    <w:rsid w:val="004B749F"/>
    <w:rsid w:val="004B79A5"/>
    <w:rsid w:val="004B7CF4"/>
    <w:rsid w:val="004C0195"/>
    <w:rsid w:val="004C034A"/>
    <w:rsid w:val="004C0AF8"/>
    <w:rsid w:val="004C0BA9"/>
    <w:rsid w:val="004C0D2B"/>
    <w:rsid w:val="004C0EF7"/>
    <w:rsid w:val="004C144E"/>
    <w:rsid w:val="004C199D"/>
    <w:rsid w:val="004C1D32"/>
    <w:rsid w:val="004C1E13"/>
    <w:rsid w:val="004C1EA1"/>
    <w:rsid w:val="004C26C6"/>
    <w:rsid w:val="004C2F8D"/>
    <w:rsid w:val="004C3440"/>
    <w:rsid w:val="004C389D"/>
    <w:rsid w:val="004C47CF"/>
    <w:rsid w:val="004C4C70"/>
    <w:rsid w:val="004C5066"/>
    <w:rsid w:val="004C51B3"/>
    <w:rsid w:val="004C5690"/>
    <w:rsid w:val="004C5FBA"/>
    <w:rsid w:val="004C6537"/>
    <w:rsid w:val="004C65BB"/>
    <w:rsid w:val="004C6705"/>
    <w:rsid w:val="004C6C92"/>
    <w:rsid w:val="004C7B05"/>
    <w:rsid w:val="004C7C1B"/>
    <w:rsid w:val="004C7DA5"/>
    <w:rsid w:val="004D0452"/>
    <w:rsid w:val="004D09AB"/>
    <w:rsid w:val="004D0D33"/>
    <w:rsid w:val="004D0EC5"/>
    <w:rsid w:val="004D1372"/>
    <w:rsid w:val="004D148A"/>
    <w:rsid w:val="004D19A1"/>
    <w:rsid w:val="004D1A34"/>
    <w:rsid w:val="004D1D04"/>
    <w:rsid w:val="004D1D3B"/>
    <w:rsid w:val="004D1DE3"/>
    <w:rsid w:val="004D1FDA"/>
    <w:rsid w:val="004D2296"/>
    <w:rsid w:val="004D27DD"/>
    <w:rsid w:val="004D2B65"/>
    <w:rsid w:val="004D2FE3"/>
    <w:rsid w:val="004D3635"/>
    <w:rsid w:val="004D3ABE"/>
    <w:rsid w:val="004D3EEF"/>
    <w:rsid w:val="004D3FB1"/>
    <w:rsid w:val="004D452E"/>
    <w:rsid w:val="004D47DF"/>
    <w:rsid w:val="004D4943"/>
    <w:rsid w:val="004D4BE5"/>
    <w:rsid w:val="004D4D27"/>
    <w:rsid w:val="004D500E"/>
    <w:rsid w:val="004D52FA"/>
    <w:rsid w:val="004D5693"/>
    <w:rsid w:val="004D5C11"/>
    <w:rsid w:val="004D5D59"/>
    <w:rsid w:val="004D6C58"/>
    <w:rsid w:val="004D6FE3"/>
    <w:rsid w:val="004D743B"/>
    <w:rsid w:val="004D76F8"/>
    <w:rsid w:val="004D77D7"/>
    <w:rsid w:val="004E0023"/>
    <w:rsid w:val="004E049E"/>
    <w:rsid w:val="004E07BE"/>
    <w:rsid w:val="004E0C8A"/>
    <w:rsid w:val="004E1246"/>
    <w:rsid w:val="004E1594"/>
    <w:rsid w:val="004E2034"/>
    <w:rsid w:val="004E21F0"/>
    <w:rsid w:val="004E22DD"/>
    <w:rsid w:val="004E2924"/>
    <w:rsid w:val="004E2953"/>
    <w:rsid w:val="004E2A0B"/>
    <w:rsid w:val="004E35B4"/>
    <w:rsid w:val="004E3647"/>
    <w:rsid w:val="004E37E2"/>
    <w:rsid w:val="004E443F"/>
    <w:rsid w:val="004E44D8"/>
    <w:rsid w:val="004E4EB7"/>
    <w:rsid w:val="004E5139"/>
    <w:rsid w:val="004E5224"/>
    <w:rsid w:val="004E5889"/>
    <w:rsid w:val="004E5A69"/>
    <w:rsid w:val="004E5CAA"/>
    <w:rsid w:val="004E5F92"/>
    <w:rsid w:val="004E60FE"/>
    <w:rsid w:val="004E6566"/>
    <w:rsid w:val="004E68FB"/>
    <w:rsid w:val="004E69D3"/>
    <w:rsid w:val="004E6CDE"/>
    <w:rsid w:val="004E71C4"/>
    <w:rsid w:val="004E76F0"/>
    <w:rsid w:val="004E7CC5"/>
    <w:rsid w:val="004F02C8"/>
    <w:rsid w:val="004F0331"/>
    <w:rsid w:val="004F06F1"/>
    <w:rsid w:val="004F0703"/>
    <w:rsid w:val="004F0C9B"/>
    <w:rsid w:val="004F0F68"/>
    <w:rsid w:val="004F184C"/>
    <w:rsid w:val="004F2B0C"/>
    <w:rsid w:val="004F2D04"/>
    <w:rsid w:val="004F2ED3"/>
    <w:rsid w:val="004F3E54"/>
    <w:rsid w:val="004F42EA"/>
    <w:rsid w:val="004F43A5"/>
    <w:rsid w:val="004F44E0"/>
    <w:rsid w:val="004F48A6"/>
    <w:rsid w:val="004F4CC2"/>
    <w:rsid w:val="004F5184"/>
    <w:rsid w:val="004F5264"/>
    <w:rsid w:val="004F532E"/>
    <w:rsid w:val="004F5B4F"/>
    <w:rsid w:val="004F5B9C"/>
    <w:rsid w:val="004F5D00"/>
    <w:rsid w:val="004F6FC8"/>
    <w:rsid w:val="004F75E4"/>
    <w:rsid w:val="004F7D8B"/>
    <w:rsid w:val="0050010E"/>
    <w:rsid w:val="0050071C"/>
    <w:rsid w:val="005007F6"/>
    <w:rsid w:val="00500A99"/>
    <w:rsid w:val="00500C61"/>
    <w:rsid w:val="00501637"/>
    <w:rsid w:val="00502716"/>
    <w:rsid w:val="0050296D"/>
    <w:rsid w:val="00503103"/>
    <w:rsid w:val="00503245"/>
    <w:rsid w:val="005032A1"/>
    <w:rsid w:val="0050343B"/>
    <w:rsid w:val="0050382D"/>
    <w:rsid w:val="00503A22"/>
    <w:rsid w:val="00504342"/>
    <w:rsid w:val="00504CDE"/>
    <w:rsid w:val="00505090"/>
    <w:rsid w:val="0050531F"/>
    <w:rsid w:val="005053E0"/>
    <w:rsid w:val="00505C38"/>
    <w:rsid w:val="00505DA9"/>
    <w:rsid w:val="00505F48"/>
    <w:rsid w:val="00506548"/>
    <w:rsid w:val="00506557"/>
    <w:rsid w:val="00506F87"/>
    <w:rsid w:val="00507768"/>
    <w:rsid w:val="00507EB8"/>
    <w:rsid w:val="00507FF1"/>
    <w:rsid w:val="005100D3"/>
    <w:rsid w:val="00510402"/>
    <w:rsid w:val="0051064D"/>
    <w:rsid w:val="0051105A"/>
    <w:rsid w:val="00511320"/>
    <w:rsid w:val="005116C1"/>
    <w:rsid w:val="00511A84"/>
    <w:rsid w:val="00511CC5"/>
    <w:rsid w:val="00511E67"/>
    <w:rsid w:val="00511F51"/>
    <w:rsid w:val="00511FE7"/>
    <w:rsid w:val="00512099"/>
    <w:rsid w:val="00512340"/>
    <w:rsid w:val="00513626"/>
    <w:rsid w:val="005138EC"/>
    <w:rsid w:val="00513DB1"/>
    <w:rsid w:val="0051469D"/>
    <w:rsid w:val="00514E1E"/>
    <w:rsid w:val="00515DF8"/>
    <w:rsid w:val="00515F01"/>
    <w:rsid w:val="005165DA"/>
    <w:rsid w:val="005167BF"/>
    <w:rsid w:val="005169C2"/>
    <w:rsid w:val="00516BB6"/>
    <w:rsid w:val="00516C45"/>
    <w:rsid w:val="00516C4D"/>
    <w:rsid w:val="00516EAE"/>
    <w:rsid w:val="0051748C"/>
    <w:rsid w:val="0051787D"/>
    <w:rsid w:val="005179C1"/>
    <w:rsid w:val="00517B2E"/>
    <w:rsid w:val="00520A21"/>
    <w:rsid w:val="00520DD8"/>
    <w:rsid w:val="00521062"/>
    <w:rsid w:val="0052122A"/>
    <w:rsid w:val="0052166B"/>
    <w:rsid w:val="00521AE3"/>
    <w:rsid w:val="005221D9"/>
    <w:rsid w:val="00522795"/>
    <w:rsid w:val="00522ED3"/>
    <w:rsid w:val="00522FDE"/>
    <w:rsid w:val="00523935"/>
    <w:rsid w:val="00524B9B"/>
    <w:rsid w:val="00524DC6"/>
    <w:rsid w:val="00524EB1"/>
    <w:rsid w:val="005250C8"/>
    <w:rsid w:val="005252AA"/>
    <w:rsid w:val="00525408"/>
    <w:rsid w:val="0052609C"/>
    <w:rsid w:val="00526E23"/>
    <w:rsid w:val="00526EE2"/>
    <w:rsid w:val="005273CC"/>
    <w:rsid w:val="005273ED"/>
    <w:rsid w:val="005301A4"/>
    <w:rsid w:val="005312B3"/>
    <w:rsid w:val="00531463"/>
    <w:rsid w:val="005315BD"/>
    <w:rsid w:val="00531C5F"/>
    <w:rsid w:val="00532232"/>
    <w:rsid w:val="0053265F"/>
    <w:rsid w:val="00532EDA"/>
    <w:rsid w:val="00532FCE"/>
    <w:rsid w:val="005332F4"/>
    <w:rsid w:val="0053356F"/>
    <w:rsid w:val="00533BAE"/>
    <w:rsid w:val="00533DFE"/>
    <w:rsid w:val="005344C7"/>
    <w:rsid w:val="005345C7"/>
    <w:rsid w:val="005350F8"/>
    <w:rsid w:val="00535A21"/>
    <w:rsid w:val="00535A84"/>
    <w:rsid w:val="00535B15"/>
    <w:rsid w:val="00535D14"/>
    <w:rsid w:val="0053600E"/>
    <w:rsid w:val="005365D5"/>
    <w:rsid w:val="005369CE"/>
    <w:rsid w:val="00536FCB"/>
    <w:rsid w:val="0053704C"/>
    <w:rsid w:val="00537D36"/>
    <w:rsid w:val="00537F65"/>
    <w:rsid w:val="0054045B"/>
    <w:rsid w:val="0054050B"/>
    <w:rsid w:val="005407CD"/>
    <w:rsid w:val="005409B7"/>
    <w:rsid w:val="00540E41"/>
    <w:rsid w:val="005410FA"/>
    <w:rsid w:val="0054191E"/>
    <w:rsid w:val="00541B85"/>
    <w:rsid w:val="00541CFF"/>
    <w:rsid w:val="0054240B"/>
    <w:rsid w:val="00542648"/>
    <w:rsid w:val="00542C24"/>
    <w:rsid w:val="00542E80"/>
    <w:rsid w:val="005434E2"/>
    <w:rsid w:val="005436CF"/>
    <w:rsid w:val="00543B90"/>
    <w:rsid w:val="00543DA9"/>
    <w:rsid w:val="00543E80"/>
    <w:rsid w:val="00544358"/>
    <w:rsid w:val="0054458F"/>
    <w:rsid w:val="00544BC4"/>
    <w:rsid w:val="005461F7"/>
    <w:rsid w:val="00546759"/>
    <w:rsid w:val="005468AC"/>
    <w:rsid w:val="00546D15"/>
    <w:rsid w:val="005479DB"/>
    <w:rsid w:val="00547F08"/>
    <w:rsid w:val="0055008D"/>
    <w:rsid w:val="00550871"/>
    <w:rsid w:val="00550943"/>
    <w:rsid w:val="00550B45"/>
    <w:rsid w:val="00550E3F"/>
    <w:rsid w:val="0055109D"/>
    <w:rsid w:val="005510CC"/>
    <w:rsid w:val="0055170A"/>
    <w:rsid w:val="00551EDA"/>
    <w:rsid w:val="00551EFA"/>
    <w:rsid w:val="00551FE2"/>
    <w:rsid w:val="005520E0"/>
    <w:rsid w:val="00552A06"/>
    <w:rsid w:val="005530FF"/>
    <w:rsid w:val="00553235"/>
    <w:rsid w:val="005535F6"/>
    <w:rsid w:val="00553C40"/>
    <w:rsid w:val="00553EB8"/>
    <w:rsid w:val="00554069"/>
    <w:rsid w:val="005545EB"/>
    <w:rsid w:val="005546C8"/>
    <w:rsid w:val="00554AB2"/>
    <w:rsid w:val="005553CA"/>
    <w:rsid w:val="00555781"/>
    <w:rsid w:val="00555F6E"/>
    <w:rsid w:val="0055626C"/>
    <w:rsid w:val="0055658E"/>
    <w:rsid w:val="0055669D"/>
    <w:rsid w:val="00556E8E"/>
    <w:rsid w:val="005573ED"/>
    <w:rsid w:val="00557448"/>
    <w:rsid w:val="00557C1A"/>
    <w:rsid w:val="00557EC1"/>
    <w:rsid w:val="00560227"/>
    <w:rsid w:val="00560437"/>
    <w:rsid w:val="0056078F"/>
    <w:rsid w:val="005607D2"/>
    <w:rsid w:val="00561077"/>
    <w:rsid w:val="005612C2"/>
    <w:rsid w:val="00561E12"/>
    <w:rsid w:val="005620EC"/>
    <w:rsid w:val="00562D58"/>
    <w:rsid w:val="00563156"/>
    <w:rsid w:val="005634DA"/>
    <w:rsid w:val="00563618"/>
    <w:rsid w:val="00563926"/>
    <w:rsid w:val="005641A0"/>
    <w:rsid w:val="00564392"/>
    <w:rsid w:val="00564754"/>
    <w:rsid w:val="005648AA"/>
    <w:rsid w:val="00565500"/>
    <w:rsid w:val="00565537"/>
    <w:rsid w:val="00565DA2"/>
    <w:rsid w:val="0056629B"/>
    <w:rsid w:val="00566491"/>
    <w:rsid w:val="00566EAF"/>
    <w:rsid w:val="005670D4"/>
    <w:rsid w:val="00567AC2"/>
    <w:rsid w:val="00567AFB"/>
    <w:rsid w:val="00570DB2"/>
    <w:rsid w:val="005711FA"/>
    <w:rsid w:val="005714B1"/>
    <w:rsid w:val="00571815"/>
    <w:rsid w:val="00571BCB"/>
    <w:rsid w:val="00571C9D"/>
    <w:rsid w:val="00572313"/>
    <w:rsid w:val="0057284D"/>
    <w:rsid w:val="00572B19"/>
    <w:rsid w:val="005730FE"/>
    <w:rsid w:val="005734DD"/>
    <w:rsid w:val="00573554"/>
    <w:rsid w:val="005736C7"/>
    <w:rsid w:val="00573754"/>
    <w:rsid w:val="0057383E"/>
    <w:rsid w:val="00574363"/>
    <w:rsid w:val="0057463A"/>
    <w:rsid w:val="005749DF"/>
    <w:rsid w:val="00575954"/>
    <w:rsid w:val="00575ADF"/>
    <w:rsid w:val="00575CB8"/>
    <w:rsid w:val="00576738"/>
    <w:rsid w:val="00577E49"/>
    <w:rsid w:val="00580C69"/>
    <w:rsid w:val="00580DBC"/>
    <w:rsid w:val="005810A9"/>
    <w:rsid w:val="00581A95"/>
    <w:rsid w:val="005821A8"/>
    <w:rsid w:val="00582469"/>
    <w:rsid w:val="005824B6"/>
    <w:rsid w:val="00582548"/>
    <w:rsid w:val="00582AC2"/>
    <w:rsid w:val="00582CBE"/>
    <w:rsid w:val="00583725"/>
    <w:rsid w:val="005839B7"/>
    <w:rsid w:val="00583C71"/>
    <w:rsid w:val="00583E16"/>
    <w:rsid w:val="005843AC"/>
    <w:rsid w:val="00584400"/>
    <w:rsid w:val="005845A8"/>
    <w:rsid w:val="005845AE"/>
    <w:rsid w:val="00584E19"/>
    <w:rsid w:val="005854BE"/>
    <w:rsid w:val="00585670"/>
    <w:rsid w:val="0058606A"/>
    <w:rsid w:val="00586358"/>
    <w:rsid w:val="0058692C"/>
    <w:rsid w:val="00586E2B"/>
    <w:rsid w:val="0058705D"/>
    <w:rsid w:val="00587799"/>
    <w:rsid w:val="00587A5E"/>
    <w:rsid w:val="005903BC"/>
    <w:rsid w:val="005909C3"/>
    <w:rsid w:val="00590B59"/>
    <w:rsid w:val="0059178A"/>
    <w:rsid w:val="00591BFF"/>
    <w:rsid w:val="00592A60"/>
    <w:rsid w:val="005934B7"/>
    <w:rsid w:val="0059453F"/>
    <w:rsid w:val="0059459B"/>
    <w:rsid w:val="00594AD2"/>
    <w:rsid w:val="00594F30"/>
    <w:rsid w:val="00595249"/>
    <w:rsid w:val="005954BA"/>
    <w:rsid w:val="00595DDB"/>
    <w:rsid w:val="0059682D"/>
    <w:rsid w:val="00597008"/>
    <w:rsid w:val="0059719D"/>
    <w:rsid w:val="00597208"/>
    <w:rsid w:val="0059751D"/>
    <w:rsid w:val="00597596"/>
    <w:rsid w:val="00597FEE"/>
    <w:rsid w:val="005A0222"/>
    <w:rsid w:val="005A03AD"/>
    <w:rsid w:val="005A048D"/>
    <w:rsid w:val="005A0542"/>
    <w:rsid w:val="005A080E"/>
    <w:rsid w:val="005A0B02"/>
    <w:rsid w:val="005A11D9"/>
    <w:rsid w:val="005A1466"/>
    <w:rsid w:val="005A1580"/>
    <w:rsid w:val="005A1768"/>
    <w:rsid w:val="005A1BB8"/>
    <w:rsid w:val="005A1DCC"/>
    <w:rsid w:val="005A1DD5"/>
    <w:rsid w:val="005A22B5"/>
    <w:rsid w:val="005A23DE"/>
    <w:rsid w:val="005A2B5A"/>
    <w:rsid w:val="005A2F23"/>
    <w:rsid w:val="005A3515"/>
    <w:rsid w:val="005A3712"/>
    <w:rsid w:val="005A37F4"/>
    <w:rsid w:val="005A3A20"/>
    <w:rsid w:val="005A3B88"/>
    <w:rsid w:val="005A3EA5"/>
    <w:rsid w:val="005A4298"/>
    <w:rsid w:val="005A4A80"/>
    <w:rsid w:val="005A4E64"/>
    <w:rsid w:val="005A5C15"/>
    <w:rsid w:val="005A6515"/>
    <w:rsid w:val="005A6F1C"/>
    <w:rsid w:val="005A735C"/>
    <w:rsid w:val="005A76E3"/>
    <w:rsid w:val="005A77F7"/>
    <w:rsid w:val="005A7C88"/>
    <w:rsid w:val="005B02AD"/>
    <w:rsid w:val="005B07E6"/>
    <w:rsid w:val="005B0B4B"/>
    <w:rsid w:val="005B10C9"/>
    <w:rsid w:val="005B11F1"/>
    <w:rsid w:val="005B1261"/>
    <w:rsid w:val="005B137D"/>
    <w:rsid w:val="005B1739"/>
    <w:rsid w:val="005B1E61"/>
    <w:rsid w:val="005B2C94"/>
    <w:rsid w:val="005B2CA0"/>
    <w:rsid w:val="005B30FB"/>
    <w:rsid w:val="005B36D6"/>
    <w:rsid w:val="005B396B"/>
    <w:rsid w:val="005B399C"/>
    <w:rsid w:val="005B3D5D"/>
    <w:rsid w:val="005B40F4"/>
    <w:rsid w:val="005B434E"/>
    <w:rsid w:val="005B4986"/>
    <w:rsid w:val="005B4A20"/>
    <w:rsid w:val="005B4FBC"/>
    <w:rsid w:val="005B50E3"/>
    <w:rsid w:val="005B55F3"/>
    <w:rsid w:val="005B5B09"/>
    <w:rsid w:val="005B5C6D"/>
    <w:rsid w:val="005B643A"/>
    <w:rsid w:val="005B6527"/>
    <w:rsid w:val="005B7455"/>
    <w:rsid w:val="005B74DB"/>
    <w:rsid w:val="005B79CB"/>
    <w:rsid w:val="005B7EA5"/>
    <w:rsid w:val="005C06EB"/>
    <w:rsid w:val="005C075D"/>
    <w:rsid w:val="005C0B02"/>
    <w:rsid w:val="005C0C86"/>
    <w:rsid w:val="005C0EC3"/>
    <w:rsid w:val="005C1000"/>
    <w:rsid w:val="005C17A8"/>
    <w:rsid w:val="005C1C04"/>
    <w:rsid w:val="005C1EB5"/>
    <w:rsid w:val="005C2B6F"/>
    <w:rsid w:val="005C33A8"/>
    <w:rsid w:val="005C33F6"/>
    <w:rsid w:val="005C37E8"/>
    <w:rsid w:val="005C394D"/>
    <w:rsid w:val="005C3CC5"/>
    <w:rsid w:val="005C3D60"/>
    <w:rsid w:val="005C3EAF"/>
    <w:rsid w:val="005C4105"/>
    <w:rsid w:val="005C442A"/>
    <w:rsid w:val="005C4C26"/>
    <w:rsid w:val="005C5284"/>
    <w:rsid w:val="005C57B8"/>
    <w:rsid w:val="005C5966"/>
    <w:rsid w:val="005C5989"/>
    <w:rsid w:val="005C5A09"/>
    <w:rsid w:val="005C5C0E"/>
    <w:rsid w:val="005C5D57"/>
    <w:rsid w:val="005C620A"/>
    <w:rsid w:val="005C6756"/>
    <w:rsid w:val="005C6A90"/>
    <w:rsid w:val="005C7156"/>
    <w:rsid w:val="005C78D9"/>
    <w:rsid w:val="005C7D25"/>
    <w:rsid w:val="005D032C"/>
    <w:rsid w:val="005D03F7"/>
    <w:rsid w:val="005D04FA"/>
    <w:rsid w:val="005D0973"/>
    <w:rsid w:val="005D1094"/>
    <w:rsid w:val="005D1387"/>
    <w:rsid w:val="005D1539"/>
    <w:rsid w:val="005D15B1"/>
    <w:rsid w:val="005D1AA1"/>
    <w:rsid w:val="005D1C0C"/>
    <w:rsid w:val="005D1D78"/>
    <w:rsid w:val="005D259F"/>
    <w:rsid w:val="005D26F7"/>
    <w:rsid w:val="005D3089"/>
    <w:rsid w:val="005D3D93"/>
    <w:rsid w:val="005D46C6"/>
    <w:rsid w:val="005D4CAD"/>
    <w:rsid w:val="005D4D57"/>
    <w:rsid w:val="005D4E73"/>
    <w:rsid w:val="005D59C9"/>
    <w:rsid w:val="005D5F1C"/>
    <w:rsid w:val="005D619B"/>
    <w:rsid w:val="005D620A"/>
    <w:rsid w:val="005D6609"/>
    <w:rsid w:val="005D697F"/>
    <w:rsid w:val="005D7033"/>
    <w:rsid w:val="005D766C"/>
    <w:rsid w:val="005D7CC8"/>
    <w:rsid w:val="005E0436"/>
    <w:rsid w:val="005E0598"/>
    <w:rsid w:val="005E17EF"/>
    <w:rsid w:val="005E219A"/>
    <w:rsid w:val="005E21BF"/>
    <w:rsid w:val="005E2A19"/>
    <w:rsid w:val="005E2B0B"/>
    <w:rsid w:val="005E2CAE"/>
    <w:rsid w:val="005E3262"/>
    <w:rsid w:val="005E333A"/>
    <w:rsid w:val="005E33FF"/>
    <w:rsid w:val="005E3442"/>
    <w:rsid w:val="005E3719"/>
    <w:rsid w:val="005E3B18"/>
    <w:rsid w:val="005E3E0B"/>
    <w:rsid w:val="005E4093"/>
    <w:rsid w:val="005E4180"/>
    <w:rsid w:val="005E430D"/>
    <w:rsid w:val="005E445C"/>
    <w:rsid w:val="005E44F3"/>
    <w:rsid w:val="005E453F"/>
    <w:rsid w:val="005E4BC1"/>
    <w:rsid w:val="005E4CE3"/>
    <w:rsid w:val="005E4E22"/>
    <w:rsid w:val="005E4F19"/>
    <w:rsid w:val="005E5053"/>
    <w:rsid w:val="005E5152"/>
    <w:rsid w:val="005E5541"/>
    <w:rsid w:val="005E55F3"/>
    <w:rsid w:val="005E61A2"/>
    <w:rsid w:val="005E67EF"/>
    <w:rsid w:val="005E6961"/>
    <w:rsid w:val="005E6D25"/>
    <w:rsid w:val="005E768B"/>
    <w:rsid w:val="005E7ABC"/>
    <w:rsid w:val="005F0159"/>
    <w:rsid w:val="005F027F"/>
    <w:rsid w:val="005F05F0"/>
    <w:rsid w:val="005F0614"/>
    <w:rsid w:val="005F0FFC"/>
    <w:rsid w:val="005F180E"/>
    <w:rsid w:val="005F1A5C"/>
    <w:rsid w:val="005F2182"/>
    <w:rsid w:val="005F2B64"/>
    <w:rsid w:val="005F328A"/>
    <w:rsid w:val="005F33CB"/>
    <w:rsid w:val="005F370A"/>
    <w:rsid w:val="005F4161"/>
    <w:rsid w:val="005F4491"/>
    <w:rsid w:val="005F44E7"/>
    <w:rsid w:val="005F45DF"/>
    <w:rsid w:val="005F4D0A"/>
    <w:rsid w:val="005F4ED7"/>
    <w:rsid w:val="005F5089"/>
    <w:rsid w:val="005F53CB"/>
    <w:rsid w:val="005F60A9"/>
    <w:rsid w:val="005F6A7D"/>
    <w:rsid w:val="005F706E"/>
    <w:rsid w:val="005F7163"/>
    <w:rsid w:val="005F77DC"/>
    <w:rsid w:val="005F7D05"/>
    <w:rsid w:val="00600166"/>
    <w:rsid w:val="00600F97"/>
    <w:rsid w:val="0060121E"/>
    <w:rsid w:val="00601EB0"/>
    <w:rsid w:val="00601F6F"/>
    <w:rsid w:val="00602389"/>
    <w:rsid w:val="00602D52"/>
    <w:rsid w:val="00602FB6"/>
    <w:rsid w:val="00603085"/>
    <w:rsid w:val="0060343F"/>
    <w:rsid w:val="00603453"/>
    <w:rsid w:val="00603C48"/>
    <w:rsid w:val="006040DB"/>
    <w:rsid w:val="00604203"/>
    <w:rsid w:val="0060460E"/>
    <w:rsid w:val="00604866"/>
    <w:rsid w:val="00604C44"/>
    <w:rsid w:val="006053D3"/>
    <w:rsid w:val="0060578B"/>
    <w:rsid w:val="00605D5A"/>
    <w:rsid w:val="006065E1"/>
    <w:rsid w:val="00606E5F"/>
    <w:rsid w:val="00607342"/>
    <w:rsid w:val="00607394"/>
    <w:rsid w:val="00607573"/>
    <w:rsid w:val="00607851"/>
    <w:rsid w:val="00607CAB"/>
    <w:rsid w:val="00607D12"/>
    <w:rsid w:val="00610128"/>
    <w:rsid w:val="0061013B"/>
    <w:rsid w:val="0061061A"/>
    <w:rsid w:val="00611158"/>
    <w:rsid w:val="00611FDF"/>
    <w:rsid w:val="0061203F"/>
    <w:rsid w:val="00612761"/>
    <w:rsid w:val="00612A35"/>
    <w:rsid w:val="00613074"/>
    <w:rsid w:val="006134BD"/>
    <w:rsid w:val="006135C3"/>
    <w:rsid w:val="006138B2"/>
    <w:rsid w:val="00613A4B"/>
    <w:rsid w:val="00613D27"/>
    <w:rsid w:val="00613E6A"/>
    <w:rsid w:val="00614180"/>
    <w:rsid w:val="006143B8"/>
    <w:rsid w:val="0061456B"/>
    <w:rsid w:val="006145A0"/>
    <w:rsid w:val="006147DC"/>
    <w:rsid w:val="00614D11"/>
    <w:rsid w:val="00615077"/>
    <w:rsid w:val="00615306"/>
    <w:rsid w:val="0061565C"/>
    <w:rsid w:val="00615C28"/>
    <w:rsid w:val="00615F08"/>
    <w:rsid w:val="00616B00"/>
    <w:rsid w:val="00616C65"/>
    <w:rsid w:val="00616CB0"/>
    <w:rsid w:val="0061707F"/>
    <w:rsid w:val="00617639"/>
    <w:rsid w:val="0061770D"/>
    <w:rsid w:val="00617B54"/>
    <w:rsid w:val="0062039F"/>
    <w:rsid w:val="00620542"/>
    <w:rsid w:val="00620548"/>
    <w:rsid w:val="00620881"/>
    <w:rsid w:val="00620B5C"/>
    <w:rsid w:val="00620D76"/>
    <w:rsid w:val="00620EBD"/>
    <w:rsid w:val="00620F91"/>
    <w:rsid w:val="00621727"/>
    <w:rsid w:val="00621D25"/>
    <w:rsid w:val="00621D9C"/>
    <w:rsid w:val="00621DA3"/>
    <w:rsid w:val="00621F01"/>
    <w:rsid w:val="00622073"/>
    <w:rsid w:val="0062224A"/>
    <w:rsid w:val="006222A6"/>
    <w:rsid w:val="00622382"/>
    <w:rsid w:val="006223A2"/>
    <w:rsid w:val="006225AB"/>
    <w:rsid w:val="00622825"/>
    <w:rsid w:val="00622902"/>
    <w:rsid w:val="00622B48"/>
    <w:rsid w:val="00622DBB"/>
    <w:rsid w:val="0062320A"/>
    <w:rsid w:val="006232D0"/>
    <w:rsid w:val="0062364C"/>
    <w:rsid w:val="0062364F"/>
    <w:rsid w:val="00623AA9"/>
    <w:rsid w:val="00624AAF"/>
    <w:rsid w:val="00625AAB"/>
    <w:rsid w:val="00625AF5"/>
    <w:rsid w:val="00626AA2"/>
    <w:rsid w:val="00627331"/>
    <w:rsid w:val="006279C6"/>
    <w:rsid w:val="00627C06"/>
    <w:rsid w:val="00630AB8"/>
    <w:rsid w:val="00630DBA"/>
    <w:rsid w:val="00630DEF"/>
    <w:rsid w:val="006319FD"/>
    <w:rsid w:val="0063235D"/>
    <w:rsid w:val="00632468"/>
    <w:rsid w:val="00632976"/>
    <w:rsid w:val="006329A1"/>
    <w:rsid w:val="00632ECF"/>
    <w:rsid w:val="00632EF9"/>
    <w:rsid w:val="00633161"/>
    <w:rsid w:val="006335F1"/>
    <w:rsid w:val="006336B0"/>
    <w:rsid w:val="00634894"/>
    <w:rsid w:val="00634A56"/>
    <w:rsid w:val="00634AD8"/>
    <w:rsid w:val="00634F1E"/>
    <w:rsid w:val="00635372"/>
    <w:rsid w:val="00635915"/>
    <w:rsid w:val="00635BB0"/>
    <w:rsid w:val="00635CB3"/>
    <w:rsid w:val="00635CB7"/>
    <w:rsid w:val="00636711"/>
    <w:rsid w:val="006367DB"/>
    <w:rsid w:val="00636C72"/>
    <w:rsid w:val="00636D75"/>
    <w:rsid w:val="0063740C"/>
    <w:rsid w:val="0063789E"/>
    <w:rsid w:val="00641181"/>
    <w:rsid w:val="00641561"/>
    <w:rsid w:val="00641B90"/>
    <w:rsid w:val="00642060"/>
    <w:rsid w:val="00642504"/>
    <w:rsid w:val="00643128"/>
    <w:rsid w:val="00643675"/>
    <w:rsid w:val="006441C8"/>
    <w:rsid w:val="00644CAD"/>
    <w:rsid w:val="00644CFA"/>
    <w:rsid w:val="00644EB1"/>
    <w:rsid w:val="00645B19"/>
    <w:rsid w:val="006462EF"/>
    <w:rsid w:val="00646DB2"/>
    <w:rsid w:val="00646F99"/>
    <w:rsid w:val="00647129"/>
    <w:rsid w:val="006473D1"/>
    <w:rsid w:val="006479B5"/>
    <w:rsid w:val="006500FC"/>
    <w:rsid w:val="0065070E"/>
    <w:rsid w:val="006507DF"/>
    <w:rsid w:val="00650DA0"/>
    <w:rsid w:val="00650F97"/>
    <w:rsid w:val="00651089"/>
    <w:rsid w:val="006513CE"/>
    <w:rsid w:val="006526F2"/>
    <w:rsid w:val="00652971"/>
    <w:rsid w:val="00652A8B"/>
    <w:rsid w:val="00652BD4"/>
    <w:rsid w:val="00652D30"/>
    <w:rsid w:val="00652FF4"/>
    <w:rsid w:val="00653049"/>
    <w:rsid w:val="00654C63"/>
    <w:rsid w:val="00654DA7"/>
    <w:rsid w:val="00654EC1"/>
    <w:rsid w:val="00655386"/>
    <w:rsid w:val="00655674"/>
    <w:rsid w:val="00655C30"/>
    <w:rsid w:val="0065660F"/>
    <w:rsid w:val="0065712A"/>
    <w:rsid w:val="006571CC"/>
    <w:rsid w:val="00657507"/>
    <w:rsid w:val="00657556"/>
    <w:rsid w:val="00657764"/>
    <w:rsid w:val="00657C54"/>
    <w:rsid w:val="00657C91"/>
    <w:rsid w:val="0066037B"/>
    <w:rsid w:val="00660567"/>
    <w:rsid w:val="00661232"/>
    <w:rsid w:val="006612DB"/>
    <w:rsid w:val="00661621"/>
    <w:rsid w:val="006617F1"/>
    <w:rsid w:val="006619B4"/>
    <w:rsid w:val="00661D80"/>
    <w:rsid w:val="00662775"/>
    <w:rsid w:val="00662B82"/>
    <w:rsid w:val="00662D55"/>
    <w:rsid w:val="00662E05"/>
    <w:rsid w:val="00663321"/>
    <w:rsid w:val="0066340A"/>
    <w:rsid w:val="00663451"/>
    <w:rsid w:val="00663B0A"/>
    <w:rsid w:val="00663C7E"/>
    <w:rsid w:val="00663FF9"/>
    <w:rsid w:val="00664018"/>
    <w:rsid w:val="006642A2"/>
    <w:rsid w:val="00664648"/>
    <w:rsid w:val="00665520"/>
    <w:rsid w:val="00666107"/>
    <w:rsid w:val="00666122"/>
    <w:rsid w:val="00666B41"/>
    <w:rsid w:val="0066723A"/>
    <w:rsid w:val="00667399"/>
    <w:rsid w:val="0066745C"/>
    <w:rsid w:val="00667C5F"/>
    <w:rsid w:val="00670147"/>
    <w:rsid w:val="0067078C"/>
    <w:rsid w:val="00670A71"/>
    <w:rsid w:val="00670B02"/>
    <w:rsid w:val="00670C28"/>
    <w:rsid w:val="00670ECA"/>
    <w:rsid w:val="00671765"/>
    <w:rsid w:val="0067205F"/>
    <w:rsid w:val="00672625"/>
    <w:rsid w:val="00672732"/>
    <w:rsid w:val="006729D1"/>
    <w:rsid w:val="006737FF"/>
    <w:rsid w:val="00673BF6"/>
    <w:rsid w:val="00673C48"/>
    <w:rsid w:val="00673DF4"/>
    <w:rsid w:val="00674111"/>
    <w:rsid w:val="00674C99"/>
    <w:rsid w:val="006753D3"/>
    <w:rsid w:val="00676754"/>
    <w:rsid w:val="006772C5"/>
    <w:rsid w:val="00677972"/>
    <w:rsid w:val="00681AD4"/>
    <w:rsid w:val="00681B40"/>
    <w:rsid w:val="00681D62"/>
    <w:rsid w:val="00681F1A"/>
    <w:rsid w:val="0068253E"/>
    <w:rsid w:val="0068255F"/>
    <w:rsid w:val="00682CCA"/>
    <w:rsid w:val="006832E9"/>
    <w:rsid w:val="0068368C"/>
    <w:rsid w:val="006836DA"/>
    <w:rsid w:val="00683738"/>
    <w:rsid w:val="006837B8"/>
    <w:rsid w:val="00683BA2"/>
    <w:rsid w:val="00683FBC"/>
    <w:rsid w:val="0068419A"/>
    <w:rsid w:val="00684803"/>
    <w:rsid w:val="0068523A"/>
    <w:rsid w:val="00685312"/>
    <w:rsid w:val="00685441"/>
    <w:rsid w:val="006854F1"/>
    <w:rsid w:val="0068561B"/>
    <w:rsid w:val="00685A17"/>
    <w:rsid w:val="00685DC1"/>
    <w:rsid w:val="00686321"/>
    <w:rsid w:val="0068634A"/>
    <w:rsid w:val="00686FEC"/>
    <w:rsid w:val="00687377"/>
    <w:rsid w:val="0068751B"/>
    <w:rsid w:val="00690055"/>
    <w:rsid w:val="006900CF"/>
    <w:rsid w:val="00690149"/>
    <w:rsid w:val="0069082F"/>
    <w:rsid w:val="00690DDD"/>
    <w:rsid w:val="006911D2"/>
    <w:rsid w:val="00691212"/>
    <w:rsid w:val="00691859"/>
    <w:rsid w:val="0069185C"/>
    <w:rsid w:val="00691888"/>
    <w:rsid w:val="00691B1B"/>
    <w:rsid w:val="00692097"/>
    <w:rsid w:val="00692134"/>
    <w:rsid w:val="006924DC"/>
    <w:rsid w:val="00692562"/>
    <w:rsid w:val="00692BB4"/>
    <w:rsid w:val="006930C8"/>
    <w:rsid w:val="00693A74"/>
    <w:rsid w:val="00693A94"/>
    <w:rsid w:val="00693DF9"/>
    <w:rsid w:val="00693EE4"/>
    <w:rsid w:val="00694A80"/>
    <w:rsid w:val="006955EE"/>
    <w:rsid w:val="00695A1E"/>
    <w:rsid w:val="00695D1A"/>
    <w:rsid w:val="00696216"/>
    <w:rsid w:val="00696437"/>
    <w:rsid w:val="006964F7"/>
    <w:rsid w:val="006967AD"/>
    <w:rsid w:val="0069684B"/>
    <w:rsid w:val="00696A64"/>
    <w:rsid w:val="0069728B"/>
    <w:rsid w:val="00697448"/>
    <w:rsid w:val="00697C57"/>
    <w:rsid w:val="006A036E"/>
    <w:rsid w:val="006A051B"/>
    <w:rsid w:val="006A07B4"/>
    <w:rsid w:val="006A1214"/>
    <w:rsid w:val="006A1557"/>
    <w:rsid w:val="006A19C0"/>
    <w:rsid w:val="006A21BF"/>
    <w:rsid w:val="006A2528"/>
    <w:rsid w:val="006A2777"/>
    <w:rsid w:val="006A2AE6"/>
    <w:rsid w:val="006A37C8"/>
    <w:rsid w:val="006A3BE8"/>
    <w:rsid w:val="006A3DD8"/>
    <w:rsid w:val="006A4019"/>
    <w:rsid w:val="006A4754"/>
    <w:rsid w:val="006A4AD1"/>
    <w:rsid w:val="006A528C"/>
    <w:rsid w:val="006A5780"/>
    <w:rsid w:val="006A57A3"/>
    <w:rsid w:val="006A6569"/>
    <w:rsid w:val="006A6FEB"/>
    <w:rsid w:val="006A711E"/>
    <w:rsid w:val="006A7229"/>
    <w:rsid w:val="006A74BF"/>
    <w:rsid w:val="006A79A8"/>
    <w:rsid w:val="006B0193"/>
    <w:rsid w:val="006B027B"/>
    <w:rsid w:val="006B039B"/>
    <w:rsid w:val="006B0420"/>
    <w:rsid w:val="006B05FA"/>
    <w:rsid w:val="006B1227"/>
    <w:rsid w:val="006B134A"/>
    <w:rsid w:val="006B1453"/>
    <w:rsid w:val="006B1956"/>
    <w:rsid w:val="006B1E32"/>
    <w:rsid w:val="006B26AE"/>
    <w:rsid w:val="006B2B78"/>
    <w:rsid w:val="006B30F1"/>
    <w:rsid w:val="006B3B7C"/>
    <w:rsid w:val="006B3BF5"/>
    <w:rsid w:val="006B3DA5"/>
    <w:rsid w:val="006B3DC8"/>
    <w:rsid w:val="006B409A"/>
    <w:rsid w:val="006B48DC"/>
    <w:rsid w:val="006B5E09"/>
    <w:rsid w:val="006B613B"/>
    <w:rsid w:val="006B6268"/>
    <w:rsid w:val="006B6565"/>
    <w:rsid w:val="006B731F"/>
    <w:rsid w:val="006C0008"/>
    <w:rsid w:val="006C03E5"/>
    <w:rsid w:val="006C0416"/>
    <w:rsid w:val="006C07C5"/>
    <w:rsid w:val="006C19E3"/>
    <w:rsid w:val="006C1DBB"/>
    <w:rsid w:val="006C1F08"/>
    <w:rsid w:val="006C1F0E"/>
    <w:rsid w:val="006C24D3"/>
    <w:rsid w:val="006C2677"/>
    <w:rsid w:val="006C28AD"/>
    <w:rsid w:val="006C2B5D"/>
    <w:rsid w:val="006C2CF6"/>
    <w:rsid w:val="006C3261"/>
    <w:rsid w:val="006C3F6B"/>
    <w:rsid w:val="006C4D41"/>
    <w:rsid w:val="006C52FA"/>
    <w:rsid w:val="006C53A8"/>
    <w:rsid w:val="006C56CB"/>
    <w:rsid w:val="006C56E9"/>
    <w:rsid w:val="006C6787"/>
    <w:rsid w:val="006C67CA"/>
    <w:rsid w:val="006C6939"/>
    <w:rsid w:val="006C7355"/>
    <w:rsid w:val="006C759F"/>
    <w:rsid w:val="006C785E"/>
    <w:rsid w:val="006C7BDE"/>
    <w:rsid w:val="006D00D8"/>
    <w:rsid w:val="006D0155"/>
    <w:rsid w:val="006D0A4C"/>
    <w:rsid w:val="006D10F5"/>
    <w:rsid w:val="006D151C"/>
    <w:rsid w:val="006D185B"/>
    <w:rsid w:val="006D2766"/>
    <w:rsid w:val="006D2801"/>
    <w:rsid w:val="006D29AB"/>
    <w:rsid w:val="006D30F4"/>
    <w:rsid w:val="006D352A"/>
    <w:rsid w:val="006D3C16"/>
    <w:rsid w:val="006D4186"/>
    <w:rsid w:val="006D4500"/>
    <w:rsid w:val="006D459D"/>
    <w:rsid w:val="006D4923"/>
    <w:rsid w:val="006D4AF8"/>
    <w:rsid w:val="006D5158"/>
    <w:rsid w:val="006D51BA"/>
    <w:rsid w:val="006D5AF1"/>
    <w:rsid w:val="006D6083"/>
    <w:rsid w:val="006D648B"/>
    <w:rsid w:val="006D652B"/>
    <w:rsid w:val="006D6C05"/>
    <w:rsid w:val="006D7CEF"/>
    <w:rsid w:val="006D7D27"/>
    <w:rsid w:val="006E0035"/>
    <w:rsid w:val="006E053A"/>
    <w:rsid w:val="006E0866"/>
    <w:rsid w:val="006E08EC"/>
    <w:rsid w:val="006E139B"/>
    <w:rsid w:val="006E1983"/>
    <w:rsid w:val="006E19E9"/>
    <w:rsid w:val="006E2BA8"/>
    <w:rsid w:val="006E31AF"/>
    <w:rsid w:val="006E326C"/>
    <w:rsid w:val="006E3E7E"/>
    <w:rsid w:val="006E42C2"/>
    <w:rsid w:val="006E4E0C"/>
    <w:rsid w:val="006E568F"/>
    <w:rsid w:val="006E5B47"/>
    <w:rsid w:val="006E5D52"/>
    <w:rsid w:val="006E5D6B"/>
    <w:rsid w:val="006E64CD"/>
    <w:rsid w:val="006E75EF"/>
    <w:rsid w:val="006E7969"/>
    <w:rsid w:val="006F037F"/>
    <w:rsid w:val="006F03DB"/>
    <w:rsid w:val="006F05AE"/>
    <w:rsid w:val="006F0C09"/>
    <w:rsid w:val="006F110E"/>
    <w:rsid w:val="006F2732"/>
    <w:rsid w:val="006F2823"/>
    <w:rsid w:val="006F2D1D"/>
    <w:rsid w:val="006F3221"/>
    <w:rsid w:val="006F3E23"/>
    <w:rsid w:val="006F3EF8"/>
    <w:rsid w:val="006F3F9F"/>
    <w:rsid w:val="006F40E3"/>
    <w:rsid w:val="006F41F2"/>
    <w:rsid w:val="006F426B"/>
    <w:rsid w:val="006F498B"/>
    <w:rsid w:val="006F49D8"/>
    <w:rsid w:val="006F4D19"/>
    <w:rsid w:val="006F52AD"/>
    <w:rsid w:val="006F5BA8"/>
    <w:rsid w:val="006F63E0"/>
    <w:rsid w:val="006F659E"/>
    <w:rsid w:val="006F6621"/>
    <w:rsid w:val="006F67E1"/>
    <w:rsid w:val="006F681F"/>
    <w:rsid w:val="006F6B5B"/>
    <w:rsid w:val="006F7243"/>
    <w:rsid w:val="006F72C2"/>
    <w:rsid w:val="006F7C3B"/>
    <w:rsid w:val="006F7E9E"/>
    <w:rsid w:val="0070002E"/>
    <w:rsid w:val="00700CA1"/>
    <w:rsid w:val="00700FA8"/>
    <w:rsid w:val="007011DE"/>
    <w:rsid w:val="00701AF4"/>
    <w:rsid w:val="0070220E"/>
    <w:rsid w:val="007022E3"/>
    <w:rsid w:val="007028B3"/>
    <w:rsid w:val="00702A49"/>
    <w:rsid w:val="007037FC"/>
    <w:rsid w:val="00703E38"/>
    <w:rsid w:val="007059E6"/>
    <w:rsid w:val="00705C7F"/>
    <w:rsid w:val="00705CEF"/>
    <w:rsid w:val="00705D4F"/>
    <w:rsid w:val="00705F8A"/>
    <w:rsid w:val="00706097"/>
    <w:rsid w:val="007061ED"/>
    <w:rsid w:val="00706E4C"/>
    <w:rsid w:val="00707885"/>
    <w:rsid w:val="00707A64"/>
    <w:rsid w:val="0071029B"/>
    <w:rsid w:val="007102C9"/>
    <w:rsid w:val="007103B1"/>
    <w:rsid w:val="00710CF8"/>
    <w:rsid w:val="0071120B"/>
    <w:rsid w:val="00711963"/>
    <w:rsid w:val="00711DC1"/>
    <w:rsid w:val="00711E21"/>
    <w:rsid w:val="0071249A"/>
    <w:rsid w:val="00712607"/>
    <w:rsid w:val="00712A21"/>
    <w:rsid w:val="00712D9B"/>
    <w:rsid w:val="00713AE5"/>
    <w:rsid w:val="00713EB3"/>
    <w:rsid w:val="007140D7"/>
    <w:rsid w:val="0071435B"/>
    <w:rsid w:val="00714423"/>
    <w:rsid w:val="0071447B"/>
    <w:rsid w:val="00714C3A"/>
    <w:rsid w:val="00714DAB"/>
    <w:rsid w:val="007151B2"/>
    <w:rsid w:val="00715BB0"/>
    <w:rsid w:val="00715C4F"/>
    <w:rsid w:val="00715D37"/>
    <w:rsid w:val="00715DE5"/>
    <w:rsid w:val="007160A2"/>
    <w:rsid w:val="007163DE"/>
    <w:rsid w:val="007172AD"/>
    <w:rsid w:val="00717525"/>
    <w:rsid w:val="007179C7"/>
    <w:rsid w:val="0072063D"/>
    <w:rsid w:val="0072115C"/>
    <w:rsid w:val="00722601"/>
    <w:rsid w:val="00722850"/>
    <w:rsid w:val="00723641"/>
    <w:rsid w:val="00723950"/>
    <w:rsid w:val="007241BD"/>
    <w:rsid w:val="00724629"/>
    <w:rsid w:val="00724CBE"/>
    <w:rsid w:val="00724F92"/>
    <w:rsid w:val="0072544F"/>
    <w:rsid w:val="00725CAF"/>
    <w:rsid w:val="007260A8"/>
    <w:rsid w:val="0072720A"/>
    <w:rsid w:val="00727595"/>
    <w:rsid w:val="00727C89"/>
    <w:rsid w:val="007304CC"/>
    <w:rsid w:val="007306CC"/>
    <w:rsid w:val="007308B0"/>
    <w:rsid w:val="00730E59"/>
    <w:rsid w:val="00731261"/>
    <w:rsid w:val="0073178A"/>
    <w:rsid w:val="00731910"/>
    <w:rsid w:val="007320D4"/>
    <w:rsid w:val="00732354"/>
    <w:rsid w:val="0073257A"/>
    <w:rsid w:val="007326B4"/>
    <w:rsid w:val="00732746"/>
    <w:rsid w:val="007329B3"/>
    <w:rsid w:val="00733575"/>
    <w:rsid w:val="007336D7"/>
    <w:rsid w:val="00733FC6"/>
    <w:rsid w:val="00734394"/>
    <w:rsid w:val="007356EC"/>
    <w:rsid w:val="00735955"/>
    <w:rsid w:val="007366C6"/>
    <w:rsid w:val="00736A10"/>
    <w:rsid w:val="00736CF4"/>
    <w:rsid w:val="007375F4"/>
    <w:rsid w:val="00737A9F"/>
    <w:rsid w:val="00737D35"/>
    <w:rsid w:val="00740289"/>
    <w:rsid w:val="00740818"/>
    <w:rsid w:val="0074081F"/>
    <w:rsid w:val="00740D91"/>
    <w:rsid w:val="007413C1"/>
    <w:rsid w:val="00741687"/>
    <w:rsid w:val="007417AA"/>
    <w:rsid w:val="00741DEE"/>
    <w:rsid w:val="007425F3"/>
    <w:rsid w:val="00742B4B"/>
    <w:rsid w:val="00742EA5"/>
    <w:rsid w:val="007432C6"/>
    <w:rsid w:val="0074357C"/>
    <w:rsid w:val="00743F32"/>
    <w:rsid w:val="007443F0"/>
    <w:rsid w:val="00744AB9"/>
    <w:rsid w:val="00744C03"/>
    <w:rsid w:val="00744DBF"/>
    <w:rsid w:val="00745FA8"/>
    <w:rsid w:val="00746594"/>
    <w:rsid w:val="00746718"/>
    <w:rsid w:val="00746867"/>
    <w:rsid w:val="007469A5"/>
    <w:rsid w:val="00746B8B"/>
    <w:rsid w:val="00747028"/>
    <w:rsid w:val="00747309"/>
    <w:rsid w:val="0074748B"/>
    <w:rsid w:val="00747721"/>
    <w:rsid w:val="00747ED3"/>
    <w:rsid w:val="00750674"/>
    <w:rsid w:val="00750C90"/>
    <w:rsid w:val="00750F24"/>
    <w:rsid w:val="00751A46"/>
    <w:rsid w:val="00752FA6"/>
    <w:rsid w:val="00753127"/>
    <w:rsid w:val="00753228"/>
    <w:rsid w:val="00753260"/>
    <w:rsid w:val="0075360C"/>
    <w:rsid w:val="007538D2"/>
    <w:rsid w:val="00753FC7"/>
    <w:rsid w:val="0075419D"/>
    <w:rsid w:val="0075435E"/>
    <w:rsid w:val="00754751"/>
    <w:rsid w:val="00754999"/>
    <w:rsid w:val="00754D52"/>
    <w:rsid w:val="00755024"/>
    <w:rsid w:val="0075521F"/>
    <w:rsid w:val="0075577D"/>
    <w:rsid w:val="00755A52"/>
    <w:rsid w:val="00755E41"/>
    <w:rsid w:val="00756092"/>
    <w:rsid w:val="00756B80"/>
    <w:rsid w:val="00756DE1"/>
    <w:rsid w:val="00756EE0"/>
    <w:rsid w:val="00757E3C"/>
    <w:rsid w:val="007606F8"/>
    <w:rsid w:val="007608BB"/>
    <w:rsid w:val="0076122A"/>
    <w:rsid w:val="007615AC"/>
    <w:rsid w:val="00761C24"/>
    <w:rsid w:val="00761F1F"/>
    <w:rsid w:val="00763261"/>
    <w:rsid w:val="00764029"/>
    <w:rsid w:val="0076437B"/>
    <w:rsid w:val="007644EA"/>
    <w:rsid w:val="007648F9"/>
    <w:rsid w:val="00764F2F"/>
    <w:rsid w:val="00765755"/>
    <w:rsid w:val="00765A1A"/>
    <w:rsid w:val="00765D3F"/>
    <w:rsid w:val="0076618F"/>
    <w:rsid w:val="0076625A"/>
    <w:rsid w:val="00766316"/>
    <w:rsid w:val="00766323"/>
    <w:rsid w:val="00766366"/>
    <w:rsid w:val="00766F34"/>
    <w:rsid w:val="00766F4A"/>
    <w:rsid w:val="00767370"/>
    <w:rsid w:val="007673FF"/>
    <w:rsid w:val="00767E5A"/>
    <w:rsid w:val="007701A8"/>
    <w:rsid w:val="007701CE"/>
    <w:rsid w:val="0077086D"/>
    <w:rsid w:val="007708E4"/>
    <w:rsid w:val="00770959"/>
    <w:rsid w:val="00770B41"/>
    <w:rsid w:val="00770BC8"/>
    <w:rsid w:val="00770C42"/>
    <w:rsid w:val="00770ED0"/>
    <w:rsid w:val="00771369"/>
    <w:rsid w:val="00771684"/>
    <w:rsid w:val="0077191E"/>
    <w:rsid w:val="00771B37"/>
    <w:rsid w:val="00771C61"/>
    <w:rsid w:val="007721E2"/>
    <w:rsid w:val="0077257E"/>
    <w:rsid w:val="00772F2A"/>
    <w:rsid w:val="00773279"/>
    <w:rsid w:val="0077391D"/>
    <w:rsid w:val="00773A8D"/>
    <w:rsid w:val="00773B78"/>
    <w:rsid w:val="00773ED5"/>
    <w:rsid w:val="007741F3"/>
    <w:rsid w:val="007748F4"/>
    <w:rsid w:val="00774A42"/>
    <w:rsid w:val="007750E9"/>
    <w:rsid w:val="0077542D"/>
    <w:rsid w:val="00775A02"/>
    <w:rsid w:val="00775B8A"/>
    <w:rsid w:val="00775C09"/>
    <w:rsid w:val="00775C6F"/>
    <w:rsid w:val="00776625"/>
    <w:rsid w:val="00776675"/>
    <w:rsid w:val="007773D9"/>
    <w:rsid w:val="007775E9"/>
    <w:rsid w:val="007777F4"/>
    <w:rsid w:val="007779E8"/>
    <w:rsid w:val="00777A05"/>
    <w:rsid w:val="00777A78"/>
    <w:rsid w:val="00777C78"/>
    <w:rsid w:val="007809E3"/>
    <w:rsid w:val="007819AE"/>
    <w:rsid w:val="00782300"/>
    <w:rsid w:val="00782353"/>
    <w:rsid w:val="00782832"/>
    <w:rsid w:val="007828AF"/>
    <w:rsid w:val="00782953"/>
    <w:rsid w:val="00782A83"/>
    <w:rsid w:val="0078457D"/>
    <w:rsid w:val="0078459C"/>
    <w:rsid w:val="00784769"/>
    <w:rsid w:val="007848D3"/>
    <w:rsid w:val="00784A50"/>
    <w:rsid w:val="00784B76"/>
    <w:rsid w:val="00784CBF"/>
    <w:rsid w:val="007854C5"/>
    <w:rsid w:val="007854EB"/>
    <w:rsid w:val="00786E44"/>
    <w:rsid w:val="00786F13"/>
    <w:rsid w:val="0078706A"/>
    <w:rsid w:val="00787495"/>
    <w:rsid w:val="00787847"/>
    <w:rsid w:val="00790316"/>
    <w:rsid w:val="007903BC"/>
    <w:rsid w:val="0079082E"/>
    <w:rsid w:val="007912EB"/>
    <w:rsid w:val="0079192C"/>
    <w:rsid w:val="0079232A"/>
    <w:rsid w:val="007928BC"/>
    <w:rsid w:val="00792BE7"/>
    <w:rsid w:val="00792CAB"/>
    <w:rsid w:val="00792E5C"/>
    <w:rsid w:val="00793206"/>
    <w:rsid w:val="00793537"/>
    <w:rsid w:val="00793DAB"/>
    <w:rsid w:val="00794142"/>
    <w:rsid w:val="007945E6"/>
    <w:rsid w:val="00794681"/>
    <w:rsid w:val="00794CCD"/>
    <w:rsid w:val="00794E45"/>
    <w:rsid w:val="007950AB"/>
    <w:rsid w:val="00795540"/>
    <w:rsid w:val="00796009"/>
    <w:rsid w:val="00796550"/>
    <w:rsid w:val="0079698D"/>
    <w:rsid w:val="00796AF0"/>
    <w:rsid w:val="00796BF8"/>
    <w:rsid w:val="00797A42"/>
    <w:rsid w:val="00797CDB"/>
    <w:rsid w:val="00797EFB"/>
    <w:rsid w:val="007A0054"/>
    <w:rsid w:val="007A062D"/>
    <w:rsid w:val="007A068D"/>
    <w:rsid w:val="007A09B9"/>
    <w:rsid w:val="007A0AAE"/>
    <w:rsid w:val="007A1A3A"/>
    <w:rsid w:val="007A1D13"/>
    <w:rsid w:val="007A24E4"/>
    <w:rsid w:val="007A2500"/>
    <w:rsid w:val="007A2A97"/>
    <w:rsid w:val="007A2AE2"/>
    <w:rsid w:val="007A2D7F"/>
    <w:rsid w:val="007A34F7"/>
    <w:rsid w:val="007A3DA9"/>
    <w:rsid w:val="007A3FD8"/>
    <w:rsid w:val="007A3FF5"/>
    <w:rsid w:val="007A418F"/>
    <w:rsid w:val="007A47B6"/>
    <w:rsid w:val="007A4945"/>
    <w:rsid w:val="007A51AC"/>
    <w:rsid w:val="007A5300"/>
    <w:rsid w:val="007A59FD"/>
    <w:rsid w:val="007A5DE2"/>
    <w:rsid w:val="007A5F99"/>
    <w:rsid w:val="007A66CE"/>
    <w:rsid w:val="007A6A0B"/>
    <w:rsid w:val="007A6AFA"/>
    <w:rsid w:val="007A71CE"/>
    <w:rsid w:val="007A74F2"/>
    <w:rsid w:val="007A75FC"/>
    <w:rsid w:val="007A7634"/>
    <w:rsid w:val="007A7A86"/>
    <w:rsid w:val="007B0554"/>
    <w:rsid w:val="007B0AF9"/>
    <w:rsid w:val="007B0C46"/>
    <w:rsid w:val="007B147B"/>
    <w:rsid w:val="007B1584"/>
    <w:rsid w:val="007B1B2A"/>
    <w:rsid w:val="007B1E5E"/>
    <w:rsid w:val="007B23B0"/>
    <w:rsid w:val="007B2419"/>
    <w:rsid w:val="007B2849"/>
    <w:rsid w:val="007B31DC"/>
    <w:rsid w:val="007B3396"/>
    <w:rsid w:val="007B3863"/>
    <w:rsid w:val="007B3D19"/>
    <w:rsid w:val="007B4068"/>
    <w:rsid w:val="007B4187"/>
    <w:rsid w:val="007B4349"/>
    <w:rsid w:val="007B44EC"/>
    <w:rsid w:val="007B45A4"/>
    <w:rsid w:val="007B4E30"/>
    <w:rsid w:val="007B5A7B"/>
    <w:rsid w:val="007B6188"/>
    <w:rsid w:val="007B6342"/>
    <w:rsid w:val="007B72A9"/>
    <w:rsid w:val="007B7960"/>
    <w:rsid w:val="007B7DA5"/>
    <w:rsid w:val="007C043D"/>
    <w:rsid w:val="007C0983"/>
    <w:rsid w:val="007C0A7E"/>
    <w:rsid w:val="007C1785"/>
    <w:rsid w:val="007C1AE6"/>
    <w:rsid w:val="007C2565"/>
    <w:rsid w:val="007C2C72"/>
    <w:rsid w:val="007C2E53"/>
    <w:rsid w:val="007C3039"/>
    <w:rsid w:val="007C33BD"/>
    <w:rsid w:val="007C344C"/>
    <w:rsid w:val="007C3495"/>
    <w:rsid w:val="007C36B4"/>
    <w:rsid w:val="007C38A8"/>
    <w:rsid w:val="007C5408"/>
    <w:rsid w:val="007C5A36"/>
    <w:rsid w:val="007C5B71"/>
    <w:rsid w:val="007C5B9F"/>
    <w:rsid w:val="007C5FA9"/>
    <w:rsid w:val="007C5FB3"/>
    <w:rsid w:val="007C6555"/>
    <w:rsid w:val="007C6ACE"/>
    <w:rsid w:val="007C7467"/>
    <w:rsid w:val="007C7E08"/>
    <w:rsid w:val="007D0625"/>
    <w:rsid w:val="007D0BA9"/>
    <w:rsid w:val="007D1A9A"/>
    <w:rsid w:val="007D2352"/>
    <w:rsid w:val="007D2498"/>
    <w:rsid w:val="007D2900"/>
    <w:rsid w:val="007D2B01"/>
    <w:rsid w:val="007D30F6"/>
    <w:rsid w:val="007D3F19"/>
    <w:rsid w:val="007D3F1D"/>
    <w:rsid w:val="007D4260"/>
    <w:rsid w:val="007D4A0B"/>
    <w:rsid w:val="007D51A8"/>
    <w:rsid w:val="007D5F00"/>
    <w:rsid w:val="007D722A"/>
    <w:rsid w:val="007E073F"/>
    <w:rsid w:val="007E0874"/>
    <w:rsid w:val="007E096B"/>
    <w:rsid w:val="007E0971"/>
    <w:rsid w:val="007E0F3F"/>
    <w:rsid w:val="007E0F77"/>
    <w:rsid w:val="007E1256"/>
    <w:rsid w:val="007E1278"/>
    <w:rsid w:val="007E17C3"/>
    <w:rsid w:val="007E1A6F"/>
    <w:rsid w:val="007E1ED1"/>
    <w:rsid w:val="007E2221"/>
    <w:rsid w:val="007E231E"/>
    <w:rsid w:val="007E2386"/>
    <w:rsid w:val="007E2919"/>
    <w:rsid w:val="007E2C1D"/>
    <w:rsid w:val="007E2D4F"/>
    <w:rsid w:val="007E3BA9"/>
    <w:rsid w:val="007E4123"/>
    <w:rsid w:val="007E4421"/>
    <w:rsid w:val="007E45E0"/>
    <w:rsid w:val="007E544E"/>
    <w:rsid w:val="007E58F2"/>
    <w:rsid w:val="007E6D87"/>
    <w:rsid w:val="007E6E6A"/>
    <w:rsid w:val="007E6E74"/>
    <w:rsid w:val="007E7379"/>
    <w:rsid w:val="007E755B"/>
    <w:rsid w:val="007E7C40"/>
    <w:rsid w:val="007F005D"/>
    <w:rsid w:val="007F0387"/>
    <w:rsid w:val="007F0AAF"/>
    <w:rsid w:val="007F0B33"/>
    <w:rsid w:val="007F0B57"/>
    <w:rsid w:val="007F100A"/>
    <w:rsid w:val="007F10CE"/>
    <w:rsid w:val="007F1B0F"/>
    <w:rsid w:val="007F1BA0"/>
    <w:rsid w:val="007F1C74"/>
    <w:rsid w:val="007F1F91"/>
    <w:rsid w:val="007F24DC"/>
    <w:rsid w:val="007F2BB5"/>
    <w:rsid w:val="007F2D07"/>
    <w:rsid w:val="007F2F21"/>
    <w:rsid w:val="007F3BEC"/>
    <w:rsid w:val="007F3DE9"/>
    <w:rsid w:val="007F482C"/>
    <w:rsid w:val="007F49A8"/>
    <w:rsid w:val="007F4D82"/>
    <w:rsid w:val="007F4E03"/>
    <w:rsid w:val="007F54BD"/>
    <w:rsid w:val="007F5A0F"/>
    <w:rsid w:val="007F5D81"/>
    <w:rsid w:val="007F5EF3"/>
    <w:rsid w:val="007F66CC"/>
    <w:rsid w:val="007F7187"/>
    <w:rsid w:val="007F77B2"/>
    <w:rsid w:val="007F7CC9"/>
    <w:rsid w:val="0080003F"/>
    <w:rsid w:val="00800040"/>
    <w:rsid w:val="008008CA"/>
    <w:rsid w:val="0080114F"/>
    <w:rsid w:val="008013BB"/>
    <w:rsid w:val="00801869"/>
    <w:rsid w:val="0080194C"/>
    <w:rsid w:val="00801A55"/>
    <w:rsid w:val="00801C1B"/>
    <w:rsid w:val="00801EF9"/>
    <w:rsid w:val="008028CF"/>
    <w:rsid w:val="008028DE"/>
    <w:rsid w:val="00802BD9"/>
    <w:rsid w:val="008034B5"/>
    <w:rsid w:val="00803796"/>
    <w:rsid w:val="00803B87"/>
    <w:rsid w:val="0080441D"/>
    <w:rsid w:val="00804AE9"/>
    <w:rsid w:val="00805125"/>
    <w:rsid w:val="0080517A"/>
    <w:rsid w:val="0080534B"/>
    <w:rsid w:val="00805547"/>
    <w:rsid w:val="0080559F"/>
    <w:rsid w:val="00806790"/>
    <w:rsid w:val="00806EE0"/>
    <w:rsid w:val="008075E7"/>
    <w:rsid w:val="00807784"/>
    <w:rsid w:val="0081003B"/>
    <w:rsid w:val="00810248"/>
    <w:rsid w:val="00810285"/>
    <w:rsid w:val="00810AF9"/>
    <w:rsid w:val="0081178C"/>
    <w:rsid w:val="008118EA"/>
    <w:rsid w:val="008122E9"/>
    <w:rsid w:val="00812577"/>
    <w:rsid w:val="00812B42"/>
    <w:rsid w:val="0081362B"/>
    <w:rsid w:val="008141AF"/>
    <w:rsid w:val="0081431A"/>
    <w:rsid w:val="008154FB"/>
    <w:rsid w:val="008156EE"/>
    <w:rsid w:val="0081572B"/>
    <w:rsid w:val="008159C3"/>
    <w:rsid w:val="00815C86"/>
    <w:rsid w:val="008164A5"/>
    <w:rsid w:val="00816A19"/>
    <w:rsid w:val="00816AAF"/>
    <w:rsid w:val="00816C64"/>
    <w:rsid w:val="00816DD3"/>
    <w:rsid w:val="00816E4D"/>
    <w:rsid w:val="008170AB"/>
    <w:rsid w:val="008170EE"/>
    <w:rsid w:val="008172ED"/>
    <w:rsid w:val="00817A82"/>
    <w:rsid w:val="00817DA8"/>
    <w:rsid w:val="00820059"/>
    <w:rsid w:val="0082048E"/>
    <w:rsid w:val="00820531"/>
    <w:rsid w:val="00820B22"/>
    <w:rsid w:val="00820B23"/>
    <w:rsid w:val="00820D4E"/>
    <w:rsid w:val="00821475"/>
    <w:rsid w:val="00821B8C"/>
    <w:rsid w:val="00821C93"/>
    <w:rsid w:val="00822259"/>
    <w:rsid w:val="00822406"/>
    <w:rsid w:val="00822D5F"/>
    <w:rsid w:val="008230D3"/>
    <w:rsid w:val="0082313B"/>
    <w:rsid w:val="0082399A"/>
    <w:rsid w:val="00823A9F"/>
    <w:rsid w:val="00823B60"/>
    <w:rsid w:val="0082402B"/>
    <w:rsid w:val="00824191"/>
    <w:rsid w:val="008245A4"/>
    <w:rsid w:val="00824D12"/>
    <w:rsid w:val="00824F16"/>
    <w:rsid w:val="0082511B"/>
    <w:rsid w:val="00825C30"/>
    <w:rsid w:val="00825DBD"/>
    <w:rsid w:val="0082633D"/>
    <w:rsid w:val="0082664B"/>
    <w:rsid w:val="008270F2"/>
    <w:rsid w:val="008272B5"/>
    <w:rsid w:val="008273B4"/>
    <w:rsid w:val="00827767"/>
    <w:rsid w:val="008279E7"/>
    <w:rsid w:val="00827BA9"/>
    <w:rsid w:val="00827D86"/>
    <w:rsid w:val="008302A7"/>
    <w:rsid w:val="00830372"/>
    <w:rsid w:val="00830DE5"/>
    <w:rsid w:val="00830E44"/>
    <w:rsid w:val="00830E45"/>
    <w:rsid w:val="008311D4"/>
    <w:rsid w:val="0083156E"/>
    <w:rsid w:val="008319CD"/>
    <w:rsid w:val="00831B99"/>
    <w:rsid w:val="00831E54"/>
    <w:rsid w:val="008321C0"/>
    <w:rsid w:val="00832528"/>
    <w:rsid w:val="00832612"/>
    <w:rsid w:val="00832B73"/>
    <w:rsid w:val="00832E5A"/>
    <w:rsid w:val="00833545"/>
    <w:rsid w:val="008336CD"/>
    <w:rsid w:val="00834235"/>
    <w:rsid w:val="0083427D"/>
    <w:rsid w:val="00834893"/>
    <w:rsid w:val="0083497A"/>
    <w:rsid w:val="0083506B"/>
    <w:rsid w:val="008355FB"/>
    <w:rsid w:val="008367AF"/>
    <w:rsid w:val="00836842"/>
    <w:rsid w:val="00837A89"/>
    <w:rsid w:val="00840CC9"/>
    <w:rsid w:val="008414DF"/>
    <w:rsid w:val="00841F11"/>
    <w:rsid w:val="008424F5"/>
    <w:rsid w:val="00842802"/>
    <w:rsid w:val="00842C26"/>
    <w:rsid w:val="00843354"/>
    <w:rsid w:val="00844054"/>
    <w:rsid w:val="0084408F"/>
    <w:rsid w:val="00844BA8"/>
    <w:rsid w:val="00844C28"/>
    <w:rsid w:val="00844C65"/>
    <w:rsid w:val="008452A4"/>
    <w:rsid w:val="0084536F"/>
    <w:rsid w:val="008457AB"/>
    <w:rsid w:val="00845956"/>
    <w:rsid w:val="00846056"/>
    <w:rsid w:val="00846B50"/>
    <w:rsid w:val="00846CCE"/>
    <w:rsid w:val="00847294"/>
    <w:rsid w:val="008472AC"/>
    <w:rsid w:val="0084737E"/>
    <w:rsid w:val="008476E8"/>
    <w:rsid w:val="008477EE"/>
    <w:rsid w:val="008505C0"/>
    <w:rsid w:val="00850955"/>
    <w:rsid w:val="008509AD"/>
    <w:rsid w:val="00850B05"/>
    <w:rsid w:val="00850C38"/>
    <w:rsid w:val="00851703"/>
    <w:rsid w:val="0085199A"/>
    <w:rsid w:val="00852529"/>
    <w:rsid w:val="008526E9"/>
    <w:rsid w:val="008527F5"/>
    <w:rsid w:val="00852892"/>
    <w:rsid w:val="00852B33"/>
    <w:rsid w:val="00853671"/>
    <w:rsid w:val="00853818"/>
    <w:rsid w:val="00853BE8"/>
    <w:rsid w:val="00853D0C"/>
    <w:rsid w:val="008541C6"/>
    <w:rsid w:val="00854E05"/>
    <w:rsid w:val="008558F4"/>
    <w:rsid w:val="00855975"/>
    <w:rsid w:val="00855ECC"/>
    <w:rsid w:val="008563E0"/>
    <w:rsid w:val="00856826"/>
    <w:rsid w:val="00856A6C"/>
    <w:rsid w:val="00857547"/>
    <w:rsid w:val="0085759F"/>
    <w:rsid w:val="008579BE"/>
    <w:rsid w:val="00857B29"/>
    <w:rsid w:val="00857BD1"/>
    <w:rsid w:val="008601A6"/>
    <w:rsid w:val="008602B1"/>
    <w:rsid w:val="0086096A"/>
    <w:rsid w:val="00860A43"/>
    <w:rsid w:val="00860F34"/>
    <w:rsid w:val="008613C7"/>
    <w:rsid w:val="008616E0"/>
    <w:rsid w:val="00862487"/>
    <w:rsid w:val="00863669"/>
    <w:rsid w:val="00863CF7"/>
    <w:rsid w:val="00863DC9"/>
    <w:rsid w:val="0086423C"/>
    <w:rsid w:val="00864C2A"/>
    <w:rsid w:val="008653F3"/>
    <w:rsid w:val="0086576B"/>
    <w:rsid w:val="00865C26"/>
    <w:rsid w:val="00865EFB"/>
    <w:rsid w:val="008662D4"/>
    <w:rsid w:val="00866310"/>
    <w:rsid w:val="00866539"/>
    <w:rsid w:val="00866CB2"/>
    <w:rsid w:val="00866D2E"/>
    <w:rsid w:val="00866D5E"/>
    <w:rsid w:val="008678AD"/>
    <w:rsid w:val="00870164"/>
    <w:rsid w:val="00870336"/>
    <w:rsid w:val="008707AC"/>
    <w:rsid w:val="00870EB4"/>
    <w:rsid w:val="008711F2"/>
    <w:rsid w:val="00871363"/>
    <w:rsid w:val="008714C8"/>
    <w:rsid w:val="008716FE"/>
    <w:rsid w:val="0087175F"/>
    <w:rsid w:val="00871E31"/>
    <w:rsid w:val="0087337B"/>
    <w:rsid w:val="00873596"/>
    <w:rsid w:val="008743E7"/>
    <w:rsid w:val="008745B3"/>
    <w:rsid w:val="0087466D"/>
    <w:rsid w:val="0087484F"/>
    <w:rsid w:val="00874C67"/>
    <w:rsid w:val="00874CFB"/>
    <w:rsid w:val="00874EDF"/>
    <w:rsid w:val="00874FFF"/>
    <w:rsid w:val="008751CD"/>
    <w:rsid w:val="00875E52"/>
    <w:rsid w:val="00875EC3"/>
    <w:rsid w:val="00876340"/>
    <w:rsid w:val="00876EE3"/>
    <w:rsid w:val="00876F2B"/>
    <w:rsid w:val="00876FD1"/>
    <w:rsid w:val="00877086"/>
    <w:rsid w:val="0087750E"/>
    <w:rsid w:val="00877854"/>
    <w:rsid w:val="00877FD1"/>
    <w:rsid w:val="008800A7"/>
    <w:rsid w:val="00880155"/>
    <w:rsid w:val="008805ED"/>
    <w:rsid w:val="008806E5"/>
    <w:rsid w:val="00880D79"/>
    <w:rsid w:val="00880E37"/>
    <w:rsid w:val="0088139E"/>
    <w:rsid w:val="008813BA"/>
    <w:rsid w:val="00881A88"/>
    <w:rsid w:val="00881C12"/>
    <w:rsid w:val="00881C84"/>
    <w:rsid w:val="00881CE7"/>
    <w:rsid w:val="00881FDE"/>
    <w:rsid w:val="008823DB"/>
    <w:rsid w:val="008824FB"/>
    <w:rsid w:val="008831F3"/>
    <w:rsid w:val="008832B6"/>
    <w:rsid w:val="00883570"/>
    <w:rsid w:val="00883889"/>
    <w:rsid w:val="00883A1C"/>
    <w:rsid w:val="00884082"/>
    <w:rsid w:val="0088484E"/>
    <w:rsid w:val="008848AB"/>
    <w:rsid w:val="00885261"/>
    <w:rsid w:val="008858D1"/>
    <w:rsid w:val="008859E0"/>
    <w:rsid w:val="00885C25"/>
    <w:rsid w:val="00885C2F"/>
    <w:rsid w:val="0088604C"/>
    <w:rsid w:val="00886058"/>
    <w:rsid w:val="0088622E"/>
    <w:rsid w:val="00886364"/>
    <w:rsid w:val="008865FB"/>
    <w:rsid w:val="00886A3D"/>
    <w:rsid w:val="00886DC3"/>
    <w:rsid w:val="00886EC7"/>
    <w:rsid w:val="0088709A"/>
    <w:rsid w:val="008873BC"/>
    <w:rsid w:val="00887570"/>
    <w:rsid w:val="00887F03"/>
    <w:rsid w:val="008901C5"/>
    <w:rsid w:val="00890647"/>
    <w:rsid w:val="008913B1"/>
    <w:rsid w:val="0089224B"/>
    <w:rsid w:val="0089238A"/>
    <w:rsid w:val="00893060"/>
    <w:rsid w:val="00893291"/>
    <w:rsid w:val="008934C2"/>
    <w:rsid w:val="00893C5F"/>
    <w:rsid w:val="00893E72"/>
    <w:rsid w:val="00893FF2"/>
    <w:rsid w:val="008944C0"/>
    <w:rsid w:val="00894AAE"/>
    <w:rsid w:val="008955AF"/>
    <w:rsid w:val="00895677"/>
    <w:rsid w:val="008957B1"/>
    <w:rsid w:val="00896051"/>
    <w:rsid w:val="00896270"/>
    <w:rsid w:val="008962F9"/>
    <w:rsid w:val="008968A1"/>
    <w:rsid w:val="00896EEB"/>
    <w:rsid w:val="00897073"/>
    <w:rsid w:val="00897119"/>
    <w:rsid w:val="00897536"/>
    <w:rsid w:val="00897760"/>
    <w:rsid w:val="008978C4"/>
    <w:rsid w:val="008979B0"/>
    <w:rsid w:val="00897BB6"/>
    <w:rsid w:val="008A046A"/>
    <w:rsid w:val="008A0586"/>
    <w:rsid w:val="008A0588"/>
    <w:rsid w:val="008A082F"/>
    <w:rsid w:val="008A0B7D"/>
    <w:rsid w:val="008A0E10"/>
    <w:rsid w:val="008A1DEC"/>
    <w:rsid w:val="008A1E3F"/>
    <w:rsid w:val="008A1F4E"/>
    <w:rsid w:val="008A230F"/>
    <w:rsid w:val="008A2457"/>
    <w:rsid w:val="008A25F7"/>
    <w:rsid w:val="008A287F"/>
    <w:rsid w:val="008A2B94"/>
    <w:rsid w:val="008A3110"/>
    <w:rsid w:val="008A3507"/>
    <w:rsid w:val="008A3C21"/>
    <w:rsid w:val="008A49F3"/>
    <w:rsid w:val="008A4AAF"/>
    <w:rsid w:val="008A4B88"/>
    <w:rsid w:val="008A55B4"/>
    <w:rsid w:val="008A659A"/>
    <w:rsid w:val="008A7547"/>
    <w:rsid w:val="008A774C"/>
    <w:rsid w:val="008A7BA0"/>
    <w:rsid w:val="008A7CFF"/>
    <w:rsid w:val="008A7DBA"/>
    <w:rsid w:val="008A7E2A"/>
    <w:rsid w:val="008B0CD5"/>
    <w:rsid w:val="008B1280"/>
    <w:rsid w:val="008B1463"/>
    <w:rsid w:val="008B16D2"/>
    <w:rsid w:val="008B1AAC"/>
    <w:rsid w:val="008B1C1A"/>
    <w:rsid w:val="008B21A1"/>
    <w:rsid w:val="008B222A"/>
    <w:rsid w:val="008B3199"/>
    <w:rsid w:val="008B38D1"/>
    <w:rsid w:val="008B3DAC"/>
    <w:rsid w:val="008B3DC2"/>
    <w:rsid w:val="008B435B"/>
    <w:rsid w:val="008B4564"/>
    <w:rsid w:val="008B45B6"/>
    <w:rsid w:val="008B4646"/>
    <w:rsid w:val="008B4B42"/>
    <w:rsid w:val="008B4E9F"/>
    <w:rsid w:val="008B4FCF"/>
    <w:rsid w:val="008B4FE0"/>
    <w:rsid w:val="008B5428"/>
    <w:rsid w:val="008B57EB"/>
    <w:rsid w:val="008B586B"/>
    <w:rsid w:val="008B5A53"/>
    <w:rsid w:val="008B5FBF"/>
    <w:rsid w:val="008B64E0"/>
    <w:rsid w:val="008B65C5"/>
    <w:rsid w:val="008B663D"/>
    <w:rsid w:val="008B66FD"/>
    <w:rsid w:val="008B6763"/>
    <w:rsid w:val="008B67A4"/>
    <w:rsid w:val="008B695E"/>
    <w:rsid w:val="008B7113"/>
    <w:rsid w:val="008B7A99"/>
    <w:rsid w:val="008B7D76"/>
    <w:rsid w:val="008B7DBD"/>
    <w:rsid w:val="008C0179"/>
    <w:rsid w:val="008C02E2"/>
    <w:rsid w:val="008C045D"/>
    <w:rsid w:val="008C086B"/>
    <w:rsid w:val="008C1B95"/>
    <w:rsid w:val="008C2064"/>
    <w:rsid w:val="008C20F9"/>
    <w:rsid w:val="008C2588"/>
    <w:rsid w:val="008C25A2"/>
    <w:rsid w:val="008C25EE"/>
    <w:rsid w:val="008C3CE9"/>
    <w:rsid w:val="008C3F74"/>
    <w:rsid w:val="008C4190"/>
    <w:rsid w:val="008C46AF"/>
    <w:rsid w:val="008C4AD2"/>
    <w:rsid w:val="008C5034"/>
    <w:rsid w:val="008C59C3"/>
    <w:rsid w:val="008C5BEC"/>
    <w:rsid w:val="008C66B5"/>
    <w:rsid w:val="008C6762"/>
    <w:rsid w:val="008C6AB6"/>
    <w:rsid w:val="008C71CE"/>
    <w:rsid w:val="008C7889"/>
    <w:rsid w:val="008C7B61"/>
    <w:rsid w:val="008D0B9E"/>
    <w:rsid w:val="008D0D35"/>
    <w:rsid w:val="008D0FE0"/>
    <w:rsid w:val="008D1237"/>
    <w:rsid w:val="008D123B"/>
    <w:rsid w:val="008D19B3"/>
    <w:rsid w:val="008D19DC"/>
    <w:rsid w:val="008D1B37"/>
    <w:rsid w:val="008D2150"/>
    <w:rsid w:val="008D2160"/>
    <w:rsid w:val="008D2863"/>
    <w:rsid w:val="008D2B08"/>
    <w:rsid w:val="008D2B8E"/>
    <w:rsid w:val="008D2CAE"/>
    <w:rsid w:val="008D2F81"/>
    <w:rsid w:val="008D3944"/>
    <w:rsid w:val="008D3FCB"/>
    <w:rsid w:val="008D48E4"/>
    <w:rsid w:val="008D504C"/>
    <w:rsid w:val="008D5DF1"/>
    <w:rsid w:val="008D6224"/>
    <w:rsid w:val="008D6A4E"/>
    <w:rsid w:val="008D6E96"/>
    <w:rsid w:val="008D6EE5"/>
    <w:rsid w:val="008D7120"/>
    <w:rsid w:val="008D7130"/>
    <w:rsid w:val="008D75CB"/>
    <w:rsid w:val="008E0083"/>
    <w:rsid w:val="008E0504"/>
    <w:rsid w:val="008E0814"/>
    <w:rsid w:val="008E1533"/>
    <w:rsid w:val="008E168D"/>
    <w:rsid w:val="008E257F"/>
    <w:rsid w:val="008E28FB"/>
    <w:rsid w:val="008E2973"/>
    <w:rsid w:val="008E2A63"/>
    <w:rsid w:val="008E2D95"/>
    <w:rsid w:val="008E3576"/>
    <w:rsid w:val="008E4606"/>
    <w:rsid w:val="008E4749"/>
    <w:rsid w:val="008E4D10"/>
    <w:rsid w:val="008E51F7"/>
    <w:rsid w:val="008E5CE8"/>
    <w:rsid w:val="008E5D3B"/>
    <w:rsid w:val="008E5EB8"/>
    <w:rsid w:val="008E6470"/>
    <w:rsid w:val="008E6C72"/>
    <w:rsid w:val="008E6D37"/>
    <w:rsid w:val="008E7469"/>
    <w:rsid w:val="008E789B"/>
    <w:rsid w:val="008F0268"/>
    <w:rsid w:val="008F0695"/>
    <w:rsid w:val="008F0837"/>
    <w:rsid w:val="008F11A1"/>
    <w:rsid w:val="008F1F15"/>
    <w:rsid w:val="008F20D9"/>
    <w:rsid w:val="008F2268"/>
    <w:rsid w:val="008F23A1"/>
    <w:rsid w:val="008F2531"/>
    <w:rsid w:val="008F312E"/>
    <w:rsid w:val="008F366C"/>
    <w:rsid w:val="008F39FC"/>
    <w:rsid w:val="008F42A9"/>
    <w:rsid w:val="008F4774"/>
    <w:rsid w:val="008F49E9"/>
    <w:rsid w:val="008F5721"/>
    <w:rsid w:val="008F587E"/>
    <w:rsid w:val="008F59DA"/>
    <w:rsid w:val="008F5BC3"/>
    <w:rsid w:val="008F5BF3"/>
    <w:rsid w:val="008F5C4B"/>
    <w:rsid w:val="008F601E"/>
    <w:rsid w:val="008F602E"/>
    <w:rsid w:val="008F6110"/>
    <w:rsid w:val="008F6882"/>
    <w:rsid w:val="008F68C3"/>
    <w:rsid w:val="008F6AC9"/>
    <w:rsid w:val="008F6BF1"/>
    <w:rsid w:val="008F7078"/>
    <w:rsid w:val="008F7A9F"/>
    <w:rsid w:val="00900207"/>
    <w:rsid w:val="00900A1E"/>
    <w:rsid w:val="00900CB9"/>
    <w:rsid w:val="0090204D"/>
    <w:rsid w:val="009020C5"/>
    <w:rsid w:val="0090272C"/>
    <w:rsid w:val="00902D30"/>
    <w:rsid w:val="0090358A"/>
    <w:rsid w:val="00903607"/>
    <w:rsid w:val="00903A1A"/>
    <w:rsid w:val="00903AF9"/>
    <w:rsid w:val="00903BE8"/>
    <w:rsid w:val="00903C30"/>
    <w:rsid w:val="00904193"/>
    <w:rsid w:val="009042CD"/>
    <w:rsid w:val="0090433F"/>
    <w:rsid w:val="00904512"/>
    <w:rsid w:val="0090454B"/>
    <w:rsid w:val="00904F4A"/>
    <w:rsid w:val="009053BB"/>
    <w:rsid w:val="00905546"/>
    <w:rsid w:val="009055F8"/>
    <w:rsid w:val="00905DE9"/>
    <w:rsid w:val="00905EAD"/>
    <w:rsid w:val="00906153"/>
    <w:rsid w:val="00906437"/>
    <w:rsid w:val="0090660D"/>
    <w:rsid w:val="0090665A"/>
    <w:rsid w:val="009069D9"/>
    <w:rsid w:val="0090771D"/>
    <w:rsid w:val="009079B7"/>
    <w:rsid w:val="00907FDA"/>
    <w:rsid w:val="009105DF"/>
    <w:rsid w:val="00910981"/>
    <w:rsid w:val="00910CC1"/>
    <w:rsid w:val="00911006"/>
    <w:rsid w:val="00911367"/>
    <w:rsid w:val="0091161C"/>
    <w:rsid w:val="0091174B"/>
    <w:rsid w:val="00911A21"/>
    <w:rsid w:val="009120F8"/>
    <w:rsid w:val="00912195"/>
    <w:rsid w:val="009126F7"/>
    <w:rsid w:val="00912A2D"/>
    <w:rsid w:val="00913314"/>
    <w:rsid w:val="009133AE"/>
    <w:rsid w:val="0091361A"/>
    <w:rsid w:val="00913B88"/>
    <w:rsid w:val="00914048"/>
    <w:rsid w:val="0091484A"/>
    <w:rsid w:val="009148C2"/>
    <w:rsid w:val="009149DA"/>
    <w:rsid w:val="00914FAF"/>
    <w:rsid w:val="009153BA"/>
    <w:rsid w:val="0091576F"/>
    <w:rsid w:val="00915B07"/>
    <w:rsid w:val="00916409"/>
    <w:rsid w:val="0091656F"/>
    <w:rsid w:val="0091673E"/>
    <w:rsid w:val="0091704D"/>
    <w:rsid w:val="0091779C"/>
    <w:rsid w:val="00917B78"/>
    <w:rsid w:val="009205EC"/>
    <w:rsid w:val="00921D80"/>
    <w:rsid w:val="00921F15"/>
    <w:rsid w:val="00922C20"/>
    <w:rsid w:val="00922D6D"/>
    <w:rsid w:val="009235C1"/>
    <w:rsid w:val="009235DB"/>
    <w:rsid w:val="009236E4"/>
    <w:rsid w:val="009239DD"/>
    <w:rsid w:val="00923DC8"/>
    <w:rsid w:val="0092427D"/>
    <w:rsid w:val="0092442A"/>
    <w:rsid w:val="00924771"/>
    <w:rsid w:val="009247DA"/>
    <w:rsid w:val="009247ED"/>
    <w:rsid w:val="00924B1A"/>
    <w:rsid w:val="00924F9F"/>
    <w:rsid w:val="00925533"/>
    <w:rsid w:val="00925D1D"/>
    <w:rsid w:val="00926A18"/>
    <w:rsid w:val="00926BC3"/>
    <w:rsid w:val="009272B0"/>
    <w:rsid w:val="009275C3"/>
    <w:rsid w:val="0092785B"/>
    <w:rsid w:val="00927EBD"/>
    <w:rsid w:val="00930003"/>
    <w:rsid w:val="00930106"/>
    <w:rsid w:val="00930245"/>
    <w:rsid w:val="00930398"/>
    <w:rsid w:val="00931583"/>
    <w:rsid w:val="00932319"/>
    <w:rsid w:val="0093244D"/>
    <w:rsid w:val="00932489"/>
    <w:rsid w:val="00932AAD"/>
    <w:rsid w:val="009335FD"/>
    <w:rsid w:val="00933B31"/>
    <w:rsid w:val="00933FF0"/>
    <w:rsid w:val="00934DCE"/>
    <w:rsid w:val="0093519D"/>
    <w:rsid w:val="00935669"/>
    <w:rsid w:val="00935986"/>
    <w:rsid w:val="00935C18"/>
    <w:rsid w:val="00936C52"/>
    <w:rsid w:val="00936F9F"/>
    <w:rsid w:val="0093726D"/>
    <w:rsid w:val="00937ADE"/>
    <w:rsid w:val="00940340"/>
    <w:rsid w:val="009406ED"/>
    <w:rsid w:val="00940C70"/>
    <w:rsid w:val="00940E1A"/>
    <w:rsid w:val="00941158"/>
    <w:rsid w:val="009415FF"/>
    <w:rsid w:val="00941D96"/>
    <w:rsid w:val="00941F29"/>
    <w:rsid w:val="0094203B"/>
    <w:rsid w:val="009423EE"/>
    <w:rsid w:val="0094253C"/>
    <w:rsid w:val="009433D3"/>
    <w:rsid w:val="0094362D"/>
    <w:rsid w:val="00943634"/>
    <w:rsid w:val="009438AD"/>
    <w:rsid w:val="00943AA3"/>
    <w:rsid w:val="00944318"/>
    <w:rsid w:val="00944A2A"/>
    <w:rsid w:val="00944DA1"/>
    <w:rsid w:val="00944EE3"/>
    <w:rsid w:val="0094514B"/>
    <w:rsid w:val="00945461"/>
    <w:rsid w:val="009457BB"/>
    <w:rsid w:val="009467F2"/>
    <w:rsid w:val="00946DCD"/>
    <w:rsid w:val="00947694"/>
    <w:rsid w:val="00947699"/>
    <w:rsid w:val="00947913"/>
    <w:rsid w:val="00947C15"/>
    <w:rsid w:val="00947FD9"/>
    <w:rsid w:val="009501E3"/>
    <w:rsid w:val="00950463"/>
    <w:rsid w:val="009504EF"/>
    <w:rsid w:val="009508ED"/>
    <w:rsid w:val="00951190"/>
    <w:rsid w:val="0095133F"/>
    <w:rsid w:val="0095144A"/>
    <w:rsid w:val="00951CC7"/>
    <w:rsid w:val="00951F69"/>
    <w:rsid w:val="0095237A"/>
    <w:rsid w:val="009524DE"/>
    <w:rsid w:val="00952718"/>
    <w:rsid w:val="00952C26"/>
    <w:rsid w:val="00952D80"/>
    <w:rsid w:val="009534E5"/>
    <w:rsid w:val="00953796"/>
    <w:rsid w:val="00953A52"/>
    <w:rsid w:val="00954111"/>
    <w:rsid w:val="00954D76"/>
    <w:rsid w:val="00954E27"/>
    <w:rsid w:val="00954F29"/>
    <w:rsid w:val="0095551A"/>
    <w:rsid w:val="009555CE"/>
    <w:rsid w:val="009560F2"/>
    <w:rsid w:val="0095615A"/>
    <w:rsid w:val="009562CC"/>
    <w:rsid w:val="009563EE"/>
    <w:rsid w:val="00956BA3"/>
    <w:rsid w:val="00956E3C"/>
    <w:rsid w:val="0095745C"/>
    <w:rsid w:val="00957D8E"/>
    <w:rsid w:val="00957E1F"/>
    <w:rsid w:val="009600B6"/>
    <w:rsid w:val="009600DD"/>
    <w:rsid w:val="009602C5"/>
    <w:rsid w:val="009604B4"/>
    <w:rsid w:val="0096059F"/>
    <w:rsid w:val="009608C7"/>
    <w:rsid w:val="00960C1A"/>
    <w:rsid w:val="0096114C"/>
    <w:rsid w:val="0096119C"/>
    <w:rsid w:val="009614E5"/>
    <w:rsid w:val="00962170"/>
    <w:rsid w:val="009623C4"/>
    <w:rsid w:val="0096250D"/>
    <w:rsid w:val="00962900"/>
    <w:rsid w:val="00962D37"/>
    <w:rsid w:val="00962FE1"/>
    <w:rsid w:val="009638BE"/>
    <w:rsid w:val="00963BBD"/>
    <w:rsid w:val="00964068"/>
    <w:rsid w:val="009640D6"/>
    <w:rsid w:val="00964212"/>
    <w:rsid w:val="00964477"/>
    <w:rsid w:val="00964EF7"/>
    <w:rsid w:val="0096576A"/>
    <w:rsid w:val="00966E28"/>
    <w:rsid w:val="00967327"/>
    <w:rsid w:val="00967A2E"/>
    <w:rsid w:val="00967F86"/>
    <w:rsid w:val="00970B46"/>
    <w:rsid w:val="00971296"/>
    <w:rsid w:val="00971357"/>
    <w:rsid w:val="009715E2"/>
    <w:rsid w:val="00971AB1"/>
    <w:rsid w:val="00971B1A"/>
    <w:rsid w:val="00971C63"/>
    <w:rsid w:val="00972014"/>
    <w:rsid w:val="00972282"/>
    <w:rsid w:val="0097339D"/>
    <w:rsid w:val="009739D8"/>
    <w:rsid w:val="00973B0F"/>
    <w:rsid w:val="009743F9"/>
    <w:rsid w:val="00974907"/>
    <w:rsid w:val="0097536D"/>
    <w:rsid w:val="009758FE"/>
    <w:rsid w:val="009759D3"/>
    <w:rsid w:val="00975B68"/>
    <w:rsid w:val="009765F7"/>
    <w:rsid w:val="0097715F"/>
    <w:rsid w:val="0097760A"/>
    <w:rsid w:val="009777AD"/>
    <w:rsid w:val="009778C9"/>
    <w:rsid w:val="00977ACB"/>
    <w:rsid w:val="00977CE6"/>
    <w:rsid w:val="009810BD"/>
    <w:rsid w:val="009815B9"/>
    <w:rsid w:val="00981D7F"/>
    <w:rsid w:val="00982D61"/>
    <w:rsid w:val="00982FD1"/>
    <w:rsid w:val="00983AEE"/>
    <w:rsid w:val="00983FAF"/>
    <w:rsid w:val="00984A37"/>
    <w:rsid w:val="00984C0C"/>
    <w:rsid w:val="00984D27"/>
    <w:rsid w:val="00984D69"/>
    <w:rsid w:val="00984F8C"/>
    <w:rsid w:val="009853B3"/>
    <w:rsid w:val="009854C6"/>
    <w:rsid w:val="0098596F"/>
    <w:rsid w:val="00985A64"/>
    <w:rsid w:val="00985C3D"/>
    <w:rsid w:val="00985D31"/>
    <w:rsid w:val="00985D35"/>
    <w:rsid w:val="0098637B"/>
    <w:rsid w:val="00986F57"/>
    <w:rsid w:val="00986FD7"/>
    <w:rsid w:val="009871C5"/>
    <w:rsid w:val="00987288"/>
    <w:rsid w:val="00987727"/>
    <w:rsid w:val="0098777E"/>
    <w:rsid w:val="009877F7"/>
    <w:rsid w:val="009901A4"/>
    <w:rsid w:val="009903D2"/>
    <w:rsid w:val="009906F0"/>
    <w:rsid w:val="00990708"/>
    <w:rsid w:val="00991E53"/>
    <w:rsid w:val="00992165"/>
    <w:rsid w:val="0099271D"/>
    <w:rsid w:val="00993880"/>
    <w:rsid w:val="0099391E"/>
    <w:rsid w:val="00993A0B"/>
    <w:rsid w:val="00993A69"/>
    <w:rsid w:val="00993B49"/>
    <w:rsid w:val="0099470D"/>
    <w:rsid w:val="00995345"/>
    <w:rsid w:val="00995388"/>
    <w:rsid w:val="00995730"/>
    <w:rsid w:val="00995DD3"/>
    <w:rsid w:val="00996283"/>
    <w:rsid w:val="00996D8D"/>
    <w:rsid w:val="0099741C"/>
    <w:rsid w:val="00997C86"/>
    <w:rsid w:val="009A01A4"/>
    <w:rsid w:val="009A0769"/>
    <w:rsid w:val="009A0E04"/>
    <w:rsid w:val="009A1163"/>
    <w:rsid w:val="009A16AC"/>
    <w:rsid w:val="009A1F39"/>
    <w:rsid w:val="009A21DD"/>
    <w:rsid w:val="009A2899"/>
    <w:rsid w:val="009A2C1D"/>
    <w:rsid w:val="009A30A6"/>
    <w:rsid w:val="009A3128"/>
    <w:rsid w:val="009A3192"/>
    <w:rsid w:val="009A398A"/>
    <w:rsid w:val="009A3A87"/>
    <w:rsid w:val="009A3AF8"/>
    <w:rsid w:val="009A3B1A"/>
    <w:rsid w:val="009A48B5"/>
    <w:rsid w:val="009A4BFD"/>
    <w:rsid w:val="009A521E"/>
    <w:rsid w:val="009A5292"/>
    <w:rsid w:val="009A5616"/>
    <w:rsid w:val="009A58FD"/>
    <w:rsid w:val="009A5B50"/>
    <w:rsid w:val="009A660A"/>
    <w:rsid w:val="009A6D98"/>
    <w:rsid w:val="009A70F4"/>
    <w:rsid w:val="009A7524"/>
    <w:rsid w:val="009A7DF5"/>
    <w:rsid w:val="009B0095"/>
    <w:rsid w:val="009B00B7"/>
    <w:rsid w:val="009B059E"/>
    <w:rsid w:val="009B09CF"/>
    <w:rsid w:val="009B0E1B"/>
    <w:rsid w:val="009B0EFC"/>
    <w:rsid w:val="009B12B8"/>
    <w:rsid w:val="009B13B2"/>
    <w:rsid w:val="009B1477"/>
    <w:rsid w:val="009B1517"/>
    <w:rsid w:val="009B171A"/>
    <w:rsid w:val="009B1F5A"/>
    <w:rsid w:val="009B30B2"/>
    <w:rsid w:val="009B30E4"/>
    <w:rsid w:val="009B3488"/>
    <w:rsid w:val="009B36EF"/>
    <w:rsid w:val="009B3732"/>
    <w:rsid w:val="009B38D1"/>
    <w:rsid w:val="009B395E"/>
    <w:rsid w:val="009B3D70"/>
    <w:rsid w:val="009B3EC7"/>
    <w:rsid w:val="009B4734"/>
    <w:rsid w:val="009B4CBC"/>
    <w:rsid w:val="009B5151"/>
    <w:rsid w:val="009B5BB2"/>
    <w:rsid w:val="009B667E"/>
    <w:rsid w:val="009B703A"/>
    <w:rsid w:val="009B7213"/>
    <w:rsid w:val="009B7858"/>
    <w:rsid w:val="009C039D"/>
    <w:rsid w:val="009C05FD"/>
    <w:rsid w:val="009C0725"/>
    <w:rsid w:val="009C0A44"/>
    <w:rsid w:val="009C1FF5"/>
    <w:rsid w:val="009C21A5"/>
    <w:rsid w:val="009C2205"/>
    <w:rsid w:val="009C244E"/>
    <w:rsid w:val="009C28C3"/>
    <w:rsid w:val="009C2C98"/>
    <w:rsid w:val="009C2E2E"/>
    <w:rsid w:val="009C32AE"/>
    <w:rsid w:val="009C3533"/>
    <w:rsid w:val="009C3833"/>
    <w:rsid w:val="009C4080"/>
    <w:rsid w:val="009C4324"/>
    <w:rsid w:val="009C52ED"/>
    <w:rsid w:val="009C53DC"/>
    <w:rsid w:val="009C55AE"/>
    <w:rsid w:val="009C5BAD"/>
    <w:rsid w:val="009C5D9C"/>
    <w:rsid w:val="009C718A"/>
    <w:rsid w:val="009C71C9"/>
    <w:rsid w:val="009C772F"/>
    <w:rsid w:val="009C77CA"/>
    <w:rsid w:val="009C7A44"/>
    <w:rsid w:val="009C7D17"/>
    <w:rsid w:val="009C7DDD"/>
    <w:rsid w:val="009D02ED"/>
    <w:rsid w:val="009D0626"/>
    <w:rsid w:val="009D0C30"/>
    <w:rsid w:val="009D0F16"/>
    <w:rsid w:val="009D15A2"/>
    <w:rsid w:val="009D1E5B"/>
    <w:rsid w:val="009D1F93"/>
    <w:rsid w:val="009D2171"/>
    <w:rsid w:val="009D27BD"/>
    <w:rsid w:val="009D290C"/>
    <w:rsid w:val="009D2BF7"/>
    <w:rsid w:val="009D36D0"/>
    <w:rsid w:val="009D40A2"/>
    <w:rsid w:val="009D422B"/>
    <w:rsid w:val="009D4279"/>
    <w:rsid w:val="009D4953"/>
    <w:rsid w:val="009D564E"/>
    <w:rsid w:val="009D66CB"/>
    <w:rsid w:val="009D6743"/>
    <w:rsid w:val="009D67C5"/>
    <w:rsid w:val="009D6956"/>
    <w:rsid w:val="009D69EB"/>
    <w:rsid w:val="009D6C0C"/>
    <w:rsid w:val="009D6C3B"/>
    <w:rsid w:val="009D72D1"/>
    <w:rsid w:val="009D74A7"/>
    <w:rsid w:val="009D7ACB"/>
    <w:rsid w:val="009D7CDB"/>
    <w:rsid w:val="009D7E1E"/>
    <w:rsid w:val="009D7F69"/>
    <w:rsid w:val="009E0AFE"/>
    <w:rsid w:val="009E0FA6"/>
    <w:rsid w:val="009E1D6A"/>
    <w:rsid w:val="009E23D2"/>
    <w:rsid w:val="009E2894"/>
    <w:rsid w:val="009E28F7"/>
    <w:rsid w:val="009E28F8"/>
    <w:rsid w:val="009E2B1D"/>
    <w:rsid w:val="009E3C4D"/>
    <w:rsid w:val="009E433D"/>
    <w:rsid w:val="009E4379"/>
    <w:rsid w:val="009E4483"/>
    <w:rsid w:val="009E5300"/>
    <w:rsid w:val="009E5593"/>
    <w:rsid w:val="009E6908"/>
    <w:rsid w:val="009E69AE"/>
    <w:rsid w:val="009E69C2"/>
    <w:rsid w:val="009E6C62"/>
    <w:rsid w:val="009E74FA"/>
    <w:rsid w:val="009E75AF"/>
    <w:rsid w:val="009F0364"/>
    <w:rsid w:val="009F07A9"/>
    <w:rsid w:val="009F08F6"/>
    <w:rsid w:val="009F0927"/>
    <w:rsid w:val="009F0B2A"/>
    <w:rsid w:val="009F1534"/>
    <w:rsid w:val="009F19DE"/>
    <w:rsid w:val="009F1B83"/>
    <w:rsid w:val="009F1C08"/>
    <w:rsid w:val="009F21A0"/>
    <w:rsid w:val="009F2331"/>
    <w:rsid w:val="009F26ED"/>
    <w:rsid w:val="009F2C7D"/>
    <w:rsid w:val="009F2D1E"/>
    <w:rsid w:val="009F35A4"/>
    <w:rsid w:val="009F3A25"/>
    <w:rsid w:val="009F3CF4"/>
    <w:rsid w:val="009F45F7"/>
    <w:rsid w:val="009F4698"/>
    <w:rsid w:val="009F4763"/>
    <w:rsid w:val="009F5173"/>
    <w:rsid w:val="009F560E"/>
    <w:rsid w:val="009F5D72"/>
    <w:rsid w:val="009F6247"/>
    <w:rsid w:val="009F6381"/>
    <w:rsid w:val="009F6620"/>
    <w:rsid w:val="009F69C4"/>
    <w:rsid w:val="009F6F73"/>
    <w:rsid w:val="009F70F3"/>
    <w:rsid w:val="009F76CA"/>
    <w:rsid w:val="00A00632"/>
    <w:rsid w:val="00A0082B"/>
    <w:rsid w:val="00A01586"/>
    <w:rsid w:val="00A017A0"/>
    <w:rsid w:val="00A018C6"/>
    <w:rsid w:val="00A01DAD"/>
    <w:rsid w:val="00A02E4A"/>
    <w:rsid w:val="00A035AB"/>
    <w:rsid w:val="00A03BB4"/>
    <w:rsid w:val="00A03FC0"/>
    <w:rsid w:val="00A0457B"/>
    <w:rsid w:val="00A04ED6"/>
    <w:rsid w:val="00A0550D"/>
    <w:rsid w:val="00A05B44"/>
    <w:rsid w:val="00A06A8A"/>
    <w:rsid w:val="00A06DFB"/>
    <w:rsid w:val="00A07AAE"/>
    <w:rsid w:val="00A07BA4"/>
    <w:rsid w:val="00A07F3A"/>
    <w:rsid w:val="00A07FA9"/>
    <w:rsid w:val="00A106EA"/>
    <w:rsid w:val="00A10AFB"/>
    <w:rsid w:val="00A10D0B"/>
    <w:rsid w:val="00A1168F"/>
    <w:rsid w:val="00A12164"/>
    <w:rsid w:val="00A12888"/>
    <w:rsid w:val="00A12F1A"/>
    <w:rsid w:val="00A13039"/>
    <w:rsid w:val="00A13521"/>
    <w:rsid w:val="00A135C7"/>
    <w:rsid w:val="00A14349"/>
    <w:rsid w:val="00A148B9"/>
    <w:rsid w:val="00A1497B"/>
    <w:rsid w:val="00A14C27"/>
    <w:rsid w:val="00A14C5D"/>
    <w:rsid w:val="00A14D13"/>
    <w:rsid w:val="00A1593D"/>
    <w:rsid w:val="00A15A00"/>
    <w:rsid w:val="00A164E2"/>
    <w:rsid w:val="00A16884"/>
    <w:rsid w:val="00A168B5"/>
    <w:rsid w:val="00A16BF9"/>
    <w:rsid w:val="00A1741F"/>
    <w:rsid w:val="00A204FE"/>
    <w:rsid w:val="00A20604"/>
    <w:rsid w:val="00A208DF"/>
    <w:rsid w:val="00A20CB4"/>
    <w:rsid w:val="00A20DFC"/>
    <w:rsid w:val="00A213DA"/>
    <w:rsid w:val="00A2140F"/>
    <w:rsid w:val="00A2142A"/>
    <w:rsid w:val="00A220FC"/>
    <w:rsid w:val="00A2225A"/>
    <w:rsid w:val="00A23640"/>
    <w:rsid w:val="00A23BD0"/>
    <w:rsid w:val="00A23FB3"/>
    <w:rsid w:val="00A243B3"/>
    <w:rsid w:val="00A24E2C"/>
    <w:rsid w:val="00A25B32"/>
    <w:rsid w:val="00A2672C"/>
    <w:rsid w:val="00A268BA"/>
    <w:rsid w:val="00A26AD9"/>
    <w:rsid w:val="00A26D19"/>
    <w:rsid w:val="00A26D8E"/>
    <w:rsid w:val="00A27147"/>
    <w:rsid w:val="00A27248"/>
    <w:rsid w:val="00A273F7"/>
    <w:rsid w:val="00A277D9"/>
    <w:rsid w:val="00A27CC4"/>
    <w:rsid w:val="00A27CD4"/>
    <w:rsid w:val="00A27D46"/>
    <w:rsid w:val="00A27DD5"/>
    <w:rsid w:val="00A30115"/>
    <w:rsid w:val="00A30C5B"/>
    <w:rsid w:val="00A31823"/>
    <w:rsid w:val="00A31A18"/>
    <w:rsid w:val="00A31B46"/>
    <w:rsid w:val="00A31BD7"/>
    <w:rsid w:val="00A32FA7"/>
    <w:rsid w:val="00A33AFB"/>
    <w:rsid w:val="00A33B10"/>
    <w:rsid w:val="00A3496B"/>
    <w:rsid w:val="00A34AB3"/>
    <w:rsid w:val="00A34F67"/>
    <w:rsid w:val="00A3578D"/>
    <w:rsid w:val="00A357F0"/>
    <w:rsid w:val="00A359CF"/>
    <w:rsid w:val="00A36633"/>
    <w:rsid w:val="00A36862"/>
    <w:rsid w:val="00A36898"/>
    <w:rsid w:val="00A368CF"/>
    <w:rsid w:val="00A36CDD"/>
    <w:rsid w:val="00A36DC3"/>
    <w:rsid w:val="00A37211"/>
    <w:rsid w:val="00A373FD"/>
    <w:rsid w:val="00A40090"/>
    <w:rsid w:val="00A40996"/>
    <w:rsid w:val="00A41058"/>
    <w:rsid w:val="00A411BE"/>
    <w:rsid w:val="00A413EB"/>
    <w:rsid w:val="00A41EC6"/>
    <w:rsid w:val="00A41FA6"/>
    <w:rsid w:val="00A420BB"/>
    <w:rsid w:val="00A42B77"/>
    <w:rsid w:val="00A43101"/>
    <w:rsid w:val="00A4336B"/>
    <w:rsid w:val="00A4339C"/>
    <w:rsid w:val="00A43658"/>
    <w:rsid w:val="00A43DAB"/>
    <w:rsid w:val="00A43F45"/>
    <w:rsid w:val="00A44278"/>
    <w:rsid w:val="00A443BC"/>
    <w:rsid w:val="00A44403"/>
    <w:rsid w:val="00A44675"/>
    <w:rsid w:val="00A44748"/>
    <w:rsid w:val="00A4552E"/>
    <w:rsid w:val="00A45562"/>
    <w:rsid w:val="00A45663"/>
    <w:rsid w:val="00A45BA3"/>
    <w:rsid w:val="00A4619A"/>
    <w:rsid w:val="00A46766"/>
    <w:rsid w:val="00A4721D"/>
    <w:rsid w:val="00A47B74"/>
    <w:rsid w:val="00A47BDB"/>
    <w:rsid w:val="00A47CF3"/>
    <w:rsid w:val="00A5004B"/>
    <w:rsid w:val="00A50223"/>
    <w:rsid w:val="00A50294"/>
    <w:rsid w:val="00A5041F"/>
    <w:rsid w:val="00A5055B"/>
    <w:rsid w:val="00A50659"/>
    <w:rsid w:val="00A506F0"/>
    <w:rsid w:val="00A5155E"/>
    <w:rsid w:val="00A51D6E"/>
    <w:rsid w:val="00A52222"/>
    <w:rsid w:val="00A5227E"/>
    <w:rsid w:val="00A525E5"/>
    <w:rsid w:val="00A52A51"/>
    <w:rsid w:val="00A52B43"/>
    <w:rsid w:val="00A52D17"/>
    <w:rsid w:val="00A53FBF"/>
    <w:rsid w:val="00A5430F"/>
    <w:rsid w:val="00A55ED1"/>
    <w:rsid w:val="00A564E2"/>
    <w:rsid w:val="00A56A6F"/>
    <w:rsid w:val="00A56CB1"/>
    <w:rsid w:val="00A56D06"/>
    <w:rsid w:val="00A56F7E"/>
    <w:rsid w:val="00A57785"/>
    <w:rsid w:val="00A57956"/>
    <w:rsid w:val="00A57B73"/>
    <w:rsid w:val="00A6014A"/>
    <w:rsid w:val="00A601D2"/>
    <w:rsid w:val="00A6062E"/>
    <w:rsid w:val="00A60700"/>
    <w:rsid w:val="00A60791"/>
    <w:rsid w:val="00A607E7"/>
    <w:rsid w:val="00A609C5"/>
    <w:rsid w:val="00A60B65"/>
    <w:rsid w:val="00A61559"/>
    <w:rsid w:val="00A6155C"/>
    <w:rsid w:val="00A617FD"/>
    <w:rsid w:val="00A62247"/>
    <w:rsid w:val="00A62AE8"/>
    <w:rsid w:val="00A6314E"/>
    <w:rsid w:val="00A6344F"/>
    <w:rsid w:val="00A635DF"/>
    <w:rsid w:val="00A636CE"/>
    <w:rsid w:val="00A636D1"/>
    <w:rsid w:val="00A64E72"/>
    <w:rsid w:val="00A64F40"/>
    <w:rsid w:val="00A65026"/>
    <w:rsid w:val="00A656BA"/>
    <w:rsid w:val="00A658C7"/>
    <w:rsid w:val="00A65A00"/>
    <w:rsid w:val="00A6619A"/>
    <w:rsid w:val="00A667CF"/>
    <w:rsid w:val="00A66FBE"/>
    <w:rsid w:val="00A6711A"/>
    <w:rsid w:val="00A67655"/>
    <w:rsid w:val="00A67ED8"/>
    <w:rsid w:val="00A70172"/>
    <w:rsid w:val="00A707B8"/>
    <w:rsid w:val="00A70863"/>
    <w:rsid w:val="00A714B0"/>
    <w:rsid w:val="00A72431"/>
    <w:rsid w:val="00A724DE"/>
    <w:rsid w:val="00A7256C"/>
    <w:rsid w:val="00A72771"/>
    <w:rsid w:val="00A727DA"/>
    <w:rsid w:val="00A729C6"/>
    <w:rsid w:val="00A72F32"/>
    <w:rsid w:val="00A73278"/>
    <w:rsid w:val="00A73357"/>
    <w:rsid w:val="00A73377"/>
    <w:rsid w:val="00A7388A"/>
    <w:rsid w:val="00A73BE1"/>
    <w:rsid w:val="00A73DAB"/>
    <w:rsid w:val="00A73EEB"/>
    <w:rsid w:val="00A741DB"/>
    <w:rsid w:val="00A7462C"/>
    <w:rsid w:val="00A75082"/>
    <w:rsid w:val="00A750AE"/>
    <w:rsid w:val="00A75563"/>
    <w:rsid w:val="00A757A1"/>
    <w:rsid w:val="00A77199"/>
    <w:rsid w:val="00A773CD"/>
    <w:rsid w:val="00A77C0D"/>
    <w:rsid w:val="00A77DD6"/>
    <w:rsid w:val="00A80653"/>
    <w:rsid w:val="00A808A4"/>
    <w:rsid w:val="00A80C5A"/>
    <w:rsid w:val="00A80D91"/>
    <w:rsid w:val="00A81440"/>
    <w:rsid w:val="00A81833"/>
    <w:rsid w:val="00A81DA4"/>
    <w:rsid w:val="00A82397"/>
    <w:rsid w:val="00A83004"/>
    <w:rsid w:val="00A83962"/>
    <w:rsid w:val="00A83C71"/>
    <w:rsid w:val="00A83DC4"/>
    <w:rsid w:val="00A84308"/>
    <w:rsid w:val="00A84C02"/>
    <w:rsid w:val="00A84E15"/>
    <w:rsid w:val="00A850E4"/>
    <w:rsid w:val="00A85110"/>
    <w:rsid w:val="00A8559C"/>
    <w:rsid w:val="00A85945"/>
    <w:rsid w:val="00A85A92"/>
    <w:rsid w:val="00A85C5E"/>
    <w:rsid w:val="00A85D32"/>
    <w:rsid w:val="00A8602F"/>
    <w:rsid w:val="00A86586"/>
    <w:rsid w:val="00A87945"/>
    <w:rsid w:val="00A90BED"/>
    <w:rsid w:val="00A90C6D"/>
    <w:rsid w:val="00A90E85"/>
    <w:rsid w:val="00A91569"/>
    <w:rsid w:val="00A92799"/>
    <w:rsid w:val="00A928F1"/>
    <w:rsid w:val="00A92CC0"/>
    <w:rsid w:val="00A92FE1"/>
    <w:rsid w:val="00A934AA"/>
    <w:rsid w:val="00A936A2"/>
    <w:rsid w:val="00A93DFC"/>
    <w:rsid w:val="00A9418A"/>
    <w:rsid w:val="00A9472B"/>
    <w:rsid w:val="00A94CAD"/>
    <w:rsid w:val="00A95002"/>
    <w:rsid w:val="00A95644"/>
    <w:rsid w:val="00A957A5"/>
    <w:rsid w:val="00A95813"/>
    <w:rsid w:val="00A9595A"/>
    <w:rsid w:val="00A9595F"/>
    <w:rsid w:val="00A95BBE"/>
    <w:rsid w:val="00A95FBC"/>
    <w:rsid w:val="00A961AF"/>
    <w:rsid w:val="00A9624B"/>
    <w:rsid w:val="00A96A6C"/>
    <w:rsid w:val="00A96AE2"/>
    <w:rsid w:val="00A96E10"/>
    <w:rsid w:val="00A97F08"/>
    <w:rsid w:val="00AA03C6"/>
    <w:rsid w:val="00AA0416"/>
    <w:rsid w:val="00AA05FC"/>
    <w:rsid w:val="00AA122C"/>
    <w:rsid w:val="00AA1C45"/>
    <w:rsid w:val="00AA1E07"/>
    <w:rsid w:val="00AA2438"/>
    <w:rsid w:val="00AA2A36"/>
    <w:rsid w:val="00AA34DC"/>
    <w:rsid w:val="00AA3A80"/>
    <w:rsid w:val="00AA3B44"/>
    <w:rsid w:val="00AA3DC2"/>
    <w:rsid w:val="00AA428F"/>
    <w:rsid w:val="00AA4583"/>
    <w:rsid w:val="00AA45EC"/>
    <w:rsid w:val="00AA4A34"/>
    <w:rsid w:val="00AA55ED"/>
    <w:rsid w:val="00AA5601"/>
    <w:rsid w:val="00AA57F9"/>
    <w:rsid w:val="00AA5C5B"/>
    <w:rsid w:val="00AA5D87"/>
    <w:rsid w:val="00AA75BE"/>
    <w:rsid w:val="00AA7699"/>
    <w:rsid w:val="00AA7B24"/>
    <w:rsid w:val="00AA7CCD"/>
    <w:rsid w:val="00AA7ED0"/>
    <w:rsid w:val="00AA7F8A"/>
    <w:rsid w:val="00AB010F"/>
    <w:rsid w:val="00AB03A3"/>
    <w:rsid w:val="00AB06F7"/>
    <w:rsid w:val="00AB08E6"/>
    <w:rsid w:val="00AB095B"/>
    <w:rsid w:val="00AB1E87"/>
    <w:rsid w:val="00AB22F2"/>
    <w:rsid w:val="00AB2362"/>
    <w:rsid w:val="00AB253D"/>
    <w:rsid w:val="00AB2692"/>
    <w:rsid w:val="00AB2AD5"/>
    <w:rsid w:val="00AB31FE"/>
    <w:rsid w:val="00AB3266"/>
    <w:rsid w:val="00AB367A"/>
    <w:rsid w:val="00AB3871"/>
    <w:rsid w:val="00AB3DAB"/>
    <w:rsid w:val="00AB4603"/>
    <w:rsid w:val="00AB47E4"/>
    <w:rsid w:val="00AB491C"/>
    <w:rsid w:val="00AB4D09"/>
    <w:rsid w:val="00AB4F3C"/>
    <w:rsid w:val="00AB5697"/>
    <w:rsid w:val="00AB63CD"/>
    <w:rsid w:val="00AB68E7"/>
    <w:rsid w:val="00AB6DFD"/>
    <w:rsid w:val="00AB6EDF"/>
    <w:rsid w:val="00AB72CA"/>
    <w:rsid w:val="00AB7631"/>
    <w:rsid w:val="00AB7ABC"/>
    <w:rsid w:val="00AB7D96"/>
    <w:rsid w:val="00AC0398"/>
    <w:rsid w:val="00AC04A8"/>
    <w:rsid w:val="00AC0528"/>
    <w:rsid w:val="00AC0BC6"/>
    <w:rsid w:val="00AC14C1"/>
    <w:rsid w:val="00AC1960"/>
    <w:rsid w:val="00AC1AF2"/>
    <w:rsid w:val="00AC2F03"/>
    <w:rsid w:val="00AC2F56"/>
    <w:rsid w:val="00AC30F5"/>
    <w:rsid w:val="00AC338A"/>
    <w:rsid w:val="00AC3AE5"/>
    <w:rsid w:val="00AC3D72"/>
    <w:rsid w:val="00AC425F"/>
    <w:rsid w:val="00AC437A"/>
    <w:rsid w:val="00AC4BB9"/>
    <w:rsid w:val="00AC4E0C"/>
    <w:rsid w:val="00AC5CCE"/>
    <w:rsid w:val="00AC6903"/>
    <w:rsid w:val="00AC6C0E"/>
    <w:rsid w:val="00AC6CF1"/>
    <w:rsid w:val="00AC747F"/>
    <w:rsid w:val="00AC79BE"/>
    <w:rsid w:val="00AC7CD0"/>
    <w:rsid w:val="00AD0107"/>
    <w:rsid w:val="00AD04C1"/>
    <w:rsid w:val="00AD0549"/>
    <w:rsid w:val="00AD05C3"/>
    <w:rsid w:val="00AD05EF"/>
    <w:rsid w:val="00AD098B"/>
    <w:rsid w:val="00AD09DC"/>
    <w:rsid w:val="00AD0EE7"/>
    <w:rsid w:val="00AD0FDA"/>
    <w:rsid w:val="00AD2900"/>
    <w:rsid w:val="00AD2CC6"/>
    <w:rsid w:val="00AD2E01"/>
    <w:rsid w:val="00AD3845"/>
    <w:rsid w:val="00AD3BA9"/>
    <w:rsid w:val="00AD3BB6"/>
    <w:rsid w:val="00AD3CE1"/>
    <w:rsid w:val="00AD45F2"/>
    <w:rsid w:val="00AD5E45"/>
    <w:rsid w:val="00AD609A"/>
    <w:rsid w:val="00AD6671"/>
    <w:rsid w:val="00AD6B93"/>
    <w:rsid w:val="00AD6BAC"/>
    <w:rsid w:val="00AD6DB1"/>
    <w:rsid w:val="00AD769C"/>
    <w:rsid w:val="00AE0B57"/>
    <w:rsid w:val="00AE2470"/>
    <w:rsid w:val="00AE270A"/>
    <w:rsid w:val="00AE29BA"/>
    <w:rsid w:val="00AE29E5"/>
    <w:rsid w:val="00AE39F0"/>
    <w:rsid w:val="00AE3B36"/>
    <w:rsid w:val="00AE3C6C"/>
    <w:rsid w:val="00AE3EAC"/>
    <w:rsid w:val="00AE4084"/>
    <w:rsid w:val="00AE5717"/>
    <w:rsid w:val="00AE5809"/>
    <w:rsid w:val="00AE599A"/>
    <w:rsid w:val="00AE59D0"/>
    <w:rsid w:val="00AE5D8D"/>
    <w:rsid w:val="00AE6950"/>
    <w:rsid w:val="00AE6D81"/>
    <w:rsid w:val="00AE74E5"/>
    <w:rsid w:val="00AE74EC"/>
    <w:rsid w:val="00AE75D1"/>
    <w:rsid w:val="00AF067B"/>
    <w:rsid w:val="00AF0EBF"/>
    <w:rsid w:val="00AF124C"/>
    <w:rsid w:val="00AF12F7"/>
    <w:rsid w:val="00AF15D9"/>
    <w:rsid w:val="00AF2E56"/>
    <w:rsid w:val="00AF3330"/>
    <w:rsid w:val="00AF342C"/>
    <w:rsid w:val="00AF395F"/>
    <w:rsid w:val="00AF3C9D"/>
    <w:rsid w:val="00AF3D77"/>
    <w:rsid w:val="00AF3DCB"/>
    <w:rsid w:val="00AF3EBA"/>
    <w:rsid w:val="00AF496E"/>
    <w:rsid w:val="00AF4D02"/>
    <w:rsid w:val="00AF5643"/>
    <w:rsid w:val="00AF5A7E"/>
    <w:rsid w:val="00AF5AF6"/>
    <w:rsid w:val="00AF5EF2"/>
    <w:rsid w:val="00AF5FCB"/>
    <w:rsid w:val="00AF66F1"/>
    <w:rsid w:val="00AF710B"/>
    <w:rsid w:val="00AF7377"/>
    <w:rsid w:val="00AF7437"/>
    <w:rsid w:val="00AF78D4"/>
    <w:rsid w:val="00AF7C09"/>
    <w:rsid w:val="00B002D1"/>
    <w:rsid w:val="00B0081C"/>
    <w:rsid w:val="00B016EB"/>
    <w:rsid w:val="00B018B5"/>
    <w:rsid w:val="00B01ACD"/>
    <w:rsid w:val="00B01C71"/>
    <w:rsid w:val="00B020E7"/>
    <w:rsid w:val="00B02315"/>
    <w:rsid w:val="00B02392"/>
    <w:rsid w:val="00B02724"/>
    <w:rsid w:val="00B02916"/>
    <w:rsid w:val="00B02A7A"/>
    <w:rsid w:val="00B02EC5"/>
    <w:rsid w:val="00B03940"/>
    <w:rsid w:val="00B03A3F"/>
    <w:rsid w:val="00B03C1A"/>
    <w:rsid w:val="00B04F39"/>
    <w:rsid w:val="00B05325"/>
    <w:rsid w:val="00B05413"/>
    <w:rsid w:val="00B055BB"/>
    <w:rsid w:val="00B05E8E"/>
    <w:rsid w:val="00B06010"/>
    <w:rsid w:val="00B067C5"/>
    <w:rsid w:val="00B06A75"/>
    <w:rsid w:val="00B06B33"/>
    <w:rsid w:val="00B06C34"/>
    <w:rsid w:val="00B07C6C"/>
    <w:rsid w:val="00B104DF"/>
    <w:rsid w:val="00B1064F"/>
    <w:rsid w:val="00B112A4"/>
    <w:rsid w:val="00B11DEA"/>
    <w:rsid w:val="00B11ED7"/>
    <w:rsid w:val="00B11F4F"/>
    <w:rsid w:val="00B124FC"/>
    <w:rsid w:val="00B127EF"/>
    <w:rsid w:val="00B12F7F"/>
    <w:rsid w:val="00B14135"/>
    <w:rsid w:val="00B14253"/>
    <w:rsid w:val="00B14333"/>
    <w:rsid w:val="00B14AEC"/>
    <w:rsid w:val="00B14CD4"/>
    <w:rsid w:val="00B15137"/>
    <w:rsid w:val="00B15565"/>
    <w:rsid w:val="00B157CB"/>
    <w:rsid w:val="00B1584C"/>
    <w:rsid w:val="00B15FCC"/>
    <w:rsid w:val="00B165D6"/>
    <w:rsid w:val="00B166E4"/>
    <w:rsid w:val="00B16FDA"/>
    <w:rsid w:val="00B17207"/>
    <w:rsid w:val="00B174E8"/>
    <w:rsid w:val="00B17554"/>
    <w:rsid w:val="00B17E1E"/>
    <w:rsid w:val="00B2060C"/>
    <w:rsid w:val="00B20EF5"/>
    <w:rsid w:val="00B2101B"/>
    <w:rsid w:val="00B22165"/>
    <w:rsid w:val="00B2250A"/>
    <w:rsid w:val="00B226E4"/>
    <w:rsid w:val="00B22D63"/>
    <w:rsid w:val="00B232EE"/>
    <w:rsid w:val="00B233A1"/>
    <w:rsid w:val="00B238AD"/>
    <w:rsid w:val="00B23B48"/>
    <w:rsid w:val="00B23BB8"/>
    <w:rsid w:val="00B23F6A"/>
    <w:rsid w:val="00B24135"/>
    <w:rsid w:val="00B24800"/>
    <w:rsid w:val="00B25141"/>
    <w:rsid w:val="00B2520D"/>
    <w:rsid w:val="00B25776"/>
    <w:rsid w:val="00B25C61"/>
    <w:rsid w:val="00B26766"/>
    <w:rsid w:val="00B26A2C"/>
    <w:rsid w:val="00B26C2B"/>
    <w:rsid w:val="00B27530"/>
    <w:rsid w:val="00B27B01"/>
    <w:rsid w:val="00B308F3"/>
    <w:rsid w:val="00B313C5"/>
    <w:rsid w:val="00B32CE1"/>
    <w:rsid w:val="00B333E0"/>
    <w:rsid w:val="00B3365C"/>
    <w:rsid w:val="00B33B4A"/>
    <w:rsid w:val="00B33C13"/>
    <w:rsid w:val="00B34096"/>
    <w:rsid w:val="00B3476E"/>
    <w:rsid w:val="00B347C7"/>
    <w:rsid w:val="00B35BC5"/>
    <w:rsid w:val="00B3607E"/>
    <w:rsid w:val="00B361F0"/>
    <w:rsid w:val="00B36853"/>
    <w:rsid w:val="00B36D02"/>
    <w:rsid w:val="00B37394"/>
    <w:rsid w:val="00B37627"/>
    <w:rsid w:val="00B37F5D"/>
    <w:rsid w:val="00B406D7"/>
    <w:rsid w:val="00B40A25"/>
    <w:rsid w:val="00B40CB4"/>
    <w:rsid w:val="00B40DE3"/>
    <w:rsid w:val="00B40DE6"/>
    <w:rsid w:val="00B40F48"/>
    <w:rsid w:val="00B40FC9"/>
    <w:rsid w:val="00B411BF"/>
    <w:rsid w:val="00B41285"/>
    <w:rsid w:val="00B41299"/>
    <w:rsid w:val="00B412A4"/>
    <w:rsid w:val="00B413AE"/>
    <w:rsid w:val="00B41445"/>
    <w:rsid w:val="00B417F7"/>
    <w:rsid w:val="00B419AA"/>
    <w:rsid w:val="00B421CE"/>
    <w:rsid w:val="00B42B78"/>
    <w:rsid w:val="00B43405"/>
    <w:rsid w:val="00B43C5B"/>
    <w:rsid w:val="00B43E16"/>
    <w:rsid w:val="00B4444C"/>
    <w:rsid w:val="00B445AE"/>
    <w:rsid w:val="00B44A7E"/>
    <w:rsid w:val="00B44D1D"/>
    <w:rsid w:val="00B45095"/>
    <w:rsid w:val="00B45192"/>
    <w:rsid w:val="00B45728"/>
    <w:rsid w:val="00B459D4"/>
    <w:rsid w:val="00B45F6F"/>
    <w:rsid w:val="00B463D1"/>
    <w:rsid w:val="00B46685"/>
    <w:rsid w:val="00B46723"/>
    <w:rsid w:val="00B4696A"/>
    <w:rsid w:val="00B471BC"/>
    <w:rsid w:val="00B47210"/>
    <w:rsid w:val="00B479F1"/>
    <w:rsid w:val="00B47ACF"/>
    <w:rsid w:val="00B47B40"/>
    <w:rsid w:val="00B47E06"/>
    <w:rsid w:val="00B47F86"/>
    <w:rsid w:val="00B50778"/>
    <w:rsid w:val="00B50CF8"/>
    <w:rsid w:val="00B51026"/>
    <w:rsid w:val="00B516B2"/>
    <w:rsid w:val="00B520E9"/>
    <w:rsid w:val="00B527B8"/>
    <w:rsid w:val="00B52917"/>
    <w:rsid w:val="00B53626"/>
    <w:rsid w:val="00B53A22"/>
    <w:rsid w:val="00B53A67"/>
    <w:rsid w:val="00B53B70"/>
    <w:rsid w:val="00B544BB"/>
    <w:rsid w:val="00B545BE"/>
    <w:rsid w:val="00B5571E"/>
    <w:rsid w:val="00B55BAB"/>
    <w:rsid w:val="00B5677A"/>
    <w:rsid w:val="00B569E5"/>
    <w:rsid w:val="00B573CF"/>
    <w:rsid w:val="00B60626"/>
    <w:rsid w:val="00B6092A"/>
    <w:rsid w:val="00B60A70"/>
    <w:rsid w:val="00B60B66"/>
    <w:rsid w:val="00B615E1"/>
    <w:rsid w:val="00B61957"/>
    <w:rsid w:val="00B61CB6"/>
    <w:rsid w:val="00B620FD"/>
    <w:rsid w:val="00B62233"/>
    <w:rsid w:val="00B6279D"/>
    <w:rsid w:val="00B62E6B"/>
    <w:rsid w:val="00B63EEF"/>
    <w:rsid w:val="00B64105"/>
    <w:rsid w:val="00B64844"/>
    <w:rsid w:val="00B64887"/>
    <w:rsid w:val="00B65FE8"/>
    <w:rsid w:val="00B661AD"/>
    <w:rsid w:val="00B66237"/>
    <w:rsid w:val="00B665E2"/>
    <w:rsid w:val="00B671E3"/>
    <w:rsid w:val="00B6732C"/>
    <w:rsid w:val="00B6783B"/>
    <w:rsid w:val="00B7044B"/>
    <w:rsid w:val="00B704BF"/>
    <w:rsid w:val="00B70B83"/>
    <w:rsid w:val="00B71A88"/>
    <w:rsid w:val="00B720CA"/>
    <w:rsid w:val="00B726E2"/>
    <w:rsid w:val="00B72777"/>
    <w:rsid w:val="00B72CB8"/>
    <w:rsid w:val="00B73648"/>
    <w:rsid w:val="00B73896"/>
    <w:rsid w:val="00B74350"/>
    <w:rsid w:val="00B74E2C"/>
    <w:rsid w:val="00B74FA8"/>
    <w:rsid w:val="00B75D39"/>
    <w:rsid w:val="00B76092"/>
    <w:rsid w:val="00B773D6"/>
    <w:rsid w:val="00B77C42"/>
    <w:rsid w:val="00B801E0"/>
    <w:rsid w:val="00B805C0"/>
    <w:rsid w:val="00B80F67"/>
    <w:rsid w:val="00B80F81"/>
    <w:rsid w:val="00B81D91"/>
    <w:rsid w:val="00B82037"/>
    <w:rsid w:val="00B8206F"/>
    <w:rsid w:val="00B8224E"/>
    <w:rsid w:val="00B82486"/>
    <w:rsid w:val="00B82B8F"/>
    <w:rsid w:val="00B83998"/>
    <w:rsid w:val="00B84030"/>
    <w:rsid w:val="00B84111"/>
    <w:rsid w:val="00B84363"/>
    <w:rsid w:val="00B8447E"/>
    <w:rsid w:val="00B8529F"/>
    <w:rsid w:val="00B85401"/>
    <w:rsid w:val="00B8595C"/>
    <w:rsid w:val="00B85B6D"/>
    <w:rsid w:val="00B85D7F"/>
    <w:rsid w:val="00B8686A"/>
    <w:rsid w:val="00B86FF8"/>
    <w:rsid w:val="00B87226"/>
    <w:rsid w:val="00B87719"/>
    <w:rsid w:val="00B87CEF"/>
    <w:rsid w:val="00B90D05"/>
    <w:rsid w:val="00B910A6"/>
    <w:rsid w:val="00B910EF"/>
    <w:rsid w:val="00B91281"/>
    <w:rsid w:val="00B91FF6"/>
    <w:rsid w:val="00B923D7"/>
    <w:rsid w:val="00B92B24"/>
    <w:rsid w:val="00B92E9E"/>
    <w:rsid w:val="00B93039"/>
    <w:rsid w:val="00B93046"/>
    <w:rsid w:val="00B9314C"/>
    <w:rsid w:val="00B9328F"/>
    <w:rsid w:val="00B93764"/>
    <w:rsid w:val="00B94095"/>
    <w:rsid w:val="00B94159"/>
    <w:rsid w:val="00B94570"/>
    <w:rsid w:val="00B95280"/>
    <w:rsid w:val="00B95596"/>
    <w:rsid w:val="00B95667"/>
    <w:rsid w:val="00B95DCC"/>
    <w:rsid w:val="00B9600D"/>
    <w:rsid w:val="00B965EA"/>
    <w:rsid w:val="00B967AF"/>
    <w:rsid w:val="00B976A5"/>
    <w:rsid w:val="00B97C5B"/>
    <w:rsid w:val="00BA0333"/>
    <w:rsid w:val="00BA045F"/>
    <w:rsid w:val="00BA0691"/>
    <w:rsid w:val="00BA0906"/>
    <w:rsid w:val="00BA1A0F"/>
    <w:rsid w:val="00BA2E09"/>
    <w:rsid w:val="00BA32CD"/>
    <w:rsid w:val="00BA46A1"/>
    <w:rsid w:val="00BA493B"/>
    <w:rsid w:val="00BA4B1A"/>
    <w:rsid w:val="00BA4F24"/>
    <w:rsid w:val="00BA51A5"/>
    <w:rsid w:val="00BA5801"/>
    <w:rsid w:val="00BA65F3"/>
    <w:rsid w:val="00BA65F8"/>
    <w:rsid w:val="00BA672A"/>
    <w:rsid w:val="00BA673F"/>
    <w:rsid w:val="00BA6F73"/>
    <w:rsid w:val="00BA7577"/>
    <w:rsid w:val="00BA77F5"/>
    <w:rsid w:val="00BB0014"/>
    <w:rsid w:val="00BB016A"/>
    <w:rsid w:val="00BB0232"/>
    <w:rsid w:val="00BB0949"/>
    <w:rsid w:val="00BB1374"/>
    <w:rsid w:val="00BB16F4"/>
    <w:rsid w:val="00BB17AC"/>
    <w:rsid w:val="00BB1AFB"/>
    <w:rsid w:val="00BB1DFE"/>
    <w:rsid w:val="00BB1ECA"/>
    <w:rsid w:val="00BB2450"/>
    <w:rsid w:val="00BB24BB"/>
    <w:rsid w:val="00BB2513"/>
    <w:rsid w:val="00BB2805"/>
    <w:rsid w:val="00BB290B"/>
    <w:rsid w:val="00BB2C28"/>
    <w:rsid w:val="00BB2CA2"/>
    <w:rsid w:val="00BB2FA8"/>
    <w:rsid w:val="00BB3258"/>
    <w:rsid w:val="00BB35DE"/>
    <w:rsid w:val="00BB378A"/>
    <w:rsid w:val="00BB4096"/>
    <w:rsid w:val="00BB4C29"/>
    <w:rsid w:val="00BB4CEA"/>
    <w:rsid w:val="00BB555F"/>
    <w:rsid w:val="00BB562C"/>
    <w:rsid w:val="00BB6365"/>
    <w:rsid w:val="00BB63D0"/>
    <w:rsid w:val="00BB64F4"/>
    <w:rsid w:val="00BB6773"/>
    <w:rsid w:val="00BB68F5"/>
    <w:rsid w:val="00BB6FA9"/>
    <w:rsid w:val="00BB6FDA"/>
    <w:rsid w:val="00BB721F"/>
    <w:rsid w:val="00BB7AE3"/>
    <w:rsid w:val="00BB7BD1"/>
    <w:rsid w:val="00BB7F4E"/>
    <w:rsid w:val="00BC028D"/>
    <w:rsid w:val="00BC05AE"/>
    <w:rsid w:val="00BC0F85"/>
    <w:rsid w:val="00BC1015"/>
    <w:rsid w:val="00BC1034"/>
    <w:rsid w:val="00BC1E23"/>
    <w:rsid w:val="00BC20FF"/>
    <w:rsid w:val="00BC22F7"/>
    <w:rsid w:val="00BC2642"/>
    <w:rsid w:val="00BC3529"/>
    <w:rsid w:val="00BC3540"/>
    <w:rsid w:val="00BC3CD3"/>
    <w:rsid w:val="00BC3E52"/>
    <w:rsid w:val="00BC476A"/>
    <w:rsid w:val="00BC48BF"/>
    <w:rsid w:val="00BC4A01"/>
    <w:rsid w:val="00BC4CCE"/>
    <w:rsid w:val="00BC50D6"/>
    <w:rsid w:val="00BC5D55"/>
    <w:rsid w:val="00BC5F77"/>
    <w:rsid w:val="00BC699E"/>
    <w:rsid w:val="00BC6CB8"/>
    <w:rsid w:val="00BC6F34"/>
    <w:rsid w:val="00BC714F"/>
    <w:rsid w:val="00BC72B5"/>
    <w:rsid w:val="00BC72DF"/>
    <w:rsid w:val="00BC7421"/>
    <w:rsid w:val="00BC775F"/>
    <w:rsid w:val="00BC7948"/>
    <w:rsid w:val="00BD0072"/>
    <w:rsid w:val="00BD0A34"/>
    <w:rsid w:val="00BD0A44"/>
    <w:rsid w:val="00BD0A51"/>
    <w:rsid w:val="00BD1626"/>
    <w:rsid w:val="00BD1A0B"/>
    <w:rsid w:val="00BD1A19"/>
    <w:rsid w:val="00BD1D80"/>
    <w:rsid w:val="00BD274A"/>
    <w:rsid w:val="00BD2755"/>
    <w:rsid w:val="00BD2995"/>
    <w:rsid w:val="00BD3054"/>
    <w:rsid w:val="00BD305E"/>
    <w:rsid w:val="00BD36F4"/>
    <w:rsid w:val="00BD43BB"/>
    <w:rsid w:val="00BD4729"/>
    <w:rsid w:val="00BD4804"/>
    <w:rsid w:val="00BD4831"/>
    <w:rsid w:val="00BD4E56"/>
    <w:rsid w:val="00BD505A"/>
    <w:rsid w:val="00BD5377"/>
    <w:rsid w:val="00BD54E1"/>
    <w:rsid w:val="00BD5A7F"/>
    <w:rsid w:val="00BD5CF4"/>
    <w:rsid w:val="00BD5E0D"/>
    <w:rsid w:val="00BD6073"/>
    <w:rsid w:val="00BD6535"/>
    <w:rsid w:val="00BD672C"/>
    <w:rsid w:val="00BD6BF9"/>
    <w:rsid w:val="00BD6E9E"/>
    <w:rsid w:val="00BD748E"/>
    <w:rsid w:val="00BD7C11"/>
    <w:rsid w:val="00BE0014"/>
    <w:rsid w:val="00BE02A8"/>
    <w:rsid w:val="00BE0610"/>
    <w:rsid w:val="00BE0A0F"/>
    <w:rsid w:val="00BE0E33"/>
    <w:rsid w:val="00BE0E5B"/>
    <w:rsid w:val="00BE0E93"/>
    <w:rsid w:val="00BE0F6A"/>
    <w:rsid w:val="00BE116F"/>
    <w:rsid w:val="00BE141F"/>
    <w:rsid w:val="00BE24B8"/>
    <w:rsid w:val="00BE2A24"/>
    <w:rsid w:val="00BE2C43"/>
    <w:rsid w:val="00BE2F05"/>
    <w:rsid w:val="00BE2F51"/>
    <w:rsid w:val="00BE3370"/>
    <w:rsid w:val="00BE372A"/>
    <w:rsid w:val="00BE4061"/>
    <w:rsid w:val="00BE4C16"/>
    <w:rsid w:val="00BE4CC3"/>
    <w:rsid w:val="00BE5631"/>
    <w:rsid w:val="00BE56C4"/>
    <w:rsid w:val="00BE5795"/>
    <w:rsid w:val="00BE57EB"/>
    <w:rsid w:val="00BE6492"/>
    <w:rsid w:val="00BE64BD"/>
    <w:rsid w:val="00BE6D83"/>
    <w:rsid w:val="00BE7F64"/>
    <w:rsid w:val="00BF0034"/>
    <w:rsid w:val="00BF0DC3"/>
    <w:rsid w:val="00BF0E70"/>
    <w:rsid w:val="00BF1024"/>
    <w:rsid w:val="00BF1312"/>
    <w:rsid w:val="00BF157F"/>
    <w:rsid w:val="00BF15C6"/>
    <w:rsid w:val="00BF1C86"/>
    <w:rsid w:val="00BF1DC9"/>
    <w:rsid w:val="00BF217E"/>
    <w:rsid w:val="00BF22E0"/>
    <w:rsid w:val="00BF22EF"/>
    <w:rsid w:val="00BF2793"/>
    <w:rsid w:val="00BF2AA8"/>
    <w:rsid w:val="00BF2F96"/>
    <w:rsid w:val="00BF3169"/>
    <w:rsid w:val="00BF3358"/>
    <w:rsid w:val="00BF34EA"/>
    <w:rsid w:val="00BF3B48"/>
    <w:rsid w:val="00BF3EFD"/>
    <w:rsid w:val="00BF4058"/>
    <w:rsid w:val="00BF46F3"/>
    <w:rsid w:val="00BF47FF"/>
    <w:rsid w:val="00BF4F4A"/>
    <w:rsid w:val="00BF5763"/>
    <w:rsid w:val="00BF5849"/>
    <w:rsid w:val="00BF5AE6"/>
    <w:rsid w:val="00BF6623"/>
    <w:rsid w:val="00BF6C63"/>
    <w:rsid w:val="00BF6D22"/>
    <w:rsid w:val="00BF7210"/>
    <w:rsid w:val="00BF7440"/>
    <w:rsid w:val="00BF76DB"/>
    <w:rsid w:val="00BF7833"/>
    <w:rsid w:val="00C004AA"/>
    <w:rsid w:val="00C009F6"/>
    <w:rsid w:val="00C01655"/>
    <w:rsid w:val="00C01DB0"/>
    <w:rsid w:val="00C020A4"/>
    <w:rsid w:val="00C02400"/>
    <w:rsid w:val="00C027D7"/>
    <w:rsid w:val="00C02859"/>
    <w:rsid w:val="00C028CF"/>
    <w:rsid w:val="00C02CB5"/>
    <w:rsid w:val="00C036A0"/>
    <w:rsid w:val="00C04473"/>
    <w:rsid w:val="00C046FD"/>
    <w:rsid w:val="00C04CC3"/>
    <w:rsid w:val="00C04D29"/>
    <w:rsid w:val="00C05467"/>
    <w:rsid w:val="00C05689"/>
    <w:rsid w:val="00C05810"/>
    <w:rsid w:val="00C0585A"/>
    <w:rsid w:val="00C05934"/>
    <w:rsid w:val="00C05950"/>
    <w:rsid w:val="00C05A9F"/>
    <w:rsid w:val="00C05CE5"/>
    <w:rsid w:val="00C061E1"/>
    <w:rsid w:val="00C06483"/>
    <w:rsid w:val="00C06FA7"/>
    <w:rsid w:val="00C06FBA"/>
    <w:rsid w:val="00C072EB"/>
    <w:rsid w:val="00C074E5"/>
    <w:rsid w:val="00C07C6B"/>
    <w:rsid w:val="00C1138A"/>
    <w:rsid w:val="00C11459"/>
    <w:rsid w:val="00C117FE"/>
    <w:rsid w:val="00C11A93"/>
    <w:rsid w:val="00C12052"/>
    <w:rsid w:val="00C122CF"/>
    <w:rsid w:val="00C12300"/>
    <w:rsid w:val="00C129AB"/>
    <w:rsid w:val="00C129AF"/>
    <w:rsid w:val="00C12A7E"/>
    <w:rsid w:val="00C13049"/>
    <w:rsid w:val="00C134A2"/>
    <w:rsid w:val="00C13AF3"/>
    <w:rsid w:val="00C1423E"/>
    <w:rsid w:val="00C14484"/>
    <w:rsid w:val="00C14520"/>
    <w:rsid w:val="00C14E08"/>
    <w:rsid w:val="00C15688"/>
    <w:rsid w:val="00C15860"/>
    <w:rsid w:val="00C15EF0"/>
    <w:rsid w:val="00C161DD"/>
    <w:rsid w:val="00C165A5"/>
    <w:rsid w:val="00C16B01"/>
    <w:rsid w:val="00C16B19"/>
    <w:rsid w:val="00C16B54"/>
    <w:rsid w:val="00C1712A"/>
    <w:rsid w:val="00C17373"/>
    <w:rsid w:val="00C17B8E"/>
    <w:rsid w:val="00C17CD5"/>
    <w:rsid w:val="00C200BB"/>
    <w:rsid w:val="00C20242"/>
    <w:rsid w:val="00C20920"/>
    <w:rsid w:val="00C20B52"/>
    <w:rsid w:val="00C20D1A"/>
    <w:rsid w:val="00C20F01"/>
    <w:rsid w:val="00C2174E"/>
    <w:rsid w:val="00C217C7"/>
    <w:rsid w:val="00C21BF5"/>
    <w:rsid w:val="00C21D50"/>
    <w:rsid w:val="00C21D6B"/>
    <w:rsid w:val="00C21F7E"/>
    <w:rsid w:val="00C22042"/>
    <w:rsid w:val="00C221BC"/>
    <w:rsid w:val="00C22468"/>
    <w:rsid w:val="00C22AB9"/>
    <w:rsid w:val="00C22BE2"/>
    <w:rsid w:val="00C23825"/>
    <w:rsid w:val="00C239A2"/>
    <w:rsid w:val="00C239E1"/>
    <w:rsid w:val="00C23E9B"/>
    <w:rsid w:val="00C247E6"/>
    <w:rsid w:val="00C24B96"/>
    <w:rsid w:val="00C25592"/>
    <w:rsid w:val="00C25614"/>
    <w:rsid w:val="00C25950"/>
    <w:rsid w:val="00C25D6D"/>
    <w:rsid w:val="00C2650B"/>
    <w:rsid w:val="00C26614"/>
    <w:rsid w:val="00C26670"/>
    <w:rsid w:val="00C26A3E"/>
    <w:rsid w:val="00C26C45"/>
    <w:rsid w:val="00C27363"/>
    <w:rsid w:val="00C3005B"/>
    <w:rsid w:val="00C30A2A"/>
    <w:rsid w:val="00C3148D"/>
    <w:rsid w:val="00C31AA4"/>
    <w:rsid w:val="00C322D1"/>
    <w:rsid w:val="00C32309"/>
    <w:rsid w:val="00C32DAB"/>
    <w:rsid w:val="00C33519"/>
    <w:rsid w:val="00C33AE7"/>
    <w:rsid w:val="00C33D9C"/>
    <w:rsid w:val="00C345EC"/>
    <w:rsid w:val="00C34F60"/>
    <w:rsid w:val="00C34FBF"/>
    <w:rsid w:val="00C35146"/>
    <w:rsid w:val="00C352C0"/>
    <w:rsid w:val="00C3578C"/>
    <w:rsid w:val="00C373FC"/>
    <w:rsid w:val="00C37D7B"/>
    <w:rsid w:val="00C40430"/>
    <w:rsid w:val="00C404DE"/>
    <w:rsid w:val="00C40932"/>
    <w:rsid w:val="00C41183"/>
    <w:rsid w:val="00C41430"/>
    <w:rsid w:val="00C416FA"/>
    <w:rsid w:val="00C4180D"/>
    <w:rsid w:val="00C41D89"/>
    <w:rsid w:val="00C42637"/>
    <w:rsid w:val="00C4289D"/>
    <w:rsid w:val="00C42BCD"/>
    <w:rsid w:val="00C42C7D"/>
    <w:rsid w:val="00C436A9"/>
    <w:rsid w:val="00C43D3D"/>
    <w:rsid w:val="00C43D61"/>
    <w:rsid w:val="00C44186"/>
    <w:rsid w:val="00C44418"/>
    <w:rsid w:val="00C44657"/>
    <w:rsid w:val="00C44AAC"/>
    <w:rsid w:val="00C44EC7"/>
    <w:rsid w:val="00C45C0E"/>
    <w:rsid w:val="00C461DA"/>
    <w:rsid w:val="00C46241"/>
    <w:rsid w:val="00C46476"/>
    <w:rsid w:val="00C466D6"/>
    <w:rsid w:val="00C4678A"/>
    <w:rsid w:val="00C46805"/>
    <w:rsid w:val="00C4689E"/>
    <w:rsid w:val="00C468F2"/>
    <w:rsid w:val="00C46CC6"/>
    <w:rsid w:val="00C474A4"/>
    <w:rsid w:val="00C47784"/>
    <w:rsid w:val="00C47B65"/>
    <w:rsid w:val="00C47BE7"/>
    <w:rsid w:val="00C47E90"/>
    <w:rsid w:val="00C47FA6"/>
    <w:rsid w:val="00C51455"/>
    <w:rsid w:val="00C51BBD"/>
    <w:rsid w:val="00C51DA2"/>
    <w:rsid w:val="00C52115"/>
    <w:rsid w:val="00C521B3"/>
    <w:rsid w:val="00C52408"/>
    <w:rsid w:val="00C5242A"/>
    <w:rsid w:val="00C529AD"/>
    <w:rsid w:val="00C52B85"/>
    <w:rsid w:val="00C52F14"/>
    <w:rsid w:val="00C5341A"/>
    <w:rsid w:val="00C53A4B"/>
    <w:rsid w:val="00C53ACA"/>
    <w:rsid w:val="00C53F8A"/>
    <w:rsid w:val="00C54C56"/>
    <w:rsid w:val="00C5507B"/>
    <w:rsid w:val="00C550E7"/>
    <w:rsid w:val="00C554EB"/>
    <w:rsid w:val="00C55D3E"/>
    <w:rsid w:val="00C562C7"/>
    <w:rsid w:val="00C56785"/>
    <w:rsid w:val="00C56817"/>
    <w:rsid w:val="00C56AC7"/>
    <w:rsid w:val="00C57082"/>
    <w:rsid w:val="00C57EA4"/>
    <w:rsid w:val="00C60051"/>
    <w:rsid w:val="00C6106A"/>
    <w:rsid w:val="00C6131E"/>
    <w:rsid w:val="00C613B5"/>
    <w:rsid w:val="00C617D1"/>
    <w:rsid w:val="00C61F72"/>
    <w:rsid w:val="00C62198"/>
    <w:rsid w:val="00C62B46"/>
    <w:rsid w:val="00C62CB1"/>
    <w:rsid w:val="00C633FC"/>
    <w:rsid w:val="00C642C7"/>
    <w:rsid w:val="00C64E05"/>
    <w:rsid w:val="00C64FC5"/>
    <w:rsid w:val="00C65191"/>
    <w:rsid w:val="00C656CE"/>
    <w:rsid w:val="00C656D5"/>
    <w:rsid w:val="00C65EE3"/>
    <w:rsid w:val="00C661F2"/>
    <w:rsid w:val="00C66392"/>
    <w:rsid w:val="00C669F3"/>
    <w:rsid w:val="00C670B3"/>
    <w:rsid w:val="00C671BC"/>
    <w:rsid w:val="00C67404"/>
    <w:rsid w:val="00C70494"/>
    <w:rsid w:val="00C704C7"/>
    <w:rsid w:val="00C70614"/>
    <w:rsid w:val="00C70718"/>
    <w:rsid w:val="00C70952"/>
    <w:rsid w:val="00C70AC3"/>
    <w:rsid w:val="00C713DE"/>
    <w:rsid w:val="00C71433"/>
    <w:rsid w:val="00C7152D"/>
    <w:rsid w:val="00C71878"/>
    <w:rsid w:val="00C718CE"/>
    <w:rsid w:val="00C71C85"/>
    <w:rsid w:val="00C720C6"/>
    <w:rsid w:val="00C7213D"/>
    <w:rsid w:val="00C72308"/>
    <w:rsid w:val="00C72514"/>
    <w:rsid w:val="00C72B1F"/>
    <w:rsid w:val="00C72E2F"/>
    <w:rsid w:val="00C7366E"/>
    <w:rsid w:val="00C73838"/>
    <w:rsid w:val="00C73A17"/>
    <w:rsid w:val="00C73C0E"/>
    <w:rsid w:val="00C743AD"/>
    <w:rsid w:val="00C745E6"/>
    <w:rsid w:val="00C74649"/>
    <w:rsid w:val="00C748E2"/>
    <w:rsid w:val="00C75600"/>
    <w:rsid w:val="00C7598A"/>
    <w:rsid w:val="00C75E01"/>
    <w:rsid w:val="00C75F47"/>
    <w:rsid w:val="00C75F56"/>
    <w:rsid w:val="00C76A71"/>
    <w:rsid w:val="00C77123"/>
    <w:rsid w:val="00C774D7"/>
    <w:rsid w:val="00C77645"/>
    <w:rsid w:val="00C77815"/>
    <w:rsid w:val="00C803AA"/>
    <w:rsid w:val="00C80566"/>
    <w:rsid w:val="00C80CAB"/>
    <w:rsid w:val="00C80EC1"/>
    <w:rsid w:val="00C81274"/>
    <w:rsid w:val="00C8130B"/>
    <w:rsid w:val="00C814F9"/>
    <w:rsid w:val="00C81757"/>
    <w:rsid w:val="00C81E1E"/>
    <w:rsid w:val="00C822DC"/>
    <w:rsid w:val="00C83AC2"/>
    <w:rsid w:val="00C83E9B"/>
    <w:rsid w:val="00C84772"/>
    <w:rsid w:val="00C84EF7"/>
    <w:rsid w:val="00C8520E"/>
    <w:rsid w:val="00C85306"/>
    <w:rsid w:val="00C85398"/>
    <w:rsid w:val="00C853DD"/>
    <w:rsid w:val="00C85773"/>
    <w:rsid w:val="00C857C9"/>
    <w:rsid w:val="00C85CFD"/>
    <w:rsid w:val="00C85E9D"/>
    <w:rsid w:val="00C8740D"/>
    <w:rsid w:val="00C8797E"/>
    <w:rsid w:val="00C87E8C"/>
    <w:rsid w:val="00C904C1"/>
    <w:rsid w:val="00C9050F"/>
    <w:rsid w:val="00C90E7A"/>
    <w:rsid w:val="00C90F20"/>
    <w:rsid w:val="00C9108D"/>
    <w:rsid w:val="00C910ED"/>
    <w:rsid w:val="00C9118C"/>
    <w:rsid w:val="00C9166B"/>
    <w:rsid w:val="00C91A93"/>
    <w:rsid w:val="00C91E67"/>
    <w:rsid w:val="00C91F60"/>
    <w:rsid w:val="00C920B2"/>
    <w:rsid w:val="00C920DE"/>
    <w:rsid w:val="00C92576"/>
    <w:rsid w:val="00C929A3"/>
    <w:rsid w:val="00C92A02"/>
    <w:rsid w:val="00C932B3"/>
    <w:rsid w:val="00C93BFB"/>
    <w:rsid w:val="00C93EA9"/>
    <w:rsid w:val="00C9410E"/>
    <w:rsid w:val="00C942DD"/>
    <w:rsid w:val="00C947F6"/>
    <w:rsid w:val="00C94CFA"/>
    <w:rsid w:val="00C95F5C"/>
    <w:rsid w:val="00C96141"/>
    <w:rsid w:val="00C96160"/>
    <w:rsid w:val="00C968FB"/>
    <w:rsid w:val="00C97311"/>
    <w:rsid w:val="00C975EE"/>
    <w:rsid w:val="00C97814"/>
    <w:rsid w:val="00C97FAC"/>
    <w:rsid w:val="00CA0113"/>
    <w:rsid w:val="00CA015F"/>
    <w:rsid w:val="00CA088E"/>
    <w:rsid w:val="00CA0ABD"/>
    <w:rsid w:val="00CA0E9C"/>
    <w:rsid w:val="00CA104C"/>
    <w:rsid w:val="00CA1148"/>
    <w:rsid w:val="00CA174B"/>
    <w:rsid w:val="00CA224E"/>
    <w:rsid w:val="00CA22D9"/>
    <w:rsid w:val="00CA27EA"/>
    <w:rsid w:val="00CA2CD7"/>
    <w:rsid w:val="00CA2E16"/>
    <w:rsid w:val="00CA2F17"/>
    <w:rsid w:val="00CA3418"/>
    <w:rsid w:val="00CA39FC"/>
    <w:rsid w:val="00CA3CB9"/>
    <w:rsid w:val="00CA4E51"/>
    <w:rsid w:val="00CA5149"/>
    <w:rsid w:val="00CA5338"/>
    <w:rsid w:val="00CA59CB"/>
    <w:rsid w:val="00CA5AC9"/>
    <w:rsid w:val="00CA5DF5"/>
    <w:rsid w:val="00CA6052"/>
    <w:rsid w:val="00CA63D8"/>
    <w:rsid w:val="00CA6891"/>
    <w:rsid w:val="00CA6C82"/>
    <w:rsid w:val="00CA7349"/>
    <w:rsid w:val="00CA76C5"/>
    <w:rsid w:val="00CA793F"/>
    <w:rsid w:val="00CB01B7"/>
    <w:rsid w:val="00CB02C2"/>
    <w:rsid w:val="00CB036B"/>
    <w:rsid w:val="00CB0766"/>
    <w:rsid w:val="00CB095D"/>
    <w:rsid w:val="00CB0A29"/>
    <w:rsid w:val="00CB0FF5"/>
    <w:rsid w:val="00CB10DA"/>
    <w:rsid w:val="00CB1688"/>
    <w:rsid w:val="00CB1789"/>
    <w:rsid w:val="00CB22F7"/>
    <w:rsid w:val="00CB248E"/>
    <w:rsid w:val="00CB2620"/>
    <w:rsid w:val="00CB2B20"/>
    <w:rsid w:val="00CB2BE4"/>
    <w:rsid w:val="00CB3022"/>
    <w:rsid w:val="00CB30C7"/>
    <w:rsid w:val="00CB347A"/>
    <w:rsid w:val="00CB398F"/>
    <w:rsid w:val="00CB3F58"/>
    <w:rsid w:val="00CB40AD"/>
    <w:rsid w:val="00CB43D2"/>
    <w:rsid w:val="00CB45BF"/>
    <w:rsid w:val="00CB5123"/>
    <w:rsid w:val="00CB5E9F"/>
    <w:rsid w:val="00CB5FB8"/>
    <w:rsid w:val="00CB632B"/>
    <w:rsid w:val="00CB63B3"/>
    <w:rsid w:val="00CB63F3"/>
    <w:rsid w:val="00CB6733"/>
    <w:rsid w:val="00CB6B0A"/>
    <w:rsid w:val="00CB6EBC"/>
    <w:rsid w:val="00CB74B6"/>
    <w:rsid w:val="00CB7618"/>
    <w:rsid w:val="00CC0687"/>
    <w:rsid w:val="00CC0855"/>
    <w:rsid w:val="00CC1EB7"/>
    <w:rsid w:val="00CC211A"/>
    <w:rsid w:val="00CC2133"/>
    <w:rsid w:val="00CC2986"/>
    <w:rsid w:val="00CC2BE5"/>
    <w:rsid w:val="00CC2DD8"/>
    <w:rsid w:val="00CC30E3"/>
    <w:rsid w:val="00CC3514"/>
    <w:rsid w:val="00CC399E"/>
    <w:rsid w:val="00CC4458"/>
    <w:rsid w:val="00CC509A"/>
    <w:rsid w:val="00CC56BC"/>
    <w:rsid w:val="00CC56E0"/>
    <w:rsid w:val="00CC5B64"/>
    <w:rsid w:val="00CC6551"/>
    <w:rsid w:val="00CC680C"/>
    <w:rsid w:val="00CC683E"/>
    <w:rsid w:val="00CC686B"/>
    <w:rsid w:val="00CC755E"/>
    <w:rsid w:val="00CD01C7"/>
    <w:rsid w:val="00CD0281"/>
    <w:rsid w:val="00CD06E4"/>
    <w:rsid w:val="00CD0AF0"/>
    <w:rsid w:val="00CD0E08"/>
    <w:rsid w:val="00CD146C"/>
    <w:rsid w:val="00CD17D7"/>
    <w:rsid w:val="00CD19FB"/>
    <w:rsid w:val="00CD1EFB"/>
    <w:rsid w:val="00CD23DA"/>
    <w:rsid w:val="00CD28C1"/>
    <w:rsid w:val="00CD303F"/>
    <w:rsid w:val="00CD38E1"/>
    <w:rsid w:val="00CD3F41"/>
    <w:rsid w:val="00CD4121"/>
    <w:rsid w:val="00CD433D"/>
    <w:rsid w:val="00CD4443"/>
    <w:rsid w:val="00CD453A"/>
    <w:rsid w:val="00CD4802"/>
    <w:rsid w:val="00CD5455"/>
    <w:rsid w:val="00CD5619"/>
    <w:rsid w:val="00CD5651"/>
    <w:rsid w:val="00CD5833"/>
    <w:rsid w:val="00CD644E"/>
    <w:rsid w:val="00CD7064"/>
    <w:rsid w:val="00CD707D"/>
    <w:rsid w:val="00CD788A"/>
    <w:rsid w:val="00CD798E"/>
    <w:rsid w:val="00CD7D13"/>
    <w:rsid w:val="00CE05A8"/>
    <w:rsid w:val="00CE0805"/>
    <w:rsid w:val="00CE1073"/>
    <w:rsid w:val="00CE1E62"/>
    <w:rsid w:val="00CE2303"/>
    <w:rsid w:val="00CE2A5F"/>
    <w:rsid w:val="00CE2C0C"/>
    <w:rsid w:val="00CE343C"/>
    <w:rsid w:val="00CE35DC"/>
    <w:rsid w:val="00CE37AA"/>
    <w:rsid w:val="00CE3A24"/>
    <w:rsid w:val="00CE3F37"/>
    <w:rsid w:val="00CE4045"/>
    <w:rsid w:val="00CE40C5"/>
    <w:rsid w:val="00CE44D7"/>
    <w:rsid w:val="00CE4AD6"/>
    <w:rsid w:val="00CE4E65"/>
    <w:rsid w:val="00CE6997"/>
    <w:rsid w:val="00CE6B0E"/>
    <w:rsid w:val="00CE72E3"/>
    <w:rsid w:val="00CE79EF"/>
    <w:rsid w:val="00CE7F9C"/>
    <w:rsid w:val="00CF0002"/>
    <w:rsid w:val="00CF029A"/>
    <w:rsid w:val="00CF0435"/>
    <w:rsid w:val="00CF0538"/>
    <w:rsid w:val="00CF0DF0"/>
    <w:rsid w:val="00CF1488"/>
    <w:rsid w:val="00CF14C7"/>
    <w:rsid w:val="00CF182A"/>
    <w:rsid w:val="00CF1894"/>
    <w:rsid w:val="00CF1D4F"/>
    <w:rsid w:val="00CF1DA1"/>
    <w:rsid w:val="00CF23F8"/>
    <w:rsid w:val="00CF26D4"/>
    <w:rsid w:val="00CF2B39"/>
    <w:rsid w:val="00CF2BF4"/>
    <w:rsid w:val="00CF2F66"/>
    <w:rsid w:val="00CF39A5"/>
    <w:rsid w:val="00CF46B5"/>
    <w:rsid w:val="00CF483D"/>
    <w:rsid w:val="00CF564A"/>
    <w:rsid w:val="00CF5BE2"/>
    <w:rsid w:val="00CF5E90"/>
    <w:rsid w:val="00CF6511"/>
    <w:rsid w:val="00CF68BC"/>
    <w:rsid w:val="00CF6ED1"/>
    <w:rsid w:val="00CF7978"/>
    <w:rsid w:val="00CF7DD3"/>
    <w:rsid w:val="00D0075B"/>
    <w:rsid w:val="00D01A4A"/>
    <w:rsid w:val="00D01DBE"/>
    <w:rsid w:val="00D0242B"/>
    <w:rsid w:val="00D025EC"/>
    <w:rsid w:val="00D02DC7"/>
    <w:rsid w:val="00D030CD"/>
    <w:rsid w:val="00D039E2"/>
    <w:rsid w:val="00D03D71"/>
    <w:rsid w:val="00D042C6"/>
    <w:rsid w:val="00D0475A"/>
    <w:rsid w:val="00D04B47"/>
    <w:rsid w:val="00D0574D"/>
    <w:rsid w:val="00D057EF"/>
    <w:rsid w:val="00D05C19"/>
    <w:rsid w:val="00D06A59"/>
    <w:rsid w:val="00D06ED1"/>
    <w:rsid w:val="00D06EF0"/>
    <w:rsid w:val="00D07606"/>
    <w:rsid w:val="00D076B5"/>
    <w:rsid w:val="00D078EA"/>
    <w:rsid w:val="00D07B04"/>
    <w:rsid w:val="00D102C1"/>
    <w:rsid w:val="00D104DB"/>
    <w:rsid w:val="00D10CD3"/>
    <w:rsid w:val="00D11404"/>
    <w:rsid w:val="00D115B4"/>
    <w:rsid w:val="00D11A92"/>
    <w:rsid w:val="00D11E10"/>
    <w:rsid w:val="00D11EFA"/>
    <w:rsid w:val="00D12363"/>
    <w:rsid w:val="00D12489"/>
    <w:rsid w:val="00D12BE9"/>
    <w:rsid w:val="00D13426"/>
    <w:rsid w:val="00D1375F"/>
    <w:rsid w:val="00D14034"/>
    <w:rsid w:val="00D1471B"/>
    <w:rsid w:val="00D14B32"/>
    <w:rsid w:val="00D14CD5"/>
    <w:rsid w:val="00D14DD0"/>
    <w:rsid w:val="00D1553E"/>
    <w:rsid w:val="00D15A3D"/>
    <w:rsid w:val="00D15CC9"/>
    <w:rsid w:val="00D15E91"/>
    <w:rsid w:val="00D162D4"/>
    <w:rsid w:val="00D1732F"/>
    <w:rsid w:val="00D17374"/>
    <w:rsid w:val="00D173F7"/>
    <w:rsid w:val="00D1743D"/>
    <w:rsid w:val="00D1754C"/>
    <w:rsid w:val="00D1767F"/>
    <w:rsid w:val="00D179FE"/>
    <w:rsid w:val="00D2058D"/>
    <w:rsid w:val="00D2059F"/>
    <w:rsid w:val="00D20D12"/>
    <w:rsid w:val="00D20D26"/>
    <w:rsid w:val="00D20DF8"/>
    <w:rsid w:val="00D21696"/>
    <w:rsid w:val="00D2229B"/>
    <w:rsid w:val="00D22DA1"/>
    <w:rsid w:val="00D23003"/>
    <w:rsid w:val="00D23B07"/>
    <w:rsid w:val="00D23E70"/>
    <w:rsid w:val="00D24055"/>
    <w:rsid w:val="00D2439C"/>
    <w:rsid w:val="00D24FEB"/>
    <w:rsid w:val="00D25363"/>
    <w:rsid w:val="00D2559E"/>
    <w:rsid w:val="00D25BE9"/>
    <w:rsid w:val="00D25EAA"/>
    <w:rsid w:val="00D2658A"/>
    <w:rsid w:val="00D2708B"/>
    <w:rsid w:val="00D27953"/>
    <w:rsid w:val="00D27A37"/>
    <w:rsid w:val="00D27A87"/>
    <w:rsid w:val="00D27D8C"/>
    <w:rsid w:val="00D27F6E"/>
    <w:rsid w:val="00D300AA"/>
    <w:rsid w:val="00D30741"/>
    <w:rsid w:val="00D30BDE"/>
    <w:rsid w:val="00D310BF"/>
    <w:rsid w:val="00D31130"/>
    <w:rsid w:val="00D3147C"/>
    <w:rsid w:val="00D31B0F"/>
    <w:rsid w:val="00D31BEE"/>
    <w:rsid w:val="00D32895"/>
    <w:rsid w:val="00D32B1A"/>
    <w:rsid w:val="00D3317D"/>
    <w:rsid w:val="00D332AA"/>
    <w:rsid w:val="00D3345A"/>
    <w:rsid w:val="00D33550"/>
    <w:rsid w:val="00D33DEF"/>
    <w:rsid w:val="00D340A9"/>
    <w:rsid w:val="00D3457A"/>
    <w:rsid w:val="00D34765"/>
    <w:rsid w:val="00D3495F"/>
    <w:rsid w:val="00D34DF6"/>
    <w:rsid w:val="00D34E83"/>
    <w:rsid w:val="00D3520E"/>
    <w:rsid w:val="00D352BF"/>
    <w:rsid w:val="00D35742"/>
    <w:rsid w:val="00D35F18"/>
    <w:rsid w:val="00D361B0"/>
    <w:rsid w:val="00D371F4"/>
    <w:rsid w:val="00D37369"/>
    <w:rsid w:val="00D374D4"/>
    <w:rsid w:val="00D37512"/>
    <w:rsid w:val="00D377F8"/>
    <w:rsid w:val="00D379CD"/>
    <w:rsid w:val="00D40241"/>
    <w:rsid w:val="00D403AD"/>
    <w:rsid w:val="00D4046C"/>
    <w:rsid w:val="00D41167"/>
    <w:rsid w:val="00D4139E"/>
    <w:rsid w:val="00D414D3"/>
    <w:rsid w:val="00D417B3"/>
    <w:rsid w:val="00D42006"/>
    <w:rsid w:val="00D422C7"/>
    <w:rsid w:val="00D42969"/>
    <w:rsid w:val="00D42B6A"/>
    <w:rsid w:val="00D42CA2"/>
    <w:rsid w:val="00D42F35"/>
    <w:rsid w:val="00D43569"/>
    <w:rsid w:val="00D445CD"/>
    <w:rsid w:val="00D44C9E"/>
    <w:rsid w:val="00D44F64"/>
    <w:rsid w:val="00D45238"/>
    <w:rsid w:val="00D45CDD"/>
    <w:rsid w:val="00D462E7"/>
    <w:rsid w:val="00D46C46"/>
    <w:rsid w:val="00D46DBF"/>
    <w:rsid w:val="00D4730E"/>
    <w:rsid w:val="00D47422"/>
    <w:rsid w:val="00D47810"/>
    <w:rsid w:val="00D478CB"/>
    <w:rsid w:val="00D5028F"/>
    <w:rsid w:val="00D50352"/>
    <w:rsid w:val="00D50B50"/>
    <w:rsid w:val="00D50C21"/>
    <w:rsid w:val="00D50F3F"/>
    <w:rsid w:val="00D515F5"/>
    <w:rsid w:val="00D51640"/>
    <w:rsid w:val="00D516F4"/>
    <w:rsid w:val="00D51F42"/>
    <w:rsid w:val="00D5243C"/>
    <w:rsid w:val="00D5319B"/>
    <w:rsid w:val="00D532D7"/>
    <w:rsid w:val="00D53C4F"/>
    <w:rsid w:val="00D53ED0"/>
    <w:rsid w:val="00D54002"/>
    <w:rsid w:val="00D54701"/>
    <w:rsid w:val="00D54F51"/>
    <w:rsid w:val="00D56180"/>
    <w:rsid w:val="00D562C9"/>
    <w:rsid w:val="00D563BC"/>
    <w:rsid w:val="00D56B2D"/>
    <w:rsid w:val="00D56CE0"/>
    <w:rsid w:val="00D576C3"/>
    <w:rsid w:val="00D57B34"/>
    <w:rsid w:val="00D57F37"/>
    <w:rsid w:val="00D57F97"/>
    <w:rsid w:val="00D6035C"/>
    <w:rsid w:val="00D60368"/>
    <w:rsid w:val="00D60746"/>
    <w:rsid w:val="00D60A40"/>
    <w:rsid w:val="00D60AD2"/>
    <w:rsid w:val="00D60B5C"/>
    <w:rsid w:val="00D60EA6"/>
    <w:rsid w:val="00D613F5"/>
    <w:rsid w:val="00D616C5"/>
    <w:rsid w:val="00D6195B"/>
    <w:rsid w:val="00D61E5E"/>
    <w:rsid w:val="00D61F9D"/>
    <w:rsid w:val="00D621B1"/>
    <w:rsid w:val="00D624A9"/>
    <w:rsid w:val="00D62653"/>
    <w:rsid w:val="00D62C25"/>
    <w:rsid w:val="00D6372D"/>
    <w:rsid w:val="00D63867"/>
    <w:rsid w:val="00D63F9E"/>
    <w:rsid w:val="00D6436F"/>
    <w:rsid w:val="00D647BB"/>
    <w:rsid w:val="00D64AD8"/>
    <w:rsid w:val="00D64EAD"/>
    <w:rsid w:val="00D650FB"/>
    <w:rsid w:val="00D65207"/>
    <w:rsid w:val="00D657B7"/>
    <w:rsid w:val="00D65C17"/>
    <w:rsid w:val="00D65C42"/>
    <w:rsid w:val="00D66024"/>
    <w:rsid w:val="00D664D1"/>
    <w:rsid w:val="00D66D3F"/>
    <w:rsid w:val="00D672AF"/>
    <w:rsid w:val="00D678A3"/>
    <w:rsid w:val="00D67F34"/>
    <w:rsid w:val="00D700C8"/>
    <w:rsid w:val="00D70CA8"/>
    <w:rsid w:val="00D70DA5"/>
    <w:rsid w:val="00D70E97"/>
    <w:rsid w:val="00D71697"/>
    <w:rsid w:val="00D71A54"/>
    <w:rsid w:val="00D71E89"/>
    <w:rsid w:val="00D72667"/>
    <w:rsid w:val="00D729A0"/>
    <w:rsid w:val="00D72C2D"/>
    <w:rsid w:val="00D73419"/>
    <w:rsid w:val="00D7347A"/>
    <w:rsid w:val="00D73521"/>
    <w:rsid w:val="00D7394B"/>
    <w:rsid w:val="00D73B59"/>
    <w:rsid w:val="00D73CA6"/>
    <w:rsid w:val="00D73E05"/>
    <w:rsid w:val="00D74022"/>
    <w:rsid w:val="00D745F2"/>
    <w:rsid w:val="00D74E43"/>
    <w:rsid w:val="00D75808"/>
    <w:rsid w:val="00D75A63"/>
    <w:rsid w:val="00D75B1A"/>
    <w:rsid w:val="00D75B61"/>
    <w:rsid w:val="00D75D26"/>
    <w:rsid w:val="00D7670A"/>
    <w:rsid w:val="00D76A93"/>
    <w:rsid w:val="00D771B7"/>
    <w:rsid w:val="00D7764A"/>
    <w:rsid w:val="00D8002F"/>
    <w:rsid w:val="00D8051C"/>
    <w:rsid w:val="00D80A6E"/>
    <w:rsid w:val="00D80BF5"/>
    <w:rsid w:val="00D80F02"/>
    <w:rsid w:val="00D81C24"/>
    <w:rsid w:val="00D81FFA"/>
    <w:rsid w:val="00D831AE"/>
    <w:rsid w:val="00D8363F"/>
    <w:rsid w:val="00D83A7B"/>
    <w:rsid w:val="00D841E3"/>
    <w:rsid w:val="00D84918"/>
    <w:rsid w:val="00D84969"/>
    <w:rsid w:val="00D84A63"/>
    <w:rsid w:val="00D84EA4"/>
    <w:rsid w:val="00D84F0B"/>
    <w:rsid w:val="00D84F19"/>
    <w:rsid w:val="00D850FD"/>
    <w:rsid w:val="00D8532E"/>
    <w:rsid w:val="00D855DC"/>
    <w:rsid w:val="00D8633B"/>
    <w:rsid w:val="00D8723B"/>
    <w:rsid w:val="00D87496"/>
    <w:rsid w:val="00D874DF"/>
    <w:rsid w:val="00D87724"/>
    <w:rsid w:val="00D87BF6"/>
    <w:rsid w:val="00D87D17"/>
    <w:rsid w:val="00D9005F"/>
    <w:rsid w:val="00D90C88"/>
    <w:rsid w:val="00D91BFC"/>
    <w:rsid w:val="00D91D47"/>
    <w:rsid w:val="00D92076"/>
    <w:rsid w:val="00D920CD"/>
    <w:rsid w:val="00D92157"/>
    <w:rsid w:val="00D92179"/>
    <w:rsid w:val="00D9236A"/>
    <w:rsid w:val="00D92400"/>
    <w:rsid w:val="00D92428"/>
    <w:rsid w:val="00D9270F"/>
    <w:rsid w:val="00D9288C"/>
    <w:rsid w:val="00D93DDE"/>
    <w:rsid w:val="00D93ED8"/>
    <w:rsid w:val="00D93F4F"/>
    <w:rsid w:val="00D940C6"/>
    <w:rsid w:val="00D943F4"/>
    <w:rsid w:val="00D94CD3"/>
    <w:rsid w:val="00D95ED2"/>
    <w:rsid w:val="00D9742A"/>
    <w:rsid w:val="00D976B1"/>
    <w:rsid w:val="00DA049A"/>
    <w:rsid w:val="00DA0583"/>
    <w:rsid w:val="00DA0894"/>
    <w:rsid w:val="00DA1570"/>
    <w:rsid w:val="00DA17AC"/>
    <w:rsid w:val="00DA1C30"/>
    <w:rsid w:val="00DA1ED9"/>
    <w:rsid w:val="00DA2859"/>
    <w:rsid w:val="00DA2AAC"/>
    <w:rsid w:val="00DA2B3F"/>
    <w:rsid w:val="00DA38A5"/>
    <w:rsid w:val="00DA3D14"/>
    <w:rsid w:val="00DA3D1B"/>
    <w:rsid w:val="00DA4518"/>
    <w:rsid w:val="00DA502F"/>
    <w:rsid w:val="00DA5836"/>
    <w:rsid w:val="00DA5CC0"/>
    <w:rsid w:val="00DA6359"/>
    <w:rsid w:val="00DA6479"/>
    <w:rsid w:val="00DA6586"/>
    <w:rsid w:val="00DA6FDD"/>
    <w:rsid w:val="00DA704D"/>
    <w:rsid w:val="00DA72BF"/>
    <w:rsid w:val="00DA7C07"/>
    <w:rsid w:val="00DB00DC"/>
    <w:rsid w:val="00DB01E6"/>
    <w:rsid w:val="00DB0342"/>
    <w:rsid w:val="00DB05A7"/>
    <w:rsid w:val="00DB08E0"/>
    <w:rsid w:val="00DB09FA"/>
    <w:rsid w:val="00DB1512"/>
    <w:rsid w:val="00DB19AC"/>
    <w:rsid w:val="00DB19E4"/>
    <w:rsid w:val="00DB1A00"/>
    <w:rsid w:val="00DB1AA1"/>
    <w:rsid w:val="00DB1CF4"/>
    <w:rsid w:val="00DB1FB6"/>
    <w:rsid w:val="00DB22EB"/>
    <w:rsid w:val="00DB2480"/>
    <w:rsid w:val="00DB2A72"/>
    <w:rsid w:val="00DB2AD8"/>
    <w:rsid w:val="00DB2DF4"/>
    <w:rsid w:val="00DB321A"/>
    <w:rsid w:val="00DB32B0"/>
    <w:rsid w:val="00DB37C6"/>
    <w:rsid w:val="00DB43E0"/>
    <w:rsid w:val="00DB44C2"/>
    <w:rsid w:val="00DB4EBF"/>
    <w:rsid w:val="00DB51B3"/>
    <w:rsid w:val="00DB627D"/>
    <w:rsid w:val="00DB7A2E"/>
    <w:rsid w:val="00DB7E2C"/>
    <w:rsid w:val="00DB7F18"/>
    <w:rsid w:val="00DC069D"/>
    <w:rsid w:val="00DC09DC"/>
    <w:rsid w:val="00DC0B2E"/>
    <w:rsid w:val="00DC16AC"/>
    <w:rsid w:val="00DC1D00"/>
    <w:rsid w:val="00DC2148"/>
    <w:rsid w:val="00DC2856"/>
    <w:rsid w:val="00DC3222"/>
    <w:rsid w:val="00DC3A66"/>
    <w:rsid w:val="00DC44C3"/>
    <w:rsid w:val="00DC4646"/>
    <w:rsid w:val="00DC4A26"/>
    <w:rsid w:val="00DC4BB6"/>
    <w:rsid w:val="00DC554F"/>
    <w:rsid w:val="00DC5BF9"/>
    <w:rsid w:val="00DC724E"/>
    <w:rsid w:val="00DC72A9"/>
    <w:rsid w:val="00DC750E"/>
    <w:rsid w:val="00DC78C4"/>
    <w:rsid w:val="00DC7E69"/>
    <w:rsid w:val="00DD0015"/>
    <w:rsid w:val="00DD08DC"/>
    <w:rsid w:val="00DD11D5"/>
    <w:rsid w:val="00DD166F"/>
    <w:rsid w:val="00DD188F"/>
    <w:rsid w:val="00DD23C8"/>
    <w:rsid w:val="00DD24FC"/>
    <w:rsid w:val="00DD25DB"/>
    <w:rsid w:val="00DD26FC"/>
    <w:rsid w:val="00DD2907"/>
    <w:rsid w:val="00DD2D55"/>
    <w:rsid w:val="00DD2DAC"/>
    <w:rsid w:val="00DD30EE"/>
    <w:rsid w:val="00DD35A1"/>
    <w:rsid w:val="00DD3980"/>
    <w:rsid w:val="00DD3B84"/>
    <w:rsid w:val="00DD3D3D"/>
    <w:rsid w:val="00DD3F58"/>
    <w:rsid w:val="00DD421E"/>
    <w:rsid w:val="00DD4C0E"/>
    <w:rsid w:val="00DD4E2B"/>
    <w:rsid w:val="00DD50F7"/>
    <w:rsid w:val="00DD5344"/>
    <w:rsid w:val="00DD55CE"/>
    <w:rsid w:val="00DD621B"/>
    <w:rsid w:val="00DD6270"/>
    <w:rsid w:val="00DD670A"/>
    <w:rsid w:val="00DD6FF0"/>
    <w:rsid w:val="00DD795E"/>
    <w:rsid w:val="00DD7BFC"/>
    <w:rsid w:val="00DE08C2"/>
    <w:rsid w:val="00DE1206"/>
    <w:rsid w:val="00DE19F3"/>
    <w:rsid w:val="00DE1D55"/>
    <w:rsid w:val="00DE2137"/>
    <w:rsid w:val="00DE23DC"/>
    <w:rsid w:val="00DE2E23"/>
    <w:rsid w:val="00DE3A3F"/>
    <w:rsid w:val="00DE3AAB"/>
    <w:rsid w:val="00DE4114"/>
    <w:rsid w:val="00DE4595"/>
    <w:rsid w:val="00DE4809"/>
    <w:rsid w:val="00DE4CE7"/>
    <w:rsid w:val="00DE4DEF"/>
    <w:rsid w:val="00DE58C0"/>
    <w:rsid w:val="00DE5900"/>
    <w:rsid w:val="00DE5CEA"/>
    <w:rsid w:val="00DE60A5"/>
    <w:rsid w:val="00DE61B2"/>
    <w:rsid w:val="00DE61FA"/>
    <w:rsid w:val="00DE64D0"/>
    <w:rsid w:val="00DE653B"/>
    <w:rsid w:val="00DE690A"/>
    <w:rsid w:val="00DE6F47"/>
    <w:rsid w:val="00DE75E0"/>
    <w:rsid w:val="00DE7639"/>
    <w:rsid w:val="00DF00D5"/>
    <w:rsid w:val="00DF055D"/>
    <w:rsid w:val="00DF103A"/>
    <w:rsid w:val="00DF1338"/>
    <w:rsid w:val="00DF1452"/>
    <w:rsid w:val="00DF1B59"/>
    <w:rsid w:val="00DF1C75"/>
    <w:rsid w:val="00DF1E8A"/>
    <w:rsid w:val="00DF20B3"/>
    <w:rsid w:val="00DF23D3"/>
    <w:rsid w:val="00DF25BB"/>
    <w:rsid w:val="00DF25CE"/>
    <w:rsid w:val="00DF2C01"/>
    <w:rsid w:val="00DF3E0C"/>
    <w:rsid w:val="00DF42A9"/>
    <w:rsid w:val="00DF4322"/>
    <w:rsid w:val="00DF4472"/>
    <w:rsid w:val="00DF48FD"/>
    <w:rsid w:val="00DF59F4"/>
    <w:rsid w:val="00DF5E24"/>
    <w:rsid w:val="00DF6405"/>
    <w:rsid w:val="00DF6870"/>
    <w:rsid w:val="00DF690E"/>
    <w:rsid w:val="00DF7206"/>
    <w:rsid w:val="00DF72E4"/>
    <w:rsid w:val="00DF734A"/>
    <w:rsid w:val="00DF758B"/>
    <w:rsid w:val="00DF76C8"/>
    <w:rsid w:val="00DF7E97"/>
    <w:rsid w:val="00DF7F57"/>
    <w:rsid w:val="00E00876"/>
    <w:rsid w:val="00E00EAA"/>
    <w:rsid w:val="00E01007"/>
    <w:rsid w:val="00E012B2"/>
    <w:rsid w:val="00E015E0"/>
    <w:rsid w:val="00E01FAA"/>
    <w:rsid w:val="00E01FC5"/>
    <w:rsid w:val="00E021CF"/>
    <w:rsid w:val="00E02D56"/>
    <w:rsid w:val="00E02F07"/>
    <w:rsid w:val="00E02FAC"/>
    <w:rsid w:val="00E03322"/>
    <w:rsid w:val="00E03615"/>
    <w:rsid w:val="00E03A2B"/>
    <w:rsid w:val="00E04267"/>
    <w:rsid w:val="00E04455"/>
    <w:rsid w:val="00E0459F"/>
    <w:rsid w:val="00E04C24"/>
    <w:rsid w:val="00E04E4E"/>
    <w:rsid w:val="00E05284"/>
    <w:rsid w:val="00E053E7"/>
    <w:rsid w:val="00E05858"/>
    <w:rsid w:val="00E059A5"/>
    <w:rsid w:val="00E06572"/>
    <w:rsid w:val="00E06952"/>
    <w:rsid w:val="00E06A5E"/>
    <w:rsid w:val="00E072A0"/>
    <w:rsid w:val="00E077DD"/>
    <w:rsid w:val="00E07FDD"/>
    <w:rsid w:val="00E111AE"/>
    <w:rsid w:val="00E1164A"/>
    <w:rsid w:val="00E11C1E"/>
    <w:rsid w:val="00E11E45"/>
    <w:rsid w:val="00E11F03"/>
    <w:rsid w:val="00E121E9"/>
    <w:rsid w:val="00E12856"/>
    <w:rsid w:val="00E12AC3"/>
    <w:rsid w:val="00E130E7"/>
    <w:rsid w:val="00E1314A"/>
    <w:rsid w:val="00E13600"/>
    <w:rsid w:val="00E13809"/>
    <w:rsid w:val="00E13A39"/>
    <w:rsid w:val="00E13A82"/>
    <w:rsid w:val="00E14191"/>
    <w:rsid w:val="00E1432C"/>
    <w:rsid w:val="00E14368"/>
    <w:rsid w:val="00E14898"/>
    <w:rsid w:val="00E14A53"/>
    <w:rsid w:val="00E14B30"/>
    <w:rsid w:val="00E15746"/>
    <w:rsid w:val="00E15AF5"/>
    <w:rsid w:val="00E16053"/>
    <w:rsid w:val="00E17227"/>
    <w:rsid w:val="00E17347"/>
    <w:rsid w:val="00E173A0"/>
    <w:rsid w:val="00E20D50"/>
    <w:rsid w:val="00E215BB"/>
    <w:rsid w:val="00E216FD"/>
    <w:rsid w:val="00E21AE0"/>
    <w:rsid w:val="00E22414"/>
    <w:rsid w:val="00E22DF3"/>
    <w:rsid w:val="00E22FBE"/>
    <w:rsid w:val="00E232C9"/>
    <w:rsid w:val="00E248F3"/>
    <w:rsid w:val="00E24D40"/>
    <w:rsid w:val="00E25B31"/>
    <w:rsid w:val="00E26855"/>
    <w:rsid w:val="00E26DA7"/>
    <w:rsid w:val="00E26FCD"/>
    <w:rsid w:val="00E274D3"/>
    <w:rsid w:val="00E2775F"/>
    <w:rsid w:val="00E30155"/>
    <w:rsid w:val="00E30F95"/>
    <w:rsid w:val="00E31A22"/>
    <w:rsid w:val="00E31A3D"/>
    <w:rsid w:val="00E31C42"/>
    <w:rsid w:val="00E321E9"/>
    <w:rsid w:val="00E32356"/>
    <w:rsid w:val="00E32EC9"/>
    <w:rsid w:val="00E338A3"/>
    <w:rsid w:val="00E33D2A"/>
    <w:rsid w:val="00E343A4"/>
    <w:rsid w:val="00E3492F"/>
    <w:rsid w:val="00E34AB2"/>
    <w:rsid w:val="00E34FAB"/>
    <w:rsid w:val="00E351D1"/>
    <w:rsid w:val="00E353A4"/>
    <w:rsid w:val="00E35815"/>
    <w:rsid w:val="00E3584C"/>
    <w:rsid w:val="00E35D35"/>
    <w:rsid w:val="00E36577"/>
    <w:rsid w:val="00E36617"/>
    <w:rsid w:val="00E36EE3"/>
    <w:rsid w:val="00E374C7"/>
    <w:rsid w:val="00E378C3"/>
    <w:rsid w:val="00E40B09"/>
    <w:rsid w:val="00E40C92"/>
    <w:rsid w:val="00E40EDD"/>
    <w:rsid w:val="00E410A8"/>
    <w:rsid w:val="00E410AD"/>
    <w:rsid w:val="00E412BD"/>
    <w:rsid w:val="00E41645"/>
    <w:rsid w:val="00E4192C"/>
    <w:rsid w:val="00E41D1F"/>
    <w:rsid w:val="00E41F84"/>
    <w:rsid w:val="00E42115"/>
    <w:rsid w:val="00E429BF"/>
    <w:rsid w:val="00E42CB7"/>
    <w:rsid w:val="00E4329F"/>
    <w:rsid w:val="00E434A4"/>
    <w:rsid w:val="00E43783"/>
    <w:rsid w:val="00E437E3"/>
    <w:rsid w:val="00E440C0"/>
    <w:rsid w:val="00E45516"/>
    <w:rsid w:val="00E459BB"/>
    <w:rsid w:val="00E459BE"/>
    <w:rsid w:val="00E4646E"/>
    <w:rsid w:val="00E5035A"/>
    <w:rsid w:val="00E50397"/>
    <w:rsid w:val="00E5039C"/>
    <w:rsid w:val="00E5052A"/>
    <w:rsid w:val="00E50A3D"/>
    <w:rsid w:val="00E50EDE"/>
    <w:rsid w:val="00E51193"/>
    <w:rsid w:val="00E513C2"/>
    <w:rsid w:val="00E51D4A"/>
    <w:rsid w:val="00E5241F"/>
    <w:rsid w:val="00E52678"/>
    <w:rsid w:val="00E52810"/>
    <w:rsid w:val="00E528ED"/>
    <w:rsid w:val="00E52F25"/>
    <w:rsid w:val="00E53723"/>
    <w:rsid w:val="00E538A4"/>
    <w:rsid w:val="00E538B8"/>
    <w:rsid w:val="00E53C19"/>
    <w:rsid w:val="00E53C99"/>
    <w:rsid w:val="00E53EAE"/>
    <w:rsid w:val="00E543DE"/>
    <w:rsid w:val="00E5440C"/>
    <w:rsid w:val="00E54421"/>
    <w:rsid w:val="00E54427"/>
    <w:rsid w:val="00E5444F"/>
    <w:rsid w:val="00E55083"/>
    <w:rsid w:val="00E554D1"/>
    <w:rsid w:val="00E55521"/>
    <w:rsid w:val="00E5554C"/>
    <w:rsid w:val="00E55A09"/>
    <w:rsid w:val="00E55EE3"/>
    <w:rsid w:val="00E55F6A"/>
    <w:rsid w:val="00E56007"/>
    <w:rsid w:val="00E57390"/>
    <w:rsid w:val="00E57BD1"/>
    <w:rsid w:val="00E57D17"/>
    <w:rsid w:val="00E60457"/>
    <w:rsid w:val="00E60A2B"/>
    <w:rsid w:val="00E60A87"/>
    <w:rsid w:val="00E6159D"/>
    <w:rsid w:val="00E61A6D"/>
    <w:rsid w:val="00E61C62"/>
    <w:rsid w:val="00E628B5"/>
    <w:rsid w:val="00E6320D"/>
    <w:rsid w:val="00E63A12"/>
    <w:rsid w:val="00E63A37"/>
    <w:rsid w:val="00E63E90"/>
    <w:rsid w:val="00E6453F"/>
    <w:rsid w:val="00E64D36"/>
    <w:rsid w:val="00E6523E"/>
    <w:rsid w:val="00E65438"/>
    <w:rsid w:val="00E65444"/>
    <w:rsid w:val="00E6550A"/>
    <w:rsid w:val="00E65587"/>
    <w:rsid w:val="00E65BD7"/>
    <w:rsid w:val="00E6658D"/>
    <w:rsid w:val="00E665BB"/>
    <w:rsid w:val="00E6675D"/>
    <w:rsid w:val="00E66C9D"/>
    <w:rsid w:val="00E67024"/>
    <w:rsid w:val="00E6745D"/>
    <w:rsid w:val="00E675FF"/>
    <w:rsid w:val="00E67791"/>
    <w:rsid w:val="00E679A7"/>
    <w:rsid w:val="00E67D88"/>
    <w:rsid w:val="00E700EA"/>
    <w:rsid w:val="00E70F41"/>
    <w:rsid w:val="00E71143"/>
    <w:rsid w:val="00E71256"/>
    <w:rsid w:val="00E712BE"/>
    <w:rsid w:val="00E71472"/>
    <w:rsid w:val="00E7155C"/>
    <w:rsid w:val="00E71E40"/>
    <w:rsid w:val="00E71F0F"/>
    <w:rsid w:val="00E72366"/>
    <w:rsid w:val="00E726D7"/>
    <w:rsid w:val="00E73037"/>
    <w:rsid w:val="00E735CF"/>
    <w:rsid w:val="00E73D9D"/>
    <w:rsid w:val="00E73E23"/>
    <w:rsid w:val="00E74520"/>
    <w:rsid w:val="00E7455D"/>
    <w:rsid w:val="00E74D4F"/>
    <w:rsid w:val="00E75453"/>
    <w:rsid w:val="00E75941"/>
    <w:rsid w:val="00E76A87"/>
    <w:rsid w:val="00E76BA5"/>
    <w:rsid w:val="00E76D1D"/>
    <w:rsid w:val="00E80642"/>
    <w:rsid w:val="00E8073D"/>
    <w:rsid w:val="00E808E0"/>
    <w:rsid w:val="00E811CA"/>
    <w:rsid w:val="00E81E05"/>
    <w:rsid w:val="00E820F0"/>
    <w:rsid w:val="00E82480"/>
    <w:rsid w:val="00E82DB8"/>
    <w:rsid w:val="00E8318F"/>
    <w:rsid w:val="00E832A7"/>
    <w:rsid w:val="00E838A0"/>
    <w:rsid w:val="00E840FF"/>
    <w:rsid w:val="00E847E1"/>
    <w:rsid w:val="00E84C82"/>
    <w:rsid w:val="00E84C99"/>
    <w:rsid w:val="00E84E43"/>
    <w:rsid w:val="00E85384"/>
    <w:rsid w:val="00E85D38"/>
    <w:rsid w:val="00E85E6D"/>
    <w:rsid w:val="00E869A6"/>
    <w:rsid w:val="00E86E17"/>
    <w:rsid w:val="00E872D5"/>
    <w:rsid w:val="00E87945"/>
    <w:rsid w:val="00E9031C"/>
    <w:rsid w:val="00E90414"/>
    <w:rsid w:val="00E908DE"/>
    <w:rsid w:val="00E913CD"/>
    <w:rsid w:val="00E913CE"/>
    <w:rsid w:val="00E920F1"/>
    <w:rsid w:val="00E92110"/>
    <w:rsid w:val="00E921ED"/>
    <w:rsid w:val="00E9227F"/>
    <w:rsid w:val="00E924E5"/>
    <w:rsid w:val="00E9331C"/>
    <w:rsid w:val="00E933D7"/>
    <w:rsid w:val="00E93CEB"/>
    <w:rsid w:val="00E93E85"/>
    <w:rsid w:val="00E9467D"/>
    <w:rsid w:val="00E94FE0"/>
    <w:rsid w:val="00E95239"/>
    <w:rsid w:val="00E958E2"/>
    <w:rsid w:val="00E96D6A"/>
    <w:rsid w:val="00E96F50"/>
    <w:rsid w:val="00E970A7"/>
    <w:rsid w:val="00E974D8"/>
    <w:rsid w:val="00E97C52"/>
    <w:rsid w:val="00EA0543"/>
    <w:rsid w:val="00EA0B68"/>
    <w:rsid w:val="00EA10E6"/>
    <w:rsid w:val="00EA1264"/>
    <w:rsid w:val="00EA13A5"/>
    <w:rsid w:val="00EA197E"/>
    <w:rsid w:val="00EA1F58"/>
    <w:rsid w:val="00EA23F0"/>
    <w:rsid w:val="00EA2425"/>
    <w:rsid w:val="00EA288E"/>
    <w:rsid w:val="00EA2DEE"/>
    <w:rsid w:val="00EA354C"/>
    <w:rsid w:val="00EA3CDA"/>
    <w:rsid w:val="00EA3FB1"/>
    <w:rsid w:val="00EA57F2"/>
    <w:rsid w:val="00EA59D3"/>
    <w:rsid w:val="00EA5D53"/>
    <w:rsid w:val="00EA6508"/>
    <w:rsid w:val="00EA680C"/>
    <w:rsid w:val="00EA7562"/>
    <w:rsid w:val="00EA7FCA"/>
    <w:rsid w:val="00EB0194"/>
    <w:rsid w:val="00EB0382"/>
    <w:rsid w:val="00EB072F"/>
    <w:rsid w:val="00EB0AC2"/>
    <w:rsid w:val="00EB111B"/>
    <w:rsid w:val="00EB15F9"/>
    <w:rsid w:val="00EB1B53"/>
    <w:rsid w:val="00EB1CC8"/>
    <w:rsid w:val="00EB1FA9"/>
    <w:rsid w:val="00EB27FA"/>
    <w:rsid w:val="00EB2E40"/>
    <w:rsid w:val="00EB3A57"/>
    <w:rsid w:val="00EB3F8E"/>
    <w:rsid w:val="00EB416F"/>
    <w:rsid w:val="00EB41FF"/>
    <w:rsid w:val="00EB458E"/>
    <w:rsid w:val="00EB4664"/>
    <w:rsid w:val="00EB46CE"/>
    <w:rsid w:val="00EB4A18"/>
    <w:rsid w:val="00EB5C61"/>
    <w:rsid w:val="00EB67D5"/>
    <w:rsid w:val="00EB685A"/>
    <w:rsid w:val="00EB6E7C"/>
    <w:rsid w:val="00EB7036"/>
    <w:rsid w:val="00EB734A"/>
    <w:rsid w:val="00EB76D0"/>
    <w:rsid w:val="00EB7983"/>
    <w:rsid w:val="00EB7A50"/>
    <w:rsid w:val="00EC006E"/>
    <w:rsid w:val="00EC094C"/>
    <w:rsid w:val="00EC0B19"/>
    <w:rsid w:val="00EC11AA"/>
    <w:rsid w:val="00EC1AE8"/>
    <w:rsid w:val="00EC2917"/>
    <w:rsid w:val="00EC3760"/>
    <w:rsid w:val="00EC391B"/>
    <w:rsid w:val="00EC3AEC"/>
    <w:rsid w:val="00EC3EF4"/>
    <w:rsid w:val="00EC4491"/>
    <w:rsid w:val="00EC44DA"/>
    <w:rsid w:val="00EC455D"/>
    <w:rsid w:val="00EC4564"/>
    <w:rsid w:val="00EC5313"/>
    <w:rsid w:val="00EC5E2F"/>
    <w:rsid w:val="00EC5F75"/>
    <w:rsid w:val="00EC6089"/>
    <w:rsid w:val="00EC6263"/>
    <w:rsid w:val="00EC63E1"/>
    <w:rsid w:val="00EC6592"/>
    <w:rsid w:val="00EC6B9B"/>
    <w:rsid w:val="00EC7C81"/>
    <w:rsid w:val="00ED031D"/>
    <w:rsid w:val="00ED07C2"/>
    <w:rsid w:val="00ED081A"/>
    <w:rsid w:val="00ED0C43"/>
    <w:rsid w:val="00ED0E9D"/>
    <w:rsid w:val="00ED0ECF"/>
    <w:rsid w:val="00ED1265"/>
    <w:rsid w:val="00ED167B"/>
    <w:rsid w:val="00ED1B73"/>
    <w:rsid w:val="00ED1C04"/>
    <w:rsid w:val="00ED236C"/>
    <w:rsid w:val="00ED26A5"/>
    <w:rsid w:val="00ED29E3"/>
    <w:rsid w:val="00ED2E21"/>
    <w:rsid w:val="00ED39D8"/>
    <w:rsid w:val="00ED3AFD"/>
    <w:rsid w:val="00ED4884"/>
    <w:rsid w:val="00ED48CA"/>
    <w:rsid w:val="00ED4E03"/>
    <w:rsid w:val="00ED531F"/>
    <w:rsid w:val="00ED53A7"/>
    <w:rsid w:val="00ED57BC"/>
    <w:rsid w:val="00ED5E16"/>
    <w:rsid w:val="00ED6080"/>
    <w:rsid w:val="00ED61B5"/>
    <w:rsid w:val="00ED61FA"/>
    <w:rsid w:val="00ED625E"/>
    <w:rsid w:val="00ED6360"/>
    <w:rsid w:val="00ED7209"/>
    <w:rsid w:val="00EE0614"/>
    <w:rsid w:val="00EE07C3"/>
    <w:rsid w:val="00EE0F67"/>
    <w:rsid w:val="00EE1A46"/>
    <w:rsid w:val="00EE22DB"/>
    <w:rsid w:val="00EE2801"/>
    <w:rsid w:val="00EE29B3"/>
    <w:rsid w:val="00EE2D6C"/>
    <w:rsid w:val="00EE4350"/>
    <w:rsid w:val="00EE48E4"/>
    <w:rsid w:val="00EE4AC6"/>
    <w:rsid w:val="00EE527D"/>
    <w:rsid w:val="00EE57BB"/>
    <w:rsid w:val="00EE5854"/>
    <w:rsid w:val="00EE5C02"/>
    <w:rsid w:val="00EE5C66"/>
    <w:rsid w:val="00EE5E75"/>
    <w:rsid w:val="00EE6AD8"/>
    <w:rsid w:val="00EE6D8C"/>
    <w:rsid w:val="00EE7655"/>
    <w:rsid w:val="00EE7C23"/>
    <w:rsid w:val="00EE7E7B"/>
    <w:rsid w:val="00EE7E94"/>
    <w:rsid w:val="00EF012B"/>
    <w:rsid w:val="00EF042D"/>
    <w:rsid w:val="00EF08C4"/>
    <w:rsid w:val="00EF0A45"/>
    <w:rsid w:val="00EF10BB"/>
    <w:rsid w:val="00EF1222"/>
    <w:rsid w:val="00EF1397"/>
    <w:rsid w:val="00EF19F9"/>
    <w:rsid w:val="00EF1CC1"/>
    <w:rsid w:val="00EF1D82"/>
    <w:rsid w:val="00EF2395"/>
    <w:rsid w:val="00EF2940"/>
    <w:rsid w:val="00EF2AF6"/>
    <w:rsid w:val="00EF2DE5"/>
    <w:rsid w:val="00EF302D"/>
    <w:rsid w:val="00EF3052"/>
    <w:rsid w:val="00EF36BB"/>
    <w:rsid w:val="00EF3A0B"/>
    <w:rsid w:val="00EF46B4"/>
    <w:rsid w:val="00EF4763"/>
    <w:rsid w:val="00EF4BA0"/>
    <w:rsid w:val="00EF5BAF"/>
    <w:rsid w:val="00EF6380"/>
    <w:rsid w:val="00EF66B8"/>
    <w:rsid w:val="00EF6FC0"/>
    <w:rsid w:val="00EF73FB"/>
    <w:rsid w:val="00EF743C"/>
    <w:rsid w:val="00EF74B1"/>
    <w:rsid w:val="00EF77C7"/>
    <w:rsid w:val="00EF7B41"/>
    <w:rsid w:val="00EF7C75"/>
    <w:rsid w:val="00EF7CAE"/>
    <w:rsid w:val="00F0068E"/>
    <w:rsid w:val="00F011D7"/>
    <w:rsid w:val="00F0126C"/>
    <w:rsid w:val="00F01727"/>
    <w:rsid w:val="00F01C09"/>
    <w:rsid w:val="00F01DAA"/>
    <w:rsid w:val="00F026CB"/>
    <w:rsid w:val="00F027D0"/>
    <w:rsid w:val="00F027F0"/>
    <w:rsid w:val="00F038C6"/>
    <w:rsid w:val="00F03CD7"/>
    <w:rsid w:val="00F040E1"/>
    <w:rsid w:val="00F0426A"/>
    <w:rsid w:val="00F046EE"/>
    <w:rsid w:val="00F05108"/>
    <w:rsid w:val="00F05383"/>
    <w:rsid w:val="00F05450"/>
    <w:rsid w:val="00F0617E"/>
    <w:rsid w:val="00F067CD"/>
    <w:rsid w:val="00F069CF"/>
    <w:rsid w:val="00F07443"/>
    <w:rsid w:val="00F07CC0"/>
    <w:rsid w:val="00F07F74"/>
    <w:rsid w:val="00F102DC"/>
    <w:rsid w:val="00F10AC9"/>
    <w:rsid w:val="00F10CC9"/>
    <w:rsid w:val="00F10DF9"/>
    <w:rsid w:val="00F11008"/>
    <w:rsid w:val="00F114A9"/>
    <w:rsid w:val="00F117B9"/>
    <w:rsid w:val="00F129E5"/>
    <w:rsid w:val="00F131BC"/>
    <w:rsid w:val="00F131F9"/>
    <w:rsid w:val="00F13710"/>
    <w:rsid w:val="00F14850"/>
    <w:rsid w:val="00F15225"/>
    <w:rsid w:val="00F1571E"/>
    <w:rsid w:val="00F16937"/>
    <w:rsid w:val="00F172AD"/>
    <w:rsid w:val="00F1733B"/>
    <w:rsid w:val="00F176C8"/>
    <w:rsid w:val="00F17818"/>
    <w:rsid w:val="00F17B2C"/>
    <w:rsid w:val="00F17ED0"/>
    <w:rsid w:val="00F201B0"/>
    <w:rsid w:val="00F201D8"/>
    <w:rsid w:val="00F203BF"/>
    <w:rsid w:val="00F20633"/>
    <w:rsid w:val="00F2078D"/>
    <w:rsid w:val="00F20B89"/>
    <w:rsid w:val="00F20B90"/>
    <w:rsid w:val="00F20EB7"/>
    <w:rsid w:val="00F21024"/>
    <w:rsid w:val="00F21AFB"/>
    <w:rsid w:val="00F21E42"/>
    <w:rsid w:val="00F22286"/>
    <w:rsid w:val="00F2298F"/>
    <w:rsid w:val="00F22F46"/>
    <w:rsid w:val="00F23728"/>
    <w:rsid w:val="00F237FC"/>
    <w:rsid w:val="00F23D0F"/>
    <w:rsid w:val="00F245B2"/>
    <w:rsid w:val="00F24A1D"/>
    <w:rsid w:val="00F25065"/>
    <w:rsid w:val="00F26089"/>
    <w:rsid w:val="00F26411"/>
    <w:rsid w:val="00F264B2"/>
    <w:rsid w:val="00F2659B"/>
    <w:rsid w:val="00F265B7"/>
    <w:rsid w:val="00F26CCB"/>
    <w:rsid w:val="00F26F13"/>
    <w:rsid w:val="00F2707F"/>
    <w:rsid w:val="00F27182"/>
    <w:rsid w:val="00F27DE9"/>
    <w:rsid w:val="00F27E3C"/>
    <w:rsid w:val="00F3023C"/>
    <w:rsid w:val="00F309F9"/>
    <w:rsid w:val="00F30CB9"/>
    <w:rsid w:val="00F30F3E"/>
    <w:rsid w:val="00F312EC"/>
    <w:rsid w:val="00F31E62"/>
    <w:rsid w:val="00F320C3"/>
    <w:rsid w:val="00F32284"/>
    <w:rsid w:val="00F330B7"/>
    <w:rsid w:val="00F33433"/>
    <w:rsid w:val="00F33936"/>
    <w:rsid w:val="00F34598"/>
    <w:rsid w:val="00F34819"/>
    <w:rsid w:val="00F34FDA"/>
    <w:rsid w:val="00F35089"/>
    <w:rsid w:val="00F353FD"/>
    <w:rsid w:val="00F35A15"/>
    <w:rsid w:val="00F3690A"/>
    <w:rsid w:val="00F3702D"/>
    <w:rsid w:val="00F37058"/>
    <w:rsid w:val="00F3705D"/>
    <w:rsid w:val="00F3715F"/>
    <w:rsid w:val="00F3756D"/>
    <w:rsid w:val="00F37574"/>
    <w:rsid w:val="00F37A97"/>
    <w:rsid w:val="00F37B75"/>
    <w:rsid w:val="00F37FD0"/>
    <w:rsid w:val="00F4072A"/>
    <w:rsid w:val="00F40D40"/>
    <w:rsid w:val="00F419A5"/>
    <w:rsid w:val="00F42096"/>
    <w:rsid w:val="00F424EC"/>
    <w:rsid w:val="00F4251A"/>
    <w:rsid w:val="00F42520"/>
    <w:rsid w:val="00F4264E"/>
    <w:rsid w:val="00F430D8"/>
    <w:rsid w:val="00F43133"/>
    <w:rsid w:val="00F43195"/>
    <w:rsid w:val="00F43689"/>
    <w:rsid w:val="00F43858"/>
    <w:rsid w:val="00F43BC3"/>
    <w:rsid w:val="00F43D73"/>
    <w:rsid w:val="00F43E2D"/>
    <w:rsid w:val="00F44D28"/>
    <w:rsid w:val="00F44E26"/>
    <w:rsid w:val="00F45163"/>
    <w:rsid w:val="00F4536F"/>
    <w:rsid w:val="00F45509"/>
    <w:rsid w:val="00F45A17"/>
    <w:rsid w:val="00F45D84"/>
    <w:rsid w:val="00F46489"/>
    <w:rsid w:val="00F47819"/>
    <w:rsid w:val="00F47BF3"/>
    <w:rsid w:val="00F47DFA"/>
    <w:rsid w:val="00F47F7F"/>
    <w:rsid w:val="00F50451"/>
    <w:rsid w:val="00F50856"/>
    <w:rsid w:val="00F51387"/>
    <w:rsid w:val="00F5192A"/>
    <w:rsid w:val="00F51A3B"/>
    <w:rsid w:val="00F51D70"/>
    <w:rsid w:val="00F522B3"/>
    <w:rsid w:val="00F52B76"/>
    <w:rsid w:val="00F52D8C"/>
    <w:rsid w:val="00F52E11"/>
    <w:rsid w:val="00F53259"/>
    <w:rsid w:val="00F532AF"/>
    <w:rsid w:val="00F53D2F"/>
    <w:rsid w:val="00F53D6C"/>
    <w:rsid w:val="00F53DF4"/>
    <w:rsid w:val="00F54541"/>
    <w:rsid w:val="00F54A36"/>
    <w:rsid w:val="00F54A7F"/>
    <w:rsid w:val="00F55057"/>
    <w:rsid w:val="00F554CE"/>
    <w:rsid w:val="00F55771"/>
    <w:rsid w:val="00F5628B"/>
    <w:rsid w:val="00F5644B"/>
    <w:rsid w:val="00F569E6"/>
    <w:rsid w:val="00F56C5C"/>
    <w:rsid w:val="00F573CE"/>
    <w:rsid w:val="00F57CBE"/>
    <w:rsid w:val="00F57F42"/>
    <w:rsid w:val="00F606D8"/>
    <w:rsid w:val="00F610BC"/>
    <w:rsid w:val="00F611B7"/>
    <w:rsid w:val="00F617F3"/>
    <w:rsid w:val="00F618B4"/>
    <w:rsid w:val="00F61925"/>
    <w:rsid w:val="00F61A2D"/>
    <w:rsid w:val="00F61E4B"/>
    <w:rsid w:val="00F61ECA"/>
    <w:rsid w:val="00F627CF"/>
    <w:rsid w:val="00F62ABE"/>
    <w:rsid w:val="00F62FAB"/>
    <w:rsid w:val="00F6317C"/>
    <w:rsid w:val="00F636CC"/>
    <w:rsid w:val="00F63C61"/>
    <w:rsid w:val="00F63C8D"/>
    <w:rsid w:val="00F6401B"/>
    <w:rsid w:val="00F6420C"/>
    <w:rsid w:val="00F6456F"/>
    <w:rsid w:val="00F64AB9"/>
    <w:rsid w:val="00F64AD5"/>
    <w:rsid w:val="00F64CA6"/>
    <w:rsid w:val="00F64D90"/>
    <w:rsid w:val="00F651FB"/>
    <w:rsid w:val="00F653AE"/>
    <w:rsid w:val="00F65D8F"/>
    <w:rsid w:val="00F65D9C"/>
    <w:rsid w:val="00F65E1C"/>
    <w:rsid w:val="00F6654F"/>
    <w:rsid w:val="00F66653"/>
    <w:rsid w:val="00F669BB"/>
    <w:rsid w:val="00F67226"/>
    <w:rsid w:val="00F672A8"/>
    <w:rsid w:val="00F6783D"/>
    <w:rsid w:val="00F70837"/>
    <w:rsid w:val="00F708EF"/>
    <w:rsid w:val="00F70D99"/>
    <w:rsid w:val="00F70EAB"/>
    <w:rsid w:val="00F71075"/>
    <w:rsid w:val="00F714AF"/>
    <w:rsid w:val="00F71928"/>
    <w:rsid w:val="00F71A82"/>
    <w:rsid w:val="00F71C6E"/>
    <w:rsid w:val="00F725E4"/>
    <w:rsid w:val="00F72A66"/>
    <w:rsid w:val="00F7337B"/>
    <w:rsid w:val="00F7348B"/>
    <w:rsid w:val="00F73953"/>
    <w:rsid w:val="00F73B69"/>
    <w:rsid w:val="00F74880"/>
    <w:rsid w:val="00F74A96"/>
    <w:rsid w:val="00F74BEE"/>
    <w:rsid w:val="00F74DB6"/>
    <w:rsid w:val="00F7525C"/>
    <w:rsid w:val="00F75FDD"/>
    <w:rsid w:val="00F76182"/>
    <w:rsid w:val="00F76665"/>
    <w:rsid w:val="00F7698E"/>
    <w:rsid w:val="00F77471"/>
    <w:rsid w:val="00F7768B"/>
    <w:rsid w:val="00F779BE"/>
    <w:rsid w:val="00F800DD"/>
    <w:rsid w:val="00F80983"/>
    <w:rsid w:val="00F80EA8"/>
    <w:rsid w:val="00F811E0"/>
    <w:rsid w:val="00F814FF"/>
    <w:rsid w:val="00F816B0"/>
    <w:rsid w:val="00F818CC"/>
    <w:rsid w:val="00F81FE7"/>
    <w:rsid w:val="00F82022"/>
    <w:rsid w:val="00F820D5"/>
    <w:rsid w:val="00F821C4"/>
    <w:rsid w:val="00F82863"/>
    <w:rsid w:val="00F82994"/>
    <w:rsid w:val="00F82BA1"/>
    <w:rsid w:val="00F834DF"/>
    <w:rsid w:val="00F83517"/>
    <w:rsid w:val="00F83BCE"/>
    <w:rsid w:val="00F84032"/>
    <w:rsid w:val="00F840E6"/>
    <w:rsid w:val="00F84348"/>
    <w:rsid w:val="00F845B3"/>
    <w:rsid w:val="00F8494B"/>
    <w:rsid w:val="00F84A60"/>
    <w:rsid w:val="00F853B7"/>
    <w:rsid w:val="00F85468"/>
    <w:rsid w:val="00F855BD"/>
    <w:rsid w:val="00F85C64"/>
    <w:rsid w:val="00F85CC7"/>
    <w:rsid w:val="00F85E7A"/>
    <w:rsid w:val="00F85F54"/>
    <w:rsid w:val="00F8698D"/>
    <w:rsid w:val="00F87136"/>
    <w:rsid w:val="00F87574"/>
    <w:rsid w:val="00F87B66"/>
    <w:rsid w:val="00F900AA"/>
    <w:rsid w:val="00F90308"/>
    <w:rsid w:val="00F90A63"/>
    <w:rsid w:val="00F90FB2"/>
    <w:rsid w:val="00F910CD"/>
    <w:rsid w:val="00F91666"/>
    <w:rsid w:val="00F917EB"/>
    <w:rsid w:val="00F91963"/>
    <w:rsid w:val="00F922CE"/>
    <w:rsid w:val="00F9252B"/>
    <w:rsid w:val="00F92E9E"/>
    <w:rsid w:val="00F92EF7"/>
    <w:rsid w:val="00F93547"/>
    <w:rsid w:val="00F93598"/>
    <w:rsid w:val="00F93F74"/>
    <w:rsid w:val="00F94A3E"/>
    <w:rsid w:val="00F94B88"/>
    <w:rsid w:val="00F94B92"/>
    <w:rsid w:val="00F950A6"/>
    <w:rsid w:val="00F952BB"/>
    <w:rsid w:val="00F95522"/>
    <w:rsid w:val="00F95B4B"/>
    <w:rsid w:val="00F95BA7"/>
    <w:rsid w:val="00F96318"/>
    <w:rsid w:val="00F96516"/>
    <w:rsid w:val="00F978DB"/>
    <w:rsid w:val="00F97C09"/>
    <w:rsid w:val="00FA0374"/>
    <w:rsid w:val="00FA09EB"/>
    <w:rsid w:val="00FA0B50"/>
    <w:rsid w:val="00FA1147"/>
    <w:rsid w:val="00FA13D0"/>
    <w:rsid w:val="00FA1584"/>
    <w:rsid w:val="00FA1EB4"/>
    <w:rsid w:val="00FA1F03"/>
    <w:rsid w:val="00FA23E1"/>
    <w:rsid w:val="00FA23F2"/>
    <w:rsid w:val="00FA271D"/>
    <w:rsid w:val="00FA2CB6"/>
    <w:rsid w:val="00FA32AE"/>
    <w:rsid w:val="00FA32F1"/>
    <w:rsid w:val="00FA3F7B"/>
    <w:rsid w:val="00FA4643"/>
    <w:rsid w:val="00FA48E8"/>
    <w:rsid w:val="00FA4DB2"/>
    <w:rsid w:val="00FA4EC2"/>
    <w:rsid w:val="00FA5676"/>
    <w:rsid w:val="00FA57E4"/>
    <w:rsid w:val="00FA5A4D"/>
    <w:rsid w:val="00FA6000"/>
    <w:rsid w:val="00FA6135"/>
    <w:rsid w:val="00FA658D"/>
    <w:rsid w:val="00FA6CBA"/>
    <w:rsid w:val="00FA7084"/>
    <w:rsid w:val="00FA7D31"/>
    <w:rsid w:val="00FB0346"/>
    <w:rsid w:val="00FB120A"/>
    <w:rsid w:val="00FB1E8D"/>
    <w:rsid w:val="00FB2254"/>
    <w:rsid w:val="00FB23DF"/>
    <w:rsid w:val="00FB2DCD"/>
    <w:rsid w:val="00FB333E"/>
    <w:rsid w:val="00FB343A"/>
    <w:rsid w:val="00FB35B7"/>
    <w:rsid w:val="00FB38A0"/>
    <w:rsid w:val="00FB39F7"/>
    <w:rsid w:val="00FB3A1C"/>
    <w:rsid w:val="00FB45AE"/>
    <w:rsid w:val="00FB46D6"/>
    <w:rsid w:val="00FB473B"/>
    <w:rsid w:val="00FB4ADB"/>
    <w:rsid w:val="00FB50D4"/>
    <w:rsid w:val="00FB51E0"/>
    <w:rsid w:val="00FB520C"/>
    <w:rsid w:val="00FB550E"/>
    <w:rsid w:val="00FB56C9"/>
    <w:rsid w:val="00FB599C"/>
    <w:rsid w:val="00FB5C78"/>
    <w:rsid w:val="00FB5D4C"/>
    <w:rsid w:val="00FB5F9C"/>
    <w:rsid w:val="00FB628D"/>
    <w:rsid w:val="00FB662C"/>
    <w:rsid w:val="00FB666E"/>
    <w:rsid w:val="00FB6BF0"/>
    <w:rsid w:val="00FB6F1C"/>
    <w:rsid w:val="00FB6F8B"/>
    <w:rsid w:val="00FB753D"/>
    <w:rsid w:val="00FC02F0"/>
    <w:rsid w:val="00FC050C"/>
    <w:rsid w:val="00FC0931"/>
    <w:rsid w:val="00FC1C90"/>
    <w:rsid w:val="00FC1E42"/>
    <w:rsid w:val="00FC2038"/>
    <w:rsid w:val="00FC245F"/>
    <w:rsid w:val="00FC2751"/>
    <w:rsid w:val="00FC2B0C"/>
    <w:rsid w:val="00FC3994"/>
    <w:rsid w:val="00FC4314"/>
    <w:rsid w:val="00FC48F2"/>
    <w:rsid w:val="00FC4C6E"/>
    <w:rsid w:val="00FC4D80"/>
    <w:rsid w:val="00FC55A9"/>
    <w:rsid w:val="00FC5DF8"/>
    <w:rsid w:val="00FC5E74"/>
    <w:rsid w:val="00FC6310"/>
    <w:rsid w:val="00FC67AE"/>
    <w:rsid w:val="00FC6E66"/>
    <w:rsid w:val="00FC7AAA"/>
    <w:rsid w:val="00FD00A0"/>
    <w:rsid w:val="00FD04D3"/>
    <w:rsid w:val="00FD063D"/>
    <w:rsid w:val="00FD1052"/>
    <w:rsid w:val="00FD14BE"/>
    <w:rsid w:val="00FD240C"/>
    <w:rsid w:val="00FD2719"/>
    <w:rsid w:val="00FD293C"/>
    <w:rsid w:val="00FD2C91"/>
    <w:rsid w:val="00FD3AE7"/>
    <w:rsid w:val="00FD3B26"/>
    <w:rsid w:val="00FD3E76"/>
    <w:rsid w:val="00FD41A5"/>
    <w:rsid w:val="00FD44CC"/>
    <w:rsid w:val="00FD5C06"/>
    <w:rsid w:val="00FD68F1"/>
    <w:rsid w:val="00FD6A1A"/>
    <w:rsid w:val="00FD7418"/>
    <w:rsid w:val="00FD7DC5"/>
    <w:rsid w:val="00FD7FDD"/>
    <w:rsid w:val="00FE01C7"/>
    <w:rsid w:val="00FE0BAE"/>
    <w:rsid w:val="00FE0C5C"/>
    <w:rsid w:val="00FE1374"/>
    <w:rsid w:val="00FE18A3"/>
    <w:rsid w:val="00FE18EF"/>
    <w:rsid w:val="00FE18F4"/>
    <w:rsid w:val="00FE1E3D"/>
    <w:rsid w:val="00FE1E45"/>
    <w:rsid w:val="00FE1E56"/>
    <w:rsid w:val="00FE22EA"/>
    <w:rsid w:val="00FE29DB"/>
    <w:rsid w:val="00FE2C77"/>
    <w:rsid w:val="00FE31F4"/>
    <w:rsid w:val="00FE36C3"/>
    <w:rsid w:val="00FE3867"/>
    <w:rsid w:val="00FE3ABE"/>
    <w:rsid w:val="00FE456B"/>
    <w:rsid w:val="00FE4679"/>
    <w:rsid w:val="00FE4C52"/>
    <w:rsid w:val="00FE4F1A"/>
    <w:rsid w:val="00FE5233"/>
    <w:rsid w:val="00FE554B"/>
    <w:rsid w:val="00FE564B"/>
    <w:rsid w:val="00FE6048"/>
    <w:rsid w:val="00FE6712"/>
    <w:rsid w:val="00FE755C"/>
    <w:rsid w:val="00FE7DDD"/>
    <w:rsid w:val="00FE7E9E"/>
    <w:rsid w:val="00FF04AB"/>
    <w:rsid w:val="00FF0E50"/>
    <w:rsid w:val="00FF0EFE"/>
    <w:rsid w:val="00FF1134"/>
    <w:rsid w:val="00FF19B1"/>
    <w:rsid w:val="00FF1DAE"/>
    <w:rsid w:val="00FF2165"/>
    <w:rsid w:val="00FF2394"/>
    <w:rsid w:val="00FF2395"/>
    <w:rsid w:val="00FF2472"/>
    <w:rsid w:val="00FF2E24"/>
    <w:rsid w:val="00FF32F6"/>
    <w:rsid w:val="00FF3358"/>
    <w:rsid w:val="00FF38E3"/>
    <w:rsid w:val="00FF4626"/>
    <w:rsid w:val="00FF4B9E"/>
    <w:rsid w:val="00FF4E0B"/>
    <w:rsid w:val="00FF4F38"/>
    <w:rsid w:val="00FF50D3"/>
    <w:rsid w:val="00FF5181"/>
    <w:rsid w:val="00FF55D8"/>
    <w:rsid w:val="00FF56F3"/>
    <w:rsid w:val="00FF57AB"/>
    <w:rsid w:val="00FF58D5"/>
    <w:rsid w:val="00FF5AD3"/>
    <w:rsid w:val="00FF5F92"/>
    <w:rsid w:val="00FF6705"/>
    <w:rsid w:val="00FF6BFC"/>
    <w:rsid w:val="00FF6F2A"/>
    <w:rsid w:val="00FF72BE"/>
    <w:rsid w:val="00FF77F5"/>
    <w:rsid w:val="02AA646B"/>
    <w:rsid w:val="087516B5"/>
    <w:rsid w:val="0B6B6451"/>
    <w:rsid w:val="0BBE4AEF"/>
    <w:rsid w:val="136C6BDF"/>
    <w:rsid w:val="1696199B"/>
    <w:rsid w:val="17A837FD"/>
    <w:rsid w:val="196A3BC0"/>
    <w:rsid w:val="19E69677"/>
    <w:rsid w:val="203B74FB"/>
    <w:rsid w:val="214142A7"/>
    <w:rsid w:val="265E6420"/>
    <w:rsid w:val="266A001C"/>
    <w:rsid w:val="2B7611A0"/>
    <w:rsid w:val="2CA60F7F"/>
    <w:rsid w:val="30D372D7"/>
    <w:rsid w:val="319074C2"/>
    <w:rsid w:val="342D5ABF"/>
    <w:rsid w:val="35B53F42"/>
    <w:rsid w:val="36767BF1"/>
    <w:rsid w:val="37AE6F16"/>
    <w:rsid w:val="3DB9ABB9"/>
    <w:rsid w:val="3E8C5AF6"/>
    <w:rsid w:val="437105C6"/>
    <w:rsid w:val="43C7373C"/>
    <w:rsid w:val="4D0F5BFB"/>
    <w:rsid w:val="57234DD3"/>
    <w:rsid w:val="5B7941B5"/>
    <w:rsid w:val="60BA2836"/>
    <w:rsid w:val="63976FFB"/>
    <w:rsid w:val="68E444A1"/>
    <w:rsid w:val="69E92CFF"/>
    <w:rsid w:val="6A0E546F"/>
    <w:rsid w:val="7114467B"/>
    <w:rsid w:val="747C191A"/>
    <w:rsid w:val="780350F4"/>
    <w:rsid w:val="780D320A"/>
    <w:rsid w:val="78B17ECD"/>
    <w:rsid w:val="7FFE9B77"/>
    <w:rsid w:val="BFF7564D"/>
    <w:rsid w:val="DB7F9A0C"/>
    <w:rsid w:val="DF7F3A28"/>
    <w:rsid w:val="F6AB1B27"/>
    <w:rsid w:val="F6D64D0C"/>
    <w:rsid w:val="F73F5C51"/>
    <w:rsid w:val="F7DF474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iPriority="11" w:semiHidden="0" w:name="heading 2"/>
    <w:lsdException w:qFormat="1" w:uiPriority="12" w:semiHidden="0" w:name="heading 3"/>
    <w:lsdException w:qFormat="1" w:uiPriority="13" w:semiHidden="0" w:name="heading 4"/>
    <w:lsdException w:qFormat="1" w:uiPriority="14" w:semiHidden="0" w:name="heading 5"/>
    <w:lsdException w:qFormat="1" w:unhideWhenUsed="0" w:uiPriority="15" w:semiHidden="0" w:name="heading 6"/>
    <w:lsdException w:qFormat="1" w:unhideWhenUsed="0" w:uiPriority="16" w:semiHidden="0" w:name="heading 7"/>
    <w:lsdException w:qFormat="1" w:unhideWhenUsed="0" w:uiPriority="17"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iPriority="63"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ind w:firstLine="200" w:firstLineChars="200"/>
      <w:jc w:val="both"/>
    </w:pPr>
    <w:rPr>
      <w:rFonts w:ascii="仿宋_GB2312" w:hAnsi="仿宋_GB2312" w:eastAsia="仿宋_GB2312" w:cs="仿宋_GB2312"/>
      <w:sz w:val="32"/>
      <w:szCs w:val="32"/>
      <w:lang w:val="en-US" w:eastAsia="zh-CN" w:bidi="ar-SA"/>
    </w:rPr>
  </w:style>
  <w:style w:type="paragraph" w:styleId="2">
    <w:name w:val="heading 1"/>
    <w:basedOn w:val="1"/>
    <w:next w:val="1"/>
    <w:link w:val="37"/>
    <w:qFormat/>
    <w:uiPriority w:val="10"/>
    <w:pPr>
      <w:pageBreakBefore/>
      <w:numPr>
        <w:ilvl w:val="0"/>
        <w:numId w:val="1"/>
      </w:numPr>
      <w:spacing w:before="100" w:beforeLines="100" w:after="100" w:afterLines="100"/>
      <w:ind w:firstLineChars="0"/>
      <w:jc w:val="center"/>
      <w:outlineLvl w:val="0"/>
    </w:pPr>
    <w:rPr>
      <w:rFonts w:ascii="黑体" w:hAnsi="黑体" w:eastAsia="方正小标宋_GBK"/>
      <w:bCs/>
      <w:smallCaps/>
      <w:spacing w:val="5"/>
      <w:sz w:val="36"/>
    </w:rPr>
  </w:style>
  <w:style w:type="paragraph" w:styleId="3">
    <w:name w:val="heading 2"/>
    <w:basedOn w:val="1"/>
    <w:next w:val="1"/>
    <w:link w:val="38"/>
    <w:unhideWhenUsed/>
    <w:qFormat/>
    <w:uiPriority w:val="11"/>
    <w:pPr>
      <w:numPr>
        <w:ilvl w:val="0"/>
        <w:numId w:val="2"/>
      </w:numPr>
      <w:spacing w:before="156" w:beforeLines="50" w:after="156" w:afterLines="50"/>
      <w:ind w:firstLine="720"/>
      <w:outlineLvl w:val="1"/>
    </w:pPr>
    <w:rPr>
      <w:rFonts w:ascii="方正小标宋简体" w:hAnsi="方正小标宋简体" w:eastAsia="方正小标宋简体"/>
      <w:bCs/>
      <w:sz w:val="36"/>
      <w:szCs w:val="30"/>
    </w:rPr>
  </w:style>
  <w:style w:type="paragraph" w:styleId="4">
    <w:name w:val="heading 3"/>
    <w:basedOn w:val="1"/>
    <w:next w:val="1"/>
    <w:link w:val="39"/>
    <w:unhideWhenUsed/>
    <w:qFormat/>
    <w:uiPriority w:val="12"/>
    <w:pPr>
      <w:keepNext/>
      <w:keepLines/>
      <w:numPr>
        <w:ilvl w:val="0"/>
        <w:numId w:val="3"/>
      </w:numPr>
      <w:ind w:firstLine="0" w:firstLineChars="0"/>
      <w:outlineLvl w:val="2"/>
    </w:pPr>
    <w:rPr>
      <w:b/>
      <w:bCs/>
      <w:szCs w:val="28"/>
    </w:rPr>
  </w:style>
  <w:style w:type="paragraph" w:styleId="5">
    <w:name w:val="heading 4"/>
    <w:next w:val="1"/>
    <w:link w:val="40"/>
    <w:unhideWhenUsed/>
    <w:qFormat/>
    <w:uiPriority w:val="13"/>
    <w:pPr>
      <w:widowControl w:val="0"/>
      <w:numPr>
        <w:ilvl w:val="3"/>
        <w:numId w:val="4"/>
      </w:numPr>
      <w:adjustRightInd w:val="0"/>
      <w:snapToGrid w:val="0"/>
      <w:spacing w:line="600" w:lineRule="exact"/>
      <w:outlineLvl w:val="3"/>
    </w:pPr>
    <w:rPr>
      <w:rFonts w:ascii="仿宋" w:hAnsi="仿宋" w:eastAsia="仿宋_GB2312" w:cstheme="majorBidi"/>
      <w:b/>
      <w:bCs/>
      <w:sz w:val="32"/>
      <w:szCs w:val="24"/>
      <w:lang w:val="en-US" w:eastAsia="zh-CN" w:bidi="ar-SA"/>
    </w:rPr>
  </w:style>
  <w:style w:type="paragraph" w:styleId="6">
    <w:name w:val="heading 5"/>
    <w:basedOn w:val="1"/>
    <w:next w:val="1"/>
    <w:link w:val="65"/>
    <w:unhideWhenUsed/>
    <w:qFormat/>
    <w:uiPriority w:val="14"/>
    <w:pPr>
      <w:keepNext/>
      <w:keepLines/>
      <w:spacing w:before="280" w:after="290" w:line="376" w:lineRule="auto"/>
      <w:outlineLvl w:val="4"/>
    </w:pPr>
    <w:rPr>
      <w:b/>
      <w:bCs/>
      <w:szCs w:val="28"/>
    </w:rPr>
  </w:style>
  <w:style w:type="paragraph" w:styleId="7">
    <w:name w:val="heading 6"/>
    <w:basedOn w:val="8"/>
    <w:link w:val="75"/>
    <w:qFormat/>
    <w:uiPriority w:val="15"/>
    <w:pPr>
      <w:adjustRightInd/>
      <w:snapToGrid/>
      <w:spacing w:line="600" w:lineRule="exact"/>
      <w:ind w:firstLine="0" w:firstLineChars="0"/>
      <w:textAlignment w:val="bottom"/>
      <w:outlineLvl w:val="5"/>
    </w:pPr>
    <w:rPr>
      <w:rFonts w:cstheme="majorBidi"/>
      <w:bCs/>
      <w:snapToGrid w:val="0"/>
      <w:spacing w:val="-4"/>
    </w:rPr>
  </w:style>
  <w:style w:type="paragraph" w:styleId="9">
    <w:name w:val="heading 7"/>
    <w:basedOn w:val="1"/>
    <w:next w:val="8"/>
    <w:link w:val="76"/>
    <w:qFormat/>
    <w:uiPriority w:val="16"/>
    <w:pPr>
      <w:adjustRightInd/>
      <w:ind w:firstLine="0" w:firstLineChars="0"/>
      <w:textAlignment w:val="bottom"/>
      <w:outlineLvl w:val="6"/>
    </w:pPr>
    <w:rPr>
      <w:rFonts w:cstheme="minorBidi"/>
      <w:bCs/>
      <w:spacing w:val="-4"/>
    </w:rPr>
  </w:style>
  <w:style w:type="paragraph" w:styleId="10">
    <w:name w:val="heading 8"/>
    <w:basedOn w:val="1"/>
    <w:next w:val="1"/>
    <w:link w:val="77"/>
    <w:qFormat/>
    <w:uiPriority w:val="17"/>
    <w:pPr>
      <w:adjustRightInd/>
      <w:spacing w:before="50" w:beforeLines="50"/>
      <w:ind w:firstLine="0" w:firstLineChars="0"/>
      <w:jc w:val="center"/>
      <w:textAlignment w:val="bottom"/>
      <w:outlineLvl w:val="7"/>
    </w:pPr>
    <w:rPr>
      <w:rFonts w:eastAsia="黑体" w:asciiTheme="minorHAnsi" w:hAnsiTheme="minorHAnsi" w:cstheme="majorBidi"/>
      <w:spacing w:val="-4"/>
      <w:kern w:val="2"/>
      <w:sz w:val="28"/>
    </w:rPr>
  </w:style>
  <w:style w:type="paragraph" w:styleId="11">
    <w:name w:val="heading 9"/>
    <w:basedOn w:val="1"/>
    <w:next w:val="8"/>
    <w:link w:val="78"/>
    <w:qFormat/>
    <w:uiPriority w:val="9"/>
    <w:pPr>
      <w:keepNext/>
      <w:tabs>
        <w:tab w:val="left" w:pos="480"/>
      </w:tabs>
      <w:adjustRightInd/>
      <w:ind w:firstLine="0" w:firstLineChars="0"/>
      <w:jc w:val="center"/>
      <w:outlineLvl w:val="8"/>
    </w:pPr>
    <w:rPr>
      <w:rFonts w:eastAsia="黑体" w:asciiTheme="minorHAnsi" w:hAnsiTheme="minorHAnsi" w:cstheme="minorBidi"/>
      <w:bCs/>
      <w:spacing w:val="-4"/>
      <w:kern w:val="2"/>
      <w:sz w:val="30"/>
    </w:rPr>
  </w:style>
  <w:style w:type="character" w:default="1" w:styleId="31">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8">
    <w:name w:val="No Spacing"/>
    <w:qFormat/>
    <w:uiPriority w:val="1"/>
    <w:pPr>
      <w:widowControl w:val="0"/>
      <w:adjustRightInd w:val="0"/>
      <w:snapToGrid w:val="0"/>
      <w:ind w:firstLine="200" w:firstLineChars="200"/>
      <w:jc w:val="both"/>
    </w:pPr>
    <w:rPr>
      <w:rFonts w:ascii="仿宋_GB2312" w:hAnsi="仿宋_GB2312" w:eastAsia="仿宋_GB2312" w:cs="仿宋_GB2312"/>
      <w:sz w:val="32"/>
      <w:szCs w:val="32"/>
      <w:lang w:val="en-US" w:eastAsia="zh-CN" w:bidi="ar-SA"/>
    </w:rPr>
  </w:style>
  <w:style w:type="paragraph" w:styleId="12">
    <w:name w:val="toc 7"/>
    <w:basedOn w:val="1"/>
    <w:next w:val="1"/>
    <w:autoRedefine/>
    <w:unhideWhenUsed/>
    <w:qFormat/>
    <w:uiPriority w:val="39"/>
    <w:pPr>
      <w:ind w:left="1440"/>
    </w:pPr>
    <w:rPr>
      <w:rFonts w:asciiTheme="minorHAnsi" w:hAnsiTheme="minorHAnsi" w:cstheme="minorHAnsi"/>
      <w:sz w:val="18"/>
      <w:szCs w:val="18"/>
    </w:rPr>
  </w:style>
  <w:style w:type="paragraph" w:styleId="13">
    <w:name w:val="annotation text"/>
    <w:basedOn w:val="1"/>
    <w:link w:val="43"/>
    <w:unhideWhenUsed/>
    <w:qFormat/>
    <w:uiPriority w:val="99"/>
    <w:pPr>
      <w:ind w:firstLine="0" w:firstLineChars="0"/>
    </w:pPr>
    <w:rPr>
      <w:rFonts w:asciiTheme="minorHAnsi" w:eastAsiaTheme="minorEastAsia"/>
      <w:sz w:val="21"/>
    </w:rPr>
  </w:style>
  <w:style w:type="paragraph" w:styleId="14">
    <w:name w:val="toc 5"/>
    <w:basedOn w:val="1"/>
    <w:next w:val="1"/>
    <w:autoRedefine/>
    <w:unhideWhenUsed/>
    <w:qFormat/>
    <w:uiPriority w:val="39"/>
    <w:pPr>
      <w:ind w:left="960"/>
    </w:pPr>
    <w:rPr>
      <w:rFonts w:asciiTheme="minorHAnsi" w:hAnsiTheme="minorHAnsi" w:cstheme="minorHAnsi"/>
      <w:sz w:val="18"/>
      <w:szCs w:val="18"/>
    </w:rPr>
  </w:style>
  <w:style w:type="paragraph" w:styleId="15">
    <w:name w:val="toc 3"/>
    <w:basedOn w:val="1"/>
    <w:next w:val="1"/>
    <w:autoRedefine/>
    <w:unhideWhenUsed/>
    <w:qFormat/>
    <w:uiPriority w:val="39"/>
    <w:pPr>
      <w:tabs>
        <w:tab w:val="right" w:leader="dot" w:pos="8296"/>
      </w:tabs>
      <w:spacing w:line="400" w:lineRule="exact"/>
      <w:ind w:firstLine="221" w:firstLineChars="221"/>
    </w:pPr>
    <w:rPr>
      <w:rFonts w:eastAsia="黑体" w:asciiTheme="minorHAnsi" w:hAnsiTheme="minorHAnsi" w:cstheme="minorHAnsi"/>
      <w:iCs/>
      <w:sz w:val="24"/>
      <w:szCs w:val="20"/>
    </w:rPr>
  </w:style>
  <w:style w:type="paragraph" w:styleId="16">
    <w:name w:val="toc 8"/>
    <w:basedOn w:val="1"/>
    <w:next w:val="1"/>
    <w:autoRedefine/>
    <w:unhideWhenUsed/>
    <w:qFormat/>
    <w:uiPriority w:val="39"/>
    <w:pPr>
      <w:ind w:left="1680"/>
    </w:pPr>
    <w:rPr>
      <w:rFonts w:asciiTheme="minorHAnsi" w:hAnsiTheme="minorHAnsi" w:cstheme="minorHAnsi"/>
      <w:sz w:val="18"/>
      <w:szCs w:val="18"/>
    </w:rPr>
  </w:style>
  <w:style w:type="paragraph" w:styleId="17">
    <w:name w:val="Date"/>
    <w:basedOn w:val="1"/>
    <w:next w:val="1"/>
    <w:link w:val="70"/>
    <w:semiHidden/>
    <w:unhideWhenUsed/>
    <w:qFormat/>
    <w:uiPriority w:val="99"/>
    <w:pPr>
      <w:ind w:left="100" w:leftChars="2500"/>
    </w:pPr>
  </w:style>
  <w:style w:type="paragraph" w:styleId="18">
    <w:name w:val="Balloon Text"/>
    <w:basedOn w:val="1"/>
    <w:link w:val="68"/>
    <w:semiHidden/>
    <w:unhideWhenUsed/>
    <w:qFormat/>
    <w:uiPriority w:val="99"/>
    <w:pPr>
      <w:spacing w:line="240" w:lineRule="auto"/>
    </w:pPr>
    <w:rPr>
      <w:sz w:val="18"/>
      <w:szCs w:val="18"/>
    </w:rPr>
  </w:style>
  <w:style w:type="paragraph" w:styleId="19">
    <w:name w:val="footer"/>
    <w:basedOn w:val="1"/>
    <w:link w:val="36"/>
    <w:unhideWhenUsed/>
    <w:qFormat/>
    <w:uiPriority w:val="99"/>
    <w:pPr>
      <w:tabs>
        <w:tab w:val="center" w:pos="4153"/>
        <w:tab w:val="right" w:pos="8306"/>
      </w:tabs>
    </w:pPr>
    <w:rPr>
      <w:sz w:val="18"/>
      <w:szCs w:val="18"/>
    </w:rPr>
  </w:style>
  <w:style w:type="paragraph" w:styleId="20">
    <w:name w:val="header"/>
    <w:basedOn w:val="1"/>
    <w:link w:val="35"/>
    <w:unhideWhenUsed/>
    <w:qFormat/>
    <w:uiPriority w:val="99"/>
    <w:pPr>
      <w:pBdr>
        <w:bottom w:val="single" w:color="auto" w:sz="6" w:space="1"/>
      </w:pBdr>
      <w:tabs>
        <w:tab w:val="center" w:pos="4153"/>
        <w:tab w:val="right" w:pos="8306"/>
      </w:tabs>
      <w:jc w:val="center"/>
    </w:pPr>
    <w:rPr>
      <w:sz w:val="18"/>
      <w:szCs w:val="18"/>
    </w:rPr>
  </w:style>
  <w:style w:type="paragraph" w:styleId="21">
    <w:name w:val="toc 1"/>
    <w:basedOn w:val="1"/>
    <w:next w:val="1"/>
    <w:autoRedefine/>
    <w:unhideWhenUsed/>
    <w:qFormat/>
    <w:uiPriority w:val="39"/>
    <w:pPr>
      <w:tabs>
        <w:tab w:val="right" w:leader="dot" w:pos="8296"/>
      </w:tabs>
      <w:ind w:firstLine="0" w:firstLineChars="0"/>
    </w:pPr>
    <w:rPr>
      <w:rFonts w:eastAsia="黑体" w:cstheme="minorHAnsi"/>
      <w:bCs/>
      <w:caps/>
      <w:szCs w:val="28"/>
    </w:rPr>
  </w:style>
  <w:style w:type="paragraph" w:styleId="22">
    <w:name w:val="toc 4"/>
    <w:basedOn w:val="1"/>
    <w:next w:val="1"/>
    <w:autoRedefine/>
    <w:unhideWhenUsed/>
    <w:qFormat/>
    <w:uiPriority w:val="39"/>
    <w:pPr>
      <w:ind w:left="720"/>
    </w:pPr>
    <w:rPr>
      <w:rFonts w:asciiTheme="minorHAnsi" w:hAnsiTheme="minorHAnsi" w:cstheme="minorHAnsi"/>
      <w:sz w:val="18"/>
      <w:szCs w:val="18"/>
    </w:rPr>
  </w:style>
  <w:style w:type="paragraph" w:styleId="23">
    <w:name w:val="toc 6"/>
    <w:basedOn w:val="1"/>
    <w:next w:val="1"/>
    <w:autoRedefine/>
    <w:unhideWhenUsed/>
    <w:qFormat/>
    <w:uiPriority w:val="39"/>
    <w:pPr>
      <w:ind w:left="1200"/>
    </w:pPr>
    <w:rPr>
      <w:rFonts w:asciiTheme="minorHAnsi" w:hAnsiTheme="minorHAnsi" w:cstheme="minorHAnsi"/>
      <w:sz w:val="18"/>
      <w:szCs w:val="18"/>
    </w:rPr>
  </w:style>
  <w:style w:type="paragraph" w:styleId="24">
    <w:name w:val="toc 2"/>
    <w:basedOn w:val="1"/>
    <w:next w:val="1"/>
    <w:autoRedefine/>
    <w:unhideWhenUsed/>
    <w:qFormat/>
    <w:uiPriority w:val="39"/>
    <w:pPr>
      <w:tabs>
        <w:tab w:val="right" w:leader="dot" w:pos="8296"/>
      </w:tabs>
      <w:ind w:firstLine="360" w:firstLineChars="0"/>
    </w:pPr>
    <w:rPr>
      <w:rFonts w:ascii="黑体" w:hAnsi="黑体" w:eastAsia="黑体" w:cstheme="minorHAnsi"/>
      <w:b/>
      <w:bCs/>
      <w:smallCaps/>
    </w:rPr>
  </w:style>
  <w:style w:type="paragraph" w:styleId="25">
    <w:name w:val="toc 9"/>
    <w:basedOn w:val="1"/>
    <w:next w:val="1"/>
    <w:autoRedefine/>
    <w:unhideWhenUsed/>
    <w:qFormat/>
    <w:uiPriority w:val="39"/>
    <w:pPr>
      <w:ind w:left="1920"/>
    </w:pPr>
    <w:rPr>
      <w:rFonts w:asciiTheme="minorHAnsi" w:hAnsiTheme="minorHAnsi" w:cstheme="minorHAnsi"/>
      <w:sz w:val="18"/>
      <w:szCs w:val="18"/>
    </w:rPr>
  </w:style>
  <w:style w:type="paragraph" w:styleId="26">
    <w:name w:val="Normal (Web)"/>
    <w:basedOn w:val="1"/>
    <w:semiHidden/>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sz w:val="24"/>
      <w:szCs w:val="24"/>
    </w:rPr>
  </w:style>
  <w:style w:type="paragraph" w:styleId="27">
    <w:name w:val="annotation subject"/>
    <w:basedOn w:val="13"/>
    <w:next w:val="13"/>
    <w:link w:val="44"/>
    <w:semiHidden/>
    <w:unhideWhenUsed/>
    <w:qFormat/>
    <w:uiPriority w:val="99"/>
    <w:pPr>
      <w:ind w:firstLine="480" w:firstLineChars="200"/>
    </w:pPr>
    <w:rPr>
      <w:rFonts w:ascii="Times New Roman" w:eastAsia="仿宋_GB2312"/>
      <w:b/>
      <w:bCs/>
      <w:sz w:val="24"/>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0">
    <w:name w:val="Medium Shading 1 Accent 3"/>
    <w:basedOn w:val="28"/>
    <w:semiHidden/>
    <w:unhideWhenUsed/>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styleId="32">
    <w:name w:val="Strong"/>
    <w:basedOn w:val="31"/>
    <w:qFormat/>
    <w:uiPriority w:val="22"/>
    <w:rPr>
      <w:b/>
      <w:bCs/>
    </w:rPr>
  </w:style>
  <w:style w:type="character" w:styleId="33">
    <w:name w:val="Hyperlink"/>
    <w:basedOn w:val="31"/>
    <w:unhideWhenUsed/>
    <w:qFormat/>
    <w:uiPriority w:val="99"/>
    <w:rPr>
      <w:color w:val="0000FF" w:themeColor="hyperlink"/>
      <w:u w:val="single"/>
      <w14:textFill>
        <w14:solidFill>
          <w14:schemeClr w14:val="hlink"/>
        </w14:solidFill>
      </w14:textFill>
    </w:rPr>
  </w:style>
  <w:style w:type="character" w:styleId="34">
    <w:name w:val="annotation reference"/>
    <w:basedOn w:val="31"/>
    <w:semiHidden/>
    <w:unhideWhenUsed/>
    <w:qFormat/>
    <w:uiPriority w:val="99"/>
    <w:rPr>
      <w:sz w:val="21"/>
      <w:szCs w:val="21"/>
    </w:rPr>
  </w:style>
  <w:style w:type="character" w:customStyle="1" w:styleId="35">
    <w:name w:val="页眉 字符"/>
    <w:basedOn w:val="31"/>
    <w:link w:val="20"/>
    <w:qFormat/>
    <w:uiPriority w:val="99"/>
    <w:rPr>
      <w:sz w:val="18"/>
      <w:szCs w:val="18"/>
    </w:rPr>
  </w:style>
  <w:style w:type="character" w:customStyle="1" w:styleId="36">
    <w:name w:val="页脚 字符"/>
    <w:basedOn w:val="31"/>
    <w:link w:val="19"/>
    <w:qFormat/>
    <w:uiPriority w:val="99"/>
    <w:rPr>
      <w:sz w:val="18"/>
      <w:szCs w:val="18"/>
    </w:rPr>
  </w:style>
  <w:style w:type="character" w:customStyle="1" w:styleId="37">
    <w:name w:val="标题 1 字符"/>
    <w:basedOn w:val="31"/>
    <w:link w:val="2"/>
    <w:qFormat/>
    <w:uiPriority w:val="10"/>
    <w:rPr>
      <w:rFonts w:ascii="黑体" w:hAnsi="黑体" w:eastAsia="方正小标宋_GBK" w:cs="仿宋_GB2312"/>
      <w:bCs/>
      <w:smallCaps/>
      <w:spacing w:val="5"/>
      <w:sz w:val="36"/>
      <w:szCs w:val="32"/>
    </w:rPr>
  </w:style>
  <w:style w:type="character" w:customStyle="1" w:styleId="38">
    <w:name w:val="标题 2 字符"/>
    <w:basedOn w:val="31"/>
    <w:link w:val="3"/>
    <w:qFormat/>
    <w:uiPriority w:val="11"/>
    <w:rPr>
      <w:rFonts w:ascii="方正小标宋简体" w:hAnsi="方正小标宋简体" w:eastAsia="方正小标宋简体" w:cs="仿宋_GB2312"/>
      <w:bCs/>
      <w:sz w:val="36"/>
      <w:szCs w:val="30"/>
    </w:rPr>
  </w:style>
  <w:style w:type="character" w:customStyle="1" w:styleId="39">
    <w:name w:val="标题 3 字符"/>
    <w:basedOn w:val="31"/>
    <w:link w:val="4"/>
    <w:qFormat/>
    <w:uiPriority w:val="12"/>
    <w:rPr>
      <w:rFonts w:ascii="仿宋_GB2312" w:hAnsi="仿宋_GB2312" w:eastAsia="仿宋_GB2312" w:cs="仿宋_GB2312"/>
      <w:b/>
      <w:bCs/>
      <w:sz w:val="32"/>
      <w:szCs w:val="28"/>
    </w:rPr>
  </w:style>
  <w:style w:type="character" w:customStyle="1" w:styleId="40">
    <w:name w:val="标题 4 字符"/>
    <w:basedOn w:val="31"/>
    <w:link w:val="5"/>
    <w:qFormat/>
    <w:uiPriority w:val="13"/>
    <w:rPr>
      <w:rFonts w:ascii="仿宋" w:hAnsi="仿宋" w:eastAsia="仿宋_GB2312" w:cstheme="majorBidi"/>
      <w:b/>
      <w:bCs/>
      <w:sz w:val="32"/>
      <w:szCs w:val="24"/>
    </w:rPr>
  </w:style>
  <w:style w:type="paragraph" w:customStyle="1" w:styleId="41">
    <w:name w:val="表格头 1"/>
    <w:basedOn w:val="1"/>
    <w:qFormat/>
    <w:uiPriority w:val="0"/>
    <w:pPr>
      <w:numPr>
        <w:ilvl w:val="0"/>
        <w:numId w:val="5"/>
      </w:numPr>
      <w:ind w:firstLine="0" w:firstLineChars="0"/>
      <w:jc w:val="center"/>
    </w:pPr>
    <w:rPr>
      <w:rFonts w:hAnsi="Arial" w:cs="Times New Roman"/>
      <w:b/>
      <w:szCs w:val="21"/>
      <w:lang w:val="zh-CN"/>
    </w:rPr>
  </w:style>
  <w:style w:type="paragraph" w:customStyle="1" w:styleId="42">
    <w:name w:val="样式2"/>
    <w:basedOn w:val="1"/>
    <w:qFormat/>
    <w:uiPriority w:val="0"/>
    <w:pPr>
      <w:numPr>
        <w:ilvl w:val="0"/>
        <w:numId w:val="6"/>
      </w:numPr>
      <w:spacing w:before="62" w:beforeLines="20" w:after="93" w:afterLines="30"/>
      <w:ind w:firstLine="0" w:firstLineChars="0"/>
      <w:jc w:val="center"/>
    </w:pPr>
    <w:rPr>
      <w:rFonts w:ascii="宋体" w:hAnsi="宋体" w:eastAsia="宋体" w:cs="Times New Roman"/>
      <w:b/>
      <w:color w:val="000000" w:themeColor="text1"/>
      <w:sz w:val="21"/>
      <w:szCs w:val="36"/>
      <w14:textFill>
        <w14:solidFill>
          <w14:schemeClr w14:val="tx1"/>
        </w14:solidFill>
      </w14:textFill>
    </w:rPr>
  </w:style>
  <w:style w:type="character" w:customStyle="1" w:styleId="43">
    <w:name w:val="批注文字 字符"/>
    <w:basedOn w:val="31"/>
    <w:link w:val="13"/>
    <w:qFormat/>
    <w:uiPriority w:val="99"/>
    <w:rPr>
      <w:rFonts w:hAnsi="Times New Roman" w:cstheme="majorBidi"/>
      <w:kern w:val="0"/>
    </w:rPr>
  </w:style>
  <w:style w:type="character" w:customStyle="1" w:styleId="44">
    <w:name w:val="批注主题 字符"/>
    <w:basedOn w:val="43"/>
    <w:link w:val="27"/>
    <w:semiHidden/>
    <w:qFormat/>
    <w:uiPriority w:val="99"/>
    <w:rPr>
      <w:rFonts w:ascii="Times New Roman" w:hAnsi="Times New Roman" w:eastAsia="仿宋_GB2312" w:cstheme="majorBidi"/>
      <w:b/>
      <w:bCs/>
      <w:kern w:val="0"/>
      <w:sz w:val="24"/>
    </w:rPr>
  </w:style>
  <w:style w:type="paragraph" w:styleId="45">
    <w:name w:val="List Paragraph"/>
    <w:basedOn w:val="1"/>
    <w:link w:val="69"/>
    <w:qFormat/>
    <w:uiPriority w:val="34"/>
    <w:pPr>
      <w:ind w:firstLine="420"/>
    </w:pPr>
  </w:style>
  <w:style w:type="paragraph" w:customStyle="1" w:styleId="46">
    <w:name w:val="标题3"/>
    <w:basedOn w:val="1"/>
    <w:next w:val="1"/>
    <w:link w:val="48"/>
    <w:qFormat/>
    <w:uiPriority w:val="0"/>
    <w:pPr>
      <w:numPr>
        <w:ilvl w:val="0"/>
        <w:numId w:val="7"/>
      </w:numPr>
      <w:ind w:firstLine="0" w:firstLineChars="0"/>
    </w:pPr>
    <w:rPr>
      <w:b/>
    </w:rPr>
  </w:style>
  <w:style w:type="paragraph" w:customStyle="1" w:styleId="47">
    <w:name w:val="标题三"/>
    <w:next w:val="1"/>
    <w:link w:val="49"/>
    <w:qFormat/>
    <w:uiPriority w:val="0"/>
    <w:pPr>
      <w:widowControl w:val="0"/>
      <w:numPr>
        <w:ilvl w:val="0"/>
        <w:numId w:val="8"/>
      </w:numPr>
      <w:adjustRightInd w:val="0"/>
      <w:snapToGrid w:val="0"/>
      <w:spacing w:before="156" w:beforeLines="50" w:after="156" w:afterLines="50" w:line="600" w:lineRule="exact"/>
      <w:outlineLvl w:val="2"/>
    </w:pPr>
    <w:rPr>
      <w:rFonts w:ascii="黑体" w:hAnsi="黑体" w:eastAsia="黑体" w:cstheme="majorBidi"/>
      <w:bCs/>
      <w:sz w:val="32"/>
      <w:szCs w:val="22"/>
      <w:lang w:val="en-US" w:eastAsia="zh-CN" w:bidi="ar-SA"/>
    </w:rPr>
  </w:style>
  <w:style w:type="character" w:customStyle="1" w:styleId="48">
    <w:name w:val="标题3 字符"/>
    <w:basedOn w:val="39"/>
    <w:link w:val="46"/>
    <w:qFormat/>
    <w:uiPriority w:val="0"/>
    <w:rPr>
      <w:rFonts w:ascii="仿宋_GB2312" w:hAnsi="仿宋_GB2312" w:eastAsia="仿宋_GB2312" w:cs="仿宋_GB2312"/>
      <w:bCs w:val="0"/>
      <w:sz w:val="32"/>
      <w:szCs w:val="32"/>
    </w:rPr>
  </w:style>
  <w:style w:type="character" w:customStyle="1" w:styleId="49">
    <w:name w:val="标题三 字符"/>
    <w:basedOn w:val="48"/>
    <w:link w:val="47"/>
    <w:qFormat/>
    <w:uiPriority w:val="0"/>
    <w:rPr>
      <w:rFonts w:ascii="黑体" w:hAnsi="黑体" w:eastAsia="黑体" w:cstheme="majorBidi"/>
      <w:b w:val="0"/>
      <w:bCs/>
      <w:sz w:val="32"/>
      <w:szCs w:val="22"/>
    </w:rPr>
  </w:style>
  <w:style w:type="paragraph" w:customStyle="1" w:styleId="50">
    <w:name w:val="图名"/>
    <w:basedOn w:val="1"/>
    <w:link w:val="51"/>
    <w:qFormat/>
    <w:uiPriority w:val="0"/>
    <w:pPr>
      <w:numPr>
        <w:ilvl w:val="0"/>
        <w:numId w:val="9"/>
      </w:numPr>
      <w:ind w:left="0" w:firstLine="0" w:firstLineChars="0"/>
      <w:jc w:val="center"/>
    </w:pPr>
    <w:rPr>
      <w:rFonts w:ascii="黑体" w:hAnsi="黑体" w:eastAsia="黑体" w:cs="黑体"/>
      <w:sz w:val="24"/>
      <w:szCs w:val="24"/>
    </w:rPr>
  </w:style>
  <w:style w:type="character" w:customStyle="1" w:styleId="51">
    <w:name w:val="图名 字符"/>
    <w:basedOn w:val="31"/>
    <w:link w:val="50"/>
    <w:qFormat/>
    <w:uiPriority w:val="0"/>
    <w:rPr>
      <w:rFonts w:ascii="黑体" w:hAnsi="黑体" w:eastAsia="黑体" w:cs="黑体"/>
      <w:sz w:val="24"/>
      <w:szCs w:val="24"/>
    </w:rPr>
  </w:style>
  <w:style w:type="paragraph" w:customStyle="1" w:styleId="52">
    <w:name w:val="表名"/>
    <w:basedOn w:val="1"/>
    <w:link w:val="53"/>
    <w:qFormat/>
    <w:uiPriority w:val="0"/>
    <w:pPr>
      <w:numPr>
        <w:ilvl w:val="0"/>
        <w:numId w:val="10"/>
      </w:numPr>
      <w:ind w:firstLineChars="0"/>
      <w:jc w:val="center"/>
    </w:pPr>
    <w:rPr>
      <w:rFonts w:eastAsia="黑体"/>
    </w:rPr>
  </w:style>
  <w:style w:type="character" w:customStyle="1" w:styleId="53">
    <w:name w:val="表名 字符"/>
    <w:basedOn w:val="31"/>
    <w:link w:val="52"/>
    <w:qFormat/>
    <w:uiPriority w:val="0"/>
    <w:rPr>
      <w:rFonts w:ascii="仿宋_GB2312" w:hAnsi="仿宋_GB2312" w:eastAsia="黑体" w:cs="仿宋_GB2312"/>
      <w:sz w:val="32"/>
      <w:szCs w:val="32"/>
    </w:rPr>
  </w:style>
  <w:style w:type="table" w:customStyle="1" w:styleId="54">
    <w:name w:val="网格型4"/>
    <w:basedOn w:val="2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5">
    <w:name w:val="专栏名"/>
    <w:basedOn w:val="1"/>
    <w:link w:val="57"/>
    <w:qFormat/>
    <w:uiPriority w:val="0"/>
    <w:pPr>
      <w:numPr>
        <w:ilvl w:val="0"/>
        <w:numId w:val="11"/>
      </w:numPr>
      <w:spacing w:before="30" w:beforeLines="30" w:after="30" w:afterLines="30" w:line="240" w:lineRule="auto"/>
      <w:ind w:firstLineChars="0"/>
      <w:jc w:val="center"/>
      <w:textAlignment w:val="center"/>
    </w:pPr>
    <w:rPr>
      <w:rFonts w:ascii="黑体" w:hAnsi="黑体" w:eastAsia="黑体"/>
      <w:sz w:val="30"/>
      <w:szCs w:val="30"/>
    </w:rPr>
  </w:style>
  <w:style w:type="paragraph" w:customStyle="1" w:styleId="56">
    <w:name w:val="专栏内正文"/>
    <w:basedOn w:val="1"/>
    <w:link w:val="58"/>
    <w:qFormat/>
    <w:uiPriority w:val="0"/>
    <w:pPr>
      <w:spacing w:line="288" w:lineRule="auto"/>
    </w:pPr>
    <w:rPr>
      <w:sz w:val="24"/>
      <w:szCs w:val="21"/>
    </w:rPr>
  </w:style>
  <w:style w:type="character" w:customStyle="1" w:styleId="57">
    <w:name w:val="专栏名 字符"/>
    <w:basedOn w:val="31"/>
    <w:link w:val="55"/>
    <w:qFormat/>
    <w:uiPriority w:val="0"/>
    <w:rPr>
      <w:rFonts w:ascii="黑体" w:hAnsi="黑体" w:eastAsia="黑体" w:cs="仿宋_GB2312"/>
      <w:sz w:val="30"/>
      <w:szCs w:val="30"/>
    </w:rPr>
  </w:style>
  <w:style w:type="character" w:customStyle="1" w:styleId="58">
    <w:name w:val="专栏内正文 字符"/>
    <w:basedOn w:val="31"/>
    <w:link w:val="56"/>
    <w:qFormat/>
    <w:uiPriority w:val="0"/>
    <w:rPr>
      <w:rFonts w:ascii="Times New Roman" w:hAnsi="Times New Roman" w:eastAsia="仿宋_GB2312" w:cstheme="majorBidi"/>
      <w:kern w:val="0"/>
      <w:sz w:val="24"/>
      <w:szCs w:val="21"/>
    </w:rPr>
  </w:style>
  <w:style w:type="paragraph" w:customStyle="1" w:styleId="59">
    <w:name w:val="专栏内标题"/>
    <w:basedOn w:val="56"/>
    <w:next w:val="56"/>
    <w:link w:val="60"/>
    <w:qFormat/>
    <w:uiPriority w:val="0"/>
    <w:pPr>
      <w:ind w:firstLine="0" w:firstLineChars="0"/>
      <w:jc w:val="left"/>
    </w:pPr>
    <w:rPr>
      <w:rFonts w:eastAsia="楷体_GB2312"/>
      <w:b/>
      <w:bCs/>
    </w:rPr>
  </w:style>
  <w:style w:type="character" w:customStyle="1" w:styleId="60">
    <w:name w:val="专栏内标题 字符"/>
    <w:basedOn w:val="58"/>
    <w:link w:val="59"/>
    <w:qFormat/>
    <w:uiPriority w:val="0"/>
    <w:rPr>
      <w:rFonts w:ascii="Times New Roman" w:hAnsi="Times New Roman" w:eastAsia="楷体_GB2312" w:cstheme="majorBidi"/>
      <w:b/>
      <w:bCs/>
      <w:kern w:val="0"/>
      <w:sz w:val="24"/>
      <w:szCs w:val="21"/>
    </w:rPr>
  </w:style>
  <w:style w:type="paragraph" w:customStyle="1" w:styleId="61">
    <w:name w:val="表格内容"/>
    <w:basedOn w:val="1"/>
    <w:link w:val="62"/>
    <w:qFormat/>
    <w:uiPriority w:val="0"/>
    <w:pPr>
      <w:widowControl/>
      <w:adjustRightInd/>
      <w:snapToGrid/>
      <w:spacing w:line="360" w:lineRule="exact"/>
      <w:ind w:firstLine="0" w:firstLineChars="0"/>
    </w:pPr>
    <w:rPr>
      <w:rFonts w:ascii="微软雅黑" w:hAnsi="微软雅黑" w:eastAsia="微软雅黑" w:cs="宋体"/>
      <w:sz w:val="22"/>
      <w:szCs w:val="22"/>
    </w:rPr>
  </w:style>
  <w:style w:type="character" w:customStyle="1" w:styleId="62">
    <w:name w:val="表格内容 字符"/>
    <w:basedOn w:val="31"/>
    <w:link w:val="61"/>
    <w:qFormat/>
    <w:uiPriority w:val="0"/>
    <w:rPr>
      <w:rFonts w:ascii="微软雅黑" w:hAnsi="微软雅黑" w:eastAsia="微软雅黑" w:cs="宋体"/>
      <w:sz w:val="22"/>
      <w:szCs w:val="22"/>
    </w:rPr>
  </w:style>
  <w:style w:type="paragraph" w:customStyle="1" w:styleId="63">
    <w:name w:val="表格内文字"/>
    <w:link w:val="64"/>
    <w:qFormat/>
    <w:uiPriority w:val="0"/>
    <w:pPr>
      <w:adjustRightInd w:val="0"/>
      <w:snapToGrid w:val="0"/>
      <w:spacing w:line="312" w:lineRule="auto"/>
      <w:jc w:val="center"/>
    </w:pPr>
    <w:rPr>
      <w:rFonts w:ascii="仿宋_GB2312" w:hAnsi="Times New Roman" w:eastAsia="仿宋_GB2312" w:cs="Times New Roman"/>
      <w:sz w:val="21"/>
      <w:szCs w:val="21"/>
      <w:lang w:val="en-US" w:eastAsia="zh-CN" w:bidi="ar-SA"/>
    </w:rPr>
  </w:style>
  <w:style w:type="character" w:customStyle="1" w:styleId="64">
    <w:name w:val="表格内文字 字符"/>
    <w:basedOn w:val="31"/>
    <w:link w:val="63"/>
    <w:qFormat/>
    <w:uiPriority w:val="0"/>
    <w:rPr>
      <w:rFonts w:ascii="仿宋_GB2312" w:hAnsi="Times New Roman" w:eastAsia="仿宋_GB2312" w:cs="Times New Roman"/>
      <w:kern w:val="0"/>
      <w:szCs w:val="21"/>
    </w:rPr>
  </w:style>
  <w:style w:type="character" w:customStyle="1" w:styleId="65">
    <w:name w:val="标题 5 字符"/>
    <w:basedOn w:val="31"/>
    <w:link w:val="6"/>
    <w:qFormat/>
    <w:uiPriority w:val="14"/>
    <w:rPr>
      <w:rFonts w:ascii="Times New Roman" w:hAnsi="Times New Roman" w:eastAsia="仿宋_GB2312" w:cstheme="majorBidi"/>
      <w:b/>
      <w:bCs/>
      <w:kern w:val="0"/>
      <w:sz w:val="28"/>
      <w:szCs w:val="28"/>
    </w:rPr>
  </w:style>
  <w:style w:type="paragraph" w:customStyle="1" w:styleId="66">
    <w:name w:val="表格单位"/>
    <w:basedOn w:val="1"/>
    <w:link w:val="67"/>
    <w:qFormat/>
    <w:uiPriority w:val="0"/>
    <w:pPr>
      <w:spacing w:line="240" w:lineRule="auto"/>
      <w:ind w:firstLine="0" w:firstLineChars="0"/>
      <w:jc w:val="right"/>
    </w:pPr>
    <w:rPr>
      <w:rFonts w:ascii="黑体" w:hAnsi="黑体" w:eastAsia="黑体" w:cs="Times New Roman"/>
      <w:sz w:val="24"/>
      <w:szCs w:val="24"/>
    </w:rPr>
  </w:style>
  <w:style w:type="character" w:customStyle="1" w:styleId="67">
    <w:name w:val="表格单位 字符"/>
    <w:basedOn w:val="31"/>
    <w:link w:val="66"/>
    <w:qFormat/>
    <w:uiPriority w:val="0"/>
    <w:rPr>
      <w:rFonts w:ascii="黑体" w:hAnsi="黑体" w:eastAsia="黑体" w:cs="Times New Roman"/>
      <w:kern w:val="0"/>
      <w:sz w:val="24"/>
      <w:szCs w:val="24"/>
    </w:rPr>
  </w:style>
  <w:style w:type="character" w:customStyle="1" w:styleId="68">
    <w:name w:val="批注框文本 字符"/>
    <w:basedOn w:val="31"/>
    <w:link w:val="18"/>
    <w:semiHidden/>
    <w:qFormat/>
    <w:uiPriority w:val="99"/>
    <w:rPr>
      <w:rFonts w:ascii="Times New Roman" w:hAnsi="Times New Roman" w:eastAsia="仿宋_GB2312" w:cstheme="majorBidi"/>
      <w:kern w:val="0"/>
      <w:sz w:val="18"/>
      <w:szCs w:val="18"/>
    </w:rPr>
  </w:style>
  <w:style w:type="character" w:customStyle="1" w:styleId="69">
    <w:name w:val="列表段落 字符"/>
    <w:basedOn w:val="31"/>
    <w:link w:val="45"/>
    <w:qFormat/>
    <w:uiPriority w:val="34"/>
    <w:rPr>
      <w:rFonts w:ascii="Times New Roman" w:hAnsi="Times New Roman" w:eastAsia="仿宋_GB2312" w:cstheme="majorBidi"/>
      <w:kern w:val="0"/>
      <w:sz w:val="32"/>
    </w:rPr>
  </w:style>
  <w:style w:type="character" w:customStyle="1" w:styleId="70">
    <w:name w:val="日期 字符"/>
    <w:basedOn w:val="31"/>
    <w:link w:val="17"/>
    <w:semiHidden/>
    <w:qFormat/>
    <w:uiPriority w:val="99"/>
    <w:rPr>
      <w:rFonts w:ascii="Times New Roman" w:hAnsi="Times New Roman" w:eastAsia="仿宋_GB2312" w:cstheme="majorBidi"/>
      <w:kern w:val="0"/>
      <w:sz w:val="32"/>
    </w:rPr>
  </w:style>
  <w:style w:type="paragraph" w:customStyle="1" w:styleId="71">
    <w:name w:val="修订1"/>
    <w:hidden/>
    <w:semiHidden/>
    <w:qFormat/>
    <w:uiPriority w:val="99"/>
    <w:rPr>
      <w:rFonts w:ascii="Times New Roman" w:hAnsi="Times New Roman" w:eastAsia="仿宋_GB2312" w:cstheme="majorBidi"/>
      <w:sz w:val="32"/>
      <w:szCs w:val="22"/>
      <w:lang w:val="en-US" w:eastAsia="zh-CN" w:bidi="ar-SA"/>
    </w:rPr>
  </w:style>
  <w:style w:type="paragraph" w:customStyle="1" w:styleId="72">
    <w:name w:val="nj正文"/>
    <w:basedOn w:val="1"/>
    <w:link w:val="73"/>
    <w:qFormat/>
    <w:uiPriority w:val="0"/>
    <w:pPr>
      <w:ind w:firstLine="560"/>
    </w:pPr>
    <w:rPr>
      <w:szCs w:val="36"/>
    </w:rPr>
  </w:style>
  <w:style w:type="character" w:customStyle="1" w:styleId="73">
    <w:name w:val="nj正文 字符"/>
    <w:basedOn w:val="31"/>
    <w:link w:val="72"/>
    <w:qFormat/>
    <w:uiPriority w:val="0"/>
    <w:rPr>
      <w:rFonts w:ascii="仿宋_GB2312" w:hAnsi="仿宋_GB2312" w:eastAsia="仿宋_GB2312" w:cs="仿宋_GB2312"/>
      <w:kern w:val="0"/>
      <w:sz w:val="32"/>
      <w:szCs w:val="36"/>
    </w:rPr>
  </w:style>
  <w:style w:type="character" w:customStyle="1" w:styleId="74">
    <w:name w:val="未处理的提及1"/>
    <w:basedOn w:val="31"/>
    <w:semiHidden/>
    <w:unhideWhenUsed/>
    <w:qFormat/>
    <w:uiPriority w:val="99"/>
    <w:rPr>
      <w:color w:val="605E5C"/>
      <w:shd w:val="clear" w:color="auto" w:fill="E1DFDD"/>
    </w:rPr>
  </w:style>
  <w:style w:type="character" w:customStyle="1" w:styleId="75">
    <w:name w:val="标题 6 字符"/>
    <w:basedOn w:val="31"/>
    <w:link w:val="7"/>
    <w:qFormat/>
    <w:uiPriority w:val="15"/>
    <w:rPr>
      <w:rFonts w:ascii="仿宋_GB2312" w:hAnsi="仿宋_GB2312" w:eastAsia="仿宋_GB2312" w:cstheme="majorBidi"/>
      <w:bCs/>
      <w:snapToGrid w:val="0"/>
      <w:spacing w:val="-4"/>
      <w:kern w:val="0"/>
      <w:sz w:val="32"/>
      <w:szCs w:val="32"/>
    </w:rPr>
  </w:style>
  <w:style w:type="character" w:customStyle="1" w:styleId="76">
    <w:name w:val="标题 7 字符"/>
    <w:basedOn w:val="31"/>
    <w:link w:val="9"/>
    <w:qFormat/>
    <w:uiPriority w:val="16"/>
    <w:rPr>
      <w:rFonts w:ascii="仿宋_GB2312" w:hAnsi="仿宋_GB2312" w:eastAsia="仿宋_GB2312"/>
      <w:bCs/>
      <w:spacing w:val="-4"/>
      <w:kern w:val="0"/>
      <w:sz w:val="32"/>
      <w:szCs w:val="32"/>
    </w:rPr>
  </w:style>
  <w:style w:type="character" w:customStyle="1" w:styleId="77">
    <w:name w:val="标题 8 字符"/>
    <w:basedOn w:val="31"/>
    <w:link w:val="10"/>
    <w:qFormat/>
    <w:uiPriority w:val="17"/>
    <w:rPr>
      <w:rFonts w:eastAsia="黑体" w:cstheme="majorBidi"/>
      <w:spacing w:val="-4"/>
      <w:sz w:val="28"/>
      <w:szCs w:val="32"/>
    </w:rPr>
  </w:style>
  <w:style w:type="character" w:customStyle="1" w:styleId="78">
    <w:name w:val="标题 9 字符"/>
    <w:basedOn w:val="31"/>
    <w:link w:val="11"/>
    <w:qFormat/>
    <w:uiPriority w:val="9"/>
    <w:rPr>
      <w:rFonts w:eastAsia="黑体"/>
      <w:bCs/>
      <w:spacing w:val="-4"/>
      <w:sz w:val="30"/>
      <w:szCs w:val="32"/>
    </w:rPr>
  </w:style>
  <w:style w:type="paragraph" w:customStyle="1" w:styleId="79">
    <w:name w:val="样式1"/>
    <w:basedOn w:val="45"/>
    <w:link w:val="80"/>
    <w:qFormat/>
    <w:uiPriority w:val="0"/>
    <w:pPr>
      <w:keepNext/>
      <w:numPr>
        <w:ilvl w:val="0"/>
        <w:numId w:val="12"/>
      </w:numPr>
      <w:ind w:firstLine="0" w:firstLineChars="0"/>
      <w:textAlignment w:val="bottom"/>
      <w:outlineLvl w:val="4"/>
    </w:pPr>
    <w:rPr>
      <w:rFonts w:cs="Times New Roman"/>
      <w:bCs/>
      <w:spacing w:val="-4"/>
      <w:szCs w:val="28"/>
    </w:rPr>
  </w:style>
  <w:style w:type="character" w:customStyle="1" w:styleId="80">
    <w:name w:val="样式1 字符"/>
    <w:basedOn w:val="69"/>
    <w:link w:val="79"/>
    <w:qFormat/>
    <w:uiPriority w:val="0"/>
    <w:rPr>
      <w:rFonts w:ascii="仿宋_GB2312" w:hAnsi="仿宋_GB2312" w:eastAsia="仿宋_GB2312" w:cstheme="majorBidi"/>
      <w:bCs/>
      <w:spacing w:val="-4"/>
      <w:kern w:val="0"/>
      <w:sz w:val="32"/>
      <w:szCs w:val="28"/>
    </w:rPr>
  </w:style>
  <w:style w:type="paragraph" w:customStyle="1" w:styleId="81">
    <w:name w:val="TOC 标题1"/>
    <w:basedOn w:val="2"/>
    <w:next w:val="1"/>
    <w:unhideWhenUsed/>
    <w:qFormat/>
    <w:uiPriority w:val="39"/>
    <w:pPr>
      <w:keepNext/>
      <w:keepLines/>
      <w:pageBreakBefore w:val="0"/>
      <w:widowControl/>
      <w:numPr>
        <w:numId w:val="0"/>
      </w:numPr>
      <w:adjustRightInd/>
      <w:snapToGrid/>
      <w:spacing w:before="240" w:beforeLines="0" w:after="0" w:afterLines="0" w:line="259" w:lineRule="auto"/>
      <w:jc w:val="left"/>
      <w:outlineLvl w:val="9"/>
    </w:pPr>
    <w:rPr>
      <w:rFonts w:asciiTheme="majorHAnsi" w:hAnsiTheme="majorHAnsi" w:eastAsiaTheme="majorEastAsia" w:cstheme="majorBidi"/>
      <w:bCs w:val="0"/>
      <w:smallCaps w:val="0"/>
      <w:color w:val="376092" w:themeColor="accent1" w:themeShade="BF"/>
      <w:spacing w:val="0"/>
      <w:sz w:val="32"/>
    </w:rPr>
  </w:style>
  <w:style w:type="paragraph" w:customStyle="1" w:styleId="82">
    <w:name w:val="图、标名"/>
    <w:basedOn w:val="1"/>
    <w:qFormat/>
    <w:uiPriority w:val="0"/>
    <w:pPr>
      <w:widowControl/>
      <w:numPr>
        <w:ilvl w:val="0"/>
        <w:numId w:val="13"/>
      </w:numPr>
      <w:adjustRightInd/>
      <w:snapToGrid/>
      <w:spacing w:after="100" w:afterLines="100" w:line="300" w:lineRule="auto"/>
      <w:ind w:firstLine="0" w:firstLineChars="0"/>
      <w:jc w:val="center"/>
    </w:pPr>
    <w:rPr>
      <w:rFonts w:ascii="宋体" w:hAnsi="宋体" w:eastAsia="宋体" w:cstheme="minorBidi"/>
      <w:kern w:val="2"/>
      <w:sz w:val="24"/>
      <w:szCs w:val="24"/>
    </w:rPr>
  </w:style>
  <w:style w:type="paragraph" w:customStyle="1" w:styleId="83">
    <w:name w:val="修订2"/>
    <w:hidden/>
    <w:unhideWhenUsed/>
    <w:qFormat/>
    <w:uiPriority w:val="99"/>
    <w:rPr>
      <w:rFonts w:ascii="仿宋_GB2312" w:hAnsi="仿宋_GB2312" w:eastAsia="仿宋_GB2312" w:cs="仿宋_GB2312"/>
      <w:sz w:val="32"/>
      <w:szCs w:val="32"/>
      <w:lang w:val="en-US" w:eastAsia="zh-CN" w:bidi="ar-SA"/>
    </w:rPr>
  </w:style>
  <w:style w:type="character" w:customStyle="1" w:styleId="84">
    <w:name w:val="font11"/>
    <w:basedOn w:val="31"/>
    <w:qFormat/>
    <w:uiPriority w:val="0"/>
    <w:rPr>
      <w:rFonts w:hint="eastAsia" w:ascii="微软雅黑" w:hAnsi="微软雅黑" w:eastAsia="微软雅黑"/>
      <w:b/>
      <w:bCs/>
      <w:color w:val="000000"/>
      <w:sz w:val="22"/>
      <w:szCs w:val="22"/>
      <w:u w:val="none"/>
    </w:rPr>
  </w:style>
  <w:style w:type="character" w:customStyle="1" w:styleId="85">
    <w:name w:val="font21"/>
    <w:basedOn w:val="31"/>
    <w:qFormat/>
    <w:uiPriority w:val="0"/>
    <w:rPr>
      <w:rFonts w:hint="eastAsia" w:ascii="微软雅黑" w:hAnsi="微软雅黑" w:eastAsia="微软雅黑"/>
      <w:color w:val="000000"/>
      <w:sz w:val="22"/>
      <w:szCs w:val="22"/>
      <w:u w:val="none"/>
    </w:rPr>
  </w:style>
  <w:style w:type="character" w:customStyle="1" w:styleId="86">
    <w:name w:val="未处理的提及2"/>
    <w:basedOn w:val="31"/>
    <w:semiHidden/>
    <w:unhideWhenUsed/>
    <w:qFormat/>
    <w:uiPriority w:val="99"/>
    <w:rPr>
      <w:color w:val="605E5C"/>
      <w:shd w:val="clear" w:color="auto" w:fill="E1DFDD"/>
    </w:rPr>
  </w:style>
  <w:style w:type="paragraph" w:customStyle="1" w:styleId="87">
    <w:name w:val="修订3"/>
    <w:hidden/>
    <w:semiHidden/>
    <w:qFormat/>
    <w:uiPriority w:val="99"/>
    <w:rPr>
      <w:rFonts w:ascii="仿宋_GB2312" w:hAnsi="仿宋_GB2312" w:eastAsia="仿宋_GB2312" w:cs="仿宋_GB2312"/>
      <w:sz w:val="32"/>
      <w:szCs w:val="32"/>
      <w:lang w:val="en-US" w:eastAsia="zh-CN" w:bidi="ar-SA"/>
    </w:rPr>
  </w:style>
  <w:style w:type="character" w:customStyle="1" w:styleId="88">
    <w:name w:val="未处理的提及3"/>
    <w:basedOn w:val="31"/>
    <w:semiHidden/>
    <w:unhideWhenUsed/>
    <w:qFormat/>
    <w:uiPriority w:val="99"/>
    <w:rPr>
      <w:color w:val="605E5C"/>
      <w:shd w:val="clear" w:color="auto" w:fill="E1DFDD"/>
    </w:rPr>
  </w:style>
  <w:style w:type="paragraph" w:customStyle="1" w:styleId="89">
    <w:name w:val="修订4"/>
    <w:hidden/>
    <w:unhideWhenUsed/>
    <w:qFormat/>
    <w:uiPriority w:val="99"/>
    <w:rPr>
      <w:rFonts w:ascii="仿宋_GB2312" w:hAnsi="仿宋_GB2312" w:eastAsia="仿宋_GB2312" w:cs="仿宋_GB2312"/>
      <w:sz w:val="32"/>
      <w:szCs w:val="32"/>
      <w:lang w:val="en-US" w:eastAsia="zh-CN" w:bidi="ar-SA"/>
    </w:rPr>
  </w:style>
  <w:style w:type="paragraph" w:customStyle="1" w:styleId="90">
    <w:name w:val="Revision"/>
    <w:hidden/>
    <w:unhideWhenUsed/>
    <w:qFormat/>
    <w:uiPriority w:val="99"/>
    <w:rPr>
      <w:rFonts w:ascii="仿宋_GB2312" w:hAnsi="仿宋_GB2312" w:eastAsia="仿宋_GB2312" w:cs="仿宋_GB231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0" Type="http://schemas.microsoft.com/office/2011/relationships/people" Target="people.xml"/><Relationship Id="rId3" Type="http://schemas.openxmlformats.org/officeDocument/2006/relationships/comments" Target="comment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theme" Target="theme/theme1.xml"/><Relationship Id="rId25" Type="http://schemas.openxmlformats.org/officeDocument/2006/relationships/footer" Target="footer10.xml"/><Relationship Id="rId24" Type="http://schemas.openxmlformats.org/officeDocument/2006/relationships/footer" Target="footer9.xml"/><Relationship Id="rId23" Type="http://schemas.openxmlformats.org/officeDocument/2006/relationships/footer" Target="footer8.xml"/><Relationship Id="rId22" Type="http://schemas.openxmlformats.org/officeDocument/2006/relationships/header" Target="header9.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footer" Target="footer5.xml"/><Relationship Id="rId16" Type="http://schemas.openxmlformats.org/officeDocument/2006/relationships/footer" Target="footer4.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74D21234-47D4-4A8B-9FEC-5CEB564D9304}">
  <ds:schemaRefs/>
</ds:datastoreItem>
</file>

<file path=docProps/app.xml><?xml version="1.0" encoding="utf-8"?>
<Properties xmlns="http://schemas.openxmlformats.org/officeDocument/2006/extended-properties" xmlns:vt="http://schemas.openxmlformats.org/officeDocument/2006/docPropsVTypes">
  <Template>Normal.dotm</Template>
  <Pages>95</Pages>
  <Words>16352</Words>
  <Characters>16646</Characters>
  <Lines>382</Lines>
  <Paragraphs>107</Paragraphs>
  <TotalTime>91</TotalTime>
  <ScaleCrop>false</ScaleCrop>
  <LinksUpToDate>false</LinksUpToDate>
  <CharactersWithSpaces>16762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2026-08-10T07:45:00Z</dcterms:created>
  <dc:creator>Sky</dc:creator>
  <cp:lastModifiedBy>心灵</cp:lastModifiedBy>
  <cp:lastPrinted>2026-08-11T10:51:00Z</cp:lastPrinted>
  <dcterms:modified xsi:type="dcterms:W3CDTF">2026-08-31T09:26:12Z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eyJoZGlkIjoiMjI5NmE3MGFkMmQ5NzgwMDViMjc4ZjE5ZGIxMDllYzkiLCJ1c2VySWQiOiI3MjM5OTc0NzIifQ==</vt:lpwstr>
  </property>
  <property fmtid="{D5CDD505-2E9C-101B-9397-08002B2CF9AE}" pid="3" name="KSOProductBuildVer">
    <vt:lpwstr>2052-12.1.0.28043</vt:lpwstr>
  </property>
  <property fmtid="{D5CDD505-2E9C-101B-9397-08002B2CF9AE}" pid="4" name="ICV">
    <vt:lpwstr>49D70DCFF2A1413F9404D540B13B80D4_13</vt:lpwstr>
  </property>
</Properties>
</file>