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49494">
      <w:pPr>
        <w:keepNext w:val="0"/>
        <w:keepLines w:val="0"/>
        <w:pageBreakBefore w:val="0"/>
        <w:widowControl w:val="0"/>
        <w:kinsoku/>
        <w:wordWrap/>
        <w:overflowPunct/>
        <w:topLinePunct w:val="0"/>
        <w:autoSpaceDE/>
        <w:autoSpaceDN/>
        <w:bidi w:val="0"/>
        <w:spacing w:line="560" w:lineRule="exact"/>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附件</w:t>
      </w:r>
    </w:p>
    <w:p w14:paraId="153A5A7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color w:val="auto"/>
          <w:kern w:val="2"/>
          <w:sz w:val="32"/>
          <w:szCs w:val="32"/>
          <w:lang w:val="en-US" w:eastAsia="zh-CN" w:bidi="ar-SA"/>
        </w:rPr>
      </w:pPr>
    </w:p>
    <w:p w14:paraId="0170C27C">
      <w:pPr>
        <w:keepNext w:val="0"/>
        <w:keepLines w:val="0"/>
        <w:pageBreakBefore w:val="0"/>
        <w:widowControl w:val="0"/>
        <w:kinsoku/>
        <w:wordWrap/>
        <w:overflowPunct/>
        <w:topLinePunct w:val="0"/>
        <w:autoSpaceDE/>
        <w:autoSpaceDN/>
        <w:bidi w:val="0"/>
        <w:adjustRightInd/>
        <w:snapToGrid/>
        <w:spacing w:line="680" w:lineRule="exact"/>
        <w:ind w:left="0" w:right="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第四师可克达拉市政策性肉牛</w:t>
      </w:r>
      <w:r>
        <w:rPr>
          <w:rFonts w:hint="eastAsia" w:ascii="Times New Roman" w:hAnsi="Times New Roman" w:eastAsia="方正小标宋简体" w:cs="Times New Roman"/>
          <w:sz w:val="44"/>
          <w:szCs w:val="44"/>
          <w:lang w:val="en-US" w:eastAsia="zh-CN"/>
        </w:rPr>
        <w:t>收入</w:t>
      </w:r>
      <w:r>
        <w:rPr>
          <w:rFonts w:hint="default" w:ascii="Times New Roman" w:hAnsi="Times New Roman" w:eastAsia="方正小标宋简体" w:cs="Times New Roman"/>
          <w:sz w:val="44"/>
          <w:szCs w:val="44"/>
          <w:lang w:val="en-US" w:eastAsia="zh-CN"/>
        </w:rPr>
        <w:t>保险</w:t>
      </w:r>
    </w:p>
    <w:p w14:paraId="6B804137">
      <w:pPr>
        <w:keepNext w:val="0"/>
        <w:keepLines w:val="0"/>
        <w:pageBreakBefore w:val="0"/>
        <w:widowControl w:val="0"/>
        <w:kinsoku/>
        <w:wordWrap/>
        <w:overflowPunct/>
        <w:topLinePunct w:val="0"/>
        <w:autoSpaceDE/>
        <w:autoSpaceDN/>
        <w:bidi w:val="0"/>
        <w:adjustRightInd/>
        <w:snapToGrid/>
        <w:spacing w:line="680" w:lineRule="exact"/>
        <w:ind w:left="0" w:right="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实施方案</w:t>
      </w:r>
      <w:r>
        <w:rPr>
          <w:rFonts w:hint="eastAsia" w:ascii="Times New Roman" w:hAnsi="Times New Roman" w:eastAsia="方正小标宋简体" w:cs="Times New Roman"/>
          <w:sz w:val="44"/>
          <w:szCs w:val="44"/>
          <w:lang w:val="en-US" w:eastAsia="zh-CN"/>
        </w:rPr>
        <w:t>（试行）</w:t>
      </w:r>
    </w:p>
    <w:p w14:paraId="4A7E9681">
      <w:pPr>
        <w:keepNext w:val="0"/>
        <w:keepLines w:val="0"/>
        <w:pageBreakBefore w:val="0"/>
        <w:widowControl w:val="0"/>
        <w:kinsoku/>
        <w:overflowPunct/>
        <w:topLinePunct w:val="0"/>
        <w:bidi w:val="0"/>
        <w:adjustRightInd/>
        <w:snapToGrid/>
        <w:spacing w:line="560" w:lineRule="exact"/>
        <w:ind w:left="0" w:right="0"/>
        <w:textAlignment w:val="auto"/>
        <w:rPr>
          <w:rFonts w:hint="default" w:ascii="Times New Roman" w:hAnsi="Times New Roman" w:cs="Times New Roman"/>
          <w:lang w:val="en-US" w:eastAsia="zh-CN"/>
        </w:rPr>
      </w:pPr>
    </w:p>
    <w:p w14:paraId="08577E90">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为</w:t>
      </w:r>
      <w:r>
        <w:rPr>
          <w:rFonts w:hint="eastAsia" w:ascii="Times New Roman" w:hAnsi="Times New Roman" w:eastAsia="仿宋_GB2312" w:cs="Times New Roman"/>
          <w:color w:val="000000"/>
          <w:sz w:val="32"/>
          <w:szCs w:val="32"/>
          <w:lang w:val="en-US" w:eastAsia="zh-CN"/>
        </w:rPr>
        <w:t>深入推进师市农业政策性保险工作，</w:t>
      </w:r>
      <w:r>
        <w:rPr>
          <w:rFonts w:hint="default" w:ascii="Times New Roman" w:hAnsi="Times New Roman" w:eastAsia="仿宋_GB2312" w:cs="Times New Roman"/>
          <w:color w:val="000000"/>
          <w:sz w:val="32"/>
          <w:szCs w:val="32"/>
          <w:lang w:val="en-US" w:eastAsia="zh-CN"/>
        </w:rPr>
        <w:t>充分发挥农业保险在农业生产经营中的风险保障作用</w:t>
      </w:r>
      <w:r>
        <w:rPr>
          <w:rFonts w:hint="eastAsia" w:ascii="Times New Roman" w:hAnsi="Times New Roman" w:eastAsia="仿宋_GB2312" w:cs="Times New Roman"/>
          <w:color w:val="000000"/>
          <w:sz w:val="32"/>
          <w:szCs w:val="32"/>
          <w:lang w:val="en-US" w:eastAsia="zh-CN"/>
        </w:rPr>
        <w:t>，有效化解肉牛养殖户面临的市场价格波动风险，</w:t>
      </w:r>
      <w:r>
        <w:rPr>
          <w:rFonts w:hint="default" w:ascii="Times New Roman" w:hAnsi="Times New Roman" w:eastAsia="仿宋_GB2312" w:cs="Times New Roman"/>
          <w:color w:val="000000"/>
          <w:sz w:val="32"/>
          <w:szCs w:val="32"/>
          <w:lang w:val="en-US" w:eastAsia="zh-CN"/>
        </w:rPr>
        <w:t>稳定</w:t>
      </w:r>
      <w:r>
        <w:rPr>
          <w:rFonts w:hint="eastAsia" w:ascii="Times New Roman" w:hAnsi="Times New Roman" w:eastAsia="仿宋_GB2312" w:cs="Times New Roman"/>
          <w:color w:val="000000"/>
          <w:sz w:val="32"/>
          <w:szCs w:val="32"/>
          <w:lang w:val="en-US" w:eastAsia="zh-CN"/>
        </w:rPr>
        <w:t>养殖户生产信心</w:t>
      </w:r>
      <w:r>
        <w:rPr>
          <w:rFonts w:hint="default" w:ascii="Times New Roman" w:hAnsi="Times New Roman" w:eastAsia="仿宋_GB2312" w:cs="Times New Roman"/>
          <w:color w:val="000000"/>
          <w:sz w:val="32"/>
          <w:szCs w:val="32"/>
          <w:lang w:val="en-US" w:eastAsia="zh-CN"/>
        </w:rPr>
        <w:t>，提升肉牛产业抗风险能力，促进</w:t>
      </w:r>
      <w:r>
        <w:rPr>
          <w:rFonts w:hint="eastAsia" w:ascii="Times New Roman" w:hAnsi="Times New Roman" w:eastAsia="仿宋_GB2312" w:cs="Times New Roman"/>
          <w:color w:val="000000"/>
          <w:sz w:val="32"/>
          <w:szCs w:val="32"/>
          <w:lang w:val="en-US" w:eastAsia="zh-CN"/>
        </w:rPr>
        <w:t>师市肉牛产业高质量发展，结合实际，</w:t>
      </w:r>
      <w:r>
        <w:rPr>
          <w:rFonts w:hint="default" w:ascii="Times New Roman" w:hAnsi="Times New Roman" w:eastAsia="仿宋_GB2312" w:cs="Times New Roman"/>
          <w:color w:val="000000"/>
          <w:sz w:val="32"/>
          <w:szCs w:val="32"/>
          <w:lang w:val="en-US" w:eastAsia="zh-CN"/>
        </w:rPr>
        <w:t>制定本实施方案。</w:t>
      </w:r>
    </w:p>
    <w:p w14:paraId="72DC1159">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000000"/>
          <w:sz w:val="32"/>
          <w:szCs w:val="32"/>
          <w:lang w:val="en-US" w:eastAsia="zh-CN"/>
        </w:rPr>
        <w:t>一、总体要求</w:t>
      </w:r>
    </w:p>
    <w:p w14:paraId="6F21C4B8">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以习近平新时代中国特色社会主义思想为指导，深入学习贯彻习近平总书记关于</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三农</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工作的重要论述，全面落实中央、</w:t>
      </w:r>
      <w:r>
        <w:rPr>
          <w:rFonts w:hint="eastAsia" w:ascii="Times New Roman" w:hAnsi="Times New Roman" w:eastAsia="仿宋_GB2312" w:cs="Times New Roman"/>
          <w:color w:val="000000"/>
          <w:sz w:val="32"/>
          <w:szCs w:val="32"/>
          <w:lang w:val="en-US" w:eastAsia="zh-CN"/>
        </w:rPr>
        <w:t>兵团</w:t>
      </w:r>
      <w:r>
        <w:rPr>
          <w:rFonts w:hint="default" w:ascii="Times New Roman" w:hAnsi="Times New Roman" w:eastAsia="仿宋_GB2312" w:cs="Times New Roman"/>
          <w:color w:val="000000"/>
          <w:sz w:val="32"/>
          <w:szCs w:val="32"/>
          <w:lang w:val="en-US" w:eastAsia="zh-CN"/>
        </w:rPr>
        <w:t>农村工作会议部署，坚守服务“三农”初心使命，锚定</w:t>
      </w:r>
      <w:r>
        <w:rPr>
          <w:rFonts w:hint="eastAsia" w:ascii="Times New Roman" w:hAnsi="Times New Roman" w:eastAsia="仿宋_GB2312" w:cs="Times New Roman"/>
          <w:color w:val="000000"/>
          <w:sz w:val="32"/>
          <w:szCs w:val="32"/>
          <w:lang w:val="en-US" w:eastAsia="zh-CN"/>
        </w:rPr>
        <w:t>肉牛</w:t>
      </w:r>
      <w:r>
        <w:rPr>
          <w:rFonts w:hint="default" w:ascii="Times New Roman" w:hAnsi="Times New Roman" w:eastAsia="仿宋_GB2312" w:cs="Times New Roman"/>
          <w:color w:val="000000"/>
          <w:sz w:val="32"/>
          <w:szCs w:val="32"/>
          <w:lang w:val="en-US" w:eastAsia="zh-CN"/>
        </w:rPr>
        <w:t>增效、</w:t>
      </w:r>
      <w:r>
        <w:rPr>
          <w:rFonts w:hint="eastAsia" w:ascii="Times New Roman" w:hAnsi="Times New Roman" w:eastAsia="仿宋_GB2312" w:cs="Times New Roman"/>
          <w:color w:val="000000"/>
          <w:sz w:val="32"/>
          <w:szCs w:val="32"/>
          <w:lang w:val="en-US" w:eastAsia="zh-CN"/>
        </w:rPr>
        <w:t>牧户</w:t>
      </w:r>
      <w:r>
        <w:rPr>
          <w:rFonts w:hint="default" w:ascii="Times New Roman" w:hAnsi="Times New Roman" w:eastAsia="仿宋_GB2312" w:cs="Times New Roman"/>
          <w:color w:val="000000"/>
          <w:sz w:val="32"/>
          <w:szCs w:val="32"/>
          <w:lang w:val="en-US" w:eastAsia="zh-CN"/>
        </w:rPr>
        <w:t>增收目标，坚持</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政府</w:t>
      </w:r>
      <w:r>
        <w:rPr>
          <w:rFonts w:hint="eastAsia" w:ascii="Times New Roman" w:hAnsi="Times New Roman" w:eastAsia="仿宋_GB2312" w:cs="Times New Roman"/>
          <w:color w:val="000000"/>
          <w:sz w:val="32"/>
          <w:szCs w:val="32"/>
          <w:lang w:val="en-US" w:eastAsia="zh-CN"/>
        </w:rPr>
        <w:t>引导</w:t>
      </w:r>
      <w:r>
        <w:rPr>
          <w:rFonts w:hint="default" w:ascii="Times New Roman" w:hAnsi="Times New Roman" w:eastAsia="仿宋_GB2312" w:cs="Times New Roman"/>
          <w:color w:val="000000"/>
          <w:sz w:val="32"/>
          <w:szCs w:val="32"/>
          <w:lang w:val="en-US" w:eastAsia="zh-CN"/>
        </w:rPr>
        <w:t>、市场运作、公开公平、协同推进</w:t>
      </w:r>
      <w:r>
        <w:rPr>
          <w:rFonts w:hint="eastAsia" w:ascii="Times New Roman" w:hAnsi="Times New Roman" w:eastAsia="仿宋_GB2312" w:cs="Times New Roman"/>
          <w:color w:val="000000"/>
          <w:sz w:val="32"/>
          <w:szCs w:val="32"/>
          <w:lang w:val="en-US" w:eastAsia="zh-CN"/>
        </w:rPr>
        <w:t>”的基本原则</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构建“保险公司+企业+合作社（规模养殖户）”的联农带农机制，</w:t>
      </w:r>
      <w:r>
        <w:rPr>
          <w:rFonts w:hint="default" w:ascii="Times New Roman" w:hAnsi="Times New Roman" w:eastAsia="仿宋_GB2312" w:cs="Times New Roman"/>
          <w:color w:val="000000"/>
          <w:sz w:val="32"/>
          <w:szCs w:val="32"/>
          <w:lang w:val="en-US" w:eastAsia="zh-CN"/>
        </w:rPr>
        <w:t>持续完善农业保险政策体系，切实稳定</w:t>
      </w:r>
      <w:r>
        <w:rPr>
          <w:rFonts w:hint="eastAsia" w:ascii="Times New Roman" w:hAnsi="Times New Roman" w:eastAsia="仿宋_GB2312" w:cs="Times New Roman"/>
          <w:color w:val="000000"/>
          <w:sz w:val="32"/>
          <w:szCs w:val="32"/>
          <w:lang w:val="en-US" w:eastAsia="zh-CN"/>
        </w:rPr>
        <w:t>养殖户</w:t>
      </w:r>
      <w:r>
        <w:rPr>
          <w:rFonts w:hint="default" w:ascii="Times New Roman" w:hAnsi="Times New Roman" w:eastAsia="仿宋_GB2312" w:cs="Times New Roman"/>
          <w:color w:val="000000"/>
          <w:sz w:val="32"/>
          <w:szCs w:val="32"/>
          <w:lang w:val="en-US" w:eastAsia="zh-CN"/>
        </w:rPr>
        <w:t>收益</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助力</w:t>
      </w:r>
      <w:r>
        <w:rPr>
          <w:rFonts w:hint="eastAsia" w:ascii="Times New Roman" w:hAnsi="Times New Roman" w:eastAsia="仿宋_GB2312" w:cs="Times New Roman"/>
          <w:color w:val="000000"/>
          <w:sz w:val="32"/>
          <w:szCs w:val="32"/>
          <w:lang w:val="en-US" w:eastAsia="zh-CN"/>
        </w:rPr>
        <w:t>肉牛</w:t>
      </w:r>
      <w:r>
        <w:rPr>
          <w:rFonts w:hint="default" w:ascii="Times New Roman" w:hAnsi="Times New Roman" w:eastAsia="仿宋_GB2312" w:cs="Times New Roman"/>
          <w:color w:val="000000"/>
          <w:sz w:val="32"/>
          <w:szCs w:val="32"/>
          <w:lang w:val="en-US" w:eastAsia="zh-CN"/>
        </w:rPr>
        <w:t>产业提质增效、稳健发展。</w:t>
      </w:r>
    </w:p>
    <w:p w14:paraId="6027658F">
      <w:pPr>
        <w:keepNext w:val="0"/>
        <w:keepLines w:val="0"/>
        <w:pageBreakBefore w:val="0"/>
        <w:widowControl w:val="0"/>
        <w:numPr>
          <w:ilvl w:val="0"/>
          <w:numId w:val="1"/>
        </w:numPr>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eastAsia"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000000"/>
          <w:sz w:val="32"/>
          <w:szCs w:val="32"/>
          <w:lang w:val="en-US" w:eastAsia="zh-CN"/>
        </w:rPr>
        <w:t>基本原则</w:t>
      </w:r>
    </w:p>
    <w:p w14:paraId="3EAAE6CC">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楷体_GB2312" w:cs="Times New Roman"/>
          <w:color w:val="000000"/>
          <w:sz w:val="32"/>
          <w:szCs w:val="32"/>
          <w:lang w:val="en-US" w:eastAsia="zh-CN"/>
        </w:rPr>
      </w:pPr>
      <w:r>
        <w:rPr>
          <w:rFonts w:hint="eastAsia"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一</w:t>
      </w:r>
      <w:r>
        <w:rPr>
          <w:rFonts w:hint="eastAsia"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val="en-US" w:eastAsia="zh-CN"/>
        </w:rPr>
        <w:t>政府引导、市场运作</w:t>
      </w:r>
      <w:r>
        <w:rPr>
          <w:rFonts w:hint="eastAsia" w:ascii="Times New Roman" w:hAnsi="Times New Roman" w:eastAsia="仿宋_GB2312" w:cs="Times New Roman"/>
          <w:color w:val="000000"/>
          <w:sz w:val="32"/>
          <w:szCs w:val="32"/>
          <w:lang w:val="en-US" w:eastAsia="zh-CN"/>
        </w:rPr>
        <w:t>。强化政策引导与财政资金撬动作用，发挥保险机构市场化运营、专业化服务优势。</w:t>
      </w:r>
    </w:p>
    <w:p w14:paraId="55D945C9">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二</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应保尽保、精准扶持</w:t>
      </w:r>
      <w:r>
        <w:rPr>
          <w:rFonts w:hint="eastAsia" w:ascii="Times New Roman" w:hAnsi="Times New Roman" w:eastAsia="仿宋_GB2312" w:cs="Times New Roman"/>
          <w:color w:val="000000"/>
          <w:sz w:val="32"/>
          <w:szCs w:val="32"/>
          <w:lang w:val="en-US" w:eastAsia="zh-CN"/>
        </w:rPr>
        <w:t>。聚焦肉牛养殖中生产母牛与集中育肥阶段间的衔接难点，实现风险保障和政策扶持精准覆盖。</w:t>
      </w:r>
    </w:p>
    <w:p w14:paraId="0135100D">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三</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自主自愿、协同推进</w:t>
      </w:r>
      <w:r>
        <w:rPr>
          <w:rFonts w:hint="eastAsia" w:ascii="Times New Roman" w:hAnsi="Times New Roman" w:eastAsia="仿宋_GB2312" w:cs="Times New Roman"/>
          <w:color w:val="000000"/>
          <w:sz w:val="32"/>
          <w:szCs w:val="32"/>
          <w:lang w:val="en-US" w:eastAsia="zh-CN"/>
        </w:rPr>
        <w:t>。尊重养殖主体投保意愿，农业农村、财政、保险机构、团场协同联动、高效服务。</w:t>
      </w:r>
    </w:p>
    <w:p w14:paraId="264CDCF1">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四</w:t>
      </w:r>
      <w:r>
        <w:rPr>
          <w:rFonts w:hint="default" w:ascii="Times New Roman" w:hAnsi="Times New Roman" w:eastAsia="楷体_GB2312" w:cs="Times New Roman"/>
          <w:color w:val="000000"/>
          <w:sz w:val="32"/>
          <w:szCs w:val="32"/>
        </w:rPr>
        <w:t>）</w:t>
      </w:r>
      <w:r>
        <w:rPr>
          <w:rFonts w:hint="eastAsia" w:ascii="Times New Roman" w:hAnsi="Times New Roman" w:eastAsia="楷体_GB2312" w:cs="Times New Roman"/>
          <w:color w:val="000000"/>
          <w:sz w:val="32"/>
          <w:szCs w:val="32"/>
          <w:lang w:val="en-US" w:eastAsia="zh-CN"/>
        </w:rPr>
        <w:t>保本微利、风险可控</w:t>
      </w:r>
      <w:r>
        <w:rPr>
          <w:rFonts w:hint="eastAsia" w:ascii="Times New Roman" w:hAnsi="Times New Roman" w:eastAsia="仿宋_GB2312" w:cs="Times New Roman"/>
          <w:color w:val="000000"/>
          <w:sz w:val="32"/>
          <w:szCs w:val="32"/>
          <w:lang w:val="en-US" w:eastAsia="zh-CN"/>
        </w:rPr>
        <w:t>。科学设定保险费率、保额与赔付标准，保障财政资金高效使用，保障肉牛产业可持续发展。</w:t>
      </w:r>
    </w:p>
    <w:p w14:paraId="6EC9FE6A">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w:t>
      </w:r>
      <w:r>
        <w:rPr>
          <w:rFonts w:hint="eastAsia" w:ascii="Times New Roman" w:hAnsi="Times New Roman" w:eastAsia="黑体" w:cs="Times New Roman"/>
          <w:color w:val="000000"/>
          <w:sz w:val="32"/>
          <w:szCs w:val="32"/>
          <w:lang w:val="en-US" w:eastAsia="zh-CN"/>
        </w:rPr>
        <w:t>试行</w:t>
      </w:r>
      <w:r>
        <w:rPr>
          <w:rFonts w:hint="default" w:ascii="Times New Roman" w:hAnsi="Times New Roman" w:eastAsia="黑体" w:cs="Times New Roman"/>
          <w:color w:val="000000"/>
          <w:sz w:val="32"/>
          <w:szCs w:val="32"/>
          <w:lang w:val="en-US" w:eastAsia="zh-CN"/>
        </w:rPr>
        <w:t>期限</w:t>
      </w:r>
    </w:p>
    <w:p w14:paraId="420F7D23">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试行</w:t>
      </w:r>
      <w:r>
        <w:rPr>
          <w:rFonts w:hint="default" w:ascii="Times New Roman" w:hAnsi="Times New Roman" w:eastAsia="仿宋_GB2312" w:cs="Times New Roman"/>
          <w:color w:val="000000"/>
          <w:sz w:val="32"/>
          <w:szCs w:val="32"/>
          <w:lang w:val="en-US" w:eastAsia="zh-CN"/>
        </w:rPr>
        <w:t>期限</w:t>
      </w:r>
      <w:r>
        <w:rPr>
          <w:rFonts w:hint="eastAsia"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val="en-US" w:eastAsia="zh-CN"/>
        </w:rPr>
        <w:t>年</w:t>
      </w:r>
      <w:r>
        <w:rPr>
          <w:rFonts w:hint="eastAsia" w:ascii="Times New Roman" w:hAnsi="Times New Roman" w:eastAsia="仿宋_GB2312" w:cs="Times New Roman"/>
          <w:color w:val="000000"/>
          <w:sz w:val="32"/>
          <w:szCs w:val="32"/>
          <w:lang w:val="en-US" w:eastAsia="zh-CN"/>
        </w:rPr>
        <w:t>（2026年-2028年）</w:t>
      </w:r>
      <w:r>
        <w:rPr>
          <w:rFonts w:hint="default" w:ascii="Times New Roman" w:hAnsi="Times New Roman" w:eastAsia="仿宋_GB2312" w:cs="Times New Roman"/>
          <w:color w:val="000000"/>
          <w:sz w:val="32"/>
          <w:szCs w:val="32"/>
          <w:lang w:val="en-US" w:eastAsia="zh-CN"/>
        </w:rPr>
        <w:t>。</w:t>
      </w:r>
    </w:p>
    <w:p w14:paraId="324469E5">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黑体" w:cs="Times New Roman"/>
          <w:color w:val="000000"/>
          <w:sz w:val="32"/>
          <w:szCs w:val="32"/>
          <w:lang w:val="en-US" w:eastAsia="zh-CN"/>
        </w:rPr>
      </w:pPr>
      <w:r>
        <w:rPr>
          <w:rFonts w:hint="eastAsia" w:ascii="Times New Roman" w:hAnsi="Times New Roman" w:eastAsia="黑体" w:cs="Times New Roman"/>
          <w:color w:val="000000"/>
          <w:sz w:val="32"/>
          <w:szCs w:val="32"/>
          <w:lang w:val="en-US" w:eastAsia="zh-CN"/>
        </w:rPr>
        <w:t>四</w:t>
      </w:r>
      <w:r>
        <w:rPr>
          <w:rFonts w:hint="default" w:ascii="Times New Roman" w:hAnsi="Times New Roman" w:eastAsia="黑体" w:cs="Times New Roman"/>
          <w:color w:val="000000"/>
          <w:sz w:val="32"/>
          <w:szCs w:val="32"/>
          <w:lang w:val="en-US" w:eastAsia="zh-CN"/>
        </w:rPr>
        <w:t>、</w:t>
      </w:r>
      <w:r>
        <w:rPr>
          <w:rFonts w:hint="eastAsia" w:ascii="Times New Roman" w:hAnsi="Times New Roman" w:eastAsia="黑体" w:cs="Times New Roman"/>
          <w:color w:val="000000"/>
          <w:sz w:val="32"/>
          <w:szCs w:val="32"/>
          <w:lang w:val="en-US" w:eastAsia="zh-CN"/>
        </w:rPr>
        <w:t>补贴对象</w:t>
      </w:r>
    </w:p>
    <w:p w14:paraId="6CFE9988">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楷体_GB2312" w:cs="Times New Roman"/>
          <w:color w:val="000000"/>
          <w:sz w:val="32"/>
          <w:szCs w:val="32"/>
          <w:lang w:val="en-US" w:eastAsia="zh-CN"/>
        </w:rPr>
      </w:pPr>
      <w:r>
        <w:rPr>
          <w:rFonts w:hint="eastAsia"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rPr>
        <w:t>一</w:t>
      </w:r>
      <w:r>
        <w:rPr>
          <w:rFonts w:hint="eastAsia" w:ascii="Times New Roman" w:hAnsi="Times New Roman" w:eastAsia="楷体_GB2312" w:cs="Times New Roman"/>
          <w:color w:val="000000"/>
          <w:sz w:val="32"/>
          <w:szCs w:val="32"/>
          <w:lang w:eastAsia="zh-CN"/>
        </w:rPr>
        <w:t>）</w:t>
      </w:r>
      <w:r>
        <w:rPr>
          <w:rFonts w:hint="eastAsia" w:ascii="Times New Roman" w:hAnsi="Times New Roman" w:eastAsia="楷体_GB2312" w:cs="Times New Roman"/>
          <w:color w:val="000000"/>
          <w:sz w:val="32"/>
          <w:szCs w:val="32"/>
          <w:lang w:val="en-US" w:eastAsia="zh-CN"/>
        </w:rPr>
        <w:t>补贴区域</w:t>
      </w:r>
    </w:p>
    <w:p w14:paraId="107AB2E0">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补贴区域为第四师辖区。2026年试点区域为</w:t>
      </w:r>
      <w:r>
        <w:rPr>
          <w:rFonts w:hint="eastAsia" w:ascii="Times New Roman" w:hAnsi="Times New Roman" w:eastAsia="仿宋_GB2312" w:cs="Times New Roman"/>
          <w:color w:val="auto"/>
          <w:sz w:val="32"/>
          <w:szCs w:val="32"/>
          <w:highlight w:val="none"/>
          <w:lang w:val="en-US" w:eastAsia="zh-CN"/>
        </w:rPr>
        <w:t>62、63、64、67、71、72、74、76、77、78、79</w:t>
      </w:r>
      <w:r>
        <w:rPr>
          <w:rFonts w:hint="eastAsia" w:ascii="Times New Roman" w:hAnsi="Times New Roman" w:eastAsia="仿宋_GB2312" w:cs="Times New Roman"/>
          <w:color w:val="auto"/>
          <w:sz w:val="32"/>
          <w:szCs w:val="32"/>
          <w:lang w:val="en-US" w:eastAsia="zh-CN"/>
        </w:rPr>
        <w:t>等草原资源丰富、肉牛养殖基础较好的</w:t>
      </w:r>
      <w:r>
        <w:rPr>
          <w:rFonts w:hint="eastAsia" w:ascii="Times New Roman" w:hAnsi="Times New Roman" w:eastAsia="仿宋_GB2312" w:cs="Times New Roman"/>
          <w:color w:val="000000"/>
          <w:sz w:val="32"/>
          <w:szCs w:val="32"/>
          <w:lang w:val="en-US" w:eastAsia="zh-CN"/>
        </w:rPr>
        <w:t>团场，以后年度根据试行情况逐步调整。</w:t>
      </w:r>
    </w:p>
    <w:p w14:paraId="32D024D0">
      <w:pPr>
        <w:keepNext w:val="0"/>
        <w:keepLines w:val="0"/>
        <w:pageBreakBefore w:val="0"/>
        <w:widowControl w:val="0"/>
        <w:numPr>
          <w:ilvl w:val="0"/>
          <w:numId w:val="0"/>
        </w:numPr>
        <w:kinsoku/>
        <w:wordWrap w:val="0"/>
        <w:overflowPunct/>
        <w:topLinePunct w:val="0"/>
        <w:autoSpaceDE w:val="0"/>
        <w:autoSpaceDN w:val="0"/>
        <w:bidi w:val="0"/>
        <w:adjustRightInd/>
        <w:snapToGrid/>
        <w:spacing w:after="0" w:line="560" w:lineRule="exact"/>
        <w:ind w:left="0" w:right="0" w:rightChars="0" w:firstLine="640" w:firstLineChars="200"/>
        <w:jc w:val="both"/>
        <w:textAlignment w:val="auto"/>
        <w:rPr>
          <w:rFonts w:hint="default" w:ascii="Times New Roman" w:hAnsi="Times New Roman" w:eastAsia="楷体_GB2312" w:cs="Times New Roman"/>
          <w:color w:val="000000"/>
          <w:sz w:val="32"/>
          <w:szCs w:val="32"/>
          <w:lang w:val="en-US" w:eastAsia="zh-CN"/>
        </w:rPr>
      </w:pPr>
      <w:r>
        <w:rPr>
          <w:rFonts w:hint="eastAsia" w:ascii="Times New Roman" w:hAnsi="Times New Roman" w:eastAsia="楷体_GB2312" w:cs="Times New Roman"/>
          <w:color w:val="000000"/>
          <w:sz w:val="32"/>
          <w:szCs w:val="32"/>
          <w:lang w:val="en-US" w:eastAsia="zh-CN"/>
        </w:rPr>
        <w:t>（二）支持对象</w:t>
      </w:r>
    </w:p>
    <w:p w14:paraId="1FB9FB7B">
      <w:pPr>
        <w:keepNext w:val="0"/>
        <w:keepLines w:val="0"/>
        <w:pageBreakBefore w:val="0"/>
        <w:widowControl w:val="0"/>
        <w:kinsoku/>
        <w:overflowPunct/>
        <w:topLinePunct w:val="0"/>
        <w:bidi w:val="0"/>
        <w:adjustRightInd/>
        <w:snapToGrid/>
        <w:spacing w:line="560" w:lineRule="exact"/>
        <w:ind w:left="0" w:right="0" w:firstLine="8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highlight w:val="none"/>
          <w:lang w:val="en-US" w:eastAsia="zh-CN"/>
        </w:rPr>
        <w:t>经师市农业农村局审核通过的</w:t>
      </w:r>
      <w:r>
        <w:rPr>
          <w:rFonts w:hint="default" w:ascii="Times New Roman" w:hAnsi="Times New Roman" w:eastAsia="仿宋_GB2312" w:cs="Times New Roman"/>
          <w:color w:val="000000"/>
          <w:sz w:val="32"/>
          <w:szCs w:val="32"/>
        </w:rPr>
        <w:t>肉牛养殖企业、专业合作社</w:t>
      </w: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规模养殖户（散养户可加入由连队组织成立的合作社或其它合作社后统一投保，保单明细中的投保人需实名制）</w:t>
      </w:r>
      <w:r>
        <w:rPr>
          <w:rFonts w:hint="eastAsia" w:ascii="Times New Roman" w:hAnsi="Times New Roman" w:eastAsia="仿宋_GB2312" w:cs="Times New Roman"/>
          <w:color w:val="000000"/>
          <w:sz w:val="32"/>
          <w:szCs w:val="32"/>
          <w:highlight w:val="none"/>
          <w:lang w:val="en-US" w:eastAsia="zh-CN"/>
        </w:rPr>
        <w:t>且在师市辖区内开展生产经营活动、肉牛养殖企业和合作社等养殖主体签订公犊牛购销合同并履约的给予政策性保险补贴，补贴的数量以双方参保和实际交易数量为依据。</w:t>
      </w:r>
    </w:p>
    <w:p w14:paraId="3B346438">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楷体_GB2312" w:cs="Times New Roman"/>
          <w:color w:val="000000"/>
          <w:sz w:val="32"/>
          <w:szCs w:val="32"/>
          <w:highlight w:val="none"/>
          <w:lang w:val="en-US" w:eastAsia="zh-CN"/>
        </w:rPr>
      </w:pPr>
      <w:r>
        <w:rPr>
          <w:rFonts w:hint="default" w:ascii="Times New Roman" w:hAnsi="Times New Roman" w:eastAsia="楷体_GB2312" w:cs="Times New Roman"/>
          <w:color w:val="000000"/>
          <w:sz w:val="32"/>
          <w:szCs w:val="32"/>
          <w:highlight w:val="none"/>
        </w:rPr>
        <w:t>（</w:t>
      </w:r>
      <w:r>
        <w:rPr>
          <w:rFonts w:hint="eastAsia" w:ascii="Times New Roman" w:hAnsi="Times New Roman" w:eastAsia="楷体_GB2312" w:cs="Times New Roman"/>
          <w:color w:val="000000"/>
          <w:sz w:val="32"/>
          <w:szCs w:val="32"/>
          <w:highlight w:val="none"/>
          <w:lang w:val="en-US" w:eastAsia="zh-CN"/>
        </w:rPr>
        <w:t>三</w:t>
      </w:r>
      <w:r>
        <w:rPr>
          <w:rFonts w:hint="default" w:ascii="Times New Roman" w:hAnsi="Times New Roman" w:eastAsia="楷体_GB2312" w:cs="Times New Roman"/>
          <w:color w:val="000000"/>
          <w:sz w:val="32"/>
          <w:szCs w:val="32"/>
          <w:highlight w:val="none"/>
        </w:rPr>
        <w:t>）</w:t>
      </w:r>
      <w:r>
        <w:rPr>
          <w:rFonts w:hint="eastAsia" w:ascii="Times New Roman" w:hAnsi="Times New Roman" w:eastAsia="楷体_GB2312" w:cs="Times New Roman"/>
          <w:color w:val="000000"/>
          <w:sz w:val="32"/>
          <w:szCs w:val="32"/>
          <w:highlight w:val="none"/>
          <w:lang w:val="en-US" w:eastAsia="zh-CN"/>
        </w:rPr>
        <w:t>保额及费率</w:t>
      </w:r>
    </w:p>
    <w:p w14:paraId="1269D57C">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保额由师市农业农村局组织相关单位对市场调研后，会同师市财政局商议后制定，每半年调整一次。</w:t>
      </w:r>
    </w:p>
    <w:p w14:paraId="5A5270A2">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保险费率原则上不超过5%。</w:t>
      </w:r>
    </w:p>
    <w:p w14:paraId="1C39D7B9">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eastAsia" w:ascii="Times New Roman" w:hAnsi="Times New Roman" w:eastAsia="楷体_GB2312" w:cs="Times New Roman"/>
          <w:color w:val="000000"/>
          <w:sz w:val="32"/>
          <w:szCs w:val="32"/>
          <w:highlight w:val="none"/>
          <w:lang w:val="en-US" w:eastAsia="zh-CN"/>
        </w:rPr>
      </w:pPr>
      <w:r>
        <w:rPr>
          <w:rFonts w:hint="eastAsia" w:ascii="Times New Roman" w:hAnsi="Times New Roman" w:eastAsia="楷体_GB2312" w:cs="Times New Roman"/>
          <w:color w:val="000000"/>
          <w:sz w:val="32"/>
          <w:szCs w:val="32"/>
          <w:highlight w:val="none"/>
          <w:lang w:val="en-US" w:eastAsia="zh-CN"/>
        </w:rPr>
        <w:t>（四）承保机构</w:t>
      </w:r>
    </w:p>
    <w:p w14:paraId="600AB994">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为保障项目试点工作稳妥推进、取得实效，按照公平公正公开的原则，</w:t>
      </w:r>
      <w:r>
        <w:rPr>
          <w:rFonts w:hint="eastAsia" w:ascii="Times New Roman" w:hAnsi="Times New Roman" w:eastAsia="仿宋_GB2312" w:cs="Times New Roman"/>
          <w:color w:val="000000"/>
          <w:sz w:val="32"/>
          <w:szCs w:val="32"/>
          <w:highlight w:val="none"/>
          <w:lang w:val="en-US" w:eastAsia="zh-CN"/>
        </w:rPr>
        <w:t>由师市承担政策性农业保险的保险公司作为</w:t>
      </w:r>
      <w:r>
        <w:rPr>
          <w:rFonts w:hint="default" w:ascii="Times New Roman" w:hAnsi="Times New Roman" w:eastAsia="仿宋_GB2312" w:cs="Times New Roman"/>
          <w:color w:val="000000"/>
          <w:sz w:val="32"/>
          <w:szCs w:val="32"/>
          <w:highlight w:val="none"/>
        </w:rPr>
        <w:t>承保机构。</w:t>
      </w:r>
    </w:p>
    <w:p w14:paraId="4C49C91E">
      <w:pPr>
        <w:keepNext w:val="0"/>
        <w:keepLines w:val="0"/>
        <w:pageBreakBefore w:val="0"/>
        <w:widowControl w:val="0"/>
        <w:kinsoku/>
        <w:wordWrap w:val="0"/>
        <w:overflowPunct/>
        <w:topLinePunct w:val="0"/>
        <w:autoSpaceDE w:val="0"/>
        <w:autoSpaceDN w:val="0"/>
        <w:bidi w:val="0"/>
        <w:adjustRightInd/>
        <w:snapToGrid/>
        <w:spacing w:after="0" w:line="560" w:lineRule="exact"/>
        <w:ind w:right="0" w:firstLine="640" w:firstLineChars="200"/>
        <w:jc w:val="both"/>
        <w:textAlignment w:val="auto"/>
        <w:rPr>
          <w:rFonts w:hint="eastAsia" w:ascii="仿宋" w:hAnsi="仿宋" w:eastAsia="仿宋" w:cs="仿宋"/>
          <w:spacing w:val="-3"/>
          <w:sz w:val="32"/>
          <w:szCs w:val="32"/>
          <w:lang w:val="en-US" w:eastAsia="zh-CN"/>
        </w:rPr>
      </w:pPr>
      <w:r>
        <w:rPr>
          <w:rFonts w:hint="eastAsia" w:ascii="Times New Roman" w:hAnsi="Times New Roman" w:eastAsia="黑体" w:cs="Times New Roman"/>
          <w:color w:val="000000"/>
          <w:sz w:val="32"/>
          <w:szCs w:val="32"/>
          <w:lang w:val="en-US" w:eastAsia="zh-CN"/>
        </w:rPr>
        <w:t>五</w:t>
      </w:r>
      <w:r>
        <w:rPr>
          <w:rFonts w:hint="default" w:ascii="Times New Roman" w:hAnsi="Times New Roman" w:eastAsia="黑体" w:cs="Times New Roman"/>
          <w:color w:val="000000"/>
          <w:sz w:val="32"/>
          <w:szCs w:val="32"/>
          <w:lang w:val="en-US" w:eastAsia="zh-CN"/>
        </w:rPr>
        <w:t>、补贴</w:t>
      </w:r>
      <w:r>
        <w:rPr>
          <w:rFonts w:hint="eastAsia" w:ascii="Times New Roman" w:hAnsi="Times New Roman" w:eastAsia="黑体" w:cs="Times New Roman"/>
          <w:color w:val="000000"/>
          <w:sz w:val="32"/>
          <w:szCs w:val="32"/>
          <w:lang w:val="en-US" w:eastAsia="zh-CN"/>
        </w:rPr>
        <w:t>资金及管理</w:t>
      </w:r>
    </w:p>
    <w:p w14:paraId="38D57F97">
      <w:pPr>
        <w:keepNext w:val="0"/>
        <w:keepLines w:val="0"/>
        <w:pageBreakBefore w:val="0"/>
        <w:widowControl w:val="0"/>
        <w:kinsoku/>
        <w:overflowPunct/>
        <w:topLinePunct w:val="0"/>
        <w:bidi w:val="0"/>
        <w:adjustRightInd/>
        <w:snapToGrid/>
        <w:spacing w:line="560" w:lineRule="exact"/>
        <w:ind w:right="0"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楷体_GB2312" w:cs="Times New Roman"/>
          <w:color w:val="000000"/>
          <w:sz w:val="32"/>
          <w:szCs w:val="32"/>
          <w:highlight w:val="none"/>
          <w:lang w:val="en-US" w:eastAsia="zh-CN"/>
        </w:rPr>
        <w:t>（一）补贴比例。</w:t>
      </w:r>
      <w:r>
        <w:rPr>
          <w:rFonts w:hint="eastAsia" w:ascii="Times New Roman" w:hAnsi="Times New Roman" w:eastAsia="仿宋_GB2312" w:cs="Times New Roman"/>
          <w:color w:val="000000"/>
          <w:sz w:val="32"/>
          <w:szCs w:val="32"/>
          <w:highlight w:val="none"/>
          <w:lang w:val="en-US" w:eastAsia="zh-CN"/>
        </w:rPr>
        <w:t>2026年试行期间，肉牛养殖主体投保时，个人承担保费的20%，师市补贴80%。试行期间保险补贴采取数量上限，2026年度对参保前6000头肉牛给予政策补贴，2027年、2028年根据上年度实施情况对参保数量、补贴比例进行调整。</w:t>
      </w:r>
    </w:p>
    <w:p w14:paraId="711F4C24">
      <w:pPr>
        <w:keepNext w:val="0"/>
        <w:keepLines w:val="0"/>
        <w:pageBreakBefore w:val="0"/>
        <w:widowControl w:val="0"/>
        <w:kinsoku/>
        <w:overflowPunct/>
        <w:topLinePunct w:val="0"/>
        <w:bidi w:val="0"/>
        <w:adjustRightInd/>
        <w:snapToGrid/>
        <w:spacing w:line="560" w:lineRule="exact"/>
        <w:ind w:left="0" w:right="0" w:firstLine="800"/>
        <w:textAlignment w:val="auto"/>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楷体_GB2312" w:cs="Times New Roman"/>
          <w:color w:val="000000"/>
          <w:sz w:val="32"/>
          <w:szCs w:val="32"/>
          <w:highlight w:val="none"/>
          <w:lang w:val="en-US" w:eastAsia="zh-CN"/>
        </w:rPr>
        <w:t>（二）补贴方式。</w:t>
      </w:r>
      <w:r>
        <w:rPr>
          <w:rFonts w:hint="eastAsia" w:ascii="Times New Roman" w:hAnsi="Times New Roman" w:eastAsia="仿宋_GB2312" w:cs="Times New Roman"/>
          <w:color w:val="000000"/>
          <w:sz w:val="32"/>
          <w:szCs w:val="32"/>
          <w:highlight w:val="none"/>
          <w:lang w:val="en-US" w:eastAsia="zh-CN"/>
        </w:rPr>
        <w:t>投保主体、企业及保险机构签订的购销合同及保单经所在团场初审，报师市农业农村局审核通过后，投保主体先行支付保费，保单报师市农业农村局备案。当达到参保肉牛数量超过拟补贴数量上限时，由农业农村局组织相关部门联合组审核，同比例核减。购销合同双方履约后，由师市农业农村局和财政局按程序据实补贴。</w:t>
      </w:r>
    </w:p>
    <w:p w14:paraId="6990B832">
      <w:pPr>
        <w:keepNext w:val="0"/>
        <w:keepLines w:val="0"/>
        <w:pageBreakBefore w:val="0"/>
        <w:widowControl w:val="0"/>
        <w:kinsoku/>
        <w:overflowPunct/>
        <w:topLinePunct w:val="0"/>
        <w:bidi w:val="0"/>
        <w:adjustRightInd/>
        <w:snapToGrid/>
        <w:spacing w:line="560" w:lineRule="exact"/>
        <w:ind w:left="0" w:right="0" w:firstLine="648" w:firstLineChars="200"/>
        <w:textAlignment w:val="auto"/>
        <w:rPr>
          <w:rFonts w:ascii="黑体" w:hAnsi="黑体" w:eastAsia="黑体" w:cs="黑体"/>
          <w:sz w:val="31"/>
          <w:szCs w:val="31"/>
        </w:rPr>
      </w:pPr>
      <w:r>
        <w:rPr>
          <w:rFonts w:ascii="黑体" w:hAnsi="黑体" w:eastAsia="黑体" w:cs="黑体"/>
          <w:spacing w:val="7"/>
          <w:sz w:val="31"/>
          <w:szCs w:val="31"/>
        </w:rPr>
        <w:t>六、工作要求</w:t>
      </w:r>
    </w:p>
    <w:p w14:paraId="6C21379C">
      <w:pPr>
        <w:keepNext w:val="0"/>
        <w:keepLines w:val="0"/>
        <w:pageBreakBefore w:val="0"/>
        <w:widowControl w:val="0"/>
        <w:kinsoku/>
        <w:overflowPunct/>
        <w:topLinePunct w:val="0"/>
        <w:bidi w:val="0"/>
        <w:adjustRightInd/>
        <w:snapToGrid/>
        <w:spacing w:line="560" w:lineRule="exact"/>
        <w:ind w:left="0" w:right="0"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楷体_GB2312" w:cs="Times New Roman"/>
          <w:color w:val="000000"/>
          <w:sz w:val="32"/>
          <w:szCs w:val="32"/>
          <w:highlight w:val="none"/>
          <w:lang w:val="en-US" w:eastAsia="zh-CN"/>
        </w:rPr>
        <w:t>（一）强化责任落实。</w:t>
      </w:r>
      <w:r>
        <w:rPr>
          <w:rFonts w:hint="eastAsia" w:ascii="Times New Roman" w:hAnsi="Times New Roman" w:eastAsia="仿宋_GB2312" w:cs="Times New Roman"/>
          <w:color w:val="000000"/>
          <w:sz w:val="32"/>
          <w:szCs w:val="32"/>
          <w:lang w:val="en-US" w:eastAsia="zh-CN"/>
        </w:rPr>
        <w:t>各团（镇）、师直各相关部门（单位）、国家金融监管局伊犁监管分局、承保机构要明确分工、通力合作、全力做好肉牛保险实施工作。要建立价格保险工作联动机制，定期组织召开会议，研究协调解决政策性农业保险中出现的困难和问题，确保肉牛保险工作顺利开展。</w:t>
      </w:r>
    </w:p>
    <w:p w14:paraId="48DB7666">
      <w:pPr>
        <w:keepNext w:val="0"/>
        <w:keepLines w:val="0"/>
        <w:pageBreakBefore w:val="0"/>
        <w:widowControl w:val="0"/>
        <w:kinsoku/>
        <w:overflowPunct/>
        <w:topLinePunct w:val="0"/>
        <w:bidi w:val="0"/>
        <w:adjustRightInd/>
        <w:snapToGrid/>
        <w:spacing w:line="560" w:lineRule="exact"/>
        <w:ind w:left="0" w:right="0"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楷体_GB2312" w:cs="Times New Roman"/>
          <w:color w:val="000000"/>
          <w:sz w:val="32"/>
          <w:szCs w:val="32"/>
          <w:highlight w:val="none"/>
          <w:lang w:val="en-US" w:eastAsia="zh-CN"/>
        </w:rPr>
        <w:t>（二）加大政策宣传。</w:t>
      </w:r>
      <w:r>
        <w:rPr>
          <w:rFonts w:hint="eastAsia" w:ascii="Times New Roman" w:hAnsi="Times New Roman" w:eastAsia="仿宋_GB2312" w:cs="Times New Roman"/>
          <w:color w:val="000000"/>
          <w:sz w:val="32"/>
          <w:szCs w:val="32"/>
          <w:lang w:val="en-US" w:eastAsia="zh-CN"/>
        </w:rPr>
        <w:t>各团（镇）、相关部门和承保机构要加强保险政策宣传培训工作，通过举办专题培训和运用网络、电视、宣传单及新媒体等方式，广泛宣传讲解保险法规政策和业务知识，提高保险经办人员业务能力，增强养殖户风险防范和参保意识，扩大覆盖面，增加知晓度，提升参保率。</w:t>
      </w:r>
    </w:p>
    <w:p w14:paraId="6357882E">
      <w:pPr>
        <w:keepNext w:val="0"/>
        <w:keepLines w:val="0"/>
        <w:pageBreakBefore w:val="0"/>
        <w:widowControl w:val="0"/>
        <w:kinsoku/>
        <w:overflowPunct/>
        <w:topLinePunct w:val="0"/>
        <w:bidi w:val="0"/>
        <w:adjustRightInd/>
        <w:snapToGrid/>
        <w:spacing w:line="560" w:lineRule="exact"/>
        <w:ind w:left="0" w:right="0" w:firstLine="780"/>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楷体_GB2312" w:cs="Times New Roman"/>
          <w:color w:val="000000"/>
          <w:sz w:val="32"/>
          <w:szCs w:val="32"/>
          <w:highlight w:val="none"/>
          <w:lang w:val="en-US" w:eastAsia="zh-CN"/>
        </w:rPr>
        <w:t xml:space="preserve">（三）规范经营行为。 </w:t>
      </w:r>
      <w:r>
        <w:rPr>
          <w:rFonts w:hint="eastAsia" w:ascii="Times New Roman" w:hAnsi="Times New Roman" w:eastAsia="仿宋_GB2312" w:cs="Times New Roman"/>
          <w:color w:val="000000"/>
          <w:sz w:val="32"/>
          <w:szCs w:val="32"/>
          <w:lang w:val="en-US" w:eastAsia="zh-CN"/>
        </w:rPr>
        <w:t>要不断健全科学精准高效的查勘定损机制，做到不惜赔、不拖赔，切实提高承保理赔的时效性和精确度，进一步提升农业保险合规经营水平。加快查勘定损服务标准化建设，共同解决辖区内政策性农业保险查勘、定损等工作中出现的问题。</w:t>
      </w:r>
    </w:p>
    <w:p w14:paraId="73F2AFD4">
      <w:pPr>
        <w:keepNext w:val="0"/>
        <w:keepLines w:val="0"/>
        <w:pageBreakBefore w:val="0"/>
        <w:widowControl w:val="0"/>
        <w:kinsoku/>
        <w:overflowPunct/>
        <w:topLinePunct w:val="0"/>
        <w:bidi w:val="0"/>
        <w:adjustRightInd/>
        <w:snapToGrid/>
        <w:spacing w:line="560" w:lineRule="exact"/>
        <w:ind w:left="0" w:right="0" w:firstLine="780"/>
        <w:textAlignment w:val="auto"/>
        <w:rPr>
          <w:rFonts w:ascii="仿宋" w:hAnsi="仿宋" w:eastAsia="仿宋" w:cs="仿宋"/>
          <w:spacing w:val="3"/>
          <w:sz w:val="32"/>
          <w:szCs w:val="32"/>
        </w:rPr>
      </w:pPr>
      <w:r>
        <w:rPr>
          <w:rFonts w:hint="eastAsia" w:ascii="Times New Roman" w:hAnsi="Times New Roman" w:eastAsia="楷体_GB2312" w:cs="Times New Roman"/>
          <w:color w:val="000000"/>
          <w:sz w:val="32"/>
          <w:szCs w:val="32"/>
          <w:highlight w:val="none"/>
          <w:lang w:val="en-US" w:eastAsia="zh-CN"/>
        </w:rPr>
        <w:t>（四）坚持自愿投保原则。</w:t>
      </w:r>
      <w:r>
        <w:rPr>
          <w:rFonts w:hint="eastAsia" w:ascii="Times New Roman" w:hAnsi="Times New Roman" w:eastAsia="仿宋_GB2312" w:cs="Times New Roman"/>
          <w:color w:val="000000"/>
          <w:sz w:val="32"/>
          <w:szCs w:val="32"/>
          <w:lang w:val="en-US" w:eastAsia="zh-CN"/>
        </w:rPr>
        <w:t>任何组织和个人不得利用行政权力、职务或者职业便利以及其他方式强迫、限制、阻碍养殖主体参加保险，不得将投保本保险作为享受其他各项支农惠农政策补贴的前提条件。</w:t>
      </w:r>
    </w:p>
    <w:p w14:paraId="3E637DF4">
      <w:pPr>
        <w:keepNext w:val="0"/>
        <w:keepLines w:val="0"/>
        <w:pageBreakBefore w:val="0"/>
        <w:widowControl w:val="0"/>
        <w:kinsoku/>
        <w:overflowPunct/>
        <w:topLinePunct w:val="0"/>
        <w:bidi w:val="0"/>
        <w:adjustRightInd/>
        <w:snapToGrid/>
        <w:spacing w:line="560" w:lineRule="exact"/>
        <w:ind w:left="0" w:right="0" w:firstLine="760"/>
        <w:textAlignment w:val="auto"/>
        <w:rPr>
          <w:rFonts w:hint="default" w:ascii="仿宋" w:hAnsi="仿宋" w:eastAsia="楷体" w:cs="仿宋"/>
          <w:sz w:val="32"/>
          <w:szCs w:val="32"/>
          <w:lang w:val="en-US" w:eastAsia="zh-CN"/>
        </w:rPr>
      </w:pPr>
      <w:r>
        <w:rPr>
          <w:rFonts w:hint="eastAsia" w:ascii="Times New Roman" w:hAnsi="Times New Roman" w:eastAsia="楷体_GB2312" w:cs="Times New Roman"/>
          <w:color w:val="000000"/>
          <w:sz w:val="32"/>
          <w:szCs w:val="32"/>
          <w:highlight w:val="none"/>
          <w:lang w:val="en-US" w:eastAsia="zh-CN"/>
        </w:rPr>
        <w:t>（五）加强监督管理。</w:t>
      </w:r>
      <w:r>
        <w:rPr>
          <w:rFonts w:hint="eastAsia" w:ascii="Times New Roman" w:hAnsi="Times New Roman" w:eastAsia="仿宋_GB2312" w:cs="Times New Roman"/>
          <w:color w:val="000000"/>
          <w:sz w:val="32"/>
          <w:szCs w:val="32"/>
          <w:lang w:val="en-US" w:eastAsia="zh-CN"/>
        </w:rPr>
        <w:t>财政、农业农村、金融监管等部门要切实履行好督导检查责任，指导做好肉牛保险工作，建立完善监督检查制度和责任追究制度，对存在弄虚作假、套骗财政补贴等严重违法违规行为的保险公司及投保主体，依法依规严肃处理。</w:t>
      </w:r>
    </w:p>
    <w:p w14:paraId="30FA8F6A">
      <w:pPr>
        <w:keepNext w:val="0"/>
        <w:keepLines w:val="0"/>
        <w:pageBreakBefore w:val="0"/>
        <w:widowControl w:val="0"/>
        <w:kinsoku/>
        <w:wordWrap w:val="0"/>
        <w:overflowPunct/>
        <w:topLinePunct w:val="0"/>
        <w:autoSpaceDE w:val="0"/>
        <w:autoSpaceDN w:val="0"/>
        <w:bidi w:val="0"/>
        <w:adjustRightInd/>
        <w:snapToGrid/>
        <w:spacing w:after="0" w:line="560" w:lineRule="exact"/>
        <w:ind w:left="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本实施方案由第四师可克达拉市农业农村局负责解释。</w:t>
      </w:r>
    </w:p>
    <w:p w14:paraId="3AFFCDAC">
      <w:pPr>
        <w:pStyle w:val="4"/>
        <w:rPr>
          <w:rFonts w:hint="eastAsia" w:ascii="Times New Roman" w:hAnsi="Times New Roman" w:eastAsia="黑体" w:cs="Times New Roman"/>
          <w:sz w:val="32"/>
          <w:szCs w:val="32"/>
          <w:lang w:val="en-US" w:eastAsia="zh-CN"/>
        </w:rPr>
      </w:pPr>
    </w:p>
    <w:p w14:paraId="06619D72">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Yb2gj">
    <w:altName w:val="方正公文小标宋"/>
    <w:panose1 w:val="00000000000000000000"/>
    <w:charset w:val="00"/>
    <w:family w:val="moder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FDB928"/>
    <w:multiLevelType w:val="singleLevel"/>
    <w:tmpl w:val="55FDB92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B0F70"/>
    <w:rsid w:val="247B0F70"/>
    <w:rsid w:val="751D6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UserStyle_0"/>
    <w:qFormat/>
    <w:uiPriority w:val="0"/>
    <w:pPr>
      <w:textAlignment w:val="baseline"/>
    </w:pPr>
    <w:rPr>
      <w:rFonts w:ascii="HYb2gj" w:hAnsi="Times New Roman" w:eastAsia="HYb2gj"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2026-08-06T08:02:00Z</dcterms:created>
  <dc:creator>林</dc:creator>
  <cp:lastModifiedBy>林</cp:lastModifiedBy>
  <dcterms:modified xsi:type="dcterms:W3CDTF">2026-08-06T08:02:54Z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7988AE60F48F4388B61FA11F6D244CA8_11</vt:lpwstr>
  </property>
  <property fmtid="{D5CDD505-2E9C-101B-9397-08002B2CF9AE}" pid="4" name="KSOTemplateDocerSaveRecord">
    <vt:lpwstr>eyJoZGlkIjoiNzdjN2EwMjY0NTk5NGZjZTVkMzQ4ZTY4YzYxNGVhMGIiLCJ1c2VySWQiOiIzMjA5MTE0MTYifQ==</vt:lpwstr>
  </property>
</Properties>
</file>