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E35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NewRoman" w:hAnsi="TimesNewRoman" w:eastAsia="方正小标宋简体" w:cs="TimesNewRoman"/>
          <w:color w:val="000000"/>
          <w:sz w:val="44"/>
          <w:szCs w:val="44"/>
          <w:highlight w:val="none"/>
        </w:rPr>
      </w:pPr>
      <w:r>
        <w:rPr>
          <w:rFonts w:hint="default" w:ascii="TimesNewRoman" w:hAnsi="TimesNewRoman" w:eastAsia="方正小标宋简体" w:cs="TimesNewRoman"/>
          <w:color w:val="000000"/>
          <w:sz w:val="44"/>
          <w:szCs w:val="44"/>
          <w:highlight w:val="none"/>
        </w:rPr>
        <w:t>粮食收购企业备案表</w:t>
      </w:r>
    </w:p>
    <w:tbl>
      <w:tblPr>
        <w:tblStyle w:val="7"/>
        <w:tblW w:w="90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16"/>
        <w:gridCol w:w="1788"/>
        <w:gridCol w:w="215"/>
        <w:gridCol w:w="150"/>
        <w:gridCol w:w="1150"/>
        <w:gridCol w:w="689"/>
        <w:gridCol w:w="520"/>
        <w:gridCol w:w="2189"/>
      </w:tblGrid>
      <w:tr w14:paraId="53323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705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bookmarkStart w:id="0" w:name="_Toc533846438"/>
            <w:bookmarkEnd w:id="0"/>
            <w:r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  <w:t>基本信息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800B">
            <w:pPr>
              <w:widowControl/>
              <w:jc w:val="center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670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18F9DF">
            <w:pPr>
              <w:widowControl/>
              <w:jc w:val="center"/>
              <w:rPr>
                <w:rFonts w:hint="default" w:ascii="TimesNewRoman" w:hAnsi="TimesNewRoman" w:cs="TimesNewRoman"/>
                <w:i/>
                <w:color w:val="000000"/>
                <w:kern w:val="0"/>
                <w:sz w:val="24"/>
                <w:highlight w:val="none"/>
              </w:rPr>
            </w:pPr>
          </w:p>
        </w:tc>
      </w:tr>
      <w:tr w14:paraId="2246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09E6AF1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8AF0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8349CD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25EC9B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966AA1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9A4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39DB0E4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F310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通讯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FA8DCA">
            <w:pPr>
              <w:widowControl/>
              <w:jc w:val="center"/>
              <w:rPr>
                <w:rFonts w:hint="default" w:ascii="TimesNewRoman" w:hAnsi="TimesNewRoman" w:cs="TimesNewRoman"/>
                <w:i/>
                <w:color w:val="000000"/>
                <w:szCs w:val="21"/>
                <w:highlight w:val="none"/>
              </w:rPr>
            </w:pPr>
          </w:p>
        </w:tc>
      </w:tr>
      <w:tr w14:paraId="489F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CB17E8F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4329">
            <w:pPr>
              <w:widowControl/>
              <w:jc w:val="center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企业性质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331FF1">
            <w:pPr>
              <w:widowControl/>
              <w:jc w:val="both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国有独资</w:t>
            </w:r>
            <w:bookmarkStart w:id="1" w:name="_GoBack"/>
            <w:bookmarkEnd w:id="1"/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国有控股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内资非国有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港澳台商及外商企业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28FC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528E91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83E4">
            <w:pPr>
              <w:widowControl/>
              <w:jc w:val="center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企业业务类型</w:t>
            </w:r>
          </w:p>
        </w:tc>
        <w:tc>
          <w:tcPr>
            <w:tcW w:w="6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AA7ACC">
            <w:pPr>
              <w:widowControl/>
              <w:jc w:val="center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>购销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加工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贸易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其他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2BD5B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62D5E9D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1941">
            <w:pPr>
              <w:widowControl/>
              <w:jc w:val="center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B157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A2AD">
            <w:pPr>
              <w:widowControl/>
              <w:jc w:val="center"/>
              <w:rPr>
                <w:rFonts w:hint="default" w:ascii="TimesNewRoman" w:hAnsi="TimesNewRoman" w:eastAsia="宋体" w:cs="TimesNewRoman"/>
                <w:bCs/>
                <w:color w:val="000000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bCs/>
                <w:color w:val="000000"/>
                <w:kern w:val="0"/>
                <w:sz w:val="24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A5F67F">
            <w:pPr>
              <w:widowControl/>
              <w:jc w:val="center"/>
              <w:rPr>
                <w:rFonts w:hint="default" w:ascii="TimesNewRoman" w:hAnsi="TimesNewRoman" w:cs="TimesNewRoman"/>
                <w:i/>
                <w:color w:val="000000"/>
                <w:kern w:val="0"/>
                <w:szCs w:val="18"/>
                <w:highlight w:val="none"/>
              </w:rPr>
            </w:pPr>
          </w:p>
        </w:tc>
      </w:tr>
      <w:tr w14:paraId="5DC6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A14E0C3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3E7E4D">
            <w:pPr>
              <w:widowControl/>
              <w:jc w:val="center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收购品种</w:t>
            </w:r>
          </w:p>
        </w:tc>
        <w:tc>
          <w:tcPr>
            <w:tcW w:w="67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6996C">
            <w:pPr>
              <w:widowControl/>
              <w:jc w:val="center"/>
              <w:rPr>
                <w:rFonts w:hint="default" w:ascii="TimesNewRoman" w:hAnsi="TimesNewRoman" w:cs="TimesNewRoman"/>
                <w:i/>
                <w:color w:val="000000"/>
                <w:kern w:val="0"/>
                <w:szCs w:val="18"/>
                <w:highlight w:val="none"/>
              </w:rPr>
            </w:pPr>
          </w:p>
        </w:tc>
      </w:tr>
      <w:tr w14:paraId="7DCC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6C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  <w:t>仓储</w:t>
            </w:r>
            <w:r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  <w:lang w:eastAsia="zh-CN"/>
              </w:rPr>
              <w:t>设施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E7C297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仓储设施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67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465E1">
            <w:pPr>
              <w:widowControl/>
              <w:jc w:val="center"/>
              <w:rPr>
                <w:rFonts w:hint="default" w:ascii="TimesNewRoman" w:hAnsi="TimesNewRoman" w:cs="TimesNewRoman"/>
                <w:i/>
                <w:color w:val="000000"/>
                <w:kern w:val="0"/>
                <w:szCs w:val="18"/>
                <w:highlight w:val="none"/>
              </w:rPr>
            </w:pPr>
          </w:p>
        </w:tc>
      </w:tr>
      <w:tr w14:paraId="30F01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A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E197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库、场、厂来源</w:t>
            </w:r>
          </w:p>
        </w:tc>
        <w:tc>
          <w:tcPr>
            <w:tcW w:w="27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7E42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粮仓面积（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  <w:lang w:eastAsia="zh-CN"/>
              </w:rPr>
              <w:t>平方米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AA12CC">
            <w:pPr>
              <w:widowControl/>
              <w:jc w:val="center"/>
              <w:rPr>
                <w:rFonts w:hint="default" w:ascii="TimesNewRoman" w:hAnsi="TimesNewRoman" w:cs="TimesNewRoman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NewRoman" w:hAnsi="TimesNewRoman" w:cs="TimesNewRoman"/>
                <w:bCs/>
                <w:color w:val="000000"/>
                <w:kern w:val="0"/>
                <w:sz w:val="24"/>
                <w:szCs w:val="22"/>
                <w:highlight w:val="none"/>
              </w:rPr>
              <w:t>储存能力（吨）</w:t>
            </w:r>
          </w:p>
        </w:tc>
      </w:tr>
      <w:tr w14:paraId="13C5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8DF4626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30953E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  <w:t>自有□    租赁□</w:t>
            </w:r>
          </w:p>
        </w:tc>
        <w:tc>
          <w:tcPr>
            <w:tcW w:w="27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3C9802">
            <w:pPr>
              <w:widowControl/>
              <w:jc w:val="center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DC39D">
            <w:pPr>
              <w:widowControl/>
              <w:jc w:val="center"/>
              <w:rPr>
                <w:rFonts w:hint="default" w:ascii="TimesNewRoman" w:hAnsi="TimesNewRoman" w:cs="TimesNewRoman"/>
                <w:bCs/>
                <w:i/>
                <w:color w:val="000000"/>
                <w:kern w:val="0"/>
                <w:szCs w:val="22"/>
                <w:highlight w:val="none"/>
              </w:rPr>
            </w:pPr>
          </w:p>
        </w:tc>
      </w:tr>
      <w:tr w14:paraId="56D7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069949E2">
            <w:pPr>
              <w:widowControl/>
              <w:jc w:val="center"/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NewRoman" w:hAnsi="TimesNewRoman" w:cs="TimesNewRoman"/>
                <w:b/>
                <w:bCs/>
                <w:color w:val="000000"/>
                <w:kern w:val="0"/>
                <w:sz w:val="24"/>
                <w:szCs w:val="22"/>
                <w:highlight w:val="none"/>
              </w:rPr>
              <w:t>承诺</w:t>
            </w:r>
          </w:p>
        </w:tc>
        <w:tc>
          <w:tcPr>
            <w:tcW w:w="841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223D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NewRoman" w:hAnsi="TimesNewRoman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szCs w:val="24"/>
                <w:highlight w:val="none"/>
              </w:rPr>
              <w:t>本企业承诺：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本表所填写信息真实、准确。如有不实，愿承担相应法律责任。2.严格遵守《中华人民共和国粮食安全保障法》《粮食流通管理条例》《国家粮食流通统计调查制度》《新疆维吾尔自治区粮食安全保障条例》等法律规章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NewRoman" w:hAnsi="TimesNewRoman" w:cs="TimesNew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3.建立粮食经营台账并保存不少于3年，及时向粮食行政管理部门报送粮食购进、销售、储存等基本数据和有关情况。4.备案内容发生变化的，粮食收购企业应当及时变更备案。</w:t>
            </w:r>
          </w:p>
        </w:tc>
      </w:tr>
      <w:tr w14:paraId="586F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45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2CE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eastAsia="zh-CN"/>
              </w:rPr>
              <w:t>备案企业（盖章）</w:t>
            </w:r>
          </w:p>
          <w:p w14:paraId="3E15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NewRoman" w:hAnsi="TimesNewRoman" w:cs="TimesNew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月    日</w:t>
            </w:r>
          </w:p>
        </w:tc>
        <w:tc>
          <w:tcPr>
            <w:tcW w:w="45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87F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eastAsia="zh-CN"/>
              </w:rPr>
              <w:t>备案机关（盖章）</w:t>
            </w:r>
          </w:p>
          <w:p w14:paraId="0B01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NewRoman" w:hAnsi="TimesNewRoman" w:cs="TimesNew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NewRoman" w:hAnsi="TimesNewRoman" w:eastAsia="宋体" w:cs="TimesNew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月    日</w:t>
            </w:r>
          </w:p>
        </w:tc>
      </w:tr>
    </w:tbl>
    <w:p w14:paraId="4ACE01F8">
      <w:pPr>
        <w:ind w:firstLine="0" w:firstLineChars="0"/>
        <w:jc w:val="both"/>
      </w:pPr>
      <w:r>
        <w:rPr>
          <w:rFonts w:hint="default" w:ascii="TimesNewRoman" w:hAnsi="TimesNewRoman" w:eastAsia="宋体" w:cs="TimesNewRoman"/>
          <w:color w:val="000000"/>
          <w:sz w:val="22"/>
          <w:szCs w:val="20"/>
          <w:highlight w:val="none"/>
          <w:lang w:val="en-US" w:eastAsia="zh-CN"/>
        </w:rPr>
        <w:t>注：此表一式两份，备案企业</w:t>
      </w:r>
      <w:r>
        <w:rPr>
          <w:rFonts w:hint="default" w:ascii="TimesNewRoman" w:hAnsi="TimesNewRoman" w:cs="TimesNewRoman"/>
          <w:color w:val="000000"/>
          <w:sz w:val="22"/>
          <w:szCs w:val="20"/>
          <w:highlight w:val="none"/>
          <w:lang w:val="en-US" w:eastAsia="zh-CN"/>
        </w:rPr>
        <w:t>和备案机关</w:t>
      </w:r>
      <w:r>
        <w:rPr>
          <w:rFonts w:hint="default" w:ascii="TimesNewRoman" w:hAnsi="TimesNewRoman" w:eastAsia="宋体" w:cs="TimesNewRoman"/>
          <w:color w:val="000000"/>
          <w:sz w:val="22"/>
          <w:szCs w:val="20"/>
          <w:highlight w:val="none"/>
          <w:lang w:val="en-US" w:eastAsia="zh-CN"/>
        </w:rPr>
        <w:t>各执一份。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FF9BEE-4126-47D7-9779-6D447958FC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0838CB-F2B7-4F9E-9A14-7C194C3061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  <w:embedRegular r:id="rId3" w:fontKey="{3FC75E55-77CA-4DDC-877C-4E4172B40031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A160C19C-761D-4079-93E7-0CCB8F388A87}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DDA054E-9651-4B65-8768-D7993A7088B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00D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C142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C1426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25498"/>
    <w:rsid w:val="061529F6"/>
    <w:rsid w:val="08F25498"/>
    <w:rsid w:val="176A00C8"/>
    <w:rsid w:val="1B697F4E"/>
    <w:rsid w:val="262249C1"/>
    <w:rsid w:val="2F6569E1"/>
    <w:rsid w:val="42E834CF"/>
    <w:rsid w:val="46733E2B"/>
    <w:rsid w:val="63CB6848"/>
    <w:rsid w:val="66D74A79"/>
    <w:rsid w:val="742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560" w:lineRule="exact"/>
      <w:jc w:val="left"/>
      <w:outlineLvl w:val="0"/>
    </w:pPr>
    <w:rPr>
      <w:rFonts w:hint="eastAsia" w:ascii="宋体" w:hAnsi="宋体" w:eastAsia="方正小标宋简体" w:cs="宋体"/>
      <w:spacing w:val="11"/>
      <w:kern w:val="44"/>
      <w:sz w:val="40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4 Char"/>
    <w:link w:val="5"/>
    <w:qFormat/>
    <w:uiPriority w:val="0"/>
    <w:rPr>
      <w:rFonts w:ascii="Times New Roman" w:hAnsi="Times New Roman" w:eastAsia="仿宋_GB2312"/>
      <w:b/>
      <w:sz w:val="32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373</Characters>
  <Lines>0</Lines>
  <Paragraphs>0</Paragraphs>
  <TotalTime>0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2025-06-05T09:48:00Z</dcterms:created>
  <dc:creator>Administrator</dc:creator>
  <cp:lastModifiedBy>心灵之翼</cp:lastModifiedBy>
  <dcterms:modified xsi:type="dcterms:W3CDTF">2026-06-01T10:27:11Z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eyJoZGlkIjoiNzNmMDVhOGQ0N2M3ZTc2OTMzMTU2YzBhYzJkOGNkNjQiLCJ1c2VySWQiOiIxNzgzNjU4ODYyIn0=</vt:lpwstr>
  </property>
  <property fmtid="{D5CDD505-2E9C-101B-9397-08002B2CF9AE}" pid="4" name="ICV">
    <vt:lpwstr>700C6A023BEE403E8F75EBD0A9AE7A7C_12</vt:lpwstr>
  </property>
</Properties>
</file>