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AFA3B0">
      <w:pPr>
        <w:spacing w:line="480" w:lineRule="auto"/>
        <w:ind w:firstLine="883"/>
        <w:jc w:val="center"/>
        <w:rPr>
          <w:rFonts w:ascii="Times New Roman" w:hAnsi="Times New Roman" w:cs="Times New Roman"/>
          <w:b/>
          <w:color w:val="000000" w:themeColor="text1"/>
          <w:sz w:val="44"/>
          <w:szCs w:val="44"/>
          <w14:textFill>
            <w14:solidFill>
              <w14:schemeClr w14:val="tx1"/>
            </w14:solidFill>
          </w14:textFill>
        </w:rPr>
      </w:pPr>
    </w:p>
    <w:p w14:paraId="05EEC3A4">
      <w:pPr>
        <w:spacing w:line="480" w:lineRule="auto"/>
        <w:ind w:firstLine="883"/>
        <w:jc w:val="center"/>
        <w:rPr>
          <w:rFonts w:ascii="Times New Roman" w:hAnsi="Times New Roman" w:cs="Times New Roman"/>
          <w:b/>
          <w:color w:val="000000" w:themeColor="text1"/>
          <w:sz w:val="44"/>
          <w:szCs w:val="44"/>
          <w14:textFill>
            <w14:solidFill>
              <w14:schemeClr w14:val="tx1"/>
            </w14:solidFill>
          </w14:textFill>
        </w:rPr>
      </w:pPr>
    </w:p>
    <w:p w14:paraId="36BF2617">
      <w:pPr>
        <w:spacing w:line="480" w:lineRule="auto"/>
        <w:ind w:firstLine="883"/>
        <w:jc w:val="center"/>
        <w:rPr>
          <w:rFonts w:ascii="Times New Roman" w:hAnsi="Times New Roman" w:cs="Times New Roman"/>
          <w:b/>
          <w:color w:val="000000" w:themeColor="text1"/>
          <w:sz w:val="44"/>
          <w:szCs w:val="44"/>
          <w14:textFill>
            <w14:solidFill>
              <w14:schemeClr w14:val="tx1"/>
            </w14:solidFill>
          </w14:textFill>
        </w:rPr>
      </w:pPr>
    </w:p>
    <w:p w14:paraId="666D86CA">
      <w:pPr>
        <w:spacing w:line="720" w:lineRule="auto"/>
        <w:ind w:firstLine="0" w:firstLineChars="0"/>
        <w:jc w:val="center"/>
        <w:rPr>
          <w:rFonts w:hint="eastAsia" w:ascii="Times New Roman" w:hAnsi="Times New Roman" w:cs="Times New Roman"/>
          <w:b/>
          <w:color w:val="000000" w:themeColor="text1"/>
          <w:sz w:val="48"/>
          <w:szCs w:val="48"/>
          <w:lang w:eastAsia="zh-CN"/>
          <w14:textFill>
            <w14:solidFill>
              <w14:schemeClr w14:val="tx1"/>
            </w14:solidFill>
          </w14:textFill>
        </w:rPr>
      </w:pPr>
      <w:r>
        <w:rPr>
          <w:rFonts w:hint="eastAsia" w:ascii="Times New Roman" w:hAnsi="Times New Roman" w:cs="Times New Roman"/>
          <w:b/>
          <w:color w:val="000000" w:themeColor="text1"/>
          <w:sz w:val="48"/>
          <w:szCs w:val="48"/>
          <w:lang w:eastAsia="zh-CN"/>
          <w14:textFill>
            <w14:solidFill>
              <w14:schemeClr w14:val="tx1"/>
            </w14:solidFill>
          </w14:textFill>
        </w:rPr>
        <w:t>第四师63团种禽养殖基地建设项目</w:t>
      </w:r>
    </w:p>
    <w:p w14:paraId="42AB148B">
      <w:pPr>
        <w:pStyle w:val="11"/>
        <w:rPr>
          <w:rFonts w:hint="eastAsia"/>
          <w:lang w:eastAsia="zh-CN"/>
        </w:rPr>
      </w:pPr>
    </w:p>
    <w:p w14:paraId="2F1D4B23">
      <w:pPr>
        <w:ind w:firstLine="0" w:firstLineChars="0"/>
        <w:jc w:val="center"/>
        <w:rPr>
          <w:rFonts w:ascii="Times New Roman" w:hAnsi="Times New Roman" w:eastAsia="黑体" w:cs="Times New Roman"/>
          <w:color w:val="000000" w:themeColor="text1"/>
          <w:sz w:val="72"/>
          <w:szCs w:val="72"/>
          <w14:textFill>
            <w14:solidFill>
              <w14:schemeClr w14:val="tx1"/>
            </w14:solidFill>
          </w14:textFill>
        </w:rPr>
      </w:pPr>
      <w:r>
        <w:rPr>
          <w:rFonts w:ascii="Times New Roman" w:hAnsi="Times New Roman" w:eastAsia="黑体" w:cs="Times New Roman"/>
          <w:color w:val="000000" w:themeColor="text1"/>
          <w:sz w:val="72"/>
          <w:szCs w:val="72"/>
          <w14:textFill>
            <w14:solidFill>
              <w14:schemeClr w14:val="tx1"/>
            </w14:solidFill>
          </w14:textFill>
        </w:rPr>
        <w:t>环 境 影 响 报 告 书</w:t>
      </w:r>
    </w:p>
    <w:p w14:paraId="1832C00C">
      <w:pPr>
        <w:pStyle w:val="11"/>
        <w:ind w:firstLine="723"/>
        <w:jc w:val="center"/>
        <w:rPr>
          <w:rFonts w:ascii="Times New Roman" w:hAnsi="Times New Roman"/>
          <w:b/>
          <w:bCs/>
          <w:color w:val="000000" w:themeColor="text1"/>
          <w:sz w:val="36"/>
          <w:szCs w:val="36"/>
          <w14:textFill>
            <w14:solidFill>
              <w14:schemeClr w14:val="tx1"/>
            </w14:solidFill>
          </w14:textFill>
        </w:rPr>
      </w:pPr>
    </w:p>
    <w:p w14:paraId="4AD82787">
      <w:pPr>
        <w:ind w:firstLine="480"/>
        <w:rPr>
          <w:rFonts w:ascii="Times New Roman" w:hAnsi="Times New Roman" w:cs="Times New Roman"/>
          <w:color w:val="000000" w:themeColor="text1"/>
          <w14:textFill>
            <w14:solidFill>
              <w14:schemeClr w14:val="tx1"/>
            </w14:solidFill>
          </w14:textFill>
        </w:rPr>
      </w:pPr>
    </w:p>
    <w:p w14:paraId="44F87FB7">
      <w:pPr>
        <w:ind w:firstLine="480"/>
        <w:rPr>
          <w:rFonts w:ascii="Times New Roman" w:hAnsi="Times New Roman" w:cs="Times New Roman"/>
          <w:color w:val="000000" w:themeColor="text1"/>
          <w14:textFill>
            <w14:solidFill>
              <w14:schemeClr w14:val="tx1"/>
            </w14:solidFill>
          </w14:textFill>
        </w:rPr>
      </w:pPr>
    </w:p>
    <w:p w14:paraId="5A2C3C41">
      <w:pPr>
        <w:ind w:firstLine="480"/>
        <w:rPr>
          <w:rFonts w:ascii="Times New Roman" w:hAnsi="Times New Roman" w:cs="Times New Roman"/>
          <w:color w:val="000000" w:themeColor="text1"/>
          <w14:textFill>
            <w14:solidFill>
              <w14:schemeClr w14:val="tx1"/>
            </w14:solidFill>
          </w14:textFill>
        </w:rPr>
      </w:pPr>
    </w:p>
    <w:p w14:paraId="682F7414">
      <w:pPr>
        <w:ind w:firstLine="480"/>
        <w:rPr>
          <w:rFonts w:ascii="Times New Roman" w:hAnsi="Times New Roman" w:cs="Times New Roman"/>
          <w:color w:val="000000" w:themeColor="text1"/>
          <w14:textFill>
            <w14:solidFill>
              <w14:schemeClr w14:val="tx1"/>
            </w14:solidFill>
          </w14:textFill>
        </w:rPr>
      </w:pPr>
    </w:p>
    <w:p w14:paraId="7FAC4CF4">
      <w:pPr>
        <w:ind w:firstLine="480"/>
        <w:rPr>
          <w:rFonts w:ascii="Times New Roman" w:hAnsi="Times New Roman" w:cs="Times New Roman"/>
          <w:color w:val="000000" w:themeColor="text1"/>
          <w14:textFill>
            <w14:solidFill>
              <w14:schemeClr w14:val="tx1"/>
            </w14:solidFill>
          </w14:textFill>
        </w:rPr>
      </w:pPr>
    </w:p>
    <w:p w14:paraId="6FC0D0CD">
      <w:pPr>
        <w:ind w:firstLine="480"/>
        <w:rPr>
          <w:rFonts w:ascii="Times New Roman" w:hAnsi="Times New Roman" w:cs="Times New Roman"/>
          <w:color w:val="000000" w:themeColor="text1"/>
          <w14:textFill>
            <w14:solidFill>
              <w14:schemeClr w14:val="tx1"/>
            </w14:solidFill>
          </w14:textFill>
        </w:rPr>
      </w:pPr>
    </w:p>
    <w:p w14:paraId="0A33B652">
      <w:pPr>
        <w:ind w:firstLine="480"/>
        <w:rPr>
          <w:rFonts w:ascii="Times New Roman" w:hAnsi="Times New Roman" w:cs="Times New Roman"/>
          <w:color w:val="000000" w:themeColor="text1"/>
          <w14:textFill>
            <w14:solidFill>
              <w14:schemeClr w14:val="tx1"/>
            </w14:solidFill>
          </w14:textFill>
        </w:rPr>
      </w:pPr>
    </w:p>
    <w:p w14:paraId="3A8818C1">
      <w:pPr>
        <w:ind w:firstLine="480"/>
        <w:rPr>
          <w:rFonts w:ascii="Times New Roman" w:hAnsi="Times New Roman" w:cs="Times New Roman"/>
          <w:color w:val="000000" w:themeColor="text1"/>
          <w14:textFill>
            <w14:solidFill>
              <w14:schemeClr w14:val="tx1"/>
            </w14:solidFill>
          </w14:textFill>
        </w:rPr>
      </w:pPr>
    </w:p>
    <w:p w14:paraId="039E76B4">
      <w:pPr>
        <w:ind w:firstLine="0" w:firstLineChars="0"/>
        <w:rPr>
          <w:rFonts w:ascii="Times New Roman" w:hAnsi="Times New Roman" w:cs="Times New Roman"/>
          <w:color w:val="000000" w:themeColor="text1"/>
          <w14:textFill>
            <w14:solidFill>
              <w14:schemeClr w14:val="tx1"/>
            </w14:solidFill>
          </w14:textFill>
        </w:rPr>
      </w:pPr>
    </w:p>
    <w:p w14:paraId="0752D1C1">
      <w:pPr>
        <w:ind w:firstLine="1606" w:firstLineChars="500"/>
        <w:rPr>
          <w:rFonts w:hint="eastAsia" w:ascii="Times New Roman" w:hAnsi="Times New Roman" w:cs="Times New Roman" w:eastAsiaTheme="minorEastAsia"/>
          <w:b/>
          <w:color w:val="000000" w:themeColor="text1"/>
          <w:sz w:val="32"/>
          <w:szCs w:val="32"/>
          <w:lang w:eastAsia="zh-CN"/>
          <w14:textFill>
            <w14:solidFill>
              <w14:schemeClr w14:val="tx1"/>
            </w14:solidFill>
          </w14:textFill>
        </w:rPr>
      </w:pPr>
      <w:bookmarkStart w:id="0" w:name="_Toc22952"/>
      <w:r>
        <w:rPr>
          <w:rFonts w:ascii="Times New Roman" w:hAnsi="Times New Roman" w:cs="Times New Roman"/>
          <w:b/>
          <w:color w:val="000000" w:themeColor="text1"/>
          <w:sz w:val="32"/>
          <w:szCs w:val="32"/>
          <w14:textFill>
            <w14:solidFill>
              <w14:schemeClr w14:val="tx1"/>
            </w14:solidFill>
          </w14:textFill>
        </w:rPr>
        <w:t>建设单位：</w:t>
      </w:r>
      <w:bookmarkEnd w:id="0"/>
      <w:r>
        <w:rPr>
          <w:rFonts w:hint="eastAsia" w:cs="Times New Roman"/>
          <w:b/>
          <w:color w:val="000000" w:themeColor="text1"/>
          <w:sz w:val="32"/>
          <w:szCs w:val="32"/>
          <w:lang w:eastAsia="zh-CN"/>
          <w14:textFill>
            <w14:solidFill>
              <w14:schemeClr w14:val="tx1"/>
            </w14:solidFill>
          </w14:textFill>
        </w:rPr>
        <w:t>新疆鼎成农业科技有限公司</w:t>
      </w:r>
    </w:p>
    <w:p w14:paraId="5E180F92">
      <w:pPr>
        <w:ind w:firstLine="1606" w:firstLineChars="500"/>
        <w:rPr>
          <w:rFonts w:hint="eastAsia" w:ascii="Times New Roman" w:hAnsi="Times New Roman" w:cs="Times New Roman" w:eastAsiaTheme="minorEastAsia"/>
          <w:b/>
          <w:color w:val="000000" w:themeColor="text1"/>
          <w:sz w:val="32"/>
          <w:szCs w:val="32"/>
          <w:lang w:eastAsia="zh-CN"/>
          <w14:textFill>
            <w14:solidFill>
              <w14:schemeClr w14:val="tx1"/>
            </w14:solidFill>
          </w14:textFill>
        </w:rPr>
      </w:pPr>
      <w:bookmarkStart w:id="1" w:name="_Toc32655"/>
      <w:r>
        <w:rPr>
          <w:rFonts w:ascii="Times New Roman" w:hAnsi="Times New Roman" w:cs="Times New Roman"/>
          <w:b/>
          <w:color w:val="000000" w:themeColor="text1"/>
          <w:sz w:val="32"/>
          <w:szCs w:val="32"/>
          <w14:textFill>
            <w14:solidFill>
              <w14:schemeClr w14:val="tx1"/>
            </w14:solidFill>
          </w14:textFill>
        </w:rPr>
        <w:t>编制单位：</w:t>
      </w:r>
      <w:bookmarkEnd w:id="1"/>
      <w:r>
        <w:rPr>
          <w:rFonts w:hint="eastAsia" w:ascii="Times New Roman" w:hAnsi="Times New Roman" w:cs="Times New Roman"/>
          <w:b/>
          <w:color w:val="000000" w:themeColor="text1"/>
          <w:sz w:val="32"/>
          <w:szCs w:val="32"/>
          <w:lang w:eastAsia="zh-CN"/>
          <w14:textFill>
            <w14:solidFill>
              <w14:schemeClr w14:val="tx1"/>
            </w14:solidFill>
          </w14:textFill>
        </w:rPr>
        <w:t>新疆花城勘测设计研究有限责任公司</w:t>
      </w:r>
    </w:p>
    <w:p w14:paraId="0A70A14E">
      <w:pPr>
        <w:ind w:firstLine="1606" w:firstLineChars="500"/>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编制日期：</w:t>
      </w:r>
      <w:r>
        <w:rPr>
          <w:rFonts w:hint="eastAsia" w:ascii="Times New Roman" w:hAnsi="Times New Roman" w:cs="Times New Roman"/>
          <w:b/>
          <w:color w:val="000000" w:themeColor="text1"/>
          <w:sz w:val="32"/>
          <w:szCs w:val="32"/>
          <w14:textFill>
            <w14:solidFill>
              <w14:schemeClr w14:val="tx1"/>
            </w14:solidFill>
          </w14:textFill>
        </w:rPr>
        <w:t>二〇二</w:t>
      </w:r>
      <w:r>
        <w:rPr>
          <w:rFonts w:hint="eastAsia" w:cs="Times New Roman"/>
          <w:b/>
          <w:color w:val="000000" w:themeColor="text1"/>
          <w:sz w:val="32"/>
          <w:szCs w:val="32"/>
          <w:lang w:val="en-US" w:eastAsia="zh-CN"/>
          <w14:textFill>
            <w14:solidFill>
              <w14:schemeClr w14:val="tx1"/>
            </w14:solidFill>
          </w14:textFill>
        </w:rPr>
        <w:t>六</w:t>
      </w:r>
      <w:r>
        <w:rPr>
          <w:rFonts w:hint="eastAsia" w:ascii="Times New Roman" w:hAnsi="Times New Roman" w:cs="Times New Roman"/>
          <w:b/>
          <w:color w:val="000000" w:themeColor="text1"/>
          <w:sz w:val="32"/>
          <w:szCs w:val="32"/>
          <w14:textFill>
            <w14:solidFill>
              <w14:schemeClr w14:val="tx1"/>
            </w14:solidFill>
          </w14:textFill>
        </w:rPr>
        <w:t>年</w:t>
      </w:r>
      <w:r>
        <w:rPr>
          <w:rFonts w:hint="eastAsia" w:cs="Times New Roman"/>
          <w:b/>
          <w:color w:val="000000" w:themeColor="text1"/>
          <w:sz w:val="32"/>
          <w:szCs w:val="32"/>
          <w:lang w:val="en-US" w:eastAsia="zh-CN"/>
          <w14:textFill>
            <w14:solidFill>
              <w14:schemeClr w14:val="tx1"/>
            </w14:solidFill>
          </w14:textFill>
        </w:rPr>
        <w:t>四</w:t>
      </w:r>
      <w:r>
        <w:rPr>
          <w:rFonts w:hint="eastAsia" w:ascii="Times New Roman" w:hAnsi="Times New Roman" w:cs="Times New Roman"/>
          <w:b/>
          <w:color w:val="000000" w:themeColor="text1"/>
          <w:sz w:val="32"/>
          <w:szCs w:val="32"/>
          <w14:textFill>
            <w14:solidFill>
              <w14:schemeClr w14:val="tx1"/>
            </w14:solidFill>
          </w14:textFill>
        </w:rPr>
        <w:t>月</w:t>
      </w:r>
    </w:p>
    <w:p w14:paraId="3464807A">
      <w:pPr>
        <w:pStyle w:val="23"/>
        <w:spacing w:before="0" w:line="240" w:lineRule="auto"/>
        <w:ind w:firstLine="0" w:firstLineChars="0"/>
        <w:jc w:val="center"/>
        <w:rPr>
          <w:rFonts w:ascii="Times New Roman" w:hAnsi="Times New Roman" w:cs="Times New Roman"/>
          <w:color w:val="000000" w:themeColor="text1"/>
          <w:sz w:val="30"/>
          <w:szCs w:val="30"/>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docGrid w:type="lines" w:linePitch="326" w:charSpace="0"/>
        </w:sectPr>
      </w:pPr>
    </w:p>
    <w:p w14:paraId="5DA467D6">
      <w:pPr>
        <w:ind w:firstLine="600"/>
        <w:rPr>
          <w:rFonts w:ascii="Times New Roman" w:hAnsi="Times New Roman" w:cs="Times New Roman"/>
          <w:color w:val="000000" w:themeColor="text1"/>
          <w:sz w:val="30"/>
          <w:szCs w:val="30"/>
          <w14:textFill>
            <w14:solidFill>
              <w14:schemeClr w14:val="tx1"/>
            </w14:solidFill>
          </w14:textFill>
        </w:rPr>
      </w:pPr>
    </w:p>
    <w:p w14:paraId="70844932">
      <w:pPr>
        <w:pStyle w:val="11"/>
        <w:rPr>
          <w:rFonts w:ascii="Times New Roman" w:hAnsi="Times New Roman"/>
          <w:color w:val="000000" w:themeColor="text1"/>
          <w14:textFill>
            <w14:solidFill>
              <w14:schemeClr w14:val="tx1"/>
            </w14:solidFill>
          </w14:textFill>
        </w:rPr>
        <w:sectPr>
          <w:footerReference r:id="rId11" w:type="default"/>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docGrid w:type="lines" w:linePitch="326" w:charSpace="0"/>
        </w:sectPr>
      </w:pPr>
    </w:p>
    <w:p w14:paraId="7ECF97C3">
      <w:pPr>
        <w:pStyle w:val="23"/>
        <w:snapToGrid w:val="0"/>
        <w:spacing w:before="0"/>
        <w:ind w:firstLine="0" w:firstLineChars="0"/>
        <w:jc w:val="center"/>
        <w:rPr>
          <w:rFonts w:ascii="Times New Roman" w:hAnsi="Times New Roman" w:eastAsia="宋体" w:cs="Times New Roman"/>
          <w:b/>
          <w:bCs/>
          <w:caps/>
          <w:color w:val="000000" w:themeColor="text1"/>
          <w:kern w:val="2"/>
          <w:sz w:val="20"/>
          <w:szCs w:val="24"/>
          <w:lang w:val="en-US" w:eastAsia="zh-CN" w:bidi="ar-SA"/>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目录</w:t>
      </w: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color w:val="000000" w:themeColor="text1"/>
          <w:sz w:val="24"/>
          <w:szCs w:val="24"/>
          <w14:textFill>
            <w14:solidFill>
              <w14:schemeClr w14:val="tx1"/>
            </w14:solidFill>
          </w14:textFill>
        </w:rPr>
        <w:instrText xml:space="preserve"> TOC \o "1-2" \h \z \u </w:instrText>
      </w:r>
      <w:r>
        <w:rPr>
          <w:rFonts w:ascii="Times New Roman" w:hAnsi="Times New Roman" w:eastAsia="宋体" w:cs="Times New Roman"/>
          <w:color w:val="000000" w:themeColor="text1"/>
          <w:sz w:val="24"/>
          <w:szCs w:val="24"/>
          <w14:textFill>
            <w14:solidFill>
              <w14:schemeClr w14:val="tx1"/>
            </w14:solidFill>
          </w14:textFill>
        </w:rPr>
        <w:fldChar w:fldCharType="separate"/>
      </w:r>
    </w:p>
    <w:p w14:paraId="127230C7">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_Toc26212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1 </w:t>
      </w:r>
      <w:r>
        <w:rPr>
          <w:rFonts w:ascii="Times New Roman" w:hAnsi="Times New Roman" w:cs="Times New Roman"/>
          <w:sz w:val="24"/>
          <w:szCs w:val="24"/>
        </w:rPr>
        <w:t>概述</w:t>
      </w:r>
      <w:r>
        <w:rPr>
          <w:sz w:val="24"/>
          <w:szCs w:val="24"/>
        </w:rPr>
        <w:tab/>
      </w:r>
      <w:r>
        <w:rPr>
          <w:sz w:val="24"/>
          <w:szCs w:val="24"/>
        </w:rPr>
        <w:fldChar w:fldCharType="begin"/>
      </w:r>
      <w:r>
        <w:rPr>
          <w:sz w:val="24"/>
          <w:szCs w:val="24"/>
        </w:rPr>
        <w:instrText xml:space="preserve"> PAGEREF _Toc26212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6FC9AA2">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_Toc28442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1.1 </w:t>
      </w:r>
      <w:r>
        <w:rPr>
          <w:rFonts w:ascii="Times New Roman" w:hAnsi="Times New Roman" w:cs="Times New Roman"/>
          <w:sz w:val="24"/>
          <w:szCs w:val="24"/>
          <w:lang w:val="en-GB"/>
        </w:rPr>
        <w:t>项目背景</w:t>
      </w:r>
      <w:r>
        <w:rPr>
          <w:sz w:val="24"/>
          <w:szCs w:val="24"/>
        </w:rPr>
        <w:tab/>
      </w:r>
      <w:r>
        <w:rPr>
          <w:sz w:val="24"/>
          <w:szCs w:val="24"/>
        </w:rPr>
        <w:fldChar w:fldCharType="begin"/>
      </w:r>
      <w:r>
        <w:rPr>
          <w:sz w:val="24"/>
          <w:szCs w:val="24"/>
        </w:rPr>
        <w:instrText xml:space="preserve"> PAGEREF _Toc28442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7BF3B7BE">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_Toc1318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1.2 </w:t>
      </w:r>
      <w:r>
        <w:rPr>
          <w:rFonts w:ascii="Times New Roman" w:hAnsi="Times New Roman" w:cs="Times New Roman"/>
          <w:sz w:val="24"/>
          <w:szCs w:val="24"/>
          <w:lang w:val="en-GB"/>
        </w:rPr>
        <w:t>环境影响评价工作过程</w:t>
      </w:r>
      <w:r>
        <w:rPr>
          <w:sz w:val="24"/>
          <w:szCs w:val="24"/>
        </w:rPr>
        <w:tab/>
      </w:r>
      <w:r>
        <w:rPr>
          <w:sz w:val="24"/>
          <w:szCs w:val="24"/>
        </w:rPr>
        <w:fldChar w:fldCharType="begin"/>
      </w:r>
      <w:r>
        <w:rPr>
          <w:sz w:val="24"/>
          <w:szCs w:val="24"/>
        </w:rPr>
        <w:instrText xml:space="preserve"> PAGEREF _Toc1318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6C580884">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_Toc13223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1.3 </w:t>
      </w:r>
      <w:r>
        <w:rPr>
          <w:rFonts w:ascii="Times New Roman" w:hAnsi="Times New Roman" w:cs="Times New Roman"/>
          <w:sz w:val="24"/>
          <w:szCs w:val="24"/>
          <w:lang w:val="en-GB"/>
        </w:rPr>
        <w:t>分析判定相关情况</w:t>
      </w:r>
      <w:r>
        <w:rPr>
          <w:sz w:val="24"/>
          <w:szCs w:val="24"/>
        </w:rPr>
        <w:tab/>
      </w:r>
      <w:r>
        <w:rPr>
          <w:sz w:val="24"/>
          <w:szCs w:val="24"/>
        </w:rPr>
        <w:fldChar w:fldCharType="begin"/>
      </w:r>
      <w:r>
        <w:rPr>
          <w:sz w:val="24"/>
          <w:szCs w:val="24"/>
        </w:rPr>
        <w:instrText xml:space="preserve"> PAGEREF _Toc13223 \h </w:instrText>
      </w:r>
      <w:r>
        <w:rPr>
          <w:sz w:val="24"/>
          <w:szCs w:val="24"/>
        </w:rPr>
        <w:fldChar w:fldCharType="separate"/>
      </w:r>
      <w:r>
        <w:rPr>
          <w:sz w:val="24"/>
          <w:szCs w:val="24"/>
        </w:rPr>
        <w:t>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3C202831">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_Toc4775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1.4 </w:t>
      </w:r>
      <w:r>
        <w:rPr>
          <w:rFonts w:ascii="Times New Roman" w:hAnsi="Times New Roman" w:cs="Times New Roman"/>
          <w:sz w:val="24"/>
          <w:szCs w:val="24"/>
          <w:lang w:val="en-GB"/>
        </w:rPr>
        <w:t>建设项目特点</w:t>
      </w:r>
      <w:r>
        <w:rPr>
          <w:sz w:val="24"/>
          <w:szCs w:val="24"/>
        </w:rPr>
        <w:tab/>
      </w:r>
      <w:r>
        <w:rPr>
          <w:sz w:val="24"/>
          <w:szCs w:val="24"/>
        </w:rPr>
        <w:fldChar w:fldCharType="begin"/>
      </w:r>
      <w:r>
        <w:rPr>
          <w:sz w:val="24"/>
          <w:szCs w:val="24"/>
        </w:rPr>
        <w:instrText xml:space="preserve"> PAGEREF _Toc4775 \h </w:instrText>
      </w:r>
      <w:r>
        <w:rPr>
          <w:sz w:val="24"/>
          <w:szCs w:val="24"/>
        </w:rPr>
        <w:fldChar w:fldCharType="separate"/>
      </w:r>
      <w:r>
        <w:rPr>
          <w:sz w:val="24"/>
          <w:szCs w:val="24"/>
        </w:rPr>
        <w:t>20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6406A18C">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_Toc16591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1.5 </w:t>
      </w:r>
      <w:r>
        <w:rPr>
          <w:rFonts w:ascii="Times New Roman" w:hAnsi="Times New Roman" w:cs="Times New Roman"/>
          <w:sz w:val="24"/>
          <w:szCs w:val="24"/>
          <w:lang w:val="en-GB"/>
        </w:rPr>
        <w:t>关注的环境问题</w:t>
      </w:r>
      <w:r>
        <w:rPr>
          <w:rFonts w:hint="eastAsia" w:ascii="Times New Roman" w:hAnsi="Times New Roman" w:cs="Times New Roman"/>
          <w:sz w:val="24"/>
          <w:szCs w:val="24"/>
          <w:lang w:val="en-US" w:eastAsia="zh-CN"/>
        </w:rPr>
        <w:t>及本项目环境影响</w:t>
      </w:r>
      <w:r>
        <w:rPr>
          <w:sz w:val="24"/>
          <w:szCs w:val="24"/>
        </w:rPr>
        <w:tab/>
      </w:r>
      <w:r>
        <w:rPr>
          <w:sz w:val="24"/>
          <w:szCs w:val="24"/>
        </w:rPr>
        <w:fldChar w:fldCharType="begin"/>
      </w:r>
      <w:r>
        <w:rPr>
          <w:sz w:val="24"/>
          <w:szCs w:val="24"/>
        </w:rPr>
        <w:instrText xml:space="preserve"> PAGEREF _Toc16591 \h </w:instrText>
      </w:r>
      <w:r>
        <w:rPr>
          <w:sz w:val="24"/>
          <w:szCs w:val="24"/>
        </w:rPr>
        <w:fldChar w:fldCharType="separate"/>
      </w:r>
      <w:r>
        <w:rPr>
          <w:sz w:val="24"/>
          <w:szCs w:val="24"/>
        </w:rPr>
        <w:t>20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7FD8CDF7">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_Toc29905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1.6 </w:t>
      </w:r>
      <w:r>
        <w:rPr>
          <w:rFonts w:ascii="Times New Roman" w:hAnsi="Times New Roman" w:cs="Times New Roman"/>
          <w:sz w:val="24"/>
          <w:szCs w:val="24"/>
          <w:lang w:val="en-GB"/>
        </w:rPr>
        <w:t>环境影响评价主要结论</w:t>
      </w:r>
      <w:r>
        <w:rPr>
          <w:sz w:val="24"/>
          <w:szCs w:val="24"/>
        </w:rPr>
        <w:tab/>
      </w:r>
      <w:r>
        <w:rPr>
          <w:sz w:val="24"/>
          <w:szCs w:val="24"/>
        </w:rPr>
        <w:fldChar w:fldCharType="begin"/>
      </w:r>
      <w:r>
        <w:rPr>
          <w:sz w:val="24"/>
          <w:szCs w:val="24"/>
        </w:rPr>
        <w:instrText xml:space="preserve"> PAGEREF _Toc29905 \h </w:instrText>
      </w:r>
      <w:r>
        <w:rPr>
          <w:sz w:val="24"/>
          <w:szCs w:val="24"/>
        </w:rPr>
        <w:fldChar w:fldCharType="separate"/>
      </w:r>
      <w:r>
        <w:rPr>
          <w:sz w:val="24"/>
          <w:szCs w:val="24"/>
        </w:rPr>
        <w:t>22</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52FB14B6">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_Toc32139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2 </w:t>
      </w:r>
      <w:r>
        <w:rPr>
          <w:rFonts w:ascii="Times New Roman" w:hAnsi="Times New Roman" w:cs="Times New Roman"/>
          <w:sz w:val="24"/>
          <w:szCs w:val="24"/>
        </w:rPr>
        <w:t>总则</w:t>
      </w:r>
      <w:r>
        <w:rPr>
          <w:sz w:val="24"/>
          <w:szCs w:val="24"/>
        </w:rPr>
        <w:tab/>
      </w:r>
      <w:r>
        <w:rPr>
          <w:sz w:val="24"/>
          <w:szCs w:val="24"/>
        </w:rPr>
        <w:fldChar w:fldCharType="begin"/>
      </w:r>
      <w:r>
        <w:rPr>
          <w:sz w:val="24"/>
          <w:szCs w:val="24"/>
        </w:rPr>
        <w:instrText xml:space="preserve"> PAGEREF _Toc32139 \h </w:instrText>
      </w:r>
      <w:r>
        <w:rPr>
          <w:sz w:val="24"/>
          <w:szCs w:val="24"/>
        </w:rPr>
        <w:fldChar w:fldCharType="separate"/>
      </w:r>
      <w:r>
        <w:rPr>
          <w:sz w:val="24"/>
          <w:szCs w:val="24"/>
        </w:rPr>
        <w:t>23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9B63669">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_Toc5260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2.1 </w:t>
      </w:r>
      <w:r>
        <w:rPr>
          <w:rFonts w:ascii="Times New Roman" w:hAnsi="Times New Roman" w:cs="Times New Roman"/>
          <w:sz w:val="24"/>
          <w:szCs w:val="24"/>
          <w:lang w:val="en-GB"/>
        </w:rPr>
        <w:t>编制依据</w:t>
      </w:r>
      <w:r>
        <w:rPr>
          <w:sz w:val="24"/>
          <w:szCs w:val="24"/>
        </w:rPr>
        <w:tab/>
      </w:r>
      <w:r>
        <w:rPr>
          <w:sz w:val="24"/>
          <w:szCs w:val="24"/>
        </w:rPr>
        <w:fldChar w:fldCharType="begin"/>
      </w:r>
      <w:r>
        <w:rPr>
          <w:sz w:val="24"/>
          <w:szCs w:val="24"/>
        </w:rPr>
        <w:instrText xml:space="preserve"> PAGEREF _Toc5260 \h </w:instrText>
      </w:r>
      <w:r>
        <w:rPr>
          <w:sz w:val="24"/>
          <w:szCs w:val="24"/>
        </w:rPr>
        <w:fldChar w:fldCharType="separate"/>
      </w:r>
      <w:r>
        <w:rPr>
          <w:sz w:val="24"/>
          <w:szCs w:val="24"/>
        </w:rPr>
        <w:t>23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54A6014D">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_Toc7602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2.2 </w:t>
      </w:r>
      <w:r>
        <w:rPr>
          <w:rFonts w:ascii="Times New Roman" w:hAnsi="Times New Roman" w:cs="Times New Roman"/>
          <w:sz w:val="24"/>
          <w:szCs w:val="24"/>
          <w:lang w:val="en-GB"/>
        </w:rPr>
        <w:t>环境影响因素识别</w:t>
      </w:r>
      <w:r>
        <w:rPr>
          <w:sz w:val="24"/>
          <w:szCs w:val="24"/>
        </w:rPr>
        <w:tab/>
      </w:r>
      <w:r>
        <w:rPr>
          <w:sz w:val="24"/>
          <w:szCs w:val="24"/>
        </w:rPr>
        <w:fldChar w:fldCharType="begin"/>
      </w:r>
      <w:r>
        <w:rPr>
          <w:sz w:val="24"/>
          <w:szCs w:val="24"/>
        </w:rPr>
        <w:instrText xml:space="preserve"> PAGEREF _Toc7602 \h </w:instrText>
      </w:r>
      <w:r>
        <w:rPr>
          <w:sz w:val="24"/>
          <w:szCs w:val="24"/>
        </w:rPr>
        <w:fldChar w:fldCharType="separate"/>
      </w:r>
      <w:r>
        <w:rPr>
          <w:sz w:val="24"/>
          <w:szCs w:val="24"/>
        </w:rPr>
        <w:t>28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11F2EE03">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_Toc12977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2.3 </w:t>
      </w:r>
      <w:r>
        <w:rPr>
          <w:rFonts w:ascii="Times New Roman" w:hAnsi="Times New Roman" w:cs="Times New Roman"/>
          <w:sz w:val="24"/>
          <w:szCs w:val="24"/>
          <w:lang w:val="en-GB"/>
        </w:rPr>
        <w:t>环境功能区划</w:t>
      </w:r>
      <w:r>
        <w:rPr>
          <w:sz w:val="24"/>
          <w:szCs w:val="24"/>
        </w:rPr>
        <w:tab/>
      </w:r>
      <w:r>
        <w:rPr>
          <w:sz w:val="24"/>
          <w:szCs w:val="24"/>
        </w:rPr>
        <w:fldChar w:fldCharType="begin"/>
      </w:r>
      <w:r>
        <w:rPr>
          <w:sz w:val="24"/>
          <w:szCs w:val="24"/>
        </w:rPr>
        <w:instrText xml:space="preserve"> PAGEREF _Toc12977 \h </w:instrText>
      </w:r>
      <w:r>
        <w:rPr>
          <w:sz w:val="24"/>
          <w:szCs w:val="24"/>
        </w:rPr>
        <w:fldChar w:fldCharType="separate"/>
      </w:r>
      <w:r>
        <w:rPr>
          <w:sz w:val="24"/>
          <w:szCs w:val="24"/>
        </w:rPr>
        <w:t>30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B6DB01F">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_Toc20879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2.4 </w:t>
      </w:r>
      <w:r>
        <w:rPr>
          <w:rFonts w:ascii="Times New Roman" w:hAnsi="Times New Roman" w:cs="Times New Roman"/>
          <w:sz w:val="24"/>
          <w:szCs w:val="24"/>
          <w:lang w:val="en-GB"/>
        </w:rPr>
        <w:t>评价标准</w:t>
      </w:r>
      <w:r>
        <w:rPr>
          <w:sz w:val="24"/>
          <w:szCs w:val="24"/>
        </w:rPr>
        <w:tab/>
      </w:r>
      <w:r>
        <w:rPr>
          <w:sz w:val="24"/>
          <w:szCs w:val="24"/>
        </w:rPr>
        <w:fldChar w:fldCharType="begin"/>
      </w:r>
      <w:r>
        <w:rPr>
          <w:sz w:val="24"/>
          <w:szCs w:val="24"/>
        </w:rPr>
        <w:instrText xml:space="preserve"> PAGEREF _Toc20879 \h </w:instrText>
      </w:r>
      <w:r>
        <w:rPr>
          <w:sz w:val="24"/>
          <w:szCs w:val="24"/>
        </w:rPr>
        <w:fldChar w:fldCharType="separate"/>
      </w:r>
      <w:r>
        <w:rPr>
          <w:sz w:val="24"/>
          <w:szCs w:val="24"/>
        </w:rPr>
        <w:t>30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67C5494B">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_Toc19927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2.5 </w:t>
      </w:r>
      <w:r>
        <w:rPr>
          <w:rFonts w:ascii="Times New Roman" w:hAnsi="Times New Roman" w:cs="Times New Roman"/>
          <w:sz w:val="24"/>
          <w:szCs w:val="24"/>
          <w:lang w:val="en-GB"/>
        </w:rPr>
        <w:t>评价工作等级和评价范围</w:t>
      </w:r>
      <w:r>
        <w:rPr>
          <w:sz w:val="24"/>
          <w:szCs w:val="24"/>
        </w:rPr>
        <w:tab/>
      </w:r>
      <w:r>
        <w:rPr>
          <w:sz w:val="24"/>
          <w:szCs w:val="24"/>
        </w:rPr>
        <w:fldChar w:fldCharType="begin"/>
      </w:r>
      <w:r>
        <w:rPr>
          <w:sz w:val="24"/>
          <w:szCs w:val="24"/>
        </w:rPr>
        <w:instrText xml:space="preserve"> PAGEREF _Toc19927 \h </w:instrText>
      </w:r>
      <w:r>
        <w:rPr>
          <w:sz w:val="24"/>
          <w:szCs w:val="24"/>
        </w:rPr>
        <w:fldChar w:fldCharType="separate"/>
      </w:r>
      <w:r>
        <w:rPr>
          <w:sz w:val="24"/>
          <w:szCs w:val="24"/>
        </w:rPr>
        <w:t>34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A5B448B">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_Toc14087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2.6 </w:t>
      </w:r>
      <w:r>
        <w:rPr>
          <w:rFonts w:ascii="Times New Roman" w:hAnsi="Times New Roman" w:cs="Times New Roman"/>
          <w:sz w:val="24"/>
          <w:szCs w:val="24"/>
          <w:lang w:val="en-GB"/>
        </w:rPr>
        <w:t>主要环境保护目标</w:t>
      </w:r>
      <w:r>
        <w:rPr>
          <w:sz w:val="24"/>
          <w:szCs w:val="24"/>
        </w:rPr>
        <w:tab/>
      </w:r>
      <w:r>
        <w:rPr>
          <w:sz w:val="24"/>
          <w:szCs w:val="24"/>
        </w:rPr>
        <w:fldChar w:fldCharType="begin"/>
      </w:r>
      <w:r>
        <w:rPr>
          <w:sz w:val="24"/>
          <w:szCs w:val="24"/>
        </w:rPr>
        <w:instrText xml:space="preserve"> PAGEREF _Toc14087 \h </w:instrText>
      </w:r>
      <w:r>
        <w:rPr>
          <w:sz w:val="24"/>
          <w:szCs w:val="24"/>
        </w:rPr>
        <w:fldChar w:fldCharType="separate"/>
      </w:r>
      <w:r>
        <w:rPr>
          <w:sz w:val="24"/>
          <w:szCs w:val="24"/>
        </w:rPr>
        <w:t>40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4AB5CC82">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_Toc26444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3 </w:t>
      </w:r>
      <w:r>
        <w:rPr>
          <w:rFonts w:ascii="Times New Roman" w:hAnsi="Times New Roman" w:cs="Times New Roman"/>
          <w:sz w:val="24"/>
          <w:szCs w:val="24"/>
        </w:rPr>
        <w:t>建设项目工程分析</w:t>
      </w:r>
      <w:r>
        <w:rPr>
          <w:sz w:val="24"/>
          <w:szCs w:val="24"/>
        </w:rPr>
        <w:tab/>
      </w:r>
      <w:r>
        <w:rPr>
          <w:sz w:val="24"/>
          <w:szCs w:val="24"/>
        </w:rPr>
        <w:fldChar w:fldCharType="begin"/>
      </w:r>
      <w:r>
        <w:rPr>
          <w:sz w:val="24"/>
          <w:szCs w:val="24"/>
        </w:rPr>
        <w:instrText xml:space="preserve"> PAGEREF _Toc26444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68056E0A">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_Toc16686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3.1 </w:t>
      </w:r>
      <w:r>
        <w:rPr>
          <w:rFonts w:ascii="Times New Roman" w:hAnsi="Times New Roman" w:cs="Times New Roman"/>
          <w:sz w:val="24"/>
          <w:szCs w:val="24"/>
          <w:lang w:val="en-GB"/>
        </w:rPr>
        <w:t>建设项目概况</w:t>
      </w:r>
      <w:r>
        <w:rPr>
          <w:sz w:val="24"/>
          <w:szCs w:val="24"/>
        </w:rPr>
        <w:tab/>
      </w:r>
      <w:r>
        <w:rPr>
          <w:sz w:val="24"/>
          <w:szCs w:val="24"/>
        </w:rPr>
        <w:fldChar w:fldCharType="begin"/>
      </w:r>
      <w:r>
        <w:rPr>
          <w:sz w:val="24"/>
          <w:szCs w:val="24"/>
        </w:rPr>
        <w:instrText xml:space="preserve"> PAGEREF _Toc16686 \h </w:instrText>
      </w:r>
      <w:r>
        <w:rPr>
          <w:sz w:val="24"/>
          <w:szCs w:val="24"/>
        </w:rPr>
        <w:fldChar w:fldCharType="separate"/>
      </w:r>
      <w:r>
        <w:rPr>
          <w:sz w:val="24"/>
          <w:szCs w:val="24"/>
        </w:rPr>
        <w:t>42</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946843C">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_Toc10476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3.2 </w:t>
      </w:r>
      <w:r>
        <w:rPr>
          <w:rFonts w:hint="eastAsia" w:ascii="Times New Roman" w:hAnsi="Times New Roman" w:cs="Times New Roman"/>
          <w:sz w:val="24"/>
          <w:szCs w:val="24"/>
          <w:lang w:val="en-US" w:eastAsia="zh-CN"/>
        </w:rPr>
        <w:t>本项目公用工程</w:t>
      </w:r>
      <w:r>
        <w:rPr>
          <w:sz w:val="24"/>
          <w:szCs w:val="24"/>
        </w:rPr>
        <w:tab/>
      </w:r>
      <w:r>
        <w:rPr>
          <w:sz w:val="24"/>
          <w:szCs w:val="24"/>
        </w:rPr>
        <w:fldChar w:fldCharType="begin"/>
      </w:r>
      <w:r>
        <w:rPr>
          <w:sz w:val="24"/>
          <w:szCs w:val="24"/>
        </w:rPr>
        <w:instrText xml:space="preserve"> PAGEREF _Toc10476 \h </w:instrText>
      </w:r>
      <w:r>
        <w:rPr>
          <w:sz w:val="24"/>
          <w:szCs w:val="24"/>
        </w:rPr>
        <w:fldChar w:fldCharType="separate"/>
      </w:r>
      <w:r>
        <w:rPr>
          <w:sz w:val="24"/>
          <w:szCs w:val="24"/>
        </w:rPr>
        <w:t>50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4A85EB42">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_Toc12596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3.3 </w:t>
      </w:r>
      <w:r>
        <w:rPr>
          <w:rFonts w:ascii="Times New Roman" w:hAnsi="Times New Roman" w:cs="Times New Roman"/>
          <w:sz w:val="24"/>
          <w:szCs w:val="24"/>
          <w:highlight w:val="none"/>
        </w:rPr>
        <w:t>工艺流程与产污环节分析</w:t>
      </w:r>
      <w:r>
        <w:rPr>
          <w:sz w:val="24"/>
          <w:szCs w:val="24"/>
        </w:rPr>
        <w:tab/>
      </w:r>
      <w:r>
        <w:rPr>
          <w:sz w:val="24"/>
          <w:szCs w:val="24"/>
        </w:rPr>
        <w:fldChar w:fldCharType="begin"/>
      </w:r>
      <w:r>
        <w:rPr>
          <w:sz w:val="24"/>
          <w:szCs w:val="24"/>
        </w:rPr>
        <w:instrText xml:space="preserve"> PAGEREF _Toc12596 \h </w:instrText>
      </w:r>
      <w:r>
        <w:rPr>
          <w:sz w:val="24"/>
          <w:szCs w:val="24"/>
        </w:rPr>
        <w:fldChar w:fldCharType="separate"/>
      </w:r>
      <w:r>
        <w:rPr>
          <w:sz w:val="24"/>
          <w:szCs w:val="24"/>
        </w:rPr>
        <w:t>54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773D871">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_Toc15043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3.4 </w:t>
      </w:r>
      <w:r>
        <w:rPr>
          <w:rFonts w:ascii="Times New Roman" w:hAnsi="Times New Roman" w:cs="Times New Roman"/>
          <w:sz w:val="24"/>
          <w:szCs w:val="24"/>
          <w:lang w:val="en-GB"/>
        </w:rPr>
        <w:t>清洁生产分析</w:t>
      </w:r>
      <w:r>
        <w:rPr>
          <w:sz w:val="24"/>
          <w:szCs w:val="24"/>
        </w:rPr>
        <w:tab/>
      </w:r>
      <w:r>
        <w:rPr>
          <w:sz w:val="24"/>
          <w:szCs w:val="24"/>
        </w:rPr>
        <w:fldChar w:fldCharType="begin"/>
      </w:r>
      <w:r>
        <w:rPr>
          <w:sz w:val="24"/>
          <w:szCs w:val="24"/>
        </w:rPr>
        <w:instrText xml:space="preserve"> PAGEREF _Toc15043 \h </w:instrText>
      </w:r>
      <w:r>
        <w:rPr>
          <w:sz w:val="24"/>
          <w:szCs w:val="24"/>
        </w:rPr>
        <w:fldChar w:fldCharType="separate"/>
      </w:r>
      <w:r>
        <w:rPr>
          <w:sz w:val="24"/>
          <w:szCs w:val="24"/>
        </w:rPr>
        <w:t>74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7FB12D28">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_Toc21524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3.5 </w:t>
      </w:r>
      <w:r>
        <w:rPr>
          <w:rFonts w:ascii="Times New Roman" w:hAnsi="Times New Roman" w:cs="Times New Roman"/>
          <w:sz w:val="24"/>
          <w:szCs w:val="24"/>
          <w:lang w:val="en-GB"/>
        </w:rPr>
        <w:t>总量控制</w:t>
      </w:r>
      <w:r>
        <w:rPr>
          <w:sz w:val="24"/>
          <w:szCs w:val="24"/>
        </w:rPr>
        <w:tab/>
      </w:r>
      <w:r>
        <w:rPr>
          <w:sz w:val="24"/>
          <w:szCs w:val="24"/>
        </w:rPr>
        <w:fldChar w:fldCharType="begin"/>
      </w:r>
      <w:r>
        <w:rPr>
          <w:sz w:val="24"/>
          <w:szCs w:val="24"/>
        </w:rPr>
        <w:instrText xml:space="preserve"> PAGEREF _Toc21524 \h </w:instrText>
      </w:r>
      <w:r>
        <w:rPr>
          <w:sz w:val="24"/>
          <w:szCs w:val="24"/>
        </w:rPr>
        <w:fldChar w:fldCharType="separate"/>
      </w:r>
      <w:r>
        <w:rPr>
          <w:sz w:val="24"/>
          <w:szCs w:val="24"/>
        </w:rPr>
        <w:t>77</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1A714152">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_Toc20114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4 </w:t>
      </w:r>
      <w:r>
        <w:rPr>
          <w:rFonts w:ascii="Times New Roman" w:hAnsi="Times New Roman" w:cs="Times New Roman"/>
          <w:sz w:val="24"/>
          <w:szCs w:val="24"/>
        </w:rPr>
        <w:t>环境现状调查与评价</w:t>
      </w:r>
      <w:r>
        <w:rPr>
          <w:sz w:val="24"/>
          <w:szCs w:val="24"/>
        </w:rPr>
        <w:tab/>
      </w:r>
      <w:r>
        <w:rPr>
          <w:sz w:val="24"/>
          <w:szCs w:val="24"/>
        </w:rPr>
        <w:fldChar w:fldCharType="begin"/>
      </w:r>
      <w:r>
        <w:rPr>
          <w:sz w:val="24"/>
          <w:szCs w:val="24"/>
        </w:rPr>
        <w:instrText xml:space="preserve"> PAGEREF _Toc20114 \h </w:instrText>
      </w:r>
      <w:r>
        <w:rPr>
          <w:sz w:val="24"/>
          <w:szCs w:val="24"/>
        </w:rPr>
        <w:fldChar w:fldCharType="separate"/>
      </w:r>
      <w:r>
        <w:rPr>
          <w:sz w:val="24"/>
          <w:szCs w:val="24"/>
        </w:rPr>
        <w:t>78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159060B6">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_Toc4722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4.1 </w:t>
      </w:r>
      <w:r>
        <w:rPr>
          <w:rFonts w:ascii="Times New Roman" w:hAnsi="Times New Roman" w:cs="Times New Roman"/>
          <w:sz w:val="24"/>
          <w:szCs w:val="24"/>
          <w:lang w:val="en-GB"/>
        </w:rPr>
        <w:t>自然环境现状调查与评价</w:t>
      </w:r>
      <w:r>
        <w:rPr>
          <w:sz w:val="24"/>
          <w:szCs w:val="24"/>
        </w:rPr>
        <w:tab/>
      </w:r>
      <w:r>
        <w:rPr>
          <w:sz w:val="24"/>
          <w:szCs w:val="24"/>
        </w:rPr>
        <w:fldChar w:fldCharType="begin"/>
      </w:r>
      <w:r>
        <w:rPr>
          <w:sz w:val="24"/>
          <w:szCs w:val="24"/>
        </w:rPr>
        <w:instrText xml:space="preserve"> PAGEREF _Toc4722 \h </w:instrText>
      </w:r>
      <w:r>
        <w:rPr>
          <w:sz w:val="24"/>
          <w:szCs w:val="24"/>
        </w:rPr>
        <w:fldChar w:fldCharType="separate"/>
      </w:r>
      <w:r>
        <w:rPr>
          <w:sz w:val="24"/>
          <w:szCs w:val="24"/>
        </w:rPr>
        <w:t>78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DF24C12">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_Toc22709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4.2 </w:t>
      </w:r>
      <w:r>
        <w:rPr>
          <w:rFonts w:ascii="Times New Roman" w:hAnsi="Times New Roman" w:cs="Times New Roman"/>
          <w:sz w:val="24"/>
          <w:szCs w:val="24"/>
          <w:lang w:val="en-GB"/>
        </w:rPr>
        <w:t>环境质量现状调查与评价</w:t>
      </w:r>
      <w:r>
        <w:rPr>
          <w:sz w:val="24"/>
          <w:szCs w:val="24"/>
        </w:rPr>
        <w:tab/>
      </w:r>
      <w:r>
        <w:rPr>
          <w:sz w:val="24"/>
          <w:szCs w:val="24"/>
        </w:rPr>
        <w:fldChar w:fldCharType="begin"/>
      </w:r>
      <w:r>
        <w:rPr>
          <w:sz w:val="24"/>
          <w:szCs w:val="24"/>
        </w:rPr>
        <w:instrText xml:space="preserve"> PAGEREF _Toc22709 \h </w:instrText>
      </w:r>
      <w:r>
        <w:rPr>
          <w:sz w:val="24"/>
          <w:szCs w:val="24"/>
        </w:rPr>
        <w:fldChar w:fldCharType="separate"/>
      </w:r>
      <w:r>
        <w:rPr>
          <w:sz w:val="24"/>
          <w:szCs w:val="24"/>
        </w:rPr>
        <w:t>85</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7862DD90">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_Toc3193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5 </w:t>
      </w:r>
      <w:r>
        <w:rPr>
          <w:rFonts w:ascii="Times New Roman" w:hAnsi="Times New Roman" w:cs="Times New Roman"/>
          <w:sz w:val="24"/>
          <w:szCs w:val="24"/>
        </w:rPr>
        <w:t>环境影响预测与评价</w:t>
      </w:r>
      <w:r>
        <w:rPr>
          <w:sz w:val="24"/>
          <w:szCs w:val="24"/>
        </w:rPr>
        <w:tab/>
      </w:r>
      <w:r>
        <w:rPr>
          <w:sz w:val="24"/>
          <w:szCs w:val="24"/>
        </w:rPr>
        <w:fldChar w:fldCharType="begin"/>
      </w:r>
      <w:r>
        <w:rPr>
          <w:sz w:val="24"/>
          <w:szCs w:val="24"/>
        </w:rPr>
        <w:instrText xml:space="preserve"> PAGEREF _Toc3193 \h </w:instrText>
      </w:r>
      <w:r>
        <w:rPr>
          <w:sz w:val="24"/>
          <w:szCs w:val="24"/>
        </w:rPr>
        <w:fldChar w:fldCharType="separate"/>
      </w:r>
      <w:r>
        <w:rPr>
          <w:sz w:val="24"/>
          <w:szCs w:val="24"/>
        </w:rPr>
        <w:t>100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5E7EF7B6">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_Toc26872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5.1 </w:t>
      </w:r>
      <w:r>
        <w:rPr>
          <w:rFonts w:ascii="Times New Roman" w:hAnsi="Times New Roman" w:cs="Times New Roman"/>
          <w:sz w:val="24"/>
          <w:szCs w:val="24"/>
          <w:lang w:val="en-GB"/>
        </w:rPr>
        <w:t>施工期环境影响分析</w:t>
      </w:r>
      <w:r>
        <w:rPr>
          <w:sz w:val="24"/>
          <w:szCs w:val="24"/>
        </w:rPr>
        <w:tab/>
      </w:r>
      <w:r>
        <w:rPr>
          <w:sz w:val="24"/>
          <w:szCs w:val="24"/>
        </w:rPr>
        <w:fldChar w:fldCharType="begin"/>
      </w:r>
      <w:r>
        <w:rPr>
          <w:sz w:val="24"/>
          <w:szCs w:val="24"/>
        </w:rPr>
        <w:instrText xml:space="preserve"> PAGEREF _Toc26872 \h </w:instrText>
      </w:r>
      <w:r>
        <w:rPr>
          <w:sz w:val="24"/>
          <w:szCs w:val="24"/>
        </w:rPr>
        <w:fldChar w:fldCharType="separate"/>
      </w:r>
      <w:r>
        <w:rPr>
          <w:sz w:val="24"/>
          <w:szCs w:val="24"/>
        </w:rPr>
        <w:t>100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551739A2">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_Toc2504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5.2 </w:t>
      </w:r>
      <w:r>
        <w:rPr>
          <w:rFonts w:ascii="Times New Roman" w:hAnsi="Times New Roman" w:cs="Times New Roman"/>
          <w:sz w:val="24"/>
          <w:szCs w:val="24"/>
          <w:lang w:val="en-GB"/>
        </w:rPr>
        <w:t>运营期环境影响分析</w:t>
      </w:r>
      <w:r>
        <w:rPr>
          <w:sz w:val="24"/>
          <w:szCs w:val="24"/>
        </w:rPr>
        <w:tab/>
      </w:r>
      <w:r>
        <w:rPr>
          <w:sz w:val="24"/>
          <w:szCs w:val="24"/>
        </w:rPr>
        <w:fldChar w:fldCharType="begin"/>
      </w:r>
      <w:r>
        <w:rPr>
          <w:sz w:val="24"/>
          <w:szCs w:val="24"/>
        </w:rPr>
        <w:instrText xml:space="preserve"> PAGEREF _Toc2504 \h </w:instrText>
      </w:r>
      <w:r>
        <w:rPr>
          <w:sz w:val="24"/>
          <w:szCs w:val="24"/>
        </w:rPr>
        <w:fldChar w:fldCharType="separate"/>
      </w:r>
      <w:r>
        <w:rPr>
          <w:sz w:val="24"/>
          <w:szCs w:val="24"/>
        </w:rPr>
        <w:t>107</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10A168AA">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_Toc27488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5.3 </w:t>
      </w:r>
      <w:r>
        <w:rPr>
          <w:rFonts w:ascii="Times New Roman" w:hAnsi="Times New Roman" w:cs="Times New Roman"/>
          <w:sz w:val="24"/>
          <w:szCs w:val="24"/>
        </w:rPr>
        <w:t>温室气体排放影响分析</w:t>
      </w:r>
      <w:r>
        <w:rPr>
          <w:sz w:val="24"/>
          <w:szCs w:val="24"/>
        </w:rPr>
        <w:tab/>
      </w:r>
      <w:r>
        <w:rPr>
          <w:sz w:val="24"/>
          <w:szCs w:val="24"/>
        </w:rPr>
        <w:fldChar w:fldCharType="begin"/>
      </w:r>
      <w:r>
        <w:rPr>
          <w:sz w:val="24"/>
          <w:szCs w:val="24"/>
        </w:rPr>
        <w:instrText xml:space="preserve"> PAGEREF _Toc27488 \h </w:instrText>
      </w:r>
      <w:r>
        <w:rPr>
          <w:sz w:val="24"/>
          <w:szCs w:val="24"/>
        </w:rPr>
        <w:fldChar w:fldCharType="separate"/>
      </w:r>
      <w:r>
        <w:rPr>
          <w:sz w:val="24"/>
          <w:szCs w:val="24"/>
        </w:rPr>
        <w:t>138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901D92A">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_Toc1454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6 </w:t>
      </w:r>
      <w:r>
        <w:rPr>
          <w:rFonts w:ascii="Times New Roman" w:hAnsi="Times New Roman" w:cs="Times New Roman"/>
          <w:sz w:val="24"/>
          <w:szCs w:val="24"/>
        </w:rPr>
        <w:t>环境保护措施及其可行性分析论证</w:t>
      </w:r>
      <w:r>
        <w:rPr>
          <w:sz w:val="24"/>
          <w:szCs w:val="24"/>
        </w:rPr>
        <w:tab/>
      </w:r>
      <w:r>
        <w:rPr>
          <w:sz w:val="24"/>
          <w:szCs w:val="24"/>
        </w:rPr>
        <w:fldChar w:fldCharType="begin"/>
      </w:r>
      <w:r>
        <w:rPr>
          <w:sz w:val="24"/>
          <w:szCs w:val="24"/>
        </w:rPr>
        <w:instrText xml:space="preserve"> PAGEREF _Toc1454 \h </w:instrText>
      </w:r>
      <w:r>
        <w:rPr>
          <w:sz w:val="24"/>
          <w:szCs w:val="24"/>
        </w:rPr>
        <w:fldChar w:fldCharType="separate"/>
      </w:r>
      <w:r>
        <w:rPr>
          <w:sz w:val="24"/>
          <w:szCs w:val="24"/>
        </w:rPr>
        <w:t>145</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55B9ED4">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_Toc6134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6.1 </w:t>
      </w:r>
      <w:r>
        <w:rPr>
          <w:rFonts w:ascii="Times New Roman" w:hAnsi="Times New Roman" w:cs="Times New Roman"/>
          <w:sz w:val="24"/>
          <w:szCs w:val="24"/>
          <w:lang w:val="en-GB"/>
        </w:rPr>
        <w:t>施工期污染防治措施及可行性分析</w:t>
      </w:r>
      <w:r>
        <w:rPr>
          <w:sz w:val="24"/>
          <w:szCs w:val="24"/>
        </w:rPr>
        <w:tab/>
      </w:r>
      <w:r>
        <w:rPr>
          <w:sz w:val="24"/>
          <w:szCs w:val="24"/>
        </w:rPr>
        <w:fldChar w:fldCharType="begin"/>
      </w:r>
      <w:r>
        <w:rPr>
          <w:sz w:val="24"/>
          <w:szCs w:val="24"/>
        </w:rPr>
        <w:instrText xml:space="preserve"> PAGEREF _Toc6134 \h </w:instrText>
      </w:r>
      <w:r>
        <w:rPr>
          <w:sz w:val="24"/>
          <w:szCs w:val="24"/>
        </w:rPr>
        <w:fldChar w:fldCharType="separate"/>
      </w:r>
      <w:r>
        <w:rPr>
          <w:sz w:val="24"/>
          <w:szCs w:val="24"/>
        </w:rPr>
        <w:t>145</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3CCF888">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_Toc8762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6.2 </w:t>
      </w:r>
      <w:r>
        <w:rPr>
          <w:rFonts w:ascii="Times New Roman" w:hAnsi="Times New Roman" w:cs="Times New Roman"/>
          <w:sz w:val="24"/>
          <w:szCs w:val="24"/>
          <w:lang w:val="en-GB"/>
        </w:rPr>
        <w:t>运营期污染防治措施及可行性分析</w:t>
      </w:r>
      <w:r>
        <w:rPr>
          <w:sz w:val="24"/>
          <w:szCs w:val="24"/>
        </w:rPr>
        <w:tab/>
      </w:r>
      <w:r>
        <w:rPr>
          <w:sz w:val="24"/>
          <w:szCs w:val="24"/>
        </w:rPr>
        <w:fldChar w:fldCharType="begin"/>
      </w:r>
      <w:r>
        <w:rPr>
          <w:sz w:val="24"/>
          <w:szCs w:val="24"/>
        </w:rPr>
        <w:instrText xml:space="preserve"> PAGEREF _Toc8762 \h </w:instrText>
      </w:r>
      <w:r>
        <w:rPr>
          <w:sz w:val="24"/>
          <w:szCs w:val="24"/>
        </w:rPr>
        <w:fldChar w:fldCharType="separate"/>
      </w:r>
      <w:r>
        <w:rPr>
          <w:sz w:val="24"/>
          <w:szCs w:val="24"/>
        </w:rPr>
        <w:t>149</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16A3F9CA">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_Toc21001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7 </w:t>
      </w:r>
      <w:r>
        <w:rPr>
          <w:rFonts w:ascii="Times New Roman" w:hAnsi="Times New Roman" w:cs="Times New Roman"/>
          <w:sz w:val="24"/>
          <w:szCs w:val="24"/>
        </w:rPr>
        <w:t>环境影响经济损益分析</w:t>
      </w:r>
      <w:r>
        <w:rPr>
          <w:sz w:val="24"/>
          <w:szCs w:val="24"/>
        </w:rPr>
        <w:tab/>
      </w:r>
      <w:r>
        <w:rPr>
          <w:sz w:val="24"/>
          <w:szCs w:val="24"/>
        </w:rPr>
        <w:fldChar w:fldCharType="begin"/>
      </w:r>
      <w:r>
        <w:rPr>
          <w:sz w:val="24"/>
          <w:szCs w:val="24"/>
        </w:rPr>
        <w:instrText xml:space="preserve"> PAGEREF _Toc21001 \h </w:instrText>
      </w:r>
      <w:r>
        <w:rPr>
          <w:sz w:val="24"/>
          <w:szCs w:val="24"/>
        </w:rPr>
        <w:fldChar w:fldCharType="separate"/>
      </w:r>
      <w:r>
        <w:rPr>
          <w:sz w:val="24"/>
          <w:szCs w:val="24"/>
        </w:rPr>
        <w:t>163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60E702E9">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_Toc24821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7.1 </w:t>
      </w:r>
      <w:r>
        <w:rPr>
          <w:rFonts w:ascii="Times New Roman" w:hAnsi="Times New Roman" w:cs="Times New Roman"/>
          <w:sz w:val="24"/>
          <w:szCs w:val="24"/>
          <w:lang w:val="en-GB"/>
        </w:rPr>
        <w:t>经济效益分析</w:t>
      </w:r>
      <w:r>
        <w:rPr>
          <w:sz w:val="24"/>
          <w:szCs w:val="24"/>
        </w:rPr>
        <w:tab/>
      </w:r>
      <w:r>
        <w:rPr>
          <w:sz w:val="24"/>
          <w:szCs w:val="24"/>
        </w:rPr>
        <w:fldChar w:fldCharType="begin"/>
      </w:r>
      <w:r>
        <w:rPr>
          <w:sz w:val="24"/>
          <w:szCs w:val="24"/>
        </w:rPr>
        <w:instrText xml:space="preserve"> PAGEREF _Toc24821 \h </w:instrText>
      </w:r>
      <w:r>
        <w:rPr>
          <w:sz w:val="24"/>
          <w:szCs w:val="24"/>
        </w:rPr>
        <w:fldChar w:fldCharType="separate"/>
      </w:r>
      <w:r>
        <w:rPr>
          <w:sz w:val="24"/>
          <w:szCs w:val="24"/>
        </w:rPr>
        <w:t>163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7189A383">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_Toc31380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7.2 </w:t>
      </w:r>
      <w:r>
        <w:rPr>
          <w:rFonts w:ascii="Times New Roman" w:hAnsi="Times New Roman" w:cs="Times New Roman"/>
          <w:sz w:val="24"/>
          <w:szCs w:val="24"/>
          <w:lang w:val="en-GB"/>
        </w:rPr>
        <w:t>社会效益分析</w:t>
      </w:r>
      <w:r>
        <w:rPr>
          <w:sz w:val="24"/>
          <w:szCs w:val="24"/>
        </w:rPr>
        <w:tab/>
      </w:r>
      <w:r>
        <w:rPr>
          <w:sz w:val="24"/>
          <w:szCs w:val="24"/>
        </w:rPr>
        <w:fldChar w:fldCharType="begin"/>
      </w:r>
      <w:r>
        <w:rPr>
          <w:sz w:val="24"/>
          <w:szCs w:val="24"/>
        </w:rPr>
        <w:instrText xml:space="preserve"> PAGEREF _Toc31380 \h </w:instrText>
      </w:r>
      <w:r>
        <w:rPr>
          <w:sz w:val="24"/>
          <w:szCs w:val="24"/>
        </w:rPr>
        <w:fldChar w:fldCharType="separate"/>
      </w:r>
      <w:r>
        <w:rPr>
          <w:sz w:val="24"/>
          <w:szCs w:val="24"/>
        </w:rPr>
        <w:t>163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3D5C100D">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_Toc13886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7.3 </w:t>
      </w:r>
      <w:r>
        <w:rPr>
          <w:rFonts w:ascii="Times New Roman" w:hAnsi="Times New Roman" w:cs="Times New Roman"/>
          <w:sz w:val="24"/>
          <w:szCs w:val="24"/>
          <w:lang w:val="en-GB"/>
        </w:rPr>
        <w:t>环保投资</w:t>
      </w:r>
      <w:r>
        <w:rPr>
          <w:sz w:val="24"/>
          <w:szCs w:val="24"/>
        </w:rPr>
        <w:tab/>
      </w:r>
      <w:r>
        <w:rPr>
          <w:sz w:val="24"/>
          <w:szCs w:val="24"/>
        </w:rPr>
        <w:fldChar w:fldCharType="begin"/>
      </w:r>
      <w:r>
        <w:rPr>
          <w:sz w:val="24"/>
          <w:szCs w:val="24"/>
        </w:rPr>
        <w:instrText xml:space="preserve"> PAGEREF _Toc13886 \h </w:instrText>
      </w:r>
      <w:r>
        <w:rPr>
          <w:sz w:val="24"/>
          <w:szCs w:val="24"/>
        </w:rPr>
        <w:fldChar w:fldCharType="separate"/>
      </w:r>
      <w:r>
        <w:rPr>
          <w:sz w:val="24"/>
          <w:szCs w:val="24"/>
        </w:rPr>
        <w:t>164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7DAFECE4">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_Toc5790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7.4 </w:t>
      </w:r>
      <w:r>
        <w:rPr>
          <w:rFonts w:ascii="Times New Roman" w:hAnsi="Times New Roman" w:cs="Times New Roman"/>
          <w:sz w:val="24"/>
          <w:szCs w:val="24"/>
          <w:lang w:val="en-GB"/>
        </w:rPr>
        <w:t>环境经济损益分析</w:t>
      </w:r>
      <w:r>
        <w:rPr>
          <w:sz w:val="24"/>
          <w:szCs w:val="24"/>
        </w:rPr>
        <w:tab/>
      </w:r>
      <w:r>
        <w:rPr>
          <w:sz w:val="24"/>
          <w:szCs w:val="24"/>
        </w:rPr>
        <w:fldChar w:fldCharType="begin"/>
      </w:r>
      <w:r>
        <w:rPr>
          <w:sz w:val="24"/>
          <w:szCs w:val="24"/>
        </w:rPr>
        <w:instrText xml:space="preserve"> PAGEREF _Toc5790 \h </w:instrText>
      </w:r>
      <w:r>
        <w:rPr>
          <w:sz w:val="24"/>
          <w:szCs w:val="24"/>
        </w:rPr>
        <w:fldChar w:fldCharType="separate"/>
      </w:r>
      <w:r>
        <w:rPr>
          <w:sz w:val="24"/>
          <w:szCs w:val="24"/>
        </w:rPr>
        <w:t>165</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45B1191">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_Toc29846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8 </w:t>
      </w:r>
      <w:r>
        <w:rPr>
          <w:rFonts w:ascii="Times New Roman" w:hAnsi="Times New Roman" w:cs="Times New Roman"/>
          <w:sz w:val="24"/>
          <w:szCs w:val="24"/>
        </w:rPr>
        <w:t>环境管理与监测计划</w:t>
      </w:r>
      <w:r>
        <w:rPr>
          <w:sz w:val="24"/>
          <w:szCs w:val="24"/>
        </w:rPr>
        <w:tab/>
      </w:r>
      <w:r>
        <w:rPr>
          <w:sz w:val="24"/>
          <w:szCs w:val="24"/>
        </w:rPr>
        <w:fldChar w:fldCharType="begin"/>
      </w:r>
      <w:r>
        <w:rPr>
          <w:sz w:val="24"/>
          <w:szCs w:val="24"/>
        </w:rPr>
        <w:instrText xml:space="preserve"> PAGEREF _Toc29846 \h </w:instrText>
      </w:r>
      <w:r>
        <w:rPr>
          <w:sz w:val="24"/>
          <w:szCs w:val="24"/>
        </w:rPr>
        <w:fldChar w:fldCharType="separate"/>
      </w:r>
      <w:r>
        <w:rPr>
          <w:sz w:val="24"/>
          <w:szCs w:val="24"/>
        </w:rPr>
        <w:t>167</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6F94D840">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_Toc29136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8.1 </w:t>
      </w:r>
      <w:r>
        <w:rPr>
          <w:rFonts w:ascii="Times New Roman" w:hAnsi="Times New Roman" w:cs="Times New Roman"/>
          <w:sz w:val="24"/>
          <w:szCs w:val="24"/>
          <w:lang w:val="en-GB"/>
        </w:rPr>
        <w:t>环境管理</w:t>
      </w:r>
      <w:r>
        <w:rPr>
          <w:sz w:val="24"/>
          <w:szCs w:val="24"/>
        </w:rPr>
        <w:tab/>
      </w:r>
      <w:r>
        <w:rPr>
          <w:sz w:val="24"/>
          <w:szCs w:val="24"/>
        </w:rPr>
        <w:fldChar w:fldCharType="begin"/>
      </w:r>
      <w:r>
        <w:rPr>
          <w:sz w:val="24"/>
          <w:szCs w:val="24"/>
        </w:rPr>
        <w:instrText xml:space="preserve"> PAGEREF _Toc29136 \h </w:instrText>
      </w:r>
      <w:r>
        <w:rPr>
          <w:sz w:val="24"/>
          <w:szCs w:val="24"/>
        </w:rPr>
        <w:fldChar w:fldCharType="separate"/>
      </w:r>
      <w:r>
        <w:rPr>
          <w:sz w:val="24"/>
          <w:szCs w:val="24"/>
        </w:rPr>
        <w:t>167</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46866B5A">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_Toc14191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8.2 </w:t>
      </w:r>
      <w:r>
        <w:rPr>
          <w:rFonts w:ascii="Times New Roman" w:hAnsi="Times New Roman" w:cs="Times New Roman"/>
          <w:sz w:val="24"/>
          <w:szCs w:val="24"/>
          <w:lang w:val="en-GB"/>
        </w:rPr>
        <w:t>污染物排放</w:t>
      </w:r>
      <w:r>
        <w:rPr>
          <w:rFonts w:ascii="Times New Roman" w:hAnsi="Times New Roman" w:cs="Times New Roman"/>
          <w:sz w:val="24"/>
          <w:szCs w:val="24"/>
        </w:rPr>
        <w:t>清单</w:t>
      </w:r>
      <w:r>
        <w:rPr>
          <w:rFonts w:hint="eastAsia" w:ascii="Times New Roman" w:hAnsi="Times New Roman" w:cs="Times New Roman"/>
          <w:sz w:val="24"/>
          <w:szCs w:val="24"/>
          <w:lang w:val="en-US" w:eastAsia="zh-CN"/>
        </w:rPr>
        <w:t>及总量控制说明</w:t>
      </w:r>
      <w:r>
        <w:rPr>
          <w:sz w:val="24"/>
          <w:szCs w:val="24"/>
        </w:rPr>
        <w:tab/>
      </w:r>
      <w:r>
        <w:rPr>
          <w:sz w:val="24"/>
          <w:szCs w:val="24"/>
        </w:rPr>
        <w:fldChar w:fldCharType="begin"/>
      </w:r>
      <w:r>
        <w:rPr>
          <w:sz w:val="24"/>
          <w:szCs w:val="24"/>
        </w:rPr>
        <w:instrText xml:space="preserve"> PAGEREF _Toc14191 \h </w:instrText>
      </w:r>
      <w:r>
        <w:rPr>
          <w:sz w:val="24"/>
          <w:szCs w:val="24"/>
        </w:rPr>
        <w:fldChar w:fldCharType="separate"/>
      </w:r>
      <w:r>
        <w:rPr>
          <w:sz w:val="24"/>
          <w:szCs w:val="24"/>
        </w:rPr>
        <w:t>169</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3637C36F">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_Toc26267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zh-CN"/>
        </w:rPr>
        <w:t xml:space="preserve">8.3 </w:t>
      </w:r>
      <w:r>
        <w:rPr>
          <w:rFonts w:ascii="Times New Roman" w:hAnsi="Times New Roman" w:cs="Times New Roman"/>
          <w:sz w:val="24"/>
          <w:szCs w:val="24"/>
        </w:rPr>
        <w:t>排污许可证制度衔接</w:t>
      </w:r>
      <w:r>
        <w:rPr>
          <w:sz w:val="24"/>
          <w:szCs w:val="24"/>
        </w:rPr>
        <w:tab/>
      </w:r>
      <w:r>
        <w:rPr>
          <w:sz w:val="24"/>
          <w:szCs w:val="24"/>
        </w:rPr>
        <w:fldChar w:fldCharType="begin"/>
      </w:r>
      <w:r>
        <w:rPr>
          <w:sz w:val="24"/>
          <w:szCs w:val="24"/>
        </w:rPr>
        <w:instrText xml:space="preserve"> PAGEREF _Toc26267 \h </w:instrText>
      </w:r>
      <w:r>
        <w:rPr>
          <w:sz w:val="24"/>
          <w:szCs w:val="24"/>
        </w:rPr>
        <w:fldChar w:fldCharType="separate"/>
      </w:r>
      <w:r>
        <w:rPr>
          <w:sz w:val="24"/>
          <w:szCs w:val="24"/>
        </w:rPr>
        <w:t>173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685D2410">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_Toc28975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zh-CN"/>
        </w:rPr>
        <w:t xml:space="preserve">8.4 </w:t>
      </w:r>
      <w:r>
        <w:rPr>
          <w:rFonts w:ascii="Times New Roman" w:hAnsi="Times New Roman" w:cs="Times New Roman"/>
          <w:sz w:val="24"/>
          <w:szCs w:val="24"/>
        </w:rPr>
        <w:t>信息公开制度</w:t>
      </w:r>
      <w:r>
        <w:rPr>
          <w:sz w:val="24"/>
          <w:szCs w:val="24"/>
        </w:rPr>
        <w:tab/>
      </w:r>
      <w:r>
        <w:rPr>
          <w:sz w:val="24"/>
          <w:szCs w:val="24"/>
        </w:rPr>
        <w:fldChar w:fldCharType="begin"/>
      </w:r>
      <w:r>
        <w:rPr>
          <w:sz w:val="24"/>
          <w:szCs w:val="24"/>
        </w:rPr>
        <w:instrText xml:space="preserve"> PAGEREF _Toc28975 \h </w:instrText>
      </w:r>
      <w:r>
        <w:rPr>
          <w:sz w:val="24"/>
          <w:szCs w:val="24"/>
        </w:rPr>
        <w:fldChar w:fldCharType="separate"/>
      </w:r>
      <w:r>
        <w:rPr>
          <w:sz w:val="24"/>
          <w:szCs w:val="24"/>
        </w:rPr>
        <w:t>173</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1C07F6C">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_Toc156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8.5 </w:t>
      </w:r>
      <w:r>
        <w:rPr>
          <w:rFonts w:ascii="Times New Roman" w:hAnsi="Times New Roman" w:cs="Times New Roman"/>
          <w:sz w:val="24"/>
          <w:szCs w:val="24"/>
        </w:rPr>
        <w:t>环境监测计划</w:t>
      </w:r>
      <w:r>
        <w:rPr>
          <w:sz w:val="24"/>
          <w:szCs w:val="24"/>
        </w:rPr>
        <w:tab/>
      </w:r>
      <w:r>
        <w:rPr>
          <w:sz w:val="24"/>
          <w:szCs w:val="24"/>
        </w:rPr>
        <w:fldChar w:fldCharType="begin"/>
      </w:r>
      <w:r>
        <w:rPr>
          <w:sz w:val="24"/>
          <w:szCs w:val="24"/>
        </w:rPr>
        <w:instrText xml:space="preserve"> PAGEREF _Toc156 \h </w:instrText>
      </w:r>
      <w:r>
        <w:rPr>
          <w:sz w:val="24"/>
          <w:szCs w:val="24"/>
        </w:rPr>
        <w:fldChar w:fldCharType="separate"/>
      </w:r>
      <w:r>
        <w:rPr>
          <w:sz w:val="24"/>
          <w:szCs w:val="24"/>
        </w:rPr>
        <w:t>174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2F6B4EA">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_Toc7813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8.6 </w:t>
      </w:r>
      <w:r>
        <w:rPr>
          <w:rFonts w:ascii="Times New Roman" w:hAnsi="Times New Roman" w:cs="Times New Roman"/>
          <w:sz w:val="24"/>
          <w:szCs w:val="24"/>
          <w:lang w:val="en-GB"/>
        </w:rPr>
        <w:t>环境管理台账记录与排污许可执行报告编制要求</w:t>
      </w:r>
      <w:r>
        <w:rPr>
          <w:sz w:val="24"/>
          <w:szCs w:val="24"/>
        </w:rPr>
        <w:tab/>
      </w:r>
      <w:r>
        <w:rPr>
          <w:sz w:val="24"/>
          <w:szCs w:val="24"/>
        </w:rPr>
        <w:fldChar w:fldCharType="begin"/>
      </w:r>
      <w:r>
        <w:rPr>
          <w:sz w:val="24"/>
          <w:szCs w:val="24"/>
        </w:rPr>
        <w:instrText xml:space="preserve"> PAGEREF _Toc7813 \h </w:instrText>
      </w:r>
      <w:r>
        <w:rPr>
          <w:sz w:val="24"/>
          <w:szCs w:val="24"/>
        </w:rPr>
        <w:fldChar w:fldCharType="separate"/>
      </w:r>
      <w:r>
        <w:rPr>
          <w:sz w:val="24"/>
          <w:szCs w:val="24"/>
        </w:rPr>
        <w:t>176</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4FB36547">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_Toc4906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8.7 </w:t>
      </w:r>
      <w:r>
        <w:rPr>
          <w:rFonts w:ascii="Times New Roman" w:hAnsi="Times New Roman" w:cs="Times New Roman"/>
          <w:sz w:val="24"/>
          <w:szCs w:val="24"/>
          <w:lang w:bidi="zh-CN"/>
        </w:rPr>
        <w:t>突发环境事件应急预案编制要求</w:t>
      </w:r>
      <w:r>
        <w:rPr>
          <w:sz w:val="24"/>
          <w:szCs w:val="24"/>
        </w:rPr>
        <w:tab/>
      </w:r>
      <w:r>
        <w:rPr>
          <w:sz w:val="24"/>
          <w:szCs w:val="24"/>
        </w:rPr>
        <w:fldChar w:fldCharType="begin"/>
      </w:r>
      <w:r>
        <w:rPr>
          <w:sz w:val="24"/>
          <w:szCs w:val="24"/>
        </w:rPr>
        <w:instrText xml:space="preserve"> PAGEREF _Toc4906 \h </w:instrText>
      </w:r>
      <w:r>
        <w:rPr>
          <w:sz w:val="24"/>
          <w:szCs w:val="24"/>
        </w:rPr>
        <w:fldChar w:fldCharType="separate"/>
      </w:r>
      <w:r>
        <w:rPr>
          <w:sz w:val="24"/>
          <w:szCs w:val="24"/>
        </w:rPr>
        <w:t>179</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E450EC3">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_Toc29004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8.8 </w:t>
      </w:r>
      <w:r>
        <w:rPr>
          <w:rFonts w:ascii="Times New Roman" w:hAnsi="Times New Roman" w:cs="Times New Roman"/>
          <w:sz w:val="24"/>
          <w:szCs w:val="24"/>
          <w:lang w:val="en-GB"/>
        </w:rPr>
        <w:t>竣工环保验收</w:t>
      </w:r>
      <w:r>
        <w:rPr>
          <w:sz w:val="24"/>
          <w:szCs w:val="24"/>
        </w:rPr>
        <w:tab/>
      </w:r>
      <w:r>
        <w:rPr>
          <w:sz w:val="24"/>
          <w:szCs w:val="24"/>
        </w:rPr>
        <w:fldChar w:fldCharType="begin"/>
      </w:r>
      <w:r>
        <w:rPr>
          <w:sz w:val="24"/>
          <w:szCs w:val="24"/>
        </w:rPr>
        <w:instrText xml:space="preserve"> PAGEREF _Toc29004 \h </w:instrText>
      </w:r>
      <w:r>
        <w:rPr>
          <w:sz w:val="24"/>
          <w:szCs w:val="24"/>
        </w:rPr>
        <w:fldChar w:fldCharType="separate"/>
      </w:r>
      <w:r>
        <w:rPr>
          <w:sz w:val="24"/>
          <w:szCs w:val="24"/>
        </w:rPr>
        <w:t>180</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D759626">
      <w:pPr>
        <w:pStyle w:val="23"/>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_Toc27943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rPr>
        <w:t xml:space="preserve">9 </w:t>
      </w:r>
      <w:r>
        <w:rPr>
          <w:rFonts w:ascii="Times New Roman" w:hAnsi="Times New Roman" w:cs="Times New Roman"/>
          <w:sz w:val="24"/>
          <w:szCs w:val="24"/>
        </w:rPr>
        <w:t>环境影响评价结论</w:t>
      </w:r>
      <w:r>
        <w:rPr>
          <w:sz w:val="24"/>
          <w:szCs w:val="24"/>
        </w:rPr>
        <w:tab/>
      </w:r>
      <w:r>
        <w:rPr>
          <w:sz w:val="24"/>
          <w:szCs w:val="24"/>
        </w:rPr>
        <w:fldChar w:fldCharType="begin"/>
      </w:r>
      <w:r>
        <w:rPr>
          <w:sz w:val="24"/>
          <w:szCs w:val="24"/>
        </w:rPr>
        <w:instrText xml:space="preserve"> PAGEREF _Toc27943 \h </w:instrText>
      </w:r>
      <w:r>
        <w:rPr>
          <w:sz w:val="24"/>
          <w:szCs w:val="24"/>
        </w:rPr>
        <w:fldChar w:fldCharType="separate"/>
      </w:r>
      <w:r>
        <w:rPr>
          <w:sz w:val="24"/>
          <w:szCs w:val="24"/>
        </w:rPr>
        <w:t>184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5A5CB238">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_Toc6021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9.1 </w:t>
      </w:r>
      <w:r>
        <w:rPr>
          <w:rFonts w:ascii="Times New Roman" w:hAnsi="Times New Roman" w:cs="Times New Roman"/>
          <w:sz w:val="24"/>
          <w:szCs w:val="24"/>
          <w:lang w:val="en-GB"/>
        </w:rPr>
        <w:t>建设项目概况</w:t>
      </w:r>
      <w:r>
        <w:rPr>
          <w:sz w:val="24"/>
          <w:szCs w:val="24"/>
        </w:rPr>
        <w:tab/>
      </w:r>
      <w:r>
        <w:rPr>
          <w:sz w:val="24"/>
          <w:szCs w:val="24"/>
        </w:rPr>
        <w:fldChar w:fldCharType="begin"/>
      </w:r>
      <w:r>
        <w:rPr>
          <w:sz w:val="24"/>
          <w:szCs w:val="24"/>
        </w:rPr>
        <w:instrText xml:space="preserve"> PAGEREF _Toc6021 \h </w:instrText>
      </w:r>
      <w:r>
        <w:rPr>
          <w:sz w:val="24"/>
          <w:szCs w:val="24"/>
        </w:rPr>
        <w:fldChar w:fldCharType="separate"/>
      </w:r>
      <w:r>
        <w:rPr>
          <w:sz w:val="24"/>
          <w:szCs w:val="24"/>
        </w:rPr>
        <w:t>184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0B867717">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_Toc23694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9.2 </w:t>
      </w:r>
      <w:r>
        <w:rPr>
          <w:rFonts w:ascii="Times New Roman" w:hAnsi="Times New Roman" w:cs="Times New Roman"/>
          <w:sz w:val="24"/>
          <w:szCs w:val="24"/>
          <w:lang w:val="en-GB"/>
        </w:rPr>
        <w:t>环境质量现状</w:t>
      </w:r>
      <w:r>
        <w:rPr>
          <w:sz w:val="24"/>
          <w:szCs w:val="24"/>
        </w:rPr>
        <w:tab/>
      </w:r>
      <w:r>
        <w:rPr>
          <w:sz w:val="24"/>
          <w:szCs w:val="24"/>
        </w:rPr>
        <w:fldChar w:fldCharType="begin"/>
      </w:r>
      <w:r>
        <w:rPr>
          <w:sz w:val="24"/>
          <w:szCs w:val="24"/>
        </w:rPr>
        <w:instrText xml:space="preserve"> PAGEREF _Toc23694 \h </w:instrText>
      </w:r>
      <w:r>
        <w:rPr>
          <w:sz w:val="24"/>
          <w:szCs w:val="24"/>
        </w:rPr>
        <w:fldChar w:fldCharType="separate"/>
      </w:r>
      <w:r>
        <w:rPr>
          <w:sz w:val="24"/>
          <w:szCs w:val="24"/>
        </w:rPr>
        <w:t>184</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4C738A51">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_Toc10039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9.3 </w:t>
      </w:r>
      <w:r>
        <w:rPr>
          <w:rFonts w:ascii="Times New Roman" w:hAnsi="Times New Roman" w:cs="Times New Roman"/>
          <w:sz w:val="24"/>
          <w:szCs w:val="24"/>
          <w:lang w:val="en-GB"/>
        </w:rPr>
        <w:t>环境影响评价结论</w:t>
      </w:r>
      <w:r>
        <w:rPr>
          <w:sz w:val="24"/>
          <w:szCs w:val="24"/>
        </w:rPr>
        <w:tab/>
      </w:r>
      <w:r>
        <w:rPr>
          <w:sz w:val="24"/>
          <w:szCs w:val="24"/>
        </w:rPr>
        <w:fldChar w:fldCharType="begin"/>
      </w:r>
      <w:r>
        <w:rPr>
          <w:sz w:val="24"/>
          <w:szCs w:val="24"/>
        </w:rPr>
        <w:instrText xml:space="preserve"> PAGEREF _Toc10039 \h </w:instrText>
      </w:r>
      <w:r>
        <w:rPr>
          <w:sz w:val="24"/>
          <w:szCs w:val="24"/>
        </w:rPr>
        <w:fldChar w:fldCharType="separate"/>
      </w:r>
      <w:r>
        <w:rPr>
          <w:sz w:val="24"/>
          <w:szCs w:val="24"/>
        </w:rPr>
        <w:t>185</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1847E50F">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_Toc1885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9.4 </w:t>
      </w:r>
      <w:r>
        <w:rPr>
          <w:rFonts w:ascii="Times New Roman" w:hAnsi="Times New Roman" w:cs="Times New Roman"/>
          <w:sz w:val="24"/>
          <w:szCs w:val="24"/>
          <w:lang w:val="en-GB"/>
        </w:rPr>
        <w:t>污染防治措施评价</w:t>
      </w:r>
      <w:r>
        <w:rPr>
          <w:sz w:val="24"/>
          <w:szCs w:val="24"/>
        </w:rPr>
        <w:tab/>
      </w:r>
      <w:r>
        <w:rPr>
          <w:sz w:val="24"/>
          <w:szCs w:val="24"/>
        </w:rPr>
        <w:fldChar w:fldCharType="begin"/>
      </w:r>
      <w:r>
        <w:rPr>
          <w:sz w:val="24"/>
          <w:szCs w:val="24"/>
        </w:rPr>
        <w:instrText xml:space="preserve"> PAGEREF _Toc1885 \h </w:instrText>
      </w:r>
      <w:r>
        <w:rPr>
          <w:sz w:val="24"/>
          <w:szCs w:val="24"/>
        </w:rPr>
        <w:fldChar w:fldCharType="separate"/>
      </w:r>
      <w:r>
        <w:rPr>
          <w:sz w:val="24"/>
          <w:szCs w:val="24"/>
        </w:rPr>
        <w:t>186</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69664E6">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_Toc15925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9.5 </w:t>
      </w:r>
      <w:r>
        <w:rPr>
          <w:rFonts w:ascii="Times New Roman" w:hAnsi="Times New Roman" w:cs="Times New Roman"/>
          <w:sz w:val="24"/>
          <w:szCs w:val="24"/>
          <w:lang w:val="en-GB"/>
        </w:rPr>
        <w:t>公众参与结论</w:t>
      </w:r>
      <w:r>
        <w:rPr>
          <w:sz w:val="24"/>
          <w:szCs w:val="24"/>
        </w:rPr>
        <w:tab/>
      </w:r>
      <w:r>
        <w:rPr>
          <w:sz w:val="24"/>
          <w:szCs w:val="24"/>
        </w:rPr>
        <w:fldChar w:fldCharType="begin"/>
      </w:r>
      <w:r>
        <w:rPr>
          <w:sz w:val="24"/>
          <w:szCs w:val="24"/>
        </w:rPr>
        <w:instrText xml:space="preserve"> PAGEREF _Toc15925 \h </w:instrText>
      </w:r>
      <w:r>
        <w:rPr>
          <w:sz w:val="24"/>
          <w:szCs w:val="24"/>
        </w:rPr>
        <w:fldChar w:fldCharType="separate"/>
      </w:r>
      <w:r>
        <w:rPr>
          <w:sz w:val="24"/>
          <w:szCs w:val="24"/>
        </w:rPr>
        <w:t>187</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3480E115">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_Toc3265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9.6 </w:t>
      </w:r>
      <w:r>
        <w:rPr>
          <w:rFonts w:ascii="Times New Roman" w:hAnsi="Times New Roman" w:cs="Times New Roman"/>
          <w:sz w:val="24"/>
          <w:szCs w:val="24"/>
          <w:lang w:val="en-GB" w:bidi="zh-CN"/>
        </w:rPr>
        <w:t>环境影响经济损益分析</w:t>
      </w:r>
      <w:r>
        <w:rPr>
          <w:sz w:val="24"/>
          <w:szCs w:val="24"/>
        </w:rPr>
        <w:tab/>
      </w:r>
      <w:r>
        <w:rPr>
          <w:sz w:val="24"/>
          <w:szCs w:val="24"/>
        </w:rPr>
        <w:fldChar w:fldCharType="begin"/>
      </w:r>
      <w:r>
        <w:rPr>
          <w:sz w:val="24"/>
          <w:szCs w:val="24"/>
        </w:rPr>
        <w:instrText xml:space="preserve"> PAGEREF _Toc3265 \h </w:instrText>
      </w:r>
      <w:r>
        <w:rPr>
          <w:sz w:val="24"/>
          <w:szCs w:val="24"/>
        </w:rPr>
        <w:fldChar w:fldCharType="separate"/>
      </w:r>
      <w:r>
        <w:rPr>
          <w:sz w:val="24"/>
          <w:szCs w:val="24"/>
        </w:rPr>
        <w:t>188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37544E0">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_Toc7442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bidi="zh-CN"/>
        </w:rPr>
        <w:t xml:space="preserve">9.7 </w:t>
      </w:r>
      <w:r>
        <w:rPr>
          <w:rFonts w:ascii="Times New Roman" w:hAnsi="Times New Roman" w:cs="Times New Roman"/>
          <w:sz w:val="24"/>
          <w:szCs w:val="24"/>
          <w:lang w:val="en-GB" w:bidi="zh-CN"/>
        </w:rPr>
        <w:t>总量控制</w:t>
      </w:r>
      <w:r>
        <w:rPr>
          <w:sz w:val="24"/>
          <w:szCs w:val="24"/>
        </w:rPr>
        <w:tab/>
      </w:r>
      <w:r>
        <w:rPr>
          <w:sz w:val="24"/>
          <w:szCs w:val="24"/>
        </w:rPr>
        <w:fldChar w:fldCharType="begin"/>
      </w:r>
      <w:r>
        <w:rPr>
          <w:sz w:val="24"/>
          <w:szCs w:val="24"/>
        </w:rPr>
        <w:instrText xml:space="preserve"> PAGEREF _Toc7442 \h </w:instrText>
      </w:r>
      <w:r>
        <w:rPr>
          <w:sz w:val="24"/>
          <w:szCs w:val="24"/>
        </w:rPr>
        <w:fldChar w:fldCharType="separate"/>
      </w:r>
      <w:r>
        <w:rPr>
          <w:sz w:val="24"/>
          <w:szCs w:val="24"/>
        </w:rPr>
        <w:t>188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2BA179A8">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_Toc14513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9.8 </w:t>
      </w:r>
      <w:r>
        <w:rPr>
          <w:rFonts w:ascii="Times New Roman" w:hAnsi="Times New Roman" w:cs="Times New Roman"/>
          <w:sz w:val="24"/>
          <w:szCs w:val="24"/>
          <w:lang w:val="en-GB"/>
        </w:rPr>
        <w:t>评价总结论</w:t>
      </w:r>
      <w:r>
        <w:rPr>
          <w:sz w:val="24"/>
          <w:szCs w:val="24"/>
        </w:rPr>
        <w:tab/>
      </w:r>
      <w:r>
        <w:rPr>
          <w:sz w:val="24"/>
          <w:szCs w:val="24"/>
        </w:rPr>
        <w:fldChar w:fldCharType="begin"/>
      </w:r>
      <w:r>
        <w:rPr>
          <w:sz w:val="24"/>
          <w:szCs w:val="24"/>
        </w:rPr>
        <w:instrText xml:space="preserve"> PAGEREF _Toc14513 \h </w:instrText>
      </w:r>
      <w:r>
        <w:rPr>
          <w:sz w:val="24"/>
          <w:szCs w:val="24"/>
        </w:rPr>
        <w:fldChar w:fldCharType="separate"/>
      </w:r>
      <w:r>
        <w:rPr>
          <w:sz w:val="24"/>
          <w:szCs w:val="24"/>
        </w:rPr>
        <w:t>188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3661D5CF">
      <w:pPr>
        <w:pStyle w:val="27"/>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rFonts w:ascii="Times New Roman" w:hAnsi="Times New Roman" w:eastAsia="宋体" w:cs="Times New Roman"/>
          <w:color w:val="000000" w:themeColor="text1"/>
          <w:sz w:val="24"/>
          <w:szCs w:val="24"/>
          <w14:textFill>
            <w14:solidFill>
              <w14:schemeClr w14:val="tx1"/>
            </w14:solidFill>
          </w14:textFill>
        </w:rPr>
        <w:fldChar w:fldCharType="begin"/>
      </w:r>
      <w:r>
        <w:rPr>
          <w:rFonts w:ascii="Times New Roman" w:hAnsi="Times New Roman" w:eastAsia="宋体" w:cs="Times New Roman"/>
          <w:sz w:val="24"/>
          <w:szCs w:val="24"/>
        </w:rPr>
        <w:instrText xml:space="preserve"> HYPERLINK \l _Toc32467 </w:instrText>
      </w:r>
      <w:r>
        <w:rPr>
          <w:rFonts w:ascii="Times New Roman" w:hAnsi="Times New Roman" w:eastAsia="宋体" w:cs="Times New Roman"/>
          <w:sz w:val="24"/>
          <w:szCs w:val="24"/>
        </w:rPr>
        <w:fldChar w:fldCharType="separate"/>
      </w:r>
      <w:r>
        <w:rPr>
          <w:rFonts w:hint="eastAsia" w:ascii="Times New Roman" w:hAnsi="Times New Roman" w:cs="Times New Roman"/>
          <w:sz w:val="24"/>
          <w:szCs w:val="24"/>
          <w:lang w:val="en-GB"/>
        </w:rPr>
        <w:t xml:space="preserve">9.9 </w:t>
      </w:r>
      <w:r>
        <w:rPr>
          <w:rFonts w:ascii="Times New Roman" w:hAnsi="Times New Roman" w:cs="Times New Roman"/>
          <w:sz w:val="24"/>
          <w:szCs w:val="24"/>
          <w:lang w:val="en-GB"/>
        </w:rPr>
        <w:t>建议</w:t>
      </w:r>
      <w:r>
        <w:rPr>
          <w:sz w:val="24"/>
          <w:szCs w:val="24"/>
        </w:rPr>
        <w:tab/>
      </w:r>
      <w:r>
        <w:rPr>
          <w:sz w:val="24"/>
          <w:szCs w:val="24"/>
        </w:rPr>
        <w:fldChar w:fldCharType="begin"/>
      </w:r>
      <w:r>
        <w:rPr>
          <w:sz w:val="24"/>
          <w:szCs w:val="24"/>
        </w:rPr>
        <w:instrText xml:space="preserve"> PAGEREF _Toc32467 \h </w:instrText>
      </w:r>
      <w:r>
        <w:rPr>
          <w:sz w:val="24"/>
          <w:szCs w:val="24"/>
        </w:rPr>
        <w:fldChar w:fldCharType="separate"/>
      </w:r>
      <w:r>
        <w:rPr>
          <w:sz w:val="24"/>
          <w:szCs w:val="24"/>
        </w:rPr>
        <w:t>188</w:t>
      </w:r>
      <w:r>
        <w:rPr>
          <w:sz w:val="24"/>
          <w:szCs w:val="24"/>
        </w:rPr>
        <w:fldChar w:fldCharType="end"/>
      </w:r>
      <w:r>
        <w:rPr>
          <w:rFonts w:ascii="Times New Roman" w:hAnsi="Times New Roman" w:eastAsia="宋体" w:cs="Times New Roman"/>
          <w:color w:val="000000" w:themeColor="text1"/>
          <w:sz w:val="24"/>
          <w:szCs w:val="24"/>
          <w14:textFill>
            <w14:solidFill>
              <w14:schemeClr w14:val="tx1"/>
            </w14:solidFill>
          </w14:textFill>
        </w:rPr>
        <w:fldChar w:fldCharType="end"/>
      </w:r>
    </w:p>
    <w:p w14:paraId="7FDC593C">
      <w:pPr>
        <w:snapToGrid w:val="0"/>
        <w:spacing w:before="0"/>
        <w:ind w:firstLine="0" w:firstLineChars="0"/>
        <w:jc w:val="center"/>
        <w:rPr>
          <w:rFonts w:ascii="Times New Roman" w:hAnsi="Times New Roman" w:eastAsia="宋体" w:cs="Times New Roman"/>
          <w:color w:val="000000" w:themeColor="text1"/>
          <w:szCs w:val="24"/>
          <w14:textFill>
            <w14:solidFill>
              <w14:schemeClr w14:val="tx1"/>
            </w14:solidFill>
          </w14:textFill>
        </w:rPr>
        <w:sectPr>
          <w:headerReference r:id="rId12" w:type="default"/>
          <w:footerReference r:id="rId13" w:type="default"/>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docGrid w:type="lines" w:linePitch="326" w:charSpace="0"/>
        </w:sectPr>
      </w:pPr>
      <w:r>
        <w:rPr>
          <w:rFonts w:ascii="Times New Roman" w:hAnsi="Times New Roman" w:eastAsia="宋体" w:cs="Times New Roman"/>
          <w:color w:val="000000" w:themeColor="text1"/>
          <w:szCs w:val="24"/>
          <w14:textFill>
            <w14:solidFill>
              <w14:schemeClr w14:val="tx1"/>
            </w14:solidFill>
          </w14:textFill>
        </w:rPr>
        <w:fldChar w:fldCharType="end"/>
      </w:r>
    </w:p>
    <w:p w14:paraId="0764198A">
      <w:pPr>
        <w:ind w:firstLine="482"/>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附图：</w:t>
      </w:r>
    </w:p>
    <w:p w14:paraId="33D1F5F5">
      <w:pPr>
        <w:ind w:firstLine="1080" w:firstLineChars="4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图1建设项目与</w:t>
      </w:r>
      <w:r>
        <w:rPr>
          <w:rFonts w:hint="eastAsia" w:ascii="Times New Roman" w:hAnsi="Times New Roman" w:cs="Times New Roman"/>
          <w:color w:val="000000" w:themeColor="text1"/>
          <w:lang w:val="en-US" w:eastAsia="zh-CN"/>
          <w14:textFill>
            <w14:solidFill>
              <w14:schemeClr w14:val="tx1"/>
            </w14:solidFill>
          </w14:textFill>
        </w:rPr>
        <w:t>第四师</w:t>
      </w:r>
      <w:r>
        <w:rPr>
          <w:rFonts w:ascii="Times New Roman" w:hAnsi="Times New Roman" w:cs="Times New Roman"/>
          <w:color w:val="000000" w:themeColor="text1"/>
          <w14:textFill>
            <w14:solidFill>
              <w14:schemeClr w14:val="tx1"/>
            </w14:solidFill>
          </w14:textFill>
        </w:rPr>
        <w:t>环境管控单元图</w:t>
      </w:r>
    </w:p>
    <w:p w14:paraId="18E9C044">
      <w:pPr>
        <w:ind w:firstLine="1080" w:firstLineChars="4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图2建设项目地理位置图</w:t>
      </w:r>
    </w:p>
    <w:p w14:paraId="1F71FDA3">
      <w:pPr>
        <w:ind w:firstLine="1080" w:firstLineChars="45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项目区生态功能区划图</w:t>
      </w:r>
    </w:p>
    <w:p w14:paraId="29105CC9">
      <w:pPr>
        <w:ind w:firstLine="1080" w:firstLineChars="45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建设项目总平面布置图</w:t>
      </w:r>
    </w:p>
    <w:p w14:paraId="0EB94EEA">
      <w:pPr>
        <w:ind w:firstLine="1080" w:firstLineChars="4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项目区保护目标</w:t>
      </w:r>
      <w:r>
        <w:rPr>
          <w:rFonts w:ascii="Times New Roman" w:hAnsi="Times New Roman" w:cs="Times New Roman"/>
          <w:color w:val="000000" w:themeColor="text1"/>
          <w14:textFill>
            <w14:solidFill>
              <w14:schemeClr w14:val="tx1"/>
            </w14:solidFill>
          </w14:textFill>
        </w:rPr>
        <w:t>分布图</w:t>
      </w:r>
    </w:p>
    <w:p w14:paraId="03921526">
      <w:pPr>
        <w:ind w:firstLine="1080" w:firstLineChars="450"/>
        <w:rPr>
          <w:rFonts w:hint="eastAsia"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建设项目分区防渗图</w:t>
      </w:r>
    </w:p>
    <w:p w14:paraId="4D21EE95">
      <w:pPr>
        <w:ind w:firstLine="1080" w:firstLineChars="45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附图</w:t>
      </w:r>
      <w:r>
        <w:rPr>
          <w:rFonts w:hint="eastAsia"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lang w:val="en-US" w:eastAsia="zh-CN"/>
          <w14:textFill>
            <w14:solidFill>
              <w14:schemeClr w14:val="tx1"/>
            </w14:solidFill>
          </w14:textFill>
        </w:rPr>
        <w:t>建设项目土地利用类型图</w:t>
      </w:r>
    </w:p>
    <w:p w14:paraId="193E46D1">
      <w:pPr>
        <w:ind w:firstLine="1080" w:firstLineChars="45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附图</w:t>
      </w:r>
      <w:r>
        <w:rPr>
          <w:rFonts w:hint="eastAsia"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建设项目植被覆盖度图</w:t>
      </w:r>
    </w:p>
    <w:p w14:paraId="55322CB0">
      <w:pPr>
        <w:ind w:firstLine="482"/>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附件：</w:t>
      </w:r>
    </w:p>
    <w:p w14:paraId="4A1A551F">
      <w:pPr>
        <w:ind w:firstLine="1080" w:firstLineChars="450"/>
        <w:rPr>
          <w:rFonts w:ascii="Times New Roman" w:hAnsi="Times New Roman" w:cs="Times New Roman"/>
          <w:color w:val="000000" w:themeColor="text1"/>
          <w14:textFill>
            <w14:solidFill>
              <w14:schemeClr w14:val="tx1"/>
            </w14:solidFill>
          </w14:textFill>
        </w:rPr>
      </w:pPr>
      <w:bookmarkStart w:id="2" w:name="_Toc1409"/>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建设项目委托书</w:t>
      </w:r>
      <w:bookmarkEnd w:id="2"/>
    </w:p>
    <w:p w14:paraId="2901DAEA">
      <w:pPr>
        <w:ind w:firstLine="1080" w:firstLineChars="450"/>
        <w:rPr>
          <w:rFonts w:hint="eastAsia"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第四师63团种禽养殖基地建设项目</w:t>
      </w:r>
      <w:r>
        <w:rPr>
          <w:rFonts w:ascii="Times New Roman" w:hAnsi="Times New Roman" w:cs="Times New Roman"/>
          <w:color w:val="000000" w:themeColor="text1"/>
          <w14:textFill>
            <w14:solidFill>
              <w14:schemeClr w14:val="tx1"/>
            </w14:solidFill>
          </w14:textFill>
        </w:rPr>
        <w:t>备案</w:t>
      </w:r>
      <w:r>
        <w:rPr>
          <w:rFonts w:hint="eastAsia" w:ascii="Times New Roman" w:hAnsi="Times New Roman" w:cs="Times New Roman"/>
          <w:color w:val="000000" w:themeColor="text1"/>
          <w:lang w:val="en-US" w:eastAsia="zh-CN"/>
          <w14:textFill>
            <w14:solidFill>
              <w14:schemeClr w14:val="tx1"/>
            </w14:solidFill>
          </w14:textFill>
        </w:rPr>
        <w:t>证</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经发办备</w:t>
      </w:r>
      <w:r>
        <w:rPr>
          <w:rFonts w:hint="eastAsia" w:cs="Times New Roman"/>
          <w:color w:val="000000" w:themeColor="text1"/>
          <w:lang w:val="en-US" w:eastAsia="zh-CN"/>
          <w14:textFill>
            <w14:solidFill>
              <w14:schemeClr w14:val="tx1"/>
            </w14:solidFill>
          </w14:textFill>
        </w:rPr>
        <w:t>〔2025〕5号</w:t>
      </w:r>
      <w:r>
        <w:rPr>
          <w:rFonts w:hint="eastAsia" w:ascii="Times New Roman" w:hAnsi="Times New Roman" w:cs="Times New Roman"/>
          <w:color w:val="000000" w:themeColor="text1"/>
          <w:lang w:eastAsia="zh-CN"/>
          <w14:textFill>
            <w14:solidFill>
              <w14:schemeClr w14:val="tx1"/>
            </w14:solidFill>
          </w14:textFill>
        </w:rPr>
        <w:t>）</w:t>
      </w:r>
    </w:p>
    <w:p w14:paraId="69BBB1F8">
      <w:pPr>
        <w:ind w:firstLine="1080" w:firstLineChars="45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用地备案证明</w:t>
      </w:r>
    </w:p>
    <w:p w14:paraId="64398BE8">
      <w:pPr>
        <w:ind w:firstLine="1080" w:firstLineChars="45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病死鸭无害化处理协议及动物防疫合格证</w:t>
      </w:r>
    </w:p>
    <w:p w14:paraId="20360CE8">
      <w:pPr>
        <w:ind w:firstLine="1080" w:firstLineChars="45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粪污处理协议及营业执照</w:t>
      </w:r>
    </w:p>
    <w:p w14:paraId="2F2C0B9A">
      <w:pPr>
        <w:pStyle w:val="42"/>
        <w:rPr>
          <w:rFonts w:hint="default" w:ascii="Times New Roman" w:hAnsi="Times New Roman"/>
          <w:lang w:val="en-US" w:eastAsia="zh-CN"/>
        </w:rPr>
        <w:sectPr>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docGrid w:type="lines" w:linePitch="326" w:charSpace="0"/>
        </w:sectPr>
      </w:pPr>
    </w:p>
    <w:p w14:paraId="643936BA">
      <w:pPr>
        <w:pStyle w:val="3"/>
        <w:rPr>
          <w:rFonts w:ascii="Times New Roman" w:hAnsi="Times New Roman" w:cs="Times New Roman"/>
          <w:color w:val="000000" w:themeColor="text1"/>
          <w14:textFill>
            <w14:solidFill>
              <w14:schemeClr w14:val="tx1"/>
            </w14:solidFill>
          </w14:textFill>
        </w:rPr>
      </w:pPr>
      <w:bookmarkStart w:id="3" w:name="_Toc490417053"/>
      <w:bookmarkStart w:id="4" w:name="_Toc483491968"/>
      <w:bookmarkStart w:id="5" w:name="_Toc26212"/>
      <w:r>
        <w:rPr>
          <w:rFonts w:ascii="Times New Roman" w:hAnsi="Times New Roman" w:cs="Times New Roman"/>
          <w:color w:val="000000" w:themeColor="text1"/>
          <w14:textFill>
            <w14:solidFill>
              <w14:schemeClr w14:val="tx1"/>
            </w14:solidFill>
          </w14:textFill>
        </w:rPr>
        <w:t>概述</w:t>
      </w:r>
      <w:bookmarkEnd w:id="3"/>
      <w:bookmarkEnd w:id="4"/>
      <w:bookmarkEnd w:id="5"/>
    </w:p>
    <w:p w14:paraId="6241FCF2">
      <w:pPr>
        <w:pStyle w:val="4"/>
        <w:ind w:left="120"/>
        <w:rPr>
          <w:rFonts w:ascii="Times New Roman" w:hAnsi="Times New Roman" w:cs="Times New Roman"/>
          <w:color w:val="000000" w:themeColor="text1"/>
          <w:lang w:val="en-GB"/>
          <w14:textFill>
            <w14:solidFill>
              <w14:schemeClr w14:val="tx1"/>
            </w14:solidFill>
          </w14:textFill>
        </w:rPr>
      </w:pPr>
      <w:bookmarkStart w:id="6" w:name="_Toc28442"/>
      <w:bookmarkStart w:id="7" w:name="_Toc490417054"/>
      <w:bookmarkStart w:id="8" w:name="_Toc483491969"/>
      <w:r>
        <w:rPr>
          <w:rFonts w:ascii="Times New Roman" w:hAnsi="Times New Roman" w:cs="Times New Roman"/>
          <w:color w:val="000000" w:themeColor="text1"/>
          <w:lang w:val="en-GB"/>
          <w14:textFill>
            <w14:solidFill>
              <w14:schemeClr w14:val="tx1"/>
            </w14:solidFill>
          </w14:textFill>
        </w:rPr>
        <w:t>项目背景</w:t>
      </w:r>
      <w:bookmarkEnd w:id="6"/>
      <w:bookmarkEnd w:id="7"/>
      <w:bookmarkEnd w:id="8"/>
    </w:p>
    <w:p w14:paraId="37885782">
      <w:pPr>
        <w:bidi w:val="0"/>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《中华人民共和国国民经济和社会发展第十四个五年规划纲要》中指出，走中国特色社会主义乡村振兴道路，全面实施乡村振兴战略，加快农业农村现代化。大力发展现代畜牧业，促进水产生态健康养殖。</w:t>
      </w:r>
    </w:p>
    <w:p w14:paraId="3D2536A7">
      <w:pPr>
        <w:bidi w:val="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新疆维吾尔自治区2035年远景目标和“十四五”发展规划提出：发展乡村振兴，民生福祉要达到新水平，提出要建设畜牧强区规划，实施畜牧业发展五大行动，持续做大种鸭肉羊产业，加快推进奶业振兴，做优做强家禽产业，推进生猪产业转型升级，因地制宜发展特色养殖业，构建饲料、种源、扩繁、养殖、屠宰、加工全产业链，推动新疆由畜牧大区向畜牧强区转变。</w:t>
      </w:r>
    </w:p>
    <w:p w14:paraId="017D76A0">
      <w:pPr>
        <w:bidi w:val="0"/>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6</w:t>
      </w:r>
      <w:r>
        <w:rPr>
          <w:rFonts w:hint="eastAsia" w:ascii="Times New Roman" w:hAnsi="Times New Roman"/>
          <w:color w:val="000000" w:themeColor="text1"/>
          <w:lang w:val="en-US" w:eastAsia="zh-CN"/>
          <w14:textFill>
            <w14:solidFill>
              <w14:schemeClr w14:val="tx1"/>
            </w14:solidFill>
          </w14:textFill>
        </w:rPr>
        <w:t>年是“十</w:t>
      </w:r>
      <w:r>
        <w:rPr>
          <w:rFonts w:hint="eastAsia"/>
          <w:color w:val="000000" w:themeColor="text1"/>
          <w:lang w:val="en-US" w:eastAsia="zh-CN"/>
          <w14:textFill>
            <w14:solidFill>
              <w14:schemeClr w14:val="tx1"/>
            </w14:solidFill>
          </w14:textFill>
        </w:rPr>
        <w:t>五</w:t>
      </w:r>
      <w:r>
        <w:rPr>
          <w:rFonts w:hint="eastAsia" w:ascii="Times New Roman" w:hAnsi="Times New Roman"/>
          <w:color w:val="000000" w:themeColor="text1"/>
          <w:lang w:val="en-US" w:eastAsia="zh-CN"/>
          <w14:textFill>
            <w14:solidFill>
              <w14:schemeClr w14:val="tx1"/>
            </w14:solidFill>
          </w14:textFill>
        </w:rPr>
        <w:t>五”</w:t>
      </w:r>
      <w:r>
        <w:rPr>
          <w:rFonts w:hint="eastAsia"/>
          <w:color w:val="000000" w:themeColor="text1"/>
          <w:lang w:val="en-US" w:eastAsia="zh-CN"/>
          <w14:textFill>
            <w14:solidFill>
              <w14:schemeClr w14:val="tx1"/>
            </w14:solidFill>
          </w14:textFill>
        </w:rPr>
        <w:t>开局之年</w:t>
      </w:r>
      <w:r>
        <w:rPr>
          <w:rFonts w:hint="eastAsia" w:ascii="Times New Roman" w:hAnsi="Times New Roman"/>
          <w:color w:val="000000" w:themeColor="text1"/>
          <w:lang w:val="en-US" w:eastAsia="zh-CN"/>
          <w14:textFill>
            <w14:solidFill>
              <w14:schemeClr w14:val="tx1"/>
            </w14:solidFill>
          </w14:textFill>
        </w:rPr>
        <w:t>，要聚力打造兵团向西开放先行区、兵团维稳戍边战略支撑、兵团粮食和重要农产品保障基地、兵团外向型制造业基地、兵团文旅康养产业基地，加快畜牧业发展，推动家禽养殖全产业链建设</w:t>
      </w:r>
      <w:r>
        <w:rPr>
          <w:rFonts w:ascii="Times New Roman" w:hAnsi="Times New Roman"/>
          <w:color w:val="000000" w:themeColor="text1"/>
          <w14:textFill>
            <w14:solidFill>
              <w14:schemeClr w14:val="tx1"/>
            </w14:solidFill>
          </w14:textFill>
        </w:rPr>
        <w:t>。</w:t>
      </w:r>
    </w:p>
    <w:p w14:paraId="110C10FC">
      <w:pPr>
        <w:bidi w:val="0"/>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完全符合《第四师可克达拉市招商引资优惠政策》师市办发〔2024〕13号第二章产业导向里第三条：师市鼓励和重点发展的产业及项目（一）农副产品精深加工等农业产业化项目，加快发展生物制造、畜牧业、林果业、食品粮油加工、香料生产及研发、葡萄酒等产业，同时，符合招商引资重点产业集群项目，加快无公害、绿色、有机产品基地农业产业化体系建设。</w:t>
      </w:r>
    </w:p>
    <w:p w14:paraId="1F70E950">
      <w:pPr>
        <w:bidi w:val="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本项目建成后，不仅能辐射带动农户发展养殖业，</w:t>
      </w:r>
      <w:r>
        <w:rPr>
          <w:rFonts w:hint="eastAsia"/>
          <w:color w:val="000000" w:themeColor="text1"/>
          <w:lang w:val="en-US" w:eastAsia="zh-CN"/>
          <w14:textFill>
            <w14:solidFill>
              <w14:schemeClr w14:val="tx1"/>
            </w14:solidFill>
          </w14:textFill>
        </w:rPr>
        <w:t>利用</w:t>
      </w:r>
      <w:r>
        <w:rPr>
          <w:rFonts w:hint="eastAsia" w:ascii="Times New Roman" w:hAnsi="Times New Roman"/>
          <w:color w:val="000000" w:themeColor="text1"/>
          <w:lang w:val="en-US" w:eastAsia="zh-CN"/>
          <w14:textFill>
            <w14:solidFill>
              <w14:schemeClr w14:val="tx1"/>
            </w14:solidFill>
          </w14:textFill>
        </w:rPr>
        <w:t>当地丰富的</w:t>
      </w:r>
      <w:r>
        <w:rPr>
          <w:rFonts w:hint="eastAsia"/>
          <w:color w:val="000000" w:themeColor="text1"/>
          <w:lang w:val="en-US" w:eastAsia="zh-CN"/>
          <w14:textFill>
            <w14:solidFill>
              <w14:schemeClr w14:val="tx1"/>
            </w14:solidFill>
          </w14:textFill>
        </w:rPr>
        <w:t>农产品、</w:t>
      </w:r>
      <w:r>
        <w:rPr>
          <w:rFonts w:hint="eastAsia" w:ascii="Times New Roman" w:hAnsi="Times New Roman"/>
          <w:color w:val="000000" w:themeColor="text1"/>
          <w:lang w:val="en-US" w:eastAsia="zh-CN"/>
          <w14:textFill>
            <w14:solidFill>
              <w14:schemeClr w14:val="tx1"/>
            </w14:solidFill>
          </w14:textFill>
        </w:rPr>
        <w:t>养殖业、屠宰加工企业资源，带动第四师可克达拉市</w:t>
      </w:r>
      <w:r>
        <w:rPr>
          <w:rFonts w:hint="eastAsia"/>
          <w:color w:val="000000" w:themeColor="text1"/>
          <w:lang w:val="en-US" w:eastAsia="zh-CN"/>
          <w14:textFill>
            <w14:solidFill>
              <w14:schemeClr w14:val="tx1"/>
            </w14:solidFill>
          </w14:textFill>
        </w:rPr>
        <w:t>一二三产业融合</w:t>
      </w:r>
      <w:r>
        <w:rPr>
          <w:rFonts w:hint="eastAsia" w:ascii="Times New Roman" w:hAnsi="Times New Roman"/>
          <w:color w:val="000000" w:themeColor="text1"/>
          <w:lang w:val="en-US" w:eastAsia="zh-CN"/>
          <w14:textFill>
            <w14:solidFill>
              <w14:schemeClr w14:val="tx1"/>
            </w14:solidFill>
          </w14:textFill>
        </w:rPr>
        <w:t>发展，促进边疆建设，增加财政税收，带动地方经济发展，而且，能安置大量农村剩余劳动力，带动地方农户致富，不仅满足国际国内旺盛的肉制食品市场需求，有利于“一带一路”和进出口贸易发展，而且，有利于农产品电商平台、数字化经济等现代农业产业化发展，本项目经济效益和社会效益显著</w:t>
      </w:r>
      <w:r>
        <w:rPr>
          <w:rFonts w:ascii="Times New Roman" w:hAnsi="Times New Roman"/>
          <w:color w:val="000000" w:themeColor="text1"/>
          <w14:textFill>
            <w14:solidFill>
              <w14:schemeClr w14:val="tx1"/>
            </w14:solidFill>
          </w14:textFill>
        </w:rPr>
        <w:t>。</w:t>
      </w:r>
    </w:p>
    <w:p w14:paraId="4F34409F">
      <w:pPr>
        <w:pStyle w:val="4"/>
        <w:ind w:left="120"/>
        <w:rPr>
          <w:rFonts w:ascii="Times New Roman" w:hAnsi="Times New Roman" w:cs="Times New Roman"/>
          <w:color w:val="000000" w:themeColor="text1"/>
          <w:lang w:val="en-GB"/>
          <w14:textFill>
            <w14:solidFill>
              <w14:schemeClr w14:val="tx1"/>
            </w14:solidFill>
          </w14:textFill>
        </w:rPr>
      </w:pPr>
      <w:bookmarkStart w:id="9" w:name="_Toc483491970"/>
      <w:bookmarkStart w:id="10" w:name="_Toc490417055"/>
      <w:bookmarkStart w:id="11" w:name="_Toc1318"/>
      <w:r>
        <w:rPr>
          <w:rFonts w:ascii="Times New Roman" w:hAnsi="Times New Roman" w:cs="Times New Roman"/>
          <w:color w:val="000000" w:themeColor="text1"/>
          <w:lang w:val="en-GB"/>
          <w14:textFill>
            <w14:solidFill>
              <w14:schemeClr w14:val="tx1"/>
            </w14:solidFill>
          </w14:textFill>
        </w:rPr>
        <w:t>环境影响评价工作过程</w:t>
      </w:r>
      <w:bookmarkEnd w:id="9"/>
      <w:bookmarkEnd w:id="10"/>
      <w:bookmarkEnd w:id="11"/>
    </w:p>
    <w:p w14:paraId="75856A8C">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（1）接受委托</w:t>
      </w:r>
    </w:p>
    <w:p w14:paraId="683D99E4">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根据《中华人民共和国环境影响评价法</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建设项目环境保护管理条例》（国务院第682号令）及《建设项目环境影响评价分类管理目录（2021年版）》（环保部令第</w:t>
      </w:r>
      <w:r>
        <w:rPr>
          <w:rFonts w:hint="eastAsia" w:ascii="Times New Roman" w:hAnsi="Times New Roman" w:cs="Times New Roman"/>
          <w:color w:val="000000" w:themeColor="text1"/>
          <w:lang w:val="en-US" w:eastAsia="zh-CN"/>
          <w14:textFill>
            <w14:solidFill>
              <w14:schemeClr w14:val="tx1"/>
            </w14:solidFill>
          </w14:textFill>
        </w:rPr>
        <w:t>16</w:t>
      </w:r>
      <w:r>
        <w:rPr>
          <w:rFonts w:ascii="Times New Roman" w:hAnsi="Times New Roman" w:cs="Times New Roman"/>
          <w:color w:val="000000" w:themeColor="text1"/>
          <w14:textFill>
            <w14:solidFill>
              <w14:schemeClr w14:val="tx1"/>
            </w14:solidFill>
          </w14:textFill>
        </w:rPr>
        <w:t>号）中的有关规定，本项目属“二、畜牧业03”类别中“3</w:t>
      </w:r>
      <w:r>
        <w:rPr>
          <w:rFonts w:hint="eastAsia" w:ascii="Times New Roman" w:hAnsi="Times New Roman" w:cs="Times New Roman"/>
          <w:color w:val="000000" w:themeColor="text1"/>
          <w:lang w:val="en-US" w:eastAsia="zh-CN"/>
          <w14:textFill>
            <w14:solidFill>
              <w14:schemeClr w14:val="tx1"/>
            </w14:solidFill>
          </w14:textFill>
        </w:rPr>
        <w:t>家禽</w:t>
      </w:r>
      <w:r>
        <w:rPr>
          <w:rFonts w:ascii="Times New Roman" w:hAnsi="Times New Roman" w:cs="Times New Roman"/>
          <w:color w:val="000000" w:themeColor="text1"/>
          <w14:textFill>
            <w14:solidFill>
              <w14:schemeClr w14:val="tx1"/>
            </w14:solidFill>
          </w14:textFill>
        </w:rPr>
        <w:t>饲养03</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年出栏生猪5000头（其他畜禽种类折合猪的养殖量）及以上的规模化畜禽养殖；存栏生猪2500头（其他畜禽种类折合猪的养殖规模）及以上无出栏量的规模化畜禽养殖；涉及环境敏感区的规模化畜</w:t>
      </w:r>
      <w:r>
        <w:rPr>
          <w:rFonts w:ascii="Times New Roman" w:hAnsi="Times New Roman" w:cs="Times New Roman"/>
          <w:color w:val="000000" w:themeColor="text1"/>
          <w14:textFill>
            <w14:solidFill>
              <w14:schemeClr w14:val="tx1"/>
            </w14:solidFill>
          </w14:textFill>
        </w:rPr>
        <w:t>禽养殖”需编制环境影响评价报告书。本项目年存栏</w:t>
      </w:r>
      <w:r>
        <w:rPr>
          <w:rFonts w:hint="eastAsia" w:cs="Times New Roman"/>
          <w:color w:val="000000" w:themeColor="text1"/>
          <w:lang w:eastAsia="zh-CN"/>
          <w14:textFill>
            <w14:solidFill>
              <w14:schemeClr w14:val="tx1"/>
            </w14:solidFill>
          </w14:textFill>
        </w:rPr>
        <w:t>种鸡、种鸭共计</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lang w:val="en-US" w:eastAsia="zh-CN"/>
          <w14:textFill>
            <w14:solidFill>
              <w14:schemeClr w14:val="tx1"/>
            </w14:solidFill>
          </w14:textFill>
        </w:rPr>
        <w:t>万只，</w:t>
      </w:r>
      <w:r>
        <w:rPr>
          <w:rFonts w:hint="eastAsia" w:cs="Times New Roman"/>
          <w:color w:val="000000" w:themeColor="text1"/>
          <w:lang w:val="en-US" w:eastAsia="zh-CN"/>
          <w14:textFill>
            <w14:solidFill>
              <w14:schemeClr w14:val="tx1"/>
            </w14:solidFill>
          </w14:textFill>
        </w:rPr>
        <w:t>两</w:t>
      </w:r>
      <w:r>
        <w:rPr>
          <w:rFonts w:hint="eastAsia" w:ascii="Times New Roman" w:hAnsi="Times New Roman" w:cs="Times New Roman"/>
          <w:color w:val="000000" w:themeColor="text1"/>
          <w:lang w:val="en-US" w:eastAsia="zh-CN"/>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更换</w:t>
      </w:r>
      <w:r>
        <w:rPr>
          <w:rFonts w:hint="eastAsia" w:ascii="Times New Roman" w:hAnsi="Times New Roman" w:cs="Times New Roman"/>
          <w:color w:val="000000" w:themeColor="text1"/>
          <w:lang w:val="en-US" w:eastAsia="zh-CN"/>
          <w14:textFill>
            <w14:solidFill>
              <w14:schemeClr w14:val="tx1"/>
            </w14:solidFill>
          </w14:textFill>
        </w:rPr>
        <w:t>一次</w:t>
      </w:r>
      <w:r>
        <w:rPr>
          <w:rFonts w:ascii="Times New Roman" w:hAnsi="Times New Roman" w:cs="Times New Roman"/>
          <w:color w:val="000000" w:themeColor="text1"/>
          <w14:textFill>
            <w14:solidFill>
              <w14:schemeClr w14:val="tx1"/>
            </w14:solidFill>
          </w14:textFill>
        </w:rPr>
        <w:t>，根据</w:t>
      </w:r>
      <w:r>
        <w:rPr>
          <w:rFonts w:ascii="Times New Roman" w:hAnsi="Times New Roman" w:cs="Times New Roman"/>
          <w:color w:val="000000" w:themeColor="text1"/>
          <w:lang w:val="en-US" w:eastAsia="zh-CN"/>
          <w14:textFill>
            <w14:solidFill>
              <w14:schemeClr w14:val="tx1"/>
            </w14:solidFill>
          </w14:textFill>
        </w:rPr>
        <w:t>《排污许可证申请与核发技术规范 畜禽养殖</w:t>
      </w:r>
      <w:r>
        <w:rPr>
          <w:rFonts w:hint="default" w:ascii="Times New Roman" w:hAnsi="Times New Roman" w:cs="Times New Roman"/>
          <w:color w:val="000000" w:themeColor="text1"/>
          <w:lang w:val="en-US" w:eastAsia="zh-CN"/>
          <w14:textFill>
            <w14:solidFill>
              <w14:schemeClr w14:val="tx1"/>
            </w14:solidFill>
          </w14:textFill>
        </w:rPr>
        <w:t>行业</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eastAsia="zh-CN"/>
          <w14:textFill>
            <w14:solidFill>
              <w14:schemeClr w14:val="tx1"/>
            </w14:solidFill>
          </w14:textFill>
        </w:rPr>
        <w:t>HJ1029-2019</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30</w:t>
      </w:r>
      <w:r>
        <w:rPr>
          <w:rFonts w:ascii="Times New Roman" w:hAnsi="Times New Roman" w:cs="Times New Roman"/>
          <w:color w:val="000000" w:themeColor="text1"/>
          <w14:textFill>
            <w14:solidFill>
              <w14:schemeClr w14:val="tx1"/>
            </w14:solidFill>
          </w14:textFill>
        </w:rPr>
        <w:t>头</w:t>
      </w:r>
      <w:r>
        <w:rPr>
          <w:rFonts w:hint="eastAsia" w:ascii="Times New Roman" w:hAnsi="Times New Roman" w:cs="Times New Roman"/>
          <w:color w:val="000000" w:themeColor="text1"/>
          <w:lang w:val="en-US" w:eastAsia="zh-CN"/>
          <w14:textFill>
            <w14:solidFill>
              <w14:schemeClr w14:val="tx1"/>
            </w14:solidFill>
          </w14:textFill>
        </w:rPr>
        <w:t>蛋鸭（</w:t>
      </w:r>
      <w:r>
        <w:rPr>
          <w:rFonts w:hint="eastAsia" w:cs="Times New Roman"/>
          <w:color w:val="000000" w:themeColor="text1"/>
          <w:lang w:val="en-US" w:eastAsia="zh-CN"/>
          <w14:textFill>
            <w14:solidFill>
              <w14:schemeClr w14:val="tx1"/>
            </w14:solidFill>
          </w14:textFill>
        </w:rPr>
        <w:t>鸡</w:t>
      </w:r>
      <w:r>
        <w:rPr>
          <w:rFonts w:hint="eastAsia"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折算成</w:t>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头猪，本项目折合生猪存栏量为</w:t>
      </w:r>
      <w:r>
        <w:rPr>
          <w:rFonts w:hint="eastAsia" w:cs="Times New Roman"/>
          <w:color w:val="000000" w:themeColor="text1"/>
          <w:lang w:val="en-US" w:eastAsia="zh-CN"/>
          <w14:textFill>
            <w14:solidFill>
              <w14:schemeClr w14:val="tx1"/>
            </w14:solidFill>
          </w14:textFill>
        </w:rPr>
        <w:t>6000</w:t>
      </w:r>
      <w:r>
        <w:rPr>
          <w:rFonts w:ascii="Times New Roman" w:hAnsi="Times New Roman" w:cs="Times New Roman"/>
          <w:color w:val="000000" w:themeColor="text1"/>
          <w14:textFill>
            <w14:solidFill>
              <w14:schemeClr w14:val="tx1"/>
            </w14:solidFill>
          </w14:textFill>
        </w:rPr>
        <w:t>头，因此本项目应开展环境影响评价工作，编制环境影响报告书。为此，202</w:t>
      </w:r>
      <w:r>
        <w:rPr>
          <w:rFonts w:hint="eastAsia"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月</w:t>
      </w:r>
      <w:r>
        <w:rPr>
          <w:rFonts w:hint="eastAsia" w:cs="Times New Roman"/>
          <w:color w:val="000000" w:themeColor="text1"/>
          <w:lang w:eastAsia="zh-CN"/>
          <w14:textFill>
            <w14:solidFill>
              <w14:schemeClr w14:val="tx1"/>
            </w14:solidFill>
          </w14:textFill>
        </w:rPr>
        <w:t>新疆鼎成农业科技有限公司</w:t>
      </w:r>
      <w:r>
        <w:rPr>
          <w:rFonts w:ascii="Times New Roman" w:hAnsi="Times New Roman" w:cs="Times New Roman"/>
          <w:color w:val="000000" w:themeColor="text1"/>
          <w14:textFill>
            <w14:solidFill>
              <w14:schemeClr w14:val="tx1"/>
            </w14:solidFill>
          </w14:textFill>
        </w:rPr>
        <w:t>委托</w:t>
      </w:r>
      <w:r>
        <w:rPr>
          <w:rFonts w:hint="eastAsia" w:ascii="Times New Roman" w:hAnsi="Times New Roman" w:cs="Times New Roman"/>
          <w:color w:val="000000" w:themeColor="text1"/>
          <w:lang w:eastAsia="zh-CN"/>
          <w14:textFill>
            <w14:solidFill>
              <w14:schemeClr w14:val="tx1"/>
            </w14:solidFill>
          </w14:textFill>
        </w:rPr>
        <w:t>新疆花城勘测设计研究有限责任公司</w:t>
      </w:r>
      <w:r>
        <w:rPr>
          <w:rFonts w:ascii="Times New Roman" w:hAnsi="Times New Roman" w:cs="Times New Roman"/>
          <w:color w:val="000000" w:themeColor="text1"/>
          <w14:textFill>
            <w14:solidFill>
              <w14:schemeClr w14:val="tx1"/>
            </w14:solidFill>
          </w14:textFill>
        </w:rPr>
        <w:t>承担该项目的环境影响评价工作。</w:t>
      </w:r>
    </w:p>
    <w:p w14:paraId="474F09EB">
      <w:pPr>
        <w:pStyle w:val="11"/>
        <w:rPr>
          <w:rFonts w:hint="eastAsia" w:eastAsia="宋体"/>
          <w:lang w:eastAsia="zh-CN"/>
        </w:rPr>
      </w:pPr>
      <w:r>
        <w:rPr>
          <w:rFonts w:ascii="Times New Roman" w:hAnsi="Times New Roman" w:cs="Times New Roman"/>
          <w:color w:val="000000" w:themeColor="text1"/>
          <w14:textFill>
            <w14:solidFill>
              <w14:schemeClr w14:val="tx1"/>
            </w14:solidFill>
          </w14:textFill>
        </w:rPr>
        <w:t>根据</w:t>
      </w:r>
      <w:r>
        <w:rPr>
          <w:rFonts w:ascii="Times New Roman" w:hAnsi="Times New Roman" w:cs="Times New Roman"/>
          <w:color w:val="000000" w:themeColor="text1"/>
          <w:lang w:val="en-US" w:eastAsia="zh-CN"/>
          <w14:textFill>
            <w14:solidFill>
              <w14:schemeClr w14:val="tx1"/>
            </w14:solidFill>
          </w14:textFill>
        </w:rPr>
        <w:t>《排污许可证申请与核发技术规范 畜禽养殖</w:t>
      </w:r>
      <w:r>
        <w:rPr>
          <w:rFonts w:hint="default" w:ascii="Times New Roman" w:hAnsi="Times New Roman" w:cs="Times New Roman"/>
          <w:color w:val="000000" w:themeColor="text1"/>
          <w:lang w:val="en-US" w:eastAsia="zh-CN"/>
          <w14:textFill>
            <w14:solidFill>
              <w14:schemeClr w14:val="tx1"/>
            </w14:solidFill>
          </w14:textFill>
        </w:rPr>
        <w:t>行业</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en-US" w:eastAsia="zh-CN"/>
          <w14:textFill>
            <w14:solidFill>
              <w14:schemeClr w14:val="tx1"/>
            </w14:solidFill>
          </w14:textFill>
        </w:rPr>
        <w:t>HJ1029-2019</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鸡和鸭的污染当量一致，本次环评全部描述为种鸭，实际种鸡和种鸭的养殖量由业主根据市场需要决定，养殖过程中做好种类隔离，不影响环评结论。</w:t>
      </w:r>
    </w:p>
    <w:p w14:paraId="0B7F1E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（2）组建项目主要编写人员</w:t>
      </w:r>
    </w:p>
    <w:p w14:paraId="7ADAF1C5">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项目负责人根据建设单位提供项目有关资料，依据相关技术方法、导则的技术要求，就相关编写内容组建项目主要编写人员</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本项目共计安排编制人员</w:t>
      </w:r>
      <w:r>
        <w:rPr>
          <w:rFonts w:hint="eastAsia"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人</w:t>
      </w:r>
      <w:r>
        <w:rPr>
          <w:rFonts w:ascii="Times New Roman" w:hAnsi="Times New Roman" w:cs="Times New Roman"/>
          <w:color w:val="000000" w:themeColor="text1"/>
          <w14:textFill>
            <w14:solidFill>
              <w14:schemeClr w14:val="tx1"/>
            </w14:solidFill>
          </w14:textFill>
        </w:rPr>
        <w:t>。</w:t>
      </w:r>
    </w:p>
    <w:p w14:paraId="2B9F9C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（3）资料收集</w:t>
      </w:r>
    </w:p>
    <w:p w14:paraId="1FFDEA11">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做好本项目的环境保护工作，我公司在承担了该项目的环境影响评价工作后，按照环境影响评价工作程序，进行了现场初步踏勘和调查，收集了项目区及其相关地区的自然环境概况、社会经济概况和生态环境现状等基础资料。根据本项目的可行性研究报告，在现场初步调查和对本项目工程分析、环境影响识别等工作的基础上制定了环境影响评价工作方案。</w:t>
      </w:r>
    </w:p>
    <w:p w14:paraId="27E1B896">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（4）环境影响评价文本编制</w:t>
      </w:r>
    </w:p>
    <w:p w14:paraId="5132AB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通过对本项目资料收集和分析，环境现状监测资料分析与评价，依据《建设项目环境影响评价技术导则－总纲》（HJ2.1-2016）对报告书总体</w:t>
      </w:r>
      <w:r>
        <w:rPr>
          <w:rFonts w:hint="eastAsia" w:ascii="Times New Roman" w:hAnsi="Times New Roman" w:cs="Times New Roman"/>
          <w:color w:val="000000" w:themeColor="text1"/>
          <w:lang w:val="en-US" w:eastAsia="zh-CN"/>
          <w14:textFill>
            <w14:solidFill>
              <w14:schemeClr w14:val="tx1"/>
            </w14:solidFill>
          </w14:textFill>
        </w:rPr>
        <w:t>编制</w:t>
      </w:r>
      <w:r>
        <w:rPr>
          <w:rFonts w:ascii="Times New Roman" w:hAnsi="Times New Roman" w:cs="Times New Roman"/>
          <w:color w:val="000000" w:themeColor="text1"/>
          <w14:textFill>
            <w14:solidFill>
              <w14:schemeClr w14:val="tx1"/>
            </w14:solidFill>
          </w14:textFill>
        </w:rPr>
        <w:t>内容章节的安排与要求，根据相关环境影响评价的法律法规、技术要求及专项环境影响评价技术导则的编写技术要求，编制完成《</w:t>
      </w:r>
      <w:r>
        <w:rPr>
          <w:rFonts w:hint="eastAsia" w:cs="Times New Roman"/>
          <w:color w:val="000000" w:themeColor="text1"/>
          <w:lang w:eastAsia="zh-CN"/>
          <w14:textFill>
            <w14:solidFill>
              <w14:schemeClr w14:val="tx1"/>
            </w14:solidFill>
          </w14:textFill>
        </w:rPr>
        <w:t>第四师63团种禽养殖基地建设项目</w:t>
      </w:r>
      <w:r>
        <w:rPr>
          <w:rFonts w:ascii="Times New Roman" w:hAnsi="Times New Roman" w:cs="Times New Roman"/>
          <w:color w:val="000000" w:themeColor="text1"/>
          <w14:textFill>
            <w14:solidFill>
              <w14:schemeClr w14:val="tx1"/>
            </w14:solidFill>
          </w14:textFill>
        </w:rPr>
        <w:t>环境影响报告书》，报生态环境行政部门审批后，作为项目建设及生态环境行政部门实施监督管理的依据。</w:t>
      </w:r>
    </w:p>
    <w:p w14:paraId="5A7611E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环境影响评价工作一般分为三个阶段，即调查分析和工作方案制定阶段，分析论证和预测评价阶段，环境影响报告书编制阶段。具体流程见图1.2-1。</w:t>
      </w:r>
    </w:p>
    <w:p w14:paraId="5810063B">
      <w:pPr>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018405" cy="6332220"/>
            <wp:effectExtent l="0" t="0" r="0" b="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26"/>
                    <a:stretch>
                      <a:fillRect/>
                    </a:stretch>
                  </pic:blipFill>
                  <pic:spPr>
                    <a:xfrm>
                      <a:off x="0" y="0"/>
                      <a:ext cx="5018405" cy="6332220"/>
                    </a:xfrm>
                    <a:prstGeom prst="rect">
                      <a:avLst/>
                    </a:prstGeom>
                    <a:noFill/>
                    <a:ln>
                      <a:noFill/>
                    </a:ln>
                  </pic:spPr>
                </pic:pic>
              </a:graphicData>
            </a:graphic>
          </wp:inline>
        </w:drawing>
      </w:r>
    </w:p>
    <w:p w14:paraId="0D89124B">
      <w:pPr>
        <w:pStyle w:val="61"/>
        <w:spacing w:before="32" w:after="32"/>
        <w:ind w:firstLine="480"/>
        <w:rPr>
          <w:rFonts w:ascii="Times New Roman" w:hAnsi="Times New Roman" w:cs="Times New Roman"/>
          <w:b/>
          <w:bCs/>
          <w:color w:val="auto"/>
        </w:rPr>
      </w:pPr>
      <w:r>
        <w:rPr>
          <w:rFonts w:ascii="Times New Roman" w:hAnsi="Times New Roman" w:cs="Times New Roman"/>
          <w:b/>
          <w:bCs/>
          <w:color w:val="auto"/>
        </w:rPr>
        <w:t>图1.2-1    评价工作流程图</w:t>
      </w:r>
    </w:p>
    <w:p w14:paraId="6A2FB54F">
      <w:pPr>
        <w:pStyle w:val="4"/>
        <w:ind w:left="120"/>
        <w:rPr>
          <w:rFonts w:ascii="Times New Roman" w:hAnsi="Times New Roman" w:cs="Times New Roman"/>
          <w:color w:val="000000" w:themeColor="text1"/>
          <w14:textFill>
            <w14:solidFill>
              <w14:schemeClr w14:val="tx1"/>
            </w14:solidFill>
          </w14:textFill>
        </w:rPr>
      </w:pPr>
      <w:bookmarkStart w:id="12" w:name="_Toc500328296"/>
      <w:bookmarkStart w:id="13" w:name="_Toc13223"/>
      <w:r>
        <w:rPr>
          <w:rFonts w:ascii="Times New Roman" w:hAnsi="Times New Roman" w:cs="Times New Roman"/>
          <w:color w:val="000000" w:themeColor="text1"/>
          <w:lang w:val="en-GB"/>
          <w14:textFill>
            <w14:solidFill>
              <w14:schemeClr w14:val="tx1"/>
            </w14:solidFill>
          </w14:textFill>
        </w:rPr>
        <w:t>分析判定相关情况</w:t>
      </w:r>
      <w:bookmarkEnd w:id="12"/>
      <w:bookmarkEnd w:id="13"/>
    </w:p>
    <w:p w14:paraId="5FD8A060">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产业政策符合性分析</w:t>
      </w:r>
    </w:p>
    <w:p w14:paraId="4F19630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lang w:eastAsia="zh-CN"/>
          <w14:textFill>
            <w14:solidFill>
              <w14:schemeClr w14:val="tx1"/>
            </w14:solidFill>
          </w14:textFill>
        </w:rPr>
        <w:t>产业结构调整指导目录（2024年本）</w:t>
      </w:r>
      <w:r>
        <w:rPr>
          <w:rFonts w:ascii="Times New Roman" w:hAnsi="Times New Roman" w:cs="Times New Roman"/>
          <w:color w:val="000000" w:themeColor="text1"/>
          <w14:textFill>
            <w14:solidFill>
              <w14:schemeClr w14:val="tx1"/>
            </w14:solidFill>
          </w14:textFill>
        </w:rPr>
        <w:t>》，本项目属于鼓励类第一项，农林</w:t>
      </w:r>
      <w:r>
        <w:rPr>
          <w:rFonts w:hint="eastAsia" w:ascii="Times New Roman" w:hAnsi="Times New Roman" w:cs="Times New Roman"/>
          <w:color w:val="000000" w:themeColor="text1"/>
          <w:lang w:val="en-US" w:eastAsia="zh-CN"/>
          <w14:textFill>
            <w14:solidFill>
              <w14:schemeClr w14:val="tx1"/>
            </w14:solidFill>
          </w14:textFill>
        </w:rPr>
        <w:t>牧渔</w:t>
      </w:r>
      <w:r>
        <w:rPr>
          <w:rFonts w:ascii="Times New Roman" w:hAnsi="Times New Roman" w:cs="Times New Roman"/>
          <w:color w:val="000000" w:themeColor="text1"/>
          <w14:textFill>
            <w14:solidFill>
              <w14:schemeClr w14:val="tx1"/>
            </w14:solidFill>
          </w14:textFill>
        </w:rPr>
        <w:t>业中的第</w:t>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4小项：畜禽标准化</w:t>
      </w:r>
      <w:r>
        <w:rPr>
          <w:rFonts w:hint="eastAsia" w:ascii="Times New Roman" w:hAnsi="Times New Roman" w:cs="Times New Roman"/>
          <w:color w:val="000000" w:themeColor="text1"/>
          <w:lang w:val="en-US" w:eastAsia="zh-CN"/>
          <w14:textFill>
            <w14:solidFill>
              <w14:schemeClr w14:val="tx1"/>
            </w14:solidFill>
          </w14:textFill>
        </w:rPr>
        <w:t>规模</w:t>
      </w:r>
      <w:r>
        <w:rPr>
          <w:rFonts w:ascii="Times New Roman" w:hAnsi="Times New Roman" w:cs="Times New Roman"/>
          <w:color w:val="000000" w:themeColor="text1"/>
          <w14:textFill>
            <w14:solidFill>
              <w14:schemeClr w14:val="tx1"/>
            </w14:solidFill>
          </w14:textFill>
        </w:rPr>
        <w:t>养殖技术开发与应用，因此本项目符合国家产业政策。本项目已于202</w:t>
      </w:r>
      <w:r>
        <w:rPr>
          <w:rFonts w:hint="eastAsia"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11</w:t>
      </w:r>
      <w:r>
        <w:rPr>
          <w:rFonts w:ascii="Times New Roman" w:hAnsi="Times New Roman" w:cs="Times New Roman"/>
          <w:color w:val="000000" w:themeColor="text1"/>
          <w14:textFill>
            <w14:solidFill>
              <w14:schemeClr w14:val="tx1"/>
            </w14:solidFill>
          </w14:textFill>
        </w:rPr>
        <w:t>日取得</w:t>
      </w:r>
      <w:r>
        <w:rPr>
          <w:rFonts w:hint="eastAsia" w:ascii="Times New Roman" w:hAnsi="Times New Roman" w:cs="Times New Roman"/>
          <w:color w:val="000000" w:themeColor="text1"/>
          <w:lang w:val="en-US" w:eastAsia="zh-CN"/>
          <w14:textFill>
            <w14:solidFill>
              <w14:schemeClr w14:val="tx1"/>
            </w14:solidFill>
          </w14:textFill>
        </w:rPr>
        <w:t>第四师六十三团经济发展办公室</w:t>
      </w:r>
      <w:r>
        <w:rPr>
          <w:rFonts w:ascii="Times New Roman" w:hAnsi="Times New Roman" w:cs="Times New Roman"/>
          <w:color w:val="000000" w:themeColor="text1"/>
          <w14:textFill>
            <w14:solidFill>
              <w14:schemeClr w14:val="tx1"/>
            </w14:solidFill>
          </w14:textFill>
        </w:rPr>
        <w:t>关于《</w:t>
      </w:r>
      <w:r>
        <w:rPr>
          <w:rFonts w:hint="eastAsia" w:cs="Times New Roman"/>
          <w:color w:val="000000" w:themeColor="text1"/>
          <w:lang w:eastAsia="zh-CN"/>
          <w14:textFill>
            <w14:solidFill>
              <w14:schemeClr w14:val="tx1"/>
            </w14:solidFill>
          </w14:textFill>
        </w:rPr>
        <w:t>第四师63团种禽养殖基地建设项目</w:t>
      </w:r>
      <w:r>
        <w:rPr>
          <w:rFonts w:ascii="Times New Roman" w:hAnsi="Times New Roman" w:cs="Times New Roman"/>
          <w:color w:val="000000" w:themeColor="text1"/>
          <w14:textFill>
            <w14:solidFill>
              <w14:schemeClr w14:val="tx1"/>
            </w14:solidFill>
          </w14:textFill>
        </w:rPr>
        <w:t>备案证》（</w:t>
      </w:r>
      <w:r>
        <w:rPr>
          <w:rFonts w:hint="eastAsia" w:ascii="Times New Roman" w:hAnsi="Times New Roman" w:cs="Times New Roman"/>
          <w:color w:val="000000" w:themeColor="text1"/>
          <w:lang w:val="en-US" w:eastAsia="zh-CN"/>
          <w14:textFill>
            <w14:solidFill>
              <w14:schemeClr w14:val="tx1"/>
            </w14:solidFill>
          </w14:textFill>
        </w:rPr>
        <w:t>经发办备</w:t>
      </w:r>
      <w:r>
        <w:rPr>
          <w:rFonts w:hint="eastAsia" w:cs="Times New Roman"/>
          <w:color w:val="000000" w:themeColor="text1"/>
          <w:lang w:val="en-US" w:eastAsia="zh-CN"/>
          <w14:textFill>
            <w14:solidFill>
              <w14:schemeClr w14:val="tx1"/>
            </w14:solidFill>
          </w14:textFill>
        </w:rPr>
        <w:t>〔2025〕5号</w:t>
      </w:r>
      <w:r>
        <w:rPr>
          <w:rFonts w:ascii="Times New Roman" w:hAnsi="Times New Roman" w:cs="Times New Roman"/>
          <w:color w:val="000000" w:themeColor="text1"/>
          <w14:textFill>
            <w14:solidFill>
              <w14:schemeClr w14:val="tx1"/>
            </w14:solidFill>
          </w14:textFill>
        </w:rPr>
        <w:t>）。</w:t>
      </w:r>
      <w:bookmarkStart w:id="14" w:name="_Toc4934"/>
    </w:p>
    <w:p w14:paraId="467E8CAA">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根据《市场准入负面清单（2022年版）》要求，本项目属于畜禽养殖，不属于该清单中的禁止准入类，本项目符合相关要求。</w:t>
      </w:r>
    </w:p>
    <w:p w14:paraId="3DC2623F">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相关法律法规符合性分析</w:t>
      </w:r>
      <w:bookmarkEnd w:id="14"/>
    </w:p>
    <w:p w14:paraId="545199E0">
      <w:pPr>
        <w:ind w:firstLine="480"/>
        <w:rPr>
          <w:rFonts w:ascii="Times New Roman" w:hAnsi="Times New Roman" w:cs="Times New Roman"/>
          <w:color w:val="000000" w:themeColor="text1"/>
          <w14:textFill>
            <w14:solidFill>
              <w14:schemeClr w14:val="tx1"/>
            </w14:solidFill>
          </w14:textFill>
        </w:rPr>
      </w:pPr>
      <w:bookmarkStart w:id="15" w:name="_Toc12086"/>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与《中华人民共和国畜牧法》符合性分析</w:t>
      </w:r>
      <w:bookmarkEnd w:id="15"/>
    </w:p>
    <w:p w14:paraId="01A4D66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第三十七条：国家支持农村集体经济组织、农民和畜牧业合作经济组织建立畜禽养殖场、养殖小区，发展规模化、标准化养殖。乡（镇）土地利用总体规划应当根据本地实际情况安排畜禽养殖用地。农村集体经济组织、农民、畜牧业合作经济组织按照乡（镇）土地利用总体规划建立的畜禽养殖场、养殖小区用地按农业用地管理。畜禽养殖场、养殖小区用地使用权期限届满，需要恢复原用途的，由畜禽养殖场、养殖小区土地使用权人负责恢复。在畜禽养殖场、养殖小区用地范围内需要兴建永久性建（构）筑物，涉及农用地转用的，依照《中华人民共和国土地管理法》的规定办理。</w:t>
      </w:r>
    </w:p>
    <w:p w14:paraId="4A1767F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第三十九条畜禽养殖场、养殖小区应当具备下列条件：（一）有与其饲养规模相适应的生产场所和配套的生产设施；（二）有为其服务的畜牧兽医技术人员；（三）具备法律、行政法规和国务院畜牧兽医行政主管部门规定的防疫条件；（四）有对畜禽粪便、废水和其他固体废弃物进行综合利用的氧化池等设施或者其他无害化处理设施；（五）具备法律、行政法规规定的其他条件。</w:t>
      </w:r>
    </w:p>
    <w:p w14:paraId="6F5EEB7D">
      <w:pPr>
        <w:ind w:firstLine="480"/>
        <w:rPr>
          <w:rFonts w:ascii="Times New Roman" w:hAnsi="Times New Roman" w:cs="Times New Roman"/>
          <w:color w:val="auto"/>
        </w:rPr>
      </w:pPr>
      <w:r>
        <w:rPr>
          <w:rFonts w:ascii="Times New Roman" w:hAnsi="Times New Roman" w:cs="Times New Roman"/>
          <w:color w:val="000000" w:themeColor="text1"/>
          <w14:textFill>
            <w14:solidFill>
              <w14:schemeClr w14:val="tx1"/>
            </w14:solidFill>
          </w14:textFill>
        </w:rPr>
        <w:t>第四十条禁止在下列区域内建设畜禽养殖场、养殖小区：（一）生活饮用水的水源保护区，风景名胜区，以及自然保护区的核心区和缓冲区；（</w:t>
      </w:r>
      <w:r>
        <w:rPr>
          <w:rFonts w:ascii="Times New Roman" w:hAnsi="Times New Roman" w:cs="Times New Roman"/>
          <w:color w:val="auto"/>
        </w:rPr>
        <w:t>二）城镇居民区、文化教育科学研究区等人口集中区域；（三）</w:t>
      </w:r>
      <w:r>
        <w:rPr>
          <w:rFonts w:hint="eastAsia" w:ascii="Times New Roman" w:hAnsi="Times New Roman" w:cs="Times New Roman"/>
          <w:color w:val="auto"/>
          <w:lang w:eastAsia="zh-CN"/>
        </w:rPr>
        <w:t>法律法规</w:t>
      </w:r>
      <w:r>
        <w:rPr>
          <w:rFonts w:ascii="Times New Roman" w:hAnsi="Times New Roman" w:cs="Times New Roman"/>
          <w:color w:val="auto"/>
        </w:rPr>
        <w:t>规定的其他禁养区域。</w:t>
      </w:r>
    </w:p>
    <w:p w14:paraId="188511B8">
      <w:pPr>
        <w:ind w:firstLine="480"/>
        <w:rPr>
          <w:rFonts w:ascii="Times New Roman" w:hAnsi="Times New Roman" w:cs="Times New Roman"/>
          <w:color w:val="auto"/>
        </w:rPr>
      </w:pPr>
      <w:r>
        <w:rPr>
          <w:rFonts w:ascii="Times New Roman" w:hAnsi="Times New Roman" w:cs="Times New Roman"/>
          <w:color w:val="auto"/>
        </w:rPr>
        <w:t>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w:t>
      </w:r>
      <w:r>
        <w:rPr>
          <w:rFonts w:ascii="Times New Roman" w:hAnsi="Times New Roman" w:cs="Times New Roman"/>
          <w:color w:val="auto"/>
        </w:rPr>
        <w:t>km范围内无城镇居民区、文化教育科学研究区等人口集中区域，不涉及风景名胜区、自然保护区的核心区和缓冲区。因此，项目建设符合《中华人民共和国畜牧法》相关要求。</w:t>
      </w:r>
    </w:p>
    <w:p w14:paraId="7851A40A">
      <w:pPr>
        <w:ind w:firstLine="480"/>
        <w:rPr>
          <w:rFonts w:ascii="Times New Roman" w:hAnsi="Times New Roman" w:cs="Times New Roman"/>
          <w:color w:val="auto"/>
        </w:rPr>
      </w:pPr>
      <w:bookmarkStart w:id="16" w:name="_Toc31533"/>
      <w:r>
        <w:rPr>
          <w:rFonts w:hint="eastAsia" w:cs="Times New Roman"/>
          <w:color w:val="auto"/>
          <w:lang w:eastAsia="zh-CN"/>
        </w:rPr>
        <w:t>2.</w:t>
      </w:r>
      <w:r>
        <w:rPr>
          <w:rFonts w:ascii="Times New Roman" w:hAnsi="Times New Roman" w:cs="Times New Roman"/>
          <w:color w:val="auto"/>
        </w:rPr>
        <w:t>与《中华人民共和国动物防疫法》符合性分析</w:t>
      </w:r>
      <w:bookmarkEnd w:id="16"/>
    </w:p>
    <w:p w14:paraId="21021740">
      <w:pPr>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第七条从事动物饲养、屠宰、经营、隔离、运输以及动物产品生产、经营、加工、贮藏等活动的单位和个人，依照本法和国务院农业农村主管部门的规定，做好免疫、消毒、检测、隔离、净化、消灭、无害化处理等动物防疫工作，承担动物防疫相关责任。</w:t>
      </w:r>
    </w:p>
    <w:p w14:paraId="0F8927A8">
      <w:pPr>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本项目车辆出入口设置消毒池，人员通道设置消毒间，养殖区定期消毒，</w:t>
      </w:r>
      <w:r>
        <w:rPr>
          <w:rFonts w:hint="eastAsia" w:eastAsia="宋体" w:cs="Times New Roman"/>
          <w:color w:val="000000" w:themeColor="text1"/>
          <w:lang w:val="en-US" w:eastAsia="zh-CN"/>
          <w14:textFill>
            <w14:solidFill>
              <w14:schemeClr w14:val="tx1"/>
            </w14:solidFill>
          </w14:textFill>
        </w:rPr>
        <w:t>淘汰鸭、</w:t>
      </w:r>
      <w:r>
        <w:rPr>
          <w:rFonts w:ascii="Times New Roman" w:hAnsi="Times New Roman" w:eastAsia="宋体" w:cs="Times New Roman"/>
          <w:color w:val="000000" w:themeColor="text1"/>
          <w14:textFill>
            <w14:solidFill>
              <w14:schemeClr w14:val="tx1"/>
            </w14:solidFill>
          </w14:textFill>
        </w:rPr>
        <w:t>病死</w:t>
      </w:r>
      <w:r>
        <w:rPr>
          <w:rFonts w:hint="eastAsia" w:ascii="Times New Roman" w:hAnsi="Times New Roman" w:eastAsia="宋体" w:cs="Times New Roman"/>
          <w:color w:val="000000" w:themeColor="text1"/>
          <w:lang w:eastAsia="zh-CN"/>
          <w14:textFill>
            <w14:solidFill>
              <w14:schemeClr w14:val="tx1"/>
            </w14:solidFill>
          </w14:textFill>
        </w:rPr>
        <w:t>鸭</w:t>
      </w:r>
      <w:r>
        <w:rPr>
          <w:rFonts w:ascii="Times New Roman" w:hAnsi="Times New Roman" w:eastAsia="宋体" w:cs="Times New Roman"/>
          <w:color w:val="000000" w:themeColor="text1"/>
          <w14:textFill>
            <w14:solidFill>
              <w14:schemeClr w14:val="tx1"/>
            </w14:solidFill>
          </w14:textFill>
        </w:rPr>
        <w:t>尸体</w:t>
      </w:r>
      <w:r>
        <w:rPr>
          <w:rFonts w:ascii="Times New Roman" w:hAnsi="Times New Roman" w:cs="Times New Roman"/>
          <w:color w:val="000000" w:themeColor="text1"/>
          <w14:textFill>
            <w14:solidFill>
              <w14:schemeClr w14:val="tx1"/>
            </w14:solidFill>
          </w14:textFill>
        </w:rPr>
        <w:t>委托伊宁市病死畜禽无害化处理中心处理，</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场设专职兽医，负责防疫、检疫和治疗工作。各项动物防疫工作均满足本法和国务院农业农村主管部门的规定。</w:t>
      </w:r>
    </w:p>
    <w:p w14:paraId="446F1351">
      <w:pPr>
        <w:ind w:firstLine="480"/>
        <w:rPr>
          <w:rFonts w:ascii="Times New Roman" w:hAnsi="Times New Roman" w:cs="Times New Roman"/>
          <w:color w:val="auto"/>
        </w:rPr>
      </w:pPr>
      <w:r>
        <w:rPr>
          <w:rFonts w:ascii="Times New Roman" w:hAnsi="Times New Roman" w:cs="Times New Roman"/>
          <w:color w:val="auto"/>
        </w:rPr>
        <w:t>第十七条饲养动物的单位和个人应当履行动物疫病强制免疫义务，按照强制免疫计划和技术规范，对动物实施免疫接种，并按照国家有关规定建立免疫档案、加施畜禽标识，保证可追溯。</w:t>
      </w:r>
    </w:p>
    <w:p w14:paraId="42CD89CB">
      <w:pPr>
        <w:ind w:firstLine="480"/>
        <w:rPr>
          <w:rFonts w:ascii="Times New Roman" w:hAnsi="Times New Roman" w:cs="Times New Roman"/>
          <w:color w:val="auto"/>
        </w:rPr>
      </w:pPr>
      <w:r>
        <w:rPr>
          <w:rFonts w:ascii="Times New Roman" w:hAnsi="Times New Roman" w:cs="Times New Roman"/>
          <w:color w:val="auto"/>
        </w:rPr>
        <w:t>实施强制免疫接种的动物未达到免疫质量要求，实施补充免疫接种后仍不符合免疫质量要求的，有关单位和个人应当按照国家有关规定处理。</w:t>
      </w:r>
    </w:p>
    <w:p w14:paraId="56D0FDD5">
      <w:pPr>
        <w:ind w:firstLine="480"/>
        <w:rPr>
          <w:rFonts w:ascii="Times New Roman" w:hAnsi="Times New Roman" w:cs="Times New Roman"/>
          <w:color w:val="auto"/>
        </w:rPr>
      </w:pPr>
      <w:r>
        <w:rPr>
          <w:rFonts w:ascii="Times New Roman" w:hAnsi="Times New Roman" w:cs="Times New Roman"/>
          <w:color w:val="auto"/>
        </w:rPr>
        <w:t>用于预防接种的疫苗应当符合国家质量标准。</w:t>
      </w:r>
    </w:p>
    <w:p w14:paraId="3A5A8DC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本项目初检合格的</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进行编号、称重、消毒后进入圈舍</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对健康</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只进行驱虫、</w:t>
      </w:r>
      <w:r>
        <w:rPr>
          <w:rFonts w:hint="eastAsia" w:ascii="Times New Roman" w:hAnsi="Times New Roman" w:cs="Times New Roman"/>
          <w:color w:val="000000" w:themeColor="text1"/>
          <w:lang w:val="en-US" w:eastAsia="zh-CN"/>
          <w14:textFill>
            <w14:solidFill>
              <w14:schemeClr w14:val="tx1"/>
            </w14:solidFill>
          </w14:textFill>
        </w:rPr>
        <w:t>打疫苗</w:t>
      </w:r>
      <w:r>
        <w:rPr>
          <w:rFonts w:ascii="Times New Roman" w:hAnsi="Times New Roman" w:cs="Times New Roman"/>
          <w:color w:val="000000" w:themeColor="text1"/>
          <w14:textFill>
            <w14:solidFill>
              <w14:schemeClr w14:val="tx1"/>
            </w14:solidFill>
          </w14:textFill>
        </w:rPr>
        <w:t>。用于预防接种的疫苗均符合国家质量标准。</w:t>
      </w:r>
    </w:p>
    <w:p w14:paraId="31315838">
      <w:pPr>
        <w:ind w:firstLine="480"/>
        <w:rPr>
          <w:rFonts w:ascii="Times New Roman" w:hAnsi="Times New Roman" w:cs="Times New Roman"/>
          <w:color w:val="auto"/>
        </w:rPr>
      </w:pPr>
      <w:r>
        <w:rPr>
          <w:rFonts w:ascii="Times New Roman" w:hAnsi="Times New Roman" w:cs="Times New Roman"/>
          <w:color w:val="auto"/>
        </w:rPr>
        <w:t>第二十四条、动物饲养场和隔离场所、动物屠宰加工场所以及动物和动物产品无害化处理场所，应当符合下列动物防疫条件：</w:t>
      </w:r>
    </w:p>
    <w:p w14:paraId="22BA2080">
      <w:pPr>
        <w:ind w:firstLine="480"/>
        <w:rPr>
          <w:rFonts w:ascii="Times New Roman" w:hAnsi="Times New Roman" w:cs="Times New Roman"/>
          <w:color w:val="auto"/>
        </w:rPr>
      </w:pPr>
      <w:r>
        <w:rPr>
          <w:rFonts w:ascii="Times New Roman" w:hAnsi="Times New Roman" w:cs="Times New Roman"/>
          <w:color w:val="auto"/>
        </w:rPr>
        <w:t>（一）场所的位置与居民生活区、生活饮用水水源地、学校、医院等公共场所的距离符合国务院农业农村主管部门的规定；</w:t>
      </w:r>
    </w:p>
    <w:p w14:paraId="0820E817">
      <w:pPr>
        <w:ind w:firstLine="480"/>
        <w:rPr>
          <w:rFonts w:ascii="Times New Roman" w:hAnsi="Times New Roman" w:cs="Times New Roman"/>
          <w:color w:val="auto"/>
        </w:rPr>
      </w:pPr>
      <w:r>
        <w:rPr>
          <w:rFonts w:ascii="Times New Roman" w:hAnsi="Times New Roman" w:cs="Times New Roman"/>
          <w:color w:val="auto"/>
        </w:rPr>
        <w:t>（二）生产经营区域封闭隔离，工程设计和有关流程符合动物防疫要求；</w:t>
      </w:r>
    </w:p>
    <w:p w14:paraId="7D5C066A">
      <w:pPr>
        <w:ind w:firstLine="480"/>
        <w:rPr>
          <w:rFonts w:ascii="Times New Roman" w:hAnsi="Times New Roman" w:cs="Times New Roman"/>
          <w:color w:val="auto"/>
        </w:rPr>
      </w:pPr>
      <w:r>
        <w:rPr>
          <w:rFonts w:ascii="Times New Roman" w:hAnsi="Times New Roman" w:cs="Times New Roman"/>
          <w:color w:val="auto"/>
        </w:rPr>
        <w:t>（三）有与其规模相适应的污水、污物处理设施，病死动物、病害动物产品无害化处理设施设备或者冷藏冷冻设施设备，以及清洗消毒设施设备；</w:t>
      </w:r>
    </w:p>
    <w:p w14:paraId="7E0F3900">
      <w:pPr>
        <w:ind w:firstLine="480"/>
        <w:rPr>
          <w:rFonts w:ascii="Times New Roman" w:hAnsi="Times New Roman" w:cs="Times New Roman"/>
          <w:color w:val="auto"/>
        </w:rPr>
      </w:pPr>
      <w:r>
        <w:rPr>
          <w:rFonts w:ascii="Times New Roman" w:hAnsi="Times New Roman" w:cs="Times New Roman"/>
          <w:color w:val="auto"/>
        </w:rPr>
        <w:t>（四）有与其规模相适应的执业兽医或者动物防疫技术人员；</w:t>
      </w:r>
    </w:p>
    <w:p w14:paraId="6A45D7CA">
      <w:pPr>
        <w:ind w:firstLine="480"/>
        <w:rPr>
          <w:rFonts w:ascii="Times New Roman" w:hAnsi="Times New Roman" w:cs="Times New Roman"/>
          <w:color w:val="auto"/>
        </w:rPr>
      </w:pPr>
      <w:r>
        <w:rPr>
          <w:rFonts w:ascii="Times New Roman" w:hAnsi="Times New Roman" w:cs="Times New Roman"/>
          <w:color w:val="auto"/>
        </w:rPr>
        <w:t>（五）有完善的隔离消毒、购销台账、日常巡查等动物防疫制度；</w:t>
      </w:r>
    </w:p>
    <w:p w14:paraId="385BDE01">
      <w:pPr>
        <w:ind w:firstLine="480"/>
        <w:rPr>
          <w:rFonts w:ascii="Times New Roman" w:hAnsi="Times New Roman" w:cs="Times New Roman"/>
          <w:color w:val="auto"/>
        </w:rPr>
      </w:pPr>
      <w:r>
        <w:rPr>
          <w:rFonts w:ascii="Times New Roman" w:hAnsi="Times New Roman" w:cs="Times New Roman"/>
          <w:color w:val="auto"/>
        </w:rPr>
        <w:t>（六）具备国务院农业农村主管部门规定的其他动物防疫条件。</w:t>
      </w:r>
    </w:p>
    <w:p w14:paraId="1D633EB8">
      <w:pPr>
        <w:ind w:firstLine="480"/>
        <w:rPr>
          <w:rFonts w:ascii="Times New Roman" w:hAnsi="Times New Roman" w:cs="Times New Roman"/>
          <w:color w:val="auto"/>
        </w:rPr>
      </w:pPr>
      <w:r>
        <w:rPr>
          <w:rFonts w:ascii="Times New Roman" w:hAnsi="Times New Roman" w:cs="Times New Roman"/>
          <w:color w:val="auto"/>
        </w:rPr>
        <w:t>动物和动物产品无害化处理场所除应当符合前款规定的条件外，还应当具有病原检测设备、检测能力和符合动物防疫要求的专用运输车辆。</w:t>
      </w:r>
    </w:p>
    <w:p w14:paraId="1CD285B6">
      <w:pPr>
        <w:ind w:firstLine="480"/>
        <w:rPr>
          <w:rFonts w:ascii="Times New Roman" w:hAnsi="Times New Roman" w:cs="Times New Roman"/>
          <w:color w:val="auto"/>
        </w:rPr>
      </w:pPr>
      <w:r>
        <w:rPr>
          <w:rFonts w:ascii="Times New Roman" w:hAnsi="Times New Roman" w:cs="Times New Roman"/>
          <w:color w:val="auto"/>
        </w:rPr>
        <w:t>本项目远离居民生活区、生活饮用水水源地、学校、医院等公共场所；本项目养殖区与其他区域分区布设；项目</w:t>
      </w:r>
      <w:r>
        <w:rPr>
          <w:rFonts w:hint="eastAsia" w:cs="Times New Roman"/>
          <w:color w:val="auto"/>
          <w:lang w:eastAsia="zh-CN"/>
        </w:rPr>
        <w:t>养鸭</w:t>
      </w:r>
      <w:r>
        <w:rPr>
          <w:rFonts w:ascii="Times New Roman" w:hAnsi="Times New Roman" w:cs="Times New Roman"/>
          <w:color w:val="auto"/>
        </w:rPr>
        <w:t>废水</w:t>
      </w:r>
      <w:r>
        <w:rPr>
          <w:rFonts w:hint="eastAsia" w:cs="Times New Roman"/>
          <w:color w:val="auto"/>
          <w:lang w:eastAsia="zh-CN"/>
        </w:rPr>
        <w:t>经管道排放到养殖区污水处理设施</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处理后用于养殖区绿化浇灌</w:t>
      </w:r>
      <w:r>
        <w:rPr>
          <w:rFonts w:hint="eastAsia" w:cs="Times New Roman"/>
          <w:color w:val="auto"/>
          <w:lang w:eastAsia="zh-CN"/>
        </w:rPr>
        <w:t>。</w:t>
      </w:r>
      <w:r>
        <w:rPr>
          <w:rFonts w:hint="eastAsia" w:cs="Times New Roman"/>
          <w:color w:val="auto"/>
          <w:lang w:val="en-US" w:eastAsia="zh-CN"/>
        </w:rPr>
        <w:t>项目每个养殖周期集中清粪，</w:t>
      </w:r>
      <w:r>
        <w:rPr>
          <w:rFonts w:hint="eastAsia" w:ascii="Times New Roman" w:hAnsi="Times New Roman" w:cs="Times New Roman"/>
          <w:color w:val="auto"/>
          <w:lang w:val="en-US" w:eastAsia="zh-CN"/>
        </w:rPr>
        <w:t>拉运至63团3连粪污处理场</w:t>
      </w:r>
      <w:r>
        <w:rPr>
          <w:rFonts w:ascii="Times New Roman" w:hAnsi="Times New Roman" w:cs="Times New Roman"/>
          <w:color w:val="auto"/>
        </w:rPr>
        <w:t>，</w:t>
      </w:r>
      <w:r>
        <w:rPr>
          <w:rFonts w:hint="eastAsia" w:cs="Times New Roman"/>
          <w:color w:val="auto"/>
          <w:lang w:eastAsia="zh-CN"/>
        </w:rPr>
        <w:t>现场不贮存；</w:t>
      </w:r>
      <w:r>
        <w:rPr>
          <w:rFonts w:hint="eastAsia" w:cs="Times New Roman"/>
          <w:color w:val="auto"/>
          <w:lang w:val="en-US" w:eastAsia="zh-CN"/>
        </w:rPr>
        <w:t>淘汰鸭、</w:t>
      </w:r>
      <w:r>
        <w:rPr>
          <w:rFonts w:ascii="Times New Roman" w:hAnsi="Times New Roman" w:cs="Times New Roman"/>
          <w:color w:val="auto"/>
        </w:rPr>
        <w:t>病死</w:t>
      </w:r>
      <w:r>
        <w:rPr>
          <w:rFonts w:hint="eastAsia" w:ascii="Times New Roman" w:hAnsi="Times New Roman" w:cs="Times New Roman"/>
          <w:color w:val="auto"/>
          <w:lang w:eastAsia="zh-CN"/>
        </w:rPr>
        <w:t>鸭</w:t>
      </w:r>
      <w:r>
        <w:rPr>
          <w:rFonts w:ascii="Times New Roman" w:hAnsi="Times New Roman" w:cs="Times New Roman"/>
          <w:color w:val="auto"/>
        </w:rPr>
        <w:t>尸体委托伊宁市病死畜禽无害化处理中心处理；</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场设专职兽医，负责防疫、检疫和治疗工作，医疗废物暂存于危险废物暂存间，由有危险废物处理资质单位处理；项目车辆出入口设置消毒池，人员通道设置消毒间，养殖区定期消毒。场区符合以上动物防疫条件。</w:t>
      </w:r>
    </w:p>
    <w:p w14:paraId="0B8CA5F0">
      <w:pPr>
        <w:ind w:firstLine="480"/>
        <w:rPr>
          <w:rFonts w:ascii="Times New Roman" w:hAnsi="Times New Roman" w:cs="Times New Roman"/>
          <w:color w:val="auto"/>
        </w:rPr>
      </w:pPr>
      <w:r>
        <w:rPr>
          <w:rFonts w:ascii="Times New Roman" w:hAnsi="Times New Roman" w:cs="Times New Roman"/>
          <w:color w:val="auto"/>
        </w:rPr>
        <w:t>第五十七条、从事动物饲养、屠宰、经营、隔离以及动物产品生产、经营、加工、贮藏等活动的单位和个人，应当按照国家有关规定做好病死动物、病害动物产品的无害化处理，或者委托动物和动物产品无害化处理场所处理。</w:t>
      </w:r>
    </w:p>
    <w:p w14:paraId="3978C0D2">
      <w:pPr>
        <w:ind w:firstLine="480"/>
        <w:rPr>
          <w:rFonts w:ascii="Times New Roman" w:hAnsi="Times New Roman" w:cs="Times New Roman"/>
          <w:color w:val="auto"/>
        </w:rPr>
      </w:pPr>
      <w:r>
        <w:rPr>
          <w:rFonts w:ascii="Times New Roman" w:hAnsi="Times New Roman" w:cs="Times New Roman"/>
          <w:color w:val="auto"/>
        </w:rPr>
        <w:t>从事动物、动物产品运输的单位和个人，应当配合做好病死动物和病害动物产品的无害化处理，不得在途中擅自弃置和处理有关动物和动物产品。</w:t>
      </w:r>
    </w:p>
    <w:p w14:paraId="730E47D9">
      <w:pPr>
        <w:ind w:firstLine="480"/>
        <w:rPr>
          <w:rFonts w:ascii="Times New Roman" w:hAnsi="Times New Roman" w:cs="Times New Roman"/>
          <w:color w:val="auto"/>
        </w:rPr>
      </w:pPr>
      <w:r>
        <w:rPr>
          <w:rFonts w:ascii="Times New Roman" w:hAnsi="Times New Roman" w:cs="Times New Roman"/>
          <w:color w:val="auto"/>
        </w:rPr>
        <w:t>本项目</w:t>
      </w:r>
      <w:r>
        <w:rPr>
          <w:rFonts w:hint="eastAsia" w:cs="Times New Roman"/>
          <w:color w:val="auto"/>
          <w:lang w:eastAsia="zh-CN"/>
        </w:rPr>
        <w:t>淘汰鸭、病死鸭</w:t>
      </w:r>
      <w:r>
        <w:rPr>
          <w:rFonts w:ascii="Times New Roman" w:hAnsi="Times New Roman" w:cs="Times New Roman"/>
          <w:color w:val="auto"/>
        </w:rPr>
        <w:t>尸体委托伊宁市病死畜禽无害化处理中心处理；兽用医疗废物暂存于危险废物暂存间，由有危险废物处理资质单位处理。</w:t>
      </w:r>
    </w:p>
    <w:p w14:paraId="1F944F2C">
      <w:pPr>
        <w:ind w:firstLine="480"/>
        <w:rPr>
          <w:rFonts w:ascii="Times New Roman" w:hAnsi="Times New Roman" w:cs="Times New Roman"/>
          <w:color w:val="auto"/>
        </w:rPr>
      </w:pPr>
      <w:r>
        <w:rPr>
          <w:rFonts w:ascii="Times New Roman" w:hAnsi="Times New Roman" w:cs="Times New Roman"/>
          <w:color w:val="auto"/>
        </w:rPr>
        <w:t>综上所述，本项目符合《中华人民共和国动物防疫法》相关要求。</w:t>
      </w:r>
    </w:p>
    <w:p w14:paraId="71C665C2">
      <w:pPr>
        <w:pStyle w:val="5"/>
        <w:ind w:left="120"/>
        <w:rPr>
          <w:rFonts w:ascii="Times New Roman" w:hAnsi="Times New Roman" w:cs="Times New Roman"/>
          <w:color w:val="auto"/>
        </w:rPr>
      </w:pPr>
      <w:bookmarkStart w:id="17" w:name="_Toc3749"/>
      <w:r>
        <w:rPr>
          <w:rFonts w:ascii="Times New Roman" w:hAnsi="Times New Roman" w:cs="Times New Roman"/>
          <w:color w:val="auto"/>
        </w:rPr>
        <w:t>相关规划符合性分析</w:t>
      </w:r>
      <w:bookmarkEnd w:id="17"/>
    </w:p>
    <w:p w14:paraId="7C9C512A">
      <w:pPr>
        <w:numPr>
          <w:ilvl w:val="0"/>
          <w:numId w:val="0"/>
        </w:numPr>
        <w:ind w:firstLine="480" w:firstLineChars="200"/>
        <w:rPr>
          <w:rFonts w:hint="eastAsia" w:ascii="Times New Roman" w:hAnsi="Times New Roman" w:cs="Times New Roman"/>
          <w:color w:val="auto"/>
          <w:lang w:val="en-US" w:eastAsia="zh-CN"/>
        </w:rPr>
      </w:pPr>
      <w:r>
        <w:rPr>
          <w:rFonts w:hint="eastAsia" w:cs="Times New Roman"/>
          <w:color w:val="auto"/>
          <w:kern w:val="2"/>
          <w:sz w:val="24"/>
          <w:szCs w:val="22"/>
          <w:lang w:val="en-US" w:eastAsia="zh-CN" w:bidi="ar-SA"/>
        </w:rPr>
        <w:t>1.</w:t>
      </w:r>
      <w:r>
        <w:rPr>
          <w:rFonts w:hint="eastAsia" w:ascii="Times New Roman" w:hAnsi="Times New Roman" w:cs="Times New Roman"/>
          <w:color w:val="auto"/>
          <w:lang w:val="en-US" w:eastAsia="zh-CN"/>
        </w:rPr>
        <w:t>与《“十四五”全国畜牧兽医行业发展规划》符合性分析</w:t>
      </w:r>
    </w:p>
    <w:p w14:paraId="086D4AFC">
      <w:pPr>
        <w:ind w:firstLine="480"/>
        <w:rPr>
          <w:rFonts w:ascii="Times New Roman" w:hAnsi="Times New Roman"/>
        </w:rPr>
      </w:pPr>
      <w:r>
        <w:rPr>
          <w:rFonts w:hint="eastAsia" w:ascii="Times New Roman" w:hAnsi="Times New Roman" w:cs="Times New Roman"/>
          <w:color w:val="auto"/>
          <w:lang w:val="en-US" w:eastAsia="zh-CN"/>
        </w:rPr>
        <w:t>该规划提出提升畜禽养殖集约化水平，</w:t>
      </w:r>
      <w:r>
        <w:rPr>
          <w:rFonts w:ascii="Times New Roman" w:hAnsi="Times New Roman" w:cs="Times New Roman"/>
          <w:color w:val="auto"/>
          <w:lang w:val="en-US" w:eastAsia="zh-CN"/>
        </w:rPr>
        <w:t>发展适度规模经营</w:t>
      </w:r>
      <w:r>
        <w:rPr>
          <w:rFonts w:hint="eastAsia" w:ascii="Times New Roman" w:hAnsi="Times New Roman" w:cs="Times New Roman"/>
          <w:color w:val="auto"/>
          <w:lang w:val="en-US" w:eastAsia="zh-CN"/>
        </w:rPr>
        <w:t>，</w:t>
      </w:r>
      <w:r>
        <w:rPr>
          <w:rFonts w:ascii="Times New Roman" w:hAnsi="Times New Roman" w:cs="Times New Roman"/>
          <w:color w:val="auto"/>
          <w:lang w:val="en-US" w:eastAsia="zh-CN"/>
        </w:rPr>
        <w:t>提升设施装备水平</w:t>
      </w:r>
      <w:r>
        <w:rPr>
          <w:rFonts w:hint="eastAsia" w:ascii="Times New Roman" w:hAnsi="Times New Roman" w:cs="Times New Roman"/>
          <w:color w:val="auto"/>
          <w:lang w:val="en-US" w:eastAsia="zh-CN"/>
        </w:rPr>
        <w:t>。</w:t>
      </w:r>
      <w:r>
        <w:rPr>
          <w:rFonts w:ascii="Times New Roman" w:hAnsi="Times New Roman" w:cs="Times New Roman"/>
          <w:color w:val="auto"/>
          <w:lang w:val="en-US" w:eastAsia="zh-CN"/>
        </w:rPr>
        <w:t>加强动物疫病防控</w:t>
      </w:r>
      <w:r>
        <w:rPr>
          <w:rFonts w:hint="eastAsia" w:ascii="Times New Roman" w:hAnsi="Times New Roman" w:cs="Times New Roman"/>
          <w:color w:val="auto"/>
          <w:lang w:eastAsia="zh-CN"/>
        </w:rPr>
        <w:t>，</w:t>
      </w:r>
      <w:r>
        <w:rPr>
          <w:rFonts w:ascii="Times New Roman" w:hAnsi="Times New Roman" w:cs="Times New Roman"/>
          <w:color w:val="auto"/>
          <w:lang w:val="en-US" w:eastAsia="zh-CN"/>
        </w:rPr>
        <w:t>提升防疫主体责任意识</w:t>
      </w:r>
      <w:r>
        <w:rPr>
          <w:rFonts w:hint="eastAsia" w:ascii="Times New Roman" w:hAnsi="Times New Roman" w:cs="Times New Roman"/>
          <w:color w:val="auto"/>
          <w:lang w:val="en-US" w:eastAsia="zh-CN"/>
        </w:rPr>
        <w:t>，</w:t>
      </w:r>
      <w:r>
        <w:rPr>
          <w:rFonts w:ascii="Times New Roman" w:hAnsi="Times New Roman" w:cs="Times New Roman"/>
          <w:color w:val="auto"/>
          <w:lang w:val="en-US" w:eastAsia="zh-CN"/>
        </w:rPr>
        <w:t>防治人畜共患病</w:t>
      </w:r>
      <w:r>
        <w:rPr>
          <w:rFonts w:hint="eastAsia" w:ascii="Times New Roman" w:hAnsi="Times New Roman" w:cs="Times New Roman"/>
          <w:color w:val="auto"/>
          <w:lang w:val="en-US" w:eastAsia="zh-CN"/>
        </w:rPr>
        <w:t>。</w:t>
      </w:r>
    </w:p>
    <w:p w14:paraId="54D3A85A">
      <w:pPr>
        <w:ind w:firstLine="480"/>
        <w:rPr>
          <w:rFonts w:hint="default" w:ascii="Times New Roman" w:hAnsi="Times New Roman" w:cs="Times New Roman"/>
          <w:color w:val="auto"/>
          <w:lang w:val="en-US" w:eastAsia="zh-CN"/>
        </w:rPr>
      </w:pPr>
      <w:r>
        <w:rPr>
          <w:rFonts w:ascii="Times New Roman" w:hAnsi="Times New Roman" w:cs="Times New Roman"/>
          <w:color w:val="auto"/>
        </w:rPr>
        <w:t>本项目属于标准化、规模化</w:t>
      </w:r>
      <w:r>
        <w:rPr>
          <w:rFonts w:hint="eastAsia" w:ascii="Times New Roman" w:hAnsi="Times New Roman" w:cs="Times New Roman"/>
          <w:color w:val="auto"/>
          <w:lang w:val="en-US" w:eastAsia="zh-CN"/>
        </w:rPr>
        <w:t>种鸭</w:t>
      </w:r>
      <w:r>
        <w:rPr>
          <w:rFonts w:ascii="Times New Roman" w:hAnsi="Times New Roman" w:cs="Times New Roman"/>
          <w:color w:val="auto"/>
        </w:rPr>
        <w:t>养殖场，项目</w:t>
      </w:r>
      <w:r>
        <w:rPr>
          <w:rFonts w:hint="eastAsia" w:ascii="Times New Roman" w:hAnsi="Times New Roman" w:cs="Times New Roman"/>
          <w:color w:val="auto"/>
          <w:lang w:val="en-US" w:eastAsia="zh-CN"/>
        </w:rPr>
        <w:t>采用</w:t>
      </w:r>
      <w:r>
        <w:rPr>
          <w:rFonts w:ascii="Times New Roman" w:hAnsi="Times New Roman" w:cs="Times New Roman"/>
          <w:color w:val="auto"/>
          <w:lang w:val="en-US" w:eastAsia="zh-CN"/>
        </w:rPr>
        <w:t>自动饲喂、</w:t>
      </w:r>
      <w:r>
        <w:rPr>
          <w:rFonts w:hint="default" w:ascii="Times New Roman" w:hAnsi="Times New Roman" w:cs="Times New Roman"/>
          <w:color w:val="auto"/>
          <w:lang w:val="en-US" w:eastAsia="zh-CN"/>
        </w:rPr>
        <w:t>环境控制、</w:t>
      </w:r>
      <w:r>
        <w:rPr>
          <w:rFonts w:hint="eastAsia" w:ascii="Times New Roman" w:hAnsi="Times New Roman" w:cs="Times New Roman"/>
          <w:color w:val="auto"/>
          <w:lang w:val="en-US" w:eastAsia="zh-CN"/>
        </w:rPr>
        <w:t>有专职兽医进行</w:t>
      </w:r>
      <w:r>
        <w:rPr>
          <w:rFonts w:hint="default" w:ascii="Times New Roman" w:hAnsi="Times New Roman" w:cs="Times New Roman"/>
          <w:color w:val="auto"/>
          <w:lang w:val="en-US" w:eastAsia="zh-CN"/>
        </w:rPr>
        <w:t>疫 病防控</w:t>
      </w:r>
      <w:r>
        <w:rPr>
          <w:rFonts w:hint="eastAsia" w:ascii="Times New Roman" w:hAnsi="Times New Roman" w:cs="Times New Roman"/>
          <w:color w:val="auto"/>
          <w:lang w:val="en-US" w:eastAsia="zh-CN"/>
        </w:rPr>
        <w:t>，建设单位将严格</w:t>
      </w:r>
      <w:r>
        <w:rPr>
          <w:rFonts w:ascii="Times New Roman" w:hAnsi="Times New Roman" w:cs="Times New Roman"/>
          <w:color w:val="auto"/>
          <w:lang w:val="en-US" w:eastAsia="zh-CN"/>
        </w:rPr>
        <w:t>落实强制免疫、</w:t>
      </w:r>
      <w:r>
        <w:rPr>
          <w:rFonts w:hint="default" w:ascii="Times New Roman" w:hAnsi="Times New Roman" w:cs="Times New Roman"/>
          <w:color w:val="auto"/>
          <w:lang w:val="en-US" w:eastAsia="zh-CN"/>
        </w:rPr>
        <w:t>清洗消毒、疫情报告等措施</w:t>
      </w:r>
      <w:r>
        <w:rPr>
          <w:rFonts w:ascii="Times New Roman" w:hAnsi="Times New Roman" w:cs="Times New Roman"/>
          <w:color w:val="auto"/>
        </w:rPr>
        <w:t>。</w:t>
      </w:r>
      <w:r>
        <w:rPr>
          <w:rFonts w:hint="eastAsia" w:ascii="Times New Roman" w:hAnsi="Times New Roman" w:cs="Times New Roman"/>
          <w:color w:val="auto"/>
          <w:lang w:val="en-US" w:eastAsia="zh-CN"/>
        </w:rPr>
        <w:t>本项目建设</w:t>
      </w:r>
      <w:r>
        <w:rPr>
          <w:rFonts w:ascii="Times New Roman" w:hAnsi="Times New Roman" w:cs="Times New Roman"/>
          <w:color w:val="auto"/>
        </w:rPr>
        <w:t>符合《</w:t>
      </w:r>
      <w:r>
        <w:rPr>
          <w:rFonts w:hint="eastAsia" w:ascii="Times New Roman" w:hAnsi="Times New Roman" w:cs="Times New Roman"/>
          <w:color w:val="auto"/>
          <w:lang w:val="en-US" w:eastAsia="zh-CN"/>
        </w:rPr>
        <w:t>“十四五”全国畜牧兽医行业发展规划</w:t>
      </w:r>
      <w:r>
        <w:rPr>
          <w:rFonts w:ascii="Times New Roman" w:hAnsi="Times New Roman" w:cs="Times New Roman"/>
          <w:color w:val="auto"/>
        </w:rPr>
        <w:t>》的要求</w:t>
      </w:r>
      <w:r>
        <w:rPr>
          <w:rFonts w:hint="eastAsia" w:ascii="Times New Roman" w:hAnsi="Times New Roman" w:eastAsia="FZFSK--GBK1-0" w:cs="FZFSK--GBK1-0"/>
          <w:color w:val="000000"/>
          <w:kern w:val="0"/>
          <w:sz w:val="29"/>
          <w:szCs w:val="29"/>
          <w:lang w:val="en-US" w:eastAsia="zh-CN" w:bidi="ar"/>
        </w:rPr>
        <w:t>。</w:t>
      </w:r>
    </w:p>
    <w:p w14:paraId="117C0253">
      <w:pPr>
        <w:ind w:firstLine="480"/>
        <w:rPr>
          <w:rFonts w:ascii="Times New Roman" w:hAnsi="Times New Roman" w:cs="Times New Roman"/>
          <w:color w:val="auto"/>
        </w:rPr>
      </w:pPr>
      <w:r>
        <w:rPr>
          <w:rFonts w:hint="eastAsia" w:cs="Times New Roman"/>
          <w:color w:val="auto"/>
          <w:lang w:val="en-US" w:eastAsia="zh-CN"/>
        </w:rPr>
        <w:t>2.</w:t>
      </w:r>
      <w:r>
        <w:rPr>
          <w:rFonts w:ascii="Times New Roman" w:hAnsi="Times New Roman" w:cs="Times New Roman"/>
          <w:color w:val="auto"/>
        </w:rPr>
        <w:t>与《新疆生产建设兵团国民经济和社会发展第十四个五年规划和二〇三五年远景目标纲要》符合性分析</w:t>
      </w:r>
    </w:p>
    <w:p w14:paraId="5BE15948">
      <w:pPr>
        <w:ind w:firstLine="480"/>
        <w:rPr>
          <w:rFonts w:ascii="Times New Roman" w:hAnsi="Times New Roman" w:cs="Times New Roman"/>
          <w:color w:val="auto"/>
        </w:rPr>
      </w:pPr>
      <w:r>
        <w:rPr>
          <w:rFonts w:ascii="Times New Roman" w:hAnsi="Times New Roman" w:cs="Times New Roman"/>
          <w:color w:val="auto"/>
        </w:rPr>
        <w:t>该规划提出</w:t>
      </w:r>
      <w:r>
        <w:rPr>
          <w:rFonts w:hint="eastAsia" w:ascii="Times New Roman" w:hAnsi="Times New Roman" w:cs="Times New Roman"/>
          <w:color w:val="auto"/>
          <w:lang w:val="en-US" w:eastAsia="zh-CN"/>
        </w:rPr>
        <w:t>优先发展农业农村，全面推进乡村振兴</w:t>
      </w:r>
      <w:r>
        <w:rPr>
          <w:rFonts w:ascii="Times New Roman" w:hAnsi="Times New Roman" w:cs="Times New Roman"/>
          <w:color w:val="auto"/>
        </w:rPr>
        <w:t>。</w:t>
      </w:r>
      <w:r>
        <w:rPr>
          <w:rFonts w:hint="eastAsia" w:ascii="Times New Roman" w:hAnsi="Times New Roman" w:cs="Times New Roman"/>
          <w:color w:val="auto"/>
          <w:lang w:val="en-US" w:eastAsia="zh-CN"/>
        </w:rPr>
        <w:t>大力发展畜牧业，坚持农牧结合，调整优化农区畜牧业，适度发展草原畜牧业。加快提升畜牧业综合生产能力，大力发展肉类和乳制品精深加工，加快标准化规模养殖基地建设，建设一批高标准现代化畜牧业产业示范区。大力发展生猪、种鸭产业，实施奶业振兴行动，稳步推进肉羊增产，支持特色家禽养殖，因地制宜发展马、驴、兔、鹿等特色养殖。到2025年，力争标准化规模化养殖场比例达到80%</w:t>
      </w:r>
      <w:r>
        <w:rPr>
          <w:rFonts w:ascii="Times New Roman" w:hAnsi="Times New Roman" w:cs="Times New Roman"/>
          <w:color w:val="auto"/>
        </w:rPr>
        <w:t>。</w:t>
      </w:r>
    </w:p>
    <w:p w14:paraId="3D6C655A">
      <w:pPr>
        <w:ind w:firstLine="480"/>
        <w:rPr>
          <w:rFonts w:ascii="Times New Roman" w:hAnsi="Times New Roman" w:cs="Times New Roman"/>
          <w:color w:val="auto"/>
        </w:rPr>
      </w:pPr>
      <w:r>
        <w:rPr>
          <w:rFonts w:ascii="Times New Roman" w:hAnsi="Times New Roman" w:cs="Times New Roman"/>
          <w:color w:val="auto"/>
        </w:rPr>
        <w:t>本项目属于标准化、规模化</w:t>
      </w:r>
      <w:r>
        <w:rPr>
          <w:rFonts w:hint="eastAsia" w:ascii="Times New Roman" w:hAnsi="Times New Roman" w:cs="Times New Roman"/>
          <w:color w:val="auto"/>
          <w:lang w:val="en-US" w:eastAsia="zh-CN"/>
        </w:rPr>
        <w:t>种鸭</w:t>
      </w:r>
      <w:r>
        <w:rPr>
          <w:rFonts w:ascii="Times New Roman" w:hAnsi="Times New Roman" w:cs="Times New Roman"/>
          <w:color w:val="auto"/>
        </w:rPr>
        <w:t>养殖场，项目的建设对</w:t>
      </w:r>
      <w:r>
        <w:rPr>
          <w:rFonts w:hint="eastAsia" w:ascii="Times New Roman" w:hAnsi="Times New Roman" w:cs="Times New Roman"/>
          <w:color w:val="auto"/>
          <w:lang w:val="en-US" w:eastAsia="zh-CN"/>
        </w:rPr>
        <w:t>63团家禽养殖</w:t>
      </w:r>
      <w:r>
        <w:rPr>
          <w:rFonts w:ascii="Times New Roman" w:hAnsi="Times New Roman" w:cs="Times New Roman"/>
          <w:color w:val="auto"/>
        </w:rPr>
        <w:t>的发展起到示范带动作用。符合《新疆生产建设兵团国民经济和社会发展第十四个五年规划和二〇三五年远景目标纲要》的要求。</w:t>
      </w:r>
    </w:p>
    <w:p w14:paraId="4CEA6A32">
      <w:pPr>
        <w:numPr>
          <w:ilvl w:val="0"/>
          <w:numId w:val="0"/>
        </w:numPr>
        <w:ind w:firstLine="480" w:firstLineChars="20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kern w:val="2"/>
          <w:sz w:val="24"/>
          <w:szCs w:val="22"/>
          <w:lang w:val="en-US" w:eastAsia="zh-CN" w:bidi="ar-SA"/>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与</w:t>
      </w:r>
      <w:r>
        <w:rPr>
          <w:rFonts w:hint="eastAsia" w:ascii="Times New Roman" w:hAnsi="Times New Roman" w:cs="Times New Roman"/>
          <w:color w:val="000000" w:themeColor="text1"/>
          <w:lang w:val="en-US" w:eastAsia="zh-CN"/>
          <w14:textFill>
            <w14:solidFill>
              <w14:schemeClr w14:val="tx1"/>
            </w14:solidFill>
          </w14:textFill>
        </w:rPr>
        <w:t>《新疆维吾尔自治区畜牧业“十四五”发展规划》符</w:t>
      </w:r>
      <w:r>
        <w:rPr>
          <w:rFonts w:ascii="Times New Roman" w:hAnsi="Times New Roman" w:cs="Times New Roman"/>
          <w:color w:val="000000" w:themeColor="text1"/>
          <w14:textFill>
            <w14:solidFill>
              <w14:schemeClr w14:val="tx1"/>
            </w14:solidFill>
          </w14:textFill>
        </w:rPr>
        <w:t>合性分析</w:t>
      </w:r>
    </w:p>
    <w:p w14:paraId="31AEA717">
      <w:pPr>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该规划提出：强化科技创新和政策支持，做大肉牛肉羊产业，加快奶业振兴、做优做强猪禽产业，因地制宜发展特色产业。实施“肉羊增产、奶业振兴、肉牛增产、生猪转型、家禽及特色产业增效”畜牧业五大振兴行动。</w:t>
      </w:r>
    </w:p>
    <w:p w14:paraId="475AA66B">
      <w:pPr>
        <w:ind w:firstLine="480"/>
        <w:rPr>
          <w:rFonts w:hint="eastAsia" w:ascii="Times New Roman" w:hAnsi="Times New Roman" w:cs="Times New Roman"/>
          <w:color w:val="auto"/>
          <w:lang w:val="en-US" w:eastAsia="zh-CN"/>
        </w:rPr>
      </w:pPr>
      <w:r>
        <w:rPr>
          <w:rFonts w:ascii="Times New Roman" w:hAnsi="Times New Roman" w:cs="Times New Roman"/>
          <w:color w:val="auto"/>
        </w:rPr>
        <w:t>本项目致力于建设标准化、规模化养殖场，打造</w:t>
      </w:r>
      <w:r>
        <w:rPr>
          <w:rFonts w:hint="eastAsia" w:ascii="Times New Roman" w:hAnsi="Times New Roman" w:cs="Times New Roman"/>
          <w:color w:val="auto"/>
          <w:lang w:val="en-US" w:eastAsia="zh-CN"/>
        </w:rPr>
        <w:t>63团家禽养殖基地，属于振兴家禽产业</w:t>
      </w:r>
      <w:r>
        <w:rPr>
          <w:rFonts w:ascii="Times New Roman" w:hAnsi="Times New Roman" w:cs="Times New Roman"/>
          <w:color w:val="auto"/>
        </w:rPr>
        <w:t>。符合《</w:t>
      </w:r>
      <w:r>
        <w:rPr>
          <w:rFonts w:hint="eastAsia" w:ascii="Times New Roman" w:hAnsi="Times New Roman" w:cs="Times New Roman"/>
          <w:color w:val="auto"/>
          <w:lang w:val="en-US" w:eastAsia="zh-CN"/>
        </w:rPr>
        <w:t>新疆维吾尔自治区畜牧业“十四五”发展规划</w:t>
      </w:r>
      <w:r>
        <w:rPr>
          <w:rFonts w:ascii="Times New Roman" w:hAnsi="Times New Roman" w:cs="Times New Roman"/>
          <w:color w:val="auto"/>
        </w:rPr>
        <w:t>》要求</w:t>
      </w:r>
      <w:r>
        <w:rPr>
          <w:rFonts w:hint="eastAsia" w:ascii="Times New Roman" w:hAnsi="Times New Roman" w:cs="Times New Roman"/>
          <w:color w:val="auto"/>
          <w:lang w:eastAsia="zh-CN"/>
        </w:rPr>
        <w:t>。</w:t>
      </w:r>
    </w:p>
    <w:p w14:paraId="48F738CC">
      <w:pPr>
        <w:ind w:firstLine="480"/>
        <w:rPr>
          <w:rFonts w:ascii="Times New Roman" w:hAnsi="Times New Roman" w:cs="Times New Roman"/>
          <w:color w:val="auto"/>
        </w:rPr>
      </w:pPr>
      <w:r>
        <w:rPr>
          <w:rFonts w:hint="eastAsia" w:cs="Times New Roman"/>
          <w:color w:val="auto"/>
          <w:lang w:val="en-US" w:eastAsia="zh-CN"/>
        </w:rPr>
        <w:t>4.</w:t>
      </w:r>
      <w:r>
        <w:rPr>
          <w:rFonts w:ascii="Times New Roman" w:hAnsi="Times New Roman" w:cs="Times New Roman"/>
          <w:color w:val="auto"/>
        </w:rPr>
        <w:t>与《</w:t>
      </w:r>
      <w:r>
        <w:rPr>
          <w:rFonts w:hint="eastAsia" w:ascii="Times New Roman" w:hAnsi="Times New Roman" w:cs="Times New Roman"/>
          <w:color w:val="auto"/>
          <w:lang w:val="en-US" w:eastAsia="zh-CN"/>
        </w:rPr>
        <w:t>第四师可克达拉市</w:t>
      </w:r>
      <w:r>
        <w:rPr>
          <w:rFonts w:ascii="Times New Roman" w:hAnsi="Times New Roman" w:cs="Times New Roman"/>
          <w:color w:val="auto"/>
        </w:rPr>
        <w:t>国民经济和社会发展第十四个五年规划和2035年远景目标纲要》符合性分析</w:t>
      </w:r>
    </w:p>
    <w:p w14:paraId="03DD9312">
      <w:pPr>
        <w:ind w:firstLine="480"/>
        <w:rPr>
          <w:rFonts w:ascii="Times New Roman" w:hAnsi="Times New Roman" w:cs="Times New Roman"/>
          <w:color w:val="auto"/>
        </w:rPr>
      </w:pPr>
      <w:r>
        <w:rPr>
          <w:rFonts w:ascii="Times New Roman" w:hAnsi="Times New Roman" w:cs="Times New Roman"/>
          <w:color w:val="auto"/>
        </w:rPr>
        <w:t>该规划提出：</w:t>
      </w:r>
      <w:r>
        <w:rPr>
          <w:rFonts w:hint="eastAsia" w:ascii="Times New Roman" w:hAnsi="Times New Roman" w:cs="Times New Roman"/>
          <w:color w:val="auto"/>
          <w:lang w:val="en-US" w:eastAsia="zh-CN"/>
        </w:rPr>
        <w:t>大力发展现代畜牧业。建立以区域化布局、规模化养殖、标准化生产、产业化经营、社会化服务、粪污资源化利用为主要特征的现代化畜牧业产业体系</w:t>
      </w:r>
      <w:r>
        <w:rPr>
          <w:rFonts w:ascii="Times New Roman" w:hAnsi="Times New Roman" w:cs="Times New Roman"/>
          <w:color w:val="auto"/>
        </w:rPr>
        <w:t>。</w:t>
      </w:r>
    </w:p>
    <w:p w14:paraId="71B5D58F">
      <w:pPr>
        <w:ind w:firstLine="480"/>
        <w:rPr>
          <w:rFonts w:ascii="Times New Roman" w:hAnsi="Times New Roman" w:cs="Times New Roman"/>
          <w:color w:val="auto"/>
        </w:rPr>
      </w:pPr>
      <w:r>
        <w:rPr>
          <w:rFonts w:ascii="Times New Roman" w:hAnsi="Times New Roman" w:cs="Times New Roman"/>
          <w:color w:val="auto"/>
        </w:rPr>
        <w:t>本项目致力于建设标准化、规模化养殖场，打造</w:t>
      </w:r>
      <w:r>
        <w:rPr>
          <w:rFonts w:hint="eastAsia" w:ascii="Times New Roman" w:hAnsi="Times New Roman" w:cs="Times New Roman"/>
          <w:color w:val="auto"/>
          <w:lang w:val="en-US" w:eastAsia="zh-CN"/>
        </w:rPr>
        <w:t>63团家禽养殖基地</w:t>
      </w:r>
      <w:r>
        <w:rPr>
          <w:rFonts w:ascii="Times New Roman" w:hAnsi="Times New Roman" w:cs="Times New Roman"/>
          <w:color w:val="auto"/>
        </w:rPr>
        <w:t>。符合《</w:t>
      </w:r>
      <w:r>
        <w:rPr>
          <w:rFonts w:hint="eastAsia" w:ascii="Times New Roman" w:hAnsi="Times New Roman" w:cs="Times New Roman"/>
          <w:color w:val="auto"/>
          <w:lang w:val="en-US" w:eastAsia="zh-CN"/>
        </w:rPr>
        <w:t>第四师可克达拉市</w:t>
      </w:r>
      <w:r>
        <w:rPr>
          <w:rFonts w:ascii="Times New Roman" w:hAnsi="Times New Roman" w:cs="Times New Roman"/>
          <w:color w:val="auto"/>
        </w:rPr>
        <w:t>国民经济和社会发展第十四个五年规划和2035年远景目标纲要》要求。</w:t>
      </w:r>
    </w:p>
    <w:p w14:paraId="29718E63">
      <w:pPr>
        <w:ind w:firstLine="480"/>
        <w:rPr>
          <w:rFonts w:ascii="Times New Roman" w:hAnsi="Times New Roman" w:cs="Times New Roman"/>
          <w:color w:val="auto"/>
        </w:rPr>
      </w:pPr>
      <w:bookmarkStart w:id="18" w:name="_Toc10770"/>
      <w:r>
        <w:rPr>
          <w:rFonts w:hint="eastAsia" w:cs="Times New Roman"/>
          <w:color w:val="auto"/>
          <w:lang w:val="en-US" w:eastAsia="zh-CN"/>
        </w:rPr>
        <w:t>5.</w:t>
      </w:r>
      <w:r>
        <w:rPr>
          <w:rFonts w:ascii="Times New Roman" w:hAnsi="Times New Roman" w:cs="Times New Roman"/>
          <w:color w:val="auto"/>
        </w:rPr>
        <w:t>与《新疆</w:t>
      </w:r>
      <w:r>
        <w:rPr>
          <w:rFonts w:hint="eastAsia" w:ascii="Times New Roman" w:hAnsi="Times New Roman" w:cs="Times New Roman"/>
          <w:color w:val="auto"/>
          <w:lang w:val="en-US" w:eastAsia="zh-CN"/>
        </w:rPr>
        <w:t>生产建设兵团</w:t>
      </w:r>
      <w:r>
        <w:rPr>
          <w:rFonts w:ascii="Times New Roman" w:hAnsi="Times New Roman" w:cs="Times New Roman"/>
          <w:color w:val="auto"/>
        </w:rPr>
        <w:t>“十四五”生态环境保护规划》符合性分析</w:t>
      </w:r>
      <w:bookmarkEnd w:id="18"/>
    </w:p>
    <w:p w14:paraId="1D8387C9">
      <w:pPr>
        <w:ind w:firstLine="480"/>
        <w:rPr>
          <w:rFonts w:ascii="Times New Roman" w:hAnsi="Times New Roman" w:cs="Times New Roman"/>
          <w:color w:val="auto"/>
        </w:rPr>
      </w:pPr>
      <w:r>
        <w:rPr>
          <w:rFonts w:ascii="Times New Roman" w:hAnsi="Times New Roman" w:cs="Times New Roman"/>
          <w:color w:val="auto"/>
        </w:rPr>
        <w:t>《新疆</w:t>
      </w:r>
      <w:r>
        <w:rPr>
          <w:rFonts w:hint="eastAsia" w:ascii="Times New Roman" w:hAnsi="Times New Roman" w:cs="Times New Roman"/>
          <w:color w:val="auto"/>
          <w:lang w:val="en-US" w:eastAsia="zh-CN"/>
        </w:rPr>
        <w:t>生产建设兵团</w:t>
      </w:r>
      <w:r>
        <w:rPr>
          <w:rFonts w:ascii="Times New Roman" w:hAnsi="Times New Roman" w:cs="Times New Roman"/>
          <w:color w:val="auto"/>
        </w:rPr>
        <w:t>“十四五”生态环境保护规划》提出完成畜禽养殖禁养区的划定工作，畜禽粪污综合利用率达到87.76%，规模养殖场粪污处理设施装备配套率达到98.41%。加强恶臭、有毒有害大气污染物防控。加强工业臭气异味治理，开展无异味企业建设，加强垃圾处理、污水处理各环节和畜禽养殖场臭气异味控制，提升恶臭治理水平。严格控制餐饮油烟，加大超标排放处罚力度。探索建立有毒有害大气污染物管理体系和工作机制。</w:t>
      </w:r>
    </w:p>
    <w:p w14:paraId="5D32EAF7">
      <w:pPr>
        <w:ind w:firstLine="480"/>
        <w:rPr>
          <w:rFonts w:ascii="Times New Roman" w:hAnsi="Times New Roman" w:cs="Times New Roman"/>
          <w:color w:val="auto"/>
        </w:rPr>
      </w:pPr>
      <w:r>
        <w:rPr>
          <w:rFonts w:ascii="Times New Roman" w:hAnsi="Times New Roman" w:cs="Times New Roman"/>
          <w:color w:val="auto"/>
        </w:rPr>
        <w:t>本项目为规模化养殖项目，根据《畜禽养</w:t>
      </w:r>
      <w:r>
        <w:rPr>
          <w:rFonts w:ascii="Times New Roman" w:hAnsi="Times New Roman" w:cs="Times New Roman"/>
          <w:color w:val="000000" w:themeColor="text1"/>
          <w14:textFill>
            <w14:solidFill>
              <w14:schemeClr w14:val="tx1"/>
            </w14:solidFill>
          </w14:textFill>
        </w:rPr>
        <w:t>殖业污染物治理工程技术规范》</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HJ497-2009）要求，本项目采用垫草料干清粪工艺，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w:t>
      </w:r>
      <w:r>
        <w:rPr>
          <w:rFonts w:hint="eastAsia" w:cs="Times New Roman"/>
          <w:color w:val="000000" w:themeColor="text1"/>
          <w:lang w:eastAsia="zh-CN"/>
          <w14:textFill>
            <w14:solidFill>
              <w14:schemeClr w14:val="tx1"/>
            </w14:solidFill>
          </w14:textFill>
        </w:rPr>
        <w:t>长期</w:t>
      </w:r>
      <w:r>
        <w:rPr>
          <w:rFonts w:ascii="Times New Roman" w:hAnsi="Times New Roman" w:cs="Times New Roman"/>
          <w:color w:val="000000" w:themeColor="text1"/>
          <w14:textFill>
            <w14:solidFill>
              <w14:schemeClr w14:val="tx1"/>
            </w14:solidFill>
          </w14:textFill>
        </w:rPr>
        <w:t>贮存，</w:t>
      </w:r>
      <w:r>
        <w:rPr>
          <w:rFonts w:hint="eastAsia" w:cs="Times New Roman"/>
          <w:color w:val="000000" w:themeColor="text1"/>
          <w:lang w:eastAsia="zh-CN"/>
          <w14:textFill>
            <w14:solidFill>
              <w14:schemeClr w14:val="tx1"/>
            </w14:solidFill>
          </w14:textFill>
        </w:rPr>
        <w:t>清理后直接</w:t>
      </w:r>
      <w:r>
        <w:rPr>
          <w:rFonts w:ascii="Times New Roman" w:hAnsi="Times New Roman" w:cs="Times New Roman"/>
          <w:color w:val="000000" w:themeColor="text1"/>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外售，圈舍通风换气、定期喷洒除臭剂，</w:t>
      </w:r>
      <w:r>
        <w:rPr>
          <w:rFonts w:hint="eastAsia" w:cs="Times New Roman"/>
          <w:color w:val="000000" w:themeColor="text1"/>
          <w:lang w:val="en-US" w:eastAsia="zh-CN"/>
          <w14:textFill>
            <w14:solidFill>
              <w14:schemeClr w14:val="tx1"/>
            </w14:solidFill>
          </w14:textFill>
        </w:rPr>
        <w:t>鸭舍集污池</w:t>
      </w:r>
      <w:r>
        <w:rPr>
          <w:rFonts w:ascii="Times New Roman" w:hAnsi="Times New Roman" w:cs="Times New Roman"/>
          <w:color w:val="000000" w:themeColor="text1"/>
          <w14:textFill>
            <w14:solidFill>
              <w14:schemeClr w14:val="tx1"/>
            </w14:solidFill>
          </w14:textFill>
        </w:rPr>
        <w:t>加盖密闭，并喷洒除臭剂</w:t>
      </w:r>
      <w:r>
        <w:rPr>
          <w:rFonts w:ascii="Times New Roman" w:hAnsi="Times New Roman" w:cs="Times New Roman"/>
          <w:color w:val="auto"/>
        </w:rPr>
        <w:t>；</w:t>
      </w:r>
      <w:r>
        <w:rPr>
          <w:rFonts w:hint="eastAsia" w:ascii="Times New Roman" w:hAnsi="Times New Roman" w:cs="Times New Roman"/>
          <w:color w:val="auto"/>
          <w:lang w:val="en-US" w:eastAsia="zh-CN"/>
        </w:rPr>
        <w:t>本项目食堂油烟通过油烟净化器净化后排放，</w:t>
      </w:r>
      <w:r>
        <w:rPr>
          <w:rFonts w:hint="eastAsia" w:cs="Times New Roman"/>
          <w:color w:val="auto"/>
          <w:lang w:eastAsia="zh-CN"/>
        </w:rPr>
        <w:t>淘汰鸭、病死鸭</w:t>
      </w:r>
      <w:r>
        <w:rPr>
          <w:rFonts w:ascii="Times New Roman" w:hAnsi="Times New Roman" w:cs="Times New Roman"/>
          <w:color w:val="auto"/>
        </w:rPr>
        <w:t>尸体委托伊宁市病死畜禽无害化处理中心处理。</w:t>
      </w:r>
    </w:p>
    <w:p w14:paraId="79254121">
      <w:pPr>
        <w:ind w:firstLine="480"/>
        <w:rPr>
          <w:rFonts w:ascii="Times New Roman" w:hAnsi="Times New Roman" w:cs="Times New Roman"/>
          <w:color w:val="auto"/>
        </w:rPr>
      </w:pPr>
      <w:r>
        <w:rPr>
          <w:rFonts w:ascii="Times New Roman" w:hAnsi="Times New Roman" w:cs="Times New Roman"/>
          <w:color w:val="auto"/>
        </w:rPr>
        <w:t>综上所述，本项目符合《新疆</w:t>
      </w:r>
      <w:r>
        <w:rPr>
          <w:rFonts w:hint="eastAsia" w:ascii="Times New Roman" w:hAnsi="Times New Roman" w:cs="Times New Roman"/>
          <w:color w:val="auto"/>
          <w:lang w:val="en-US" w:eastAsia="zh-CN"/>
        </w:rPr>
        <w:t>生产建设兵团</w:t>
      </w:r>
      <w:r>
        <w:rPr>
          <w:rFonts w:ascii="Times New Roman" w:hAnsi="Times New Roman" w:cs="Times New Roman"/>
          <w:color w:val="auto"/>
        </w:rPr>
        <w:t>“十四五”生态环境保护规划》的要求。</w:t>
      </w:r>
    </w:p>
    <w:p w14:paraId="742BBA65">
      <w:pPr>
        <w:ind w:firstLine="480"/>
        <w:rPr>
          <w:rFonts w:ascii="Times New Roman" w:hAnsi="Times New Roman" w:cs="Times New Roman"/>
          <w:color w:val="auto"/>
        </w:rPr>
      </w:pPr>
      <w:r>
        <w:rPr>
          <w:rFonts w:hint="eastAsia" w:cs="Times New Roman"/>
          <w:color w:val="auto"/>
          <w:lang w:val="en-US" w:eastAsia="zh-CN"/>
        </w:rPr>
        <w:t>6.</w:t>
      </w:r>
      <w:r>
        <w:rPr>
          <w:rFonts w:ascii="Times New Roman" w:hAnsi="Times New Roman" w:cs="Times New Roman"/>
          <w:color w:val="auto"/>
        </w:rPr>
        <w:t>与《</w:t>
      </w:r>
      <w:r>
        <w:rPr>
          <w:rFonts w:hint="eastAsia" w:ascii="Times New Roman" w:hAnsi="Times New Roman" w:cs="Times New Roman"/>
          <w:color w:val="auto"/>
        </w:rPr>
        <w:t>新疆生产建设兵团第四师</w:t>
      </w:r>
      <w:r>
        <w:rPr>
          <w:rFonts w:hint="eastAsia" w:ascii="Times New Roman" w:hAnsi="Times New Roman" w:cs="Times New Roman"/>
          <w:color w:val="auto"/>
          <w:lang w:eastAsia="zh-CN"/>
        </w:rPr>
        <w:t>可克达拉市</w:t>
      </w:r>
      <w:r>
        <w:rPr>
          <w:rFonts w:hint="eastAsia" w:ascii="Times New Roman" w:hAnsi="Times New Roman" w:cs="Times New Roman"/>
          <w:color w:val="auto"/>
        </w:rPr>
        <w:t>“十四五”生态环境保护规划</w:t>
      </w:r>
      <w:r>
        <w:rPr>
          <w:rFonts w:ascii="Times New Roman" w:hAnsi="Times New Roman" w:cs="Times New Roman"/>
          <w:color w:val="auto"/>
        </w:rPr>
        <w:t>》符合性分析</w:t>
      </w:r>
    </w:p>
    <w:p w14:paraId="71F12F84">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auto"/>
          <w:lang w:val="en-US" w:eastAsia="zh-CN"/>
        </w:rPr>
        <w:t>该规划要求</w:t>
      </w:r>
      <w:r>
        <w:rPr>
          <w:rFonts w:ascii="Times New Roman" w:hAnsi="Times New Roman" w:cs="Times New Roman"/>
          <w:color w:val="auto"/>
        </w:rPr>
        <w:t>，</w:t>
      </w:r>
      <w:r>
        <w:rPr>
          <w:rFonts w:hint="eastAsia" w:ascii="Times New Roman" w:hAnsi="Times New Roman" w:cs="Times New Roman"/>
          <w:color w:val="auto"/>
        </w:rPr>
        <w:t>加强工业臭气异味治理，加强垃圾处理、污水处理各环节和畜禽养殖场臭气异味控制，提升恶臭治理水平</w:t>
      </w:r>
      <w:r>
        <w:rPr>
          <w:rFonts w:ascii="Times New Roman" w:hAnsi="Times New Roman" w:cs="Times New Roman"/>
          <w:color w:val="auto"/>
        </w:rPr>
        <w:t>。</w:t>
      </w:r>
      <w:r>
        <w:rPr>
          <w:rFonts w:hint="eastAsia" w:ascii="Times New Roman" w:hAnsi="Times New Roman" w:cs="Times New Roman"/>
          <w:color w:val="auto"/>
          <w:lang w:val="en-US" w:eastAsia="zh-CN"/>
        </w:rPr>
        <w:t>推进养殖业污染治理。严格实施禁养区、限养区划分方案，利用区域优势，发展特色畜禽养殖，推广节水、节料等清洁养殖工艺和干清粪、微生物发酵等实用技术，提高畜禽规模养殖场设施装备水平，污水处理设施装备配套，发展生态养殖模式，实现粪污物无害化、资源化处理，提高病死畜无害化处理能力，实现师市病死畜禽集中无害化处理全覆盖。严格执行畜禽养殖污染监管制度，加大部门监督和执法力度，鼓励和引导社会资本参与畜禽粪污资源化利用，支持各类社会化服务组织发展，形成政府支持、企业主体、市场化运作的畜禽粪污处理</w:t>
      </w:r>
      <w:r>
        <w:rPr>
          <w:rFonts w:hint="eastAsia" w:ascii="Times New Roman" w:hAnsi="Times New Roman" w:cs="Times New Roman"/>
          <w:color w:val="000000" w:themeColor="text1"/>
          <w:lang w:val="en-US" w:eastAsia="zh-CN"/>
          <w14:textFill>
            <w14:solidFill>
              <w14:schemeClr w14:val="tx1"/>
            </w14:solidFill>
          </w14:textFill>
        </w:rPr>
        <w:t>和资源化利用机制</w:t>
      </w:r>
      <w:r>
        <w:rPr>
          <w:rFonts w:ascii="Times New Roman" w:hAnsi="Times New Roman" w:cs="Times New Roman"/>
          <w:color w:val="000000" w:themeColor="text1"/>
          <w14:textFill>
            <w14:solidFill>
              <w14:schemeClr w14:val="tx1"/>
            </w14:solidFill>
          </w14:textFill>
        </w:rPr>
        <w:t>。</w:t>
      </w:r>
    </w:p>
    <w:p w14:paraId="3FE13B1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本项目属于规模化养殖项目，采用垫草料干清粪工艺，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w:t>
      </w:r>
      <w:r>
        <w:rPr>
          <w:rFonts w:hint="eastAsia" w:cs="Times New Roman"/>
          <w:color w:val="000000" w:themeColor="text1"/>
          <w:lang w:eastAsia="zh-CN"/>
          <w14:textFill>
            <w14:solidFill>
              <w14:schemeClr w14:val="tx1"/>
            </w14:solidFill>
          </w14:textFill>
        </w:rPr>
        <w:t>直接</w:t>
      </w:r>
      <w:r>
        <w:rPr>
          <w:rFonts w:ascii="Times New Roman" w:hAnsi="Times New Roman" w:cs="Times New Roman"/>
          <w:color w:val="000000" w:themeColor="text1"/>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w:t>
      </w:r>
      <w:r>
        <w:rPr>
          <w:rFonts w:hint="eastAsia" w:cs="Times New Roman"/>
          <w:color w:val="000000" w:themeColor="text1"/>
          <w:lang w:val="en-US" w:eastAsia="zh-CN"/>
          <w14:textFill>
            <w14:solidFill>
              <w14:schemeClr w14:val="tx1"/>
            </w14:solidFill>
          </w14:textFill>
        </w:rPr>
        <w:t>污水处理设施采取防渗措施</w:t>
      </w:r>
      <w:r>
        <w:rPr>
          <w:rFonts w:ascii="Times New Roman" w:hAnsi="Times New Roman" w:cs="Times New Roman"/>
          <w:color w:val="000000" w:themeColor="text1"/>
          <w14:textFill>
            <w14:solidFill>
              <w14:schemeClr w14:val="tx1"/>
            </w14:solidFill>
          </w14:textFill>
        </w:rPr>
        <w:t>，并喷洒除臭剂；</w:t>
      </w:r>
      <w:r>
        <w:rPr>
          <w:rFonts w:hint="eastAsia" w:cs="Times New Roman"/>
          <w:color w:val="auto"/>
          <w:lang w:eastAsia="zh-CN"/>
        </w:rPr>
        <w:t>淘汰鸭、病死鸭</w:t>
      </w:r>
      <w:r>
        <w:rPr>
          <w:rFonts w:ascii="Times New Roman" w:hAnsi="Times New Roman" w:cs="Times New Roman"/>
          <w:color w:val="auto"/>
        </w:rPr>
        <w:t>尸体委托伊宁市病死畜禽无害化处理中心处理；</w:t>
      </w:r>
      <w:r>
        <w:rPr>
          <w:rFonts w:ascii="Times New Roman" w:hAnsi="Times New Roman" w:cs="Times New Roman"/>
          <w:color w:val="000000" w:themeColor="text1"/>
          <w14:textFill>
            <w14:solidFill>
              <w14:schemeClr w14:val="tx1"/>
            </w14:solidFill>
          </w14:textFill>
        </w:rPr>
        <w:t>综上，项目的建设符合</w:t>
      </w:r>
      <w:r>
        <w:rPr>
          <w:rFonts w:hint="eastAsia" w:ascii="Times New Roman" w:hAnsi="Times New Roman" w:cs="Times New Roman"/>
          <w:color w:val="000000" w:themeColor="text1"/>
          <w:lang w:val="en-US" w:eastAsia="zh-CN"/>
          <w14:textFill>
            <w14:solidFill>
              <w14:schemeClr w14:val="tx1"/>
            </w14:solidFill>
          </w14:textFill>
        </w:rPr>
        <w:t>第四师可克达拉市</w:t>
      </w:r>
      <w:r>
        <w:rPr>
          <w:rFonts w:ascii="Times New Roman" w:hAnsi="Times New Roman" w:cs="Times New Roman"/>
          <w:color w:val="000000" w:themeColor="text1"/>
          <w14:textFill>
            <w14:solidFill>
              <w14:schemeClr w14:val="tx1"/>
            </w14:solidFill>
          </w14:textFill>
        </w:rPr>
        <w:t>生态环境保护“十四五”规划相关要求。</w:t>
      </w:r>
    </w:p>
    <w:p w14:paraId="5808A756">
      <w:pPr>
        <w:pStyle w:val="5"/>
        <w:ind w:left="120"/>
        <w:rPr>
          <w:rFonts w:ascii="Times New Roman" w:hAnsi="Times New Roman" w:cs="Times New Roman"/>
          <w:color w:val="auto"/>
        </w:rPr>
      </w:pPr>
      <w:bookmarkStart w:id="19" w:name="_Toc25211"/>
      <w:r>
        <w:rPr>
          <w:rFonts w:ascii="Times New Roman" w:hAnsi="Times New Roman" w:cs="Times New Roman"/>
          <w:color w:val="auto"/>
        </w:rPr>
        <w:t>相关技术政策及规范符合性分析</w:t>
      </w:r>
      <w:bookmarkEnd w:id="19"/>
    </w:p>
    <w:p w14:paraId="394EB39A">
      <w:pPr>
        <w:ind w:firstLine="480"/>
        <w:rPr>
          <w:rFonts w:ascii="Times New Roman" w:hAnsi="Times New Roman" w:cs="Times New Roman"/>
          <w:color w:val="auto"/>
        </w:rPr>
      </w:pPr>
      <w:r>
        <w:rPr>
          <w:rFonts w:hint="eastAsia" w:cs="Times New Roman"/>
          <w:color w:val="auto"/>
          <w:lang w:eastAsia="zh-CN"/>
        </w:rPr>
        <w:t>1.</w:t>
      </w:r>
      <w:r>
        <w:rPr>
          <w:rFonts w:ascii="Times New Roman" w:hAnsi="Times New Roman" w:cs="Times New Roman"/>
          <w:color w:val="auto"/>
        </w:rPr>
        <w:t>与《国务院办公厅关于加快推进畜禽养殖废弃物资源化利用的意见》（国办发〔2017〕48号）符合性分析</w:t>
      </w:r>
    </w:p>
    <w:p w14:paraId="20B74C52">
      <w:pPr>
        <w:ind w:firstLine="480"/>
        <w:rPr>
          <w:rFonts w:ascii="Times New Roman" w:hAnsi="Times New Roman" w:cs="Times New Roman"/>
          <w:color w:val="auto"/>
        </w:rPr>
      </w:pPr>
      <w:r>
        <w:rPr>
          <w:rFonts w:ascii="Times New Roman" w:hAnsi="Times New Roman" w:cs="Times New Roman"/>
          <w:color w:val="auto"/>
        </w:rPr>
        <w:t>意见中指出：深入开展畜禽粪污资源化利用行动，加快推进畜牧业绿色发展，大力发展规模化养殖，建设自动喂养、自动饮水、环境控制等现代化装备，推广节水、节料等清洁养殖工艺和干清粪、微生物发酵等实用技术，实现源头减量。加强畜禽粪污资源化利用技术集成，根据不同资源条件、不同畜种、不同规模，推广粪污全量收集还田利用、专业化能源利用、固体粪便肥料化利用、异位发酵床、粪便垫料回用、污水肥料化利用、污水达标排放等经济实用技术模式。</w:t>
      </w:r>
    </w:p>
    <w:p w14:paraId="5976899F">
      <w:pPr>
        <w:pStyle w:val="12"/>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本项目属于规模化养殖项目，配套建设有自动喂养、饮水等现代化装备；</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尸体委托伊宁市病死畜禽无害化处理中心处理；项目圈舍采用垫草料干清粪工艺，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w:t>
      </w:r>
      <w:r>
        <w:rPr>
          <w:rFonts w:hint="eastAsia" w:ascii="Times New Roman" w:hAnsi="Times New Roman" w:cs="Times New Roman"/>
          <w:color w:val="000000" w:themeColor="text1"/>
          <w:lang w:val="en-US" w:eastAsia="zh-CN"/>
          <w14:textFill>
            <w14:solidFill>
              <w14:schemeClr w14:val="tx1"/>
            </w14:solidFill>
          </w14:textFill>
        </w:rPr>
        <w:t>不在项目区内贮存</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直接</w:t>
      </w:r>
      <w:r>
        <w:rPr>
          <w:rFonts w:ascii="Times New Roman" w:hAnsi="Times New Roman" w:cs="Times New Roman"/>
          <w:color w:val="000000" w:themeColor="text1"/>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外售；本项目工作人员办公生活</w:t>
      </w:r>
      <w:r>
        <w:rPr>
          <w:rFonts w:hint="eastAsia" w:ascii="Times New Roman" w:hAnsi="Times New Roman" w:cs="Times New Roman"/>
          <w:color w:val="000000" w:themeColor="text1"/>
          <w:lang w:val="en-US" w:eastAsia="zh-CN"/>
          <w14:textFill>
            <w14:solidFill>
              <w14:schemeClr w14:val="tx1"/>
            </w14:solidFill>
          </w14:textFill>
        </w:rPr>
        <w:t>污水排</w:t>
      </w:r>
      <w:r>
        <w:rPr>
          <w:rFonts w:hint="eastAsia" w:cs="Times New Roman"/>
          <w:color w:val="000000" w:themeColor="text1"/>
          <w:lang w:val="en-US" w:eastAsia="zh-CN"/>
          <w14:textFill>
            <w14:solidFill>
              <w14:schemeClr w14:val="tx1"/>
            </w14:solidFill>
          </w14:textFill>
        </w:rPr>
        <w:t>生活区化粪池；养殖废水通过管道排至养殖区污水处理设施</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污水经治理后用于养殖区绿化浇灌</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整体来说</w:t>
      </w:r>
      <w:r>
        <w:rPr>
          <w:rFonts w:ascii="Times New Roman" w:hAnsi="Times New Roman" w:cs="Times New Roman"/>
          <w:color w:val="000000" w:themeColor="text1"/>
          <w14:textFill>
            <w14:solidFill>
              <w14:schemeClr w14:val="tx1"/>
            </w14:solidFill>
          </w14:textFill>
        </w:rPr>
        <w:t>无污水</w:t>
      </w:r>
      <w:r>
        <w:rPr>
          <w:rFonts w:hint="eastAsia" w:ascii="Times New Roman" w:hAnsi="Times New Roman" w:cs="Times New Roman"/>
          <w:color w:val="000000" w:themeColor="text1"/>
          <w:lang w:val="en-US" w:eastAsia="zh-CN"/>
          <w14:textFill>
            <w14:solidFill>
              <w14:schemeClr w14:val="tx1"/>
            </w14:solidFill>
          </w14:textFill>
        </w:rPr>
        <w:t>外排</w:t>
      </w:r>
      <w:r>
        <w:rPr>
          <w:rFonts w:ascii="Times New Roman" w:hAnsi="Times New Roman" w:cs="Times New Roman"/>
          <w:color w:val="000000" w:themeColor="text1"/>
          <w14:textFill>
            <w14:solidFill>
              <w14:schemeClr w14:val="tx1"/>
            </w14:solidFill>
          </w14:textFill>
        </w:rPr>
        <w:t>。因此，项目符合《国务院办公厅关于加快推进畜禽养殖废弃物资源化利用的意见》要求。</w:t>
      </w:r>
    </w:p>
    <w:p w14:paraId="56EB9D2F">
      <w:pPr>
        <w:ind w:firstLine="480"/>
        <w:rPr>
          <w:rFonts w:ascii="Times New Roman" w:hAnsi="Times New Roman" w:cs="Times New Roman"/>
          <w:color w:val="auto"/>
        </w:rPr>
      </w:pPr>
      <w:r>
        <w:rPr>
          <w:rFonts w:hint="eastAsia" w:cs="Times New Roman"/>
          <w:color w:val="auto"/>
          <w:lang w:val="en-US" w:eastAsia="zh-CN"/>
        </w:rPr>
        <w:t>2.</w:t>
      </w:r>
      <w:r>
        <w:rPr>
          <w:rFonts w:ascii="Times New Roman" w:hAnsi="Times New Roman" w:cs="Times New Roman"/>
          <w:color w:val="auto"/>
        </w:rPr>
        <w:t>与《关于进一步加强畜禽养殖污染防治工作的通知》（环水体〔2016〕144号）符合性分析</w:t>
      </w:r>
    </w:p>
    <w:p w14:paraId="3D654A4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auto"/>
        </w:rPr>
        <w:t>通知中指出“因地制宜发展多种形式的畜禽生态养殖，推广农牧结合，种养平衡、生态</w:t>
      </w:r>
      <w:r>
        <w:rPr>
          <w:rFonts w:ascii="Times New Roman" w:hAnsi="Times New Roman" w:cs="Times New Roman"/>
          <w:color w:val="000000" w:themeColor="text1"/>
          <w14:textFill>
            <w14:solidFill>
              <w14:schemeClr w14:val="tx1"/>
            </w14:solidFill>
          </w14:textFill>
        </w:rPr>
        <w:t>循环的发展模式，促进粪便等废弃物综合利用”。</w:t>
      </w:r>
    </w:p>
    <w:p w14:paraId="25D83C9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项目圈舍采用垫草料干清粪工艺，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w:t>
      </w:r>
      <w:r>
        <w:rPr>
          <w:rFonts w:hint="eastAsia" w:cs="Times New Roman"/>
          <w:color w:val="000000" w:themeColor="text1"/>
          <w:lang w:eastAsia="zh-CN"/>
          <w14:textFill>
            <w14:solidFill>
              <w14:schemeClr w14:val="tx1"/>
            </w14:solidFill>
          </w14:textFill>
        </w:rPr>
        <w:t>直接</w:t>
      </w:r>
      <w:r>
        <w:rPr>
          <w:rFonts w:ascii="Times New Roman" w:hAnsi="Times New Roman" w:cs="Times New Roman"/>
          <w:color w:val="000000" w:themeColor="text1"/>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尸体委托伊宁市病死畜禽无害化处理中心处理。项目粪污、</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等均得到合理处理，符合环水体〔2016〕144号文件要求。</w:t>
      </w:r>
    </w:p>
    <w:p w14:paraId="3C0CD181">
      <w:pPr>
        <w:ind w:firstLine="480"/>
        <w:rPr>
          <w:rFonts w:ascii="Times New Roman" w:hAnsi="Times New Roman" w:cs="Times New Roman"/>
          <w:color w:val="auto"/>
        </w:rPr>
      </w:pPr>
      <w:r>
        <w:rPr>
          <w:rFonts w:hint="eastAsia" w:cs="Times New Roman"/>
          <w:color w:val="auto"/>
          <w:lang w:val="en-US" w:eastAsia="zh-CN"/>
        </w:rPr>
        <w:t>3.</w:t>
      </w:r>
      <w:r>
        <w:rPr>
          <w:rFonts w:ascii="Times New Roman" w:hAnsi="Times New Roman" w:cs="Times New Roman"/>
          <w:color w:val="auto"/>
        </w:rPr>
        <w:t>与《关于加强固定污染源氮磷污染防治的通知》（环水体〔2018〕16号）符合性分析</w:t>
      </w:r>
    </w:p>
    <w:p w14:paraId="6724BE8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auto"/>
        </w:rPr>
        <w:t>通知中指出“各地要高度重视氮磷污染防治工作，以重点行业企业、污水集中处理设施、规模化畜禽养殖场氮磷排放达标整治为突破口，强化固定污染源氮磷污染防</w:t>
      </w:r>
      <w:r>
        <w:rPr>
          <w:rFonts w:ascii="Times New Roman" w:hAnsi="Times New Roman" w:cs="Times New Roman"/>
          <w:color w:val="000000" w:themeColor="text1"/>
          <w14:textFill>
            <w14:solidFill>
              <w14:schemeClr w14:val="tx1"/>
            </w14:solidFill>
          </w14:textFill>
        </w:rPr>
        <w:t>治；重点流域要以实施排污许可为契机和抓手，严格控制并逐步削减重点行业氮磷排放总量，推动流域水质改善”。</w:t>
      </w:r>
    </w:p>
    <w:p w14:paraId="5678374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本项目为规模化养殖项目，项目圈舍采用垫草料干清粪工艺，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及垫草料均</w:t>
      </w:r>
      <w:r>
        <w:rPr>
          <w:rFonts w:hint="eastAsia" w:ascii="Times New Roman" w:hAnsi="Times New Roman" w:cs="Times New Roman"/>
          <w:color w:val="000000" w:themeColor="text1"/>
          <w:lang w:val="en-US" w:eastAsia="zh-CN"/>
          <w14:textFill>
            <w14:solidFill>
              <w14:schemeClr w14:val="tx1"/>
            </w14:solidFill>
          </w14:textFill>
        </w:rPr>
        <w:t>外售</w:t>
      </w:r>
      <w:r>
        <w:rPr>
          <w:rFonts w:ascii="Times New Roman" w:hAnsi="Times New Roman" w:cs="Times New Roman"/>
          <w:color w:val="000000" w:themeColor="text1"/>
          <w14:textFill>
            <w14:solidFill>
              <w14:schemeClr w14:val="tx1"/>
            </w14:solidFill>
          </w14:textFill>
        </w:rPr>
        <w:t>作为有机肥综合利用；本项目无</w:t>
      </w:r>
      <w:r>
        <w:rPr>
          <w:rFonts w:hint="eastAsia" w:cs="Times New Roman"/>
          <w:color w:val="000000" w:themeColor="text1"/>
          <w:lang w:eastAsia="zh-CN"/>
          <w14:textFill>
            <w14:solidFill>
              <w14:schemeClr w14:val="tx1"/>
            </w14:solidFill>
          </w14:textFill>
        </w:rPr>
        <w:t>养殖</w:t>
      </w:r>
      <w:r>
        <w:rPr>
          <w:rFonts w:hint="eastAsia" w:ascii="Times New Roman" w:hAnsi="Times New Roman" w:cs="Times New Roman"/>
          <w:color w:val="000000" w:themeColor="text1"/>
          <w:lang w:val="en-US" w:eastAsia="zh-CN"/>
          <w14:textFill>
            <w14:solidFill>
              <w14:schemeClr w14:val="tx1"/>
            </w14:solidFill>
          </w14:textFill>
        </w:rPr>
        <w:t>废水</w:t>
      </w:r>
      <w:r>
        <w:rPr>
          <w:rFonts w:ascii="Times New Roman" w:hAnsi="Times New Roman" w:cs="Times New Roman"/>
          <w:color w:val="000000" w:themeColor="text1"/>
          <w14:textFill>
            <w14:solidFill>
              <w14:schemeClr w14:val="tx1"/>
            </w14:solidFill>
          </w14:textFill>
        </w:rPr>
        <w:t>及</w:t>
      </w:r>
      <w:r>
        <w:rPr>
          <w:rFonts w:hint="eastAsia" w:ascii="Times New Roman" w:hAnsi="Times New Roman" w:cs="Times New Roman"/>
          <w:color w:val="000000" w:themeColor="text1"/>
          <w:lang w:eastAsia="zh-CN"/>
          <w14:textFill>
            <w14:solidFill>
              <w14:schemeClr w14:val="tx1"/>
            </w14:solidFill>
          </w14:textFill>
        </w:rPr>
        <w:t>生活污水</w:t>
      </w:r>
      <w:r>
        <w:rPr>
          <w:rFonts w:hint="eastAsia" w:ascii="Times New Roman" w:hAnsi="Times New Roman" w:cs="Times New Roman"/>
          <w:color w:val="000000" w:themeColor="text1"/>
          <w:lang w:val="en-US" w:eastAsia="zh-CN"/>
          <w14:textFill>
            <w14:solidFill>
              <w14:schemeClr w14:val="tx1"/>
            </w14:solidFill>
          </w14:textFill>
        </w:rPr>
        <w:t>排放</w:t>
      </w:r>
      <w:r>
        <w:rPr>
          <w:rFonts w:ascii="Times New Roman" w:hAnsi="Times New Roman" w:cs="Times New Roman"/>
          <w:color w:val="000000" w:themeColor="text1"/>
          <w14:textFill>
            <w14:solidFill>
              <w14:schemeClr w14:val="tx1"/>
            </w14:solidFill>
          </w14:textFill>
        </w:rPr>
        <w:t>，不存在氮磷污染问题。</w:t>
      </w:r>
    </w:p>
    <w:p w14:paraId="6611D7E9">
      <w:pPr>
        <w:ind w:firstLine="480"/>
        <w:rPr>
          <w:rFonts w:ascii="Times New Roman" w:hAnsi="Times New Roman" w:cs="Times New Roman"/>
          <w:color w:val="auto"/>
        </w:rPr>
      </w:pPr>
      <w:r>
        <w:rPr>
          <w:rFonts w:hint="eastAsia" w:cs="Times New Roman"/>
          <w:color w:val="auto"/>
          <w:lang w:val="en-US" w:eastAsia="zh-CN"/>
        </w:rPr>
        <w:t>4.</w:t>
      </w:r>
      <w:r>
        <w:rPr>
          <w:rFonts w:ascii="Times New Roman" w:hAnsi="Times New Roman" w:cs="Times New Roman"/>
          <w:color w:val="auto"/>
        </w:rPr>
        <w:t>与《畜禽规模养殖场粪污资源化利用设施建设规范（试行</w:t>
      </w:r>
      <w:r>
        <w:rPr>
          <w:rFonts w:hint="eastAsia" w:ascii="Times New Roman" w:hAnsi="Times New Roman" w:cs="Times New Roman"/>
          <w:color w:val="auto"/>
          <w:lang w:eastAsia="zh-CN"/>
        </w:rPr>
        <w:t>）</w:t>
      </w:r>
      <w:r>
        <w:rPr>
          <w:rFonts w:ascii="Times New Roman" w:hAnsi="Times New Roman" w:cs="Times New Roman"/>
          <w:color w:val="auto"/>
        </w:rPr>
        <w:t>》（农办牧〔2018〕2号）符合性</w:t>
      </w:r>
    </w:p>
    <w:p w14:paraId="1DB3F3C1">
      <w:pPr>
        <w:ind w:firstLine="480"/>
        <w:rPr>
          <w:rFonts w:ascii="Times New Roman" w:hAnsi="Times New Roman" w:cs="Times New Roman"/>
          <w:color w:val="auto"/>
        </w:rPr>
      </w:pPr>
      <w:r>
        <w:rPr>
          <w:rFonts w:ascii="Times New Roman" w:hAnsi="Times New Roman" w:cs="Times New Roman"/>
          <w:color w:val="auto"/>
        </w:rPr>
        <w:t>根据《畜禽规模养殖场粪污资源化利用设施建设规范（试行）》中的要求，畜禽规模养殖场应根据养殖污染防治要求，建设与养殖规模相配套的粪污资源化利用设施，并及时对粪污进行收集、贮存，粪污暂存池（场）应满足防渗、防雨、防溢流等要求。</w:t>
      </w:r>
    </w:p>
    <w:p w14:paraId="437989B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本项目采用垫草料干清粪工艺，根据规范要求及本工艺的特点，</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w:t>
      </w:r>
      <w:r>
        <w:rPr>
          <w:rFonts w:hint="eastAsia" w:cs="Times New Roman"/>
          <w:color w:val="000000" w:themeColor="text1"/>
          <w:lang w:eastAsia="zh-CN"/>
          <w14:textFill>
            <w14:solidFill>
              <w14:schemeClr w14:val="tx1"/>
            </w14:solidFill>
          </w14:textFill>
        </w:rPr>
        <w:t>直接</w:t>
      </w:r>
      <w:r>
        <w:rPr>
          <w:rFonts w:ascii="Times New Roman" w:hAnsi="Times New Roman" w:cs="Times New Roman"/>
          <w:color w:val="000000" w:themeColor="text1"/>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w:t>
      </w:r>
      <w:r>
        <w:rPr>
          <w:rFonts w:hint="eastAsia" w:cs="Times New Roman"/>
          <w:color w:val="000000" w:themeColor="text1"/>
          <w:lang w:val="en-US" w:eastAsia="zh-CN"/>
          <w14:textFill>
            <w14:solidFill>
              <w14:schemeClr w14:val="tx1"/>
            </w14:solidFill>
          </w14:textFill>
        </w:rPr>
        <w:t>本项目冲洗废水通过鸭舍尾端管径600的管道排入污水处理设施，详见附图4和5。</w:t>
      </w:r>
      <w:r>
        <w:rPr>
          <w:rFonts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废水处理设施</w:t>
      </w:r>
      <w:r>
        <w:rPr>
          <w:rFonts w:ascii="Times New Roman" w:hAnsi="Times New Roman" w:cs="Times New Roman"/>
          <w:color w:val="000000" w:themeColor="text1"/>
          <w14:textFill>
            <w14:solidFill>
              <w14:schemeClr w14:val="tx1"/>
            </w14:solidFill>
          </w14:textFill>
        </w:rPr>
        <w:t>采用高密度聚乙烯土工膜（HDPE）进行防渗，再在上层铺设10</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15cm的水泥进行硬化，表层覆盖保护膜防止雨水进入，满足防渗、防雨、防溢流等要求，因此本项目对粪污的设施满足《畜禽规模养殖场粪污资源化利用设施建设规范（试行）》。</w:t>
      </w:r>
    </w:p>
    <w:p w14:paraId="06890E54">
      <w:pPr>
        <w:ind w:firstLine="480"/>
        <w:rPr>
          <w:rFonts w:ascii="Times New Roman" w:hAnsi="Times New Roman" w:cs="Times New Roman"/>
          <w:color w:val="auto"/>
        </w:rPr>
      </w:pPr>
      <w:r>
        <w:rPr>
          <w:rFonts w:hint="eastAsia" w:cs="Times New Roman"/>
          <w:color w:val="auto"/>
          <w:lang w:val="en-US" w:eastAsia="zh-CN"/>
        </w:rPr>
        <w:t>5.</w:t>
      </w:r>
      <w:r>
        <w:rPr>
          <w:rFonts w:ascii="Times New Roman" w:hAnsi="Times New Roman" w:cs="Times New Roman"/>
          <w:color w:val="auto"/>
        </w:rPr>
        <w:t>与《畜禽养殖业污染防治技术规范》符合性</w:t>
      </w:r>
    </w:p>
    <w:p w14:paraId="37B9694A">
      <w:pPr>
        <w:ind w:firstLine="480"/>
        <w:rPr>
          <w:rFonts w:ascii="Times New Roman" w:hAnsi="Times New Roman" w:cs="Times New Roman"/>
          <w:color w:val="auto"/>
        </w:rPr>
      </w:pPr>
      <w:r>
        <w:rPr>
          <w:rFonts w:ascii="Times New Roman" w:hAnsi="Times New Roman" w:cs="Times New Roman"/>
          <w:color w:val="auto"/>
        </w:rPr>
        <w:t>本项目与《畜禽养殖业污染防治技术规范》符合性分析见表1.3-1。</w:t>
      </w:r>
    </w:p>
    <w:p w14:paraId="7A95B1A2">
      <w:pPr>
        <w:pStyle w:val="61"/>
        <w:spacing w:before="32" w:after="32"/>
        <w:rPr>
          <w:rFonts w:ascii="Times New Roman" w:hAnsi="Times New Roman" w:cs="Times New Roman"/>
          <w:b/>
          <w:bCs/>
          <w:color w:val="auto"/>
        </w:rPr>
      </w:pPr>
      <w:r>
        <w:rPr>
          <w:rFonts w:ascii="Times New Roman" w:hAnsi="Times New Roman" w:cs="Times New Roman" w:eastAsiaTheme="minorEastAsia"/>
          <w:b/>
          <w:bCs/>
          <w:color w:val="auto"/>
        </w:rPr>
        <w:t>表1.3-1    与《</w:t>
      </w:r>
      <w:bookmarkStart w:id="20" w:name="OLE_LINK1"/>
      <w:r>
        <w:rPr>
          <w:rFonts w:ascii="Times New Roman" w:hAnsi="Times New Roman" w:cs="Times New Roman" w:eastAsiaTheme="minorEastAsia"/>
          <w:b/>
          <w:bCs/>
          <w:color w:val="auto"/>
        </w:rPr>
        <w:t>畜禽养殖业污染防治技术规范</w:t>
      </w:r>
      <w:bookmarkEnd w:id="20"/>
      <w:r>
        <w:rPr>
          <w:rFonts w:ascii="Times New Roman" w:hAnsi="Times New Roman" w:cs="Times New Roman" w:eastAsiaTheme="minorEastAsia"/>
          <w:b/>
          <w:bCs/>
          <w:color w:val="auto"/>
        </w:rPr>
        <w:t>》符合性分析</w:t>
      </w:r>
    </w:p>
    <w:tbl>
      <w:tblPr>
        <w:tblStyle w:val="35"/>
        <w:tblW w:w="895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865"/>
        <w:gridCol w:w="4160"/>
        <w:gridCol w:w="3012"/>
        <w:gridCol w:w="921"/>
      </w:tblGrid>
      <w:tr w14:paraId="23D6D4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23BA4B02">
            <w:pPr>
              <w:pStyle w:val="56"/>
              <w:jc w:val="both"/>
              <w:rPr>
                <w:rFonts w:ascii="Times New Roman" w:hAnsi="Times New Roman"/>
                <w:color w:val="auto"/>
                <w:szCs w:val="21"/>
              </w:rPr>
            </w:pPr>
            <w:r>
              <w:rPr>
                <w:rFonts w:ascii="Times New Roman" w:hAnsi="Times New Roman"/>
                <w:color w:val="auto"/>
                <w:szCs w:val="21"/>
              </w:rPr>
              <w:t>项目</w:t>
            </w:r>
          </w:p>
        </w:tc>
        <w:tc>
          <w:tcPr>
            <w:tcW w:w="4160" w:type="dxa"/>
            <w:tcBorders>
              <w:tl2br w:val="nil"/>
              <w:tr2bl w:val="nil"/>
            </w:tcBorders>
            <w:vAlign w:val="center"/>
          </w:tcPr>
          <w:p w14:paraId="3A135D28">
            <w:pPr>
              <w:pStyle w:val="56"/>
              <w:rPr>
                <w:rFonts w:ascii="Times New Roman" w:hAnsi="Times New Roman"/>
                <w:color w:val="auto"/>
                <w:szCs w:val="21"/>
              </w:rPr>
            </w:pPr>
            <w:r>
              <w:rPr>
                <w:rFonts w:ascii="Times New Roman" w:hAnsi="Times New Roman"/>
                <w:color w:val="auto"/>
                <w:szCs w:val="21"/>
              </w:rPr>
              <w:t>规范要求</w:t>
            </w:r>
          </w:p>
        </w:tc>
        <w:tc>
          <w:tcPr>
            <w:tcW w:w="3012" w:type="dxa"/>
            <w:tcBorders>
              <w:tl2br w:val="nil"/>
              <w:tr2bl w:val="nil"/>
            </w:tcBorders>
            <w:vAlign w:val="center"/>
          </w:tcPr>
          <w:p w14:paraId="737865C5">
            <w:pPr>
              <w:pStyle w:val="56"/>
              <w:rPr>
                <w:rFonts w:ascii="Times New Roman" w:hAnsi="Times New Roman"/>
                <w:color w:val="auto"/>
                <w:szCs w:val="21"/>
              </w:rPr>
            </w:pPr>
            <w:r>
              <w:rPr>
                <w:rFonts w:ascii="Times New Roman" w:hAnsi="Times New Roman"/>
                <w:color w:val="auto"/>
                <w:szCs w:val="21"/>
              </w:rPr>
              <w:t>本项目情况</w:t>
            </w:r>
          </w:p>
        </w:tc>
        <w:tc>
          <w:tcPr>
            <w:tcW w:w="921" w:type="dxa"/>
            <w:tcBorders>
              <w:tl2br w:val="nil"/>
              <w:tr2bl w:val="nil"/>
            </w:tcBorders>
            <w:vAlign w:val="center"/>
          </w:tcPr>
          <w:p w14:paraId="1905C88D">
            <w:pPr>
              <w:pStyle w:val="56"/>
              <w:jc w:val="both"/>
              <w:rPr>
                <w:rFonts w:ascii="Times New Roman" w:hAnsi="Times New Roman"/>
                <w:color w:val="auto"/>
                <w:szCs w:val="21"/>
              </w:rPr>
            </w:pPr>
            <w:r>
              <w:rPr>
                <w:rFonts w:ascii="Times New Roman" w:hAnsi="Times New Roman"/>
                <w:color w:val="auto"/>
                <w:szCs w:val="21"/>
              </w:rPr>
              <w:t>符合性</w:t>
            </w:r>
          </w:p>
        </w:tc>
      </w:tr>
      <w:tr w14:paraId="25E3AC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restart"/>
            <w:tcBorders>
              <w:tl2br w:val="nil"/>
              <w:tr2bl w:val="nil"/>
            </w:tcBorders>
            <w:vAlign w:val="center"/>
          </w:tcPr>
          <w:p w14:paraId="7EA2A11D">
            <w:pPr>
              <w:pStyle w:val="56"/>
              <w:jc w:val="both"/>
              <w:rPr>
                <w:rFonts w:ascii="Times New Roman" w:hAnsi="Times New Roman"/>
                <w:color w:val="auto"/>
                <w:szCs w:val="21"/>
              </w:rPr>
            </w:pPr>
            <w:r>
              <w:rPr>
                <w:rFonts w:ascii="Times New Roman" w:hAnsi="Times New Roman"/>
                <w:color w:val="auto"/>
                <w:szCs w:val="21"/>
              </w:rPr>
              <w:t>场区布局与清粪工艺</w:t>
            </w:r>
          </w:p>
        </w:tc>
        <w:tc>
          <w:tcPr>
            <w:tcW w:w="4160" w:type="dxa"/>
            <w:tcBorders>
              <w:tl2br w:val="nil"/>
              <w:tr2bl w:val="nil"/>
            </w:tcBorders>
            <w:vAlign w:val="center"/>
          </w:tcPr>
          <w:p w14:paraId="42AB9D7C">
            <w:pPr>
              <w:pStyle w:val="56"/>
              <w:ind w:firstLine="420" w:firstLineChars="200"/>
              <w:jc w:val="both"/>
              <w:rPr>
                <w:rFonts w:ascii="Times New Roman" w:hAnsi="Times New Roman"/>
                <w:color w:val="auto"/>
                <w:szCs w:val="21"/>
              </w:rPr>
            </w:pPr>
            <w:r>
              <w:rPr>
                <w:rFonts w:ascii="Times New Roman" w:hAnsi="Times New Roman"/>
                <w:color w:val="auto"/>
                <w:szCs w:val="21"/>
              </w:rPr>
              <w:t>新建、改建、扩建的畜禽养殖场应实现生产区、生活管理区的隔离，粪便污水处理设施和</w:t>
            </w:r>
            <w:r>
              <w:rPr>
                <w:rFonts w:hint="eastAsia" w:ascii="Times New Roman" w:hAnsi="Times New Roman"/>
                <w:color w:val="auto"/>
                <w:szCs w:val="21"/>
                <w:lang w:eastAsia="zh-CN"/>
              </w:rPr>
              <w:t>畜禽</w:t>
            </w:r>
            <w:r>
              <w:rPr>
                <w:rFonts w:ascii="Times New Roman" w:hAnsi="Times New Roman"/>
                <w:color w:val="auto"/>
                <w:szCs w:val="21"/>
              </w:rPr>
              <w:t>尸体焚烧炉应设在养殖场的生产区、生活管理区的常年主导风向的下风向或侧风向处。</w:t>
            </w:r>
          </w:p>
        </w:tc>
        <w:tc>
          <w:tcPr>
            <w:tcW w:w="3012" w:type="dxa"/>
            <w:tcBorders>
              <w:tl2br w:val="nil"/>
              <w:tr2bl w:val="nil"/>
            </w:tcBorders>
            <w:vAlign w:val="center"/>
          </w:tcPr>
          <w:p w14:paraId="526154EB">
            <w:pPr>
              <w:pStyle w:val="56"/>
              <w:ind w:firstLine="420" w:firstLineChars="200"/>
              <w:jc w:val="both"/>
              <w:rPr>
                <w:rFonts w:hint="eastAsia" w:ascii="Times New Roman" w:hAnsi="Times New Roman" w:eastAsia="宋体"/>
                <w:color w:val="000000" w:themeColor="text1"/>
                <w:szCs w:val="21"/>
                <w:lang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生活区位于养殖区中部</w:t>
            </w:r>
            <w:r>
              <w:rPr>
                <w:rFonts w:hint="eastAsia" w:ascii="Times New Roman" w:hAnsi="Times New Roman"/>
                <w:color w:val="000000" w:themeColor="text1"/>
                <w:szCs w:val="21"/>
                <w:lang w:val="en-US"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属于养殖区主导风向侧风向</w:t>
            </w:r>
            <w:r>
              <w:rPr>
                <w:rFonts w:hint="eastAsia" w:ascii="Times New Roman" w:hAnsi="Times New Roman"/>
                <w:color w:val="000000" w:themeColor="text1"/>
                <w:szCs w:val="21"/>
                <w:lang w:val="en-US"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污水处理设施位于养殖区南端，距离生活管理区较远</w:t>
            </w:r>
            <w:r>
              <w:rPr>
                <w:rFonts w:ascii="Times New Roman" w:hAnsi="Times New Roman"/>
                <w:color w:val="000000" w:themeColor="text1"/>
                <w:szCs w:val="21"/>
                <w:lang w:val="en-US"/>
                <w14:textFill>
                  <w14:solidFill>
                    <w14:schemeClr w14:val="tx1"/>
                  </w14:solidFill>
                </w14:textFill>
              </w:rPr>
              <w:t>。</w:t>
            </w:r>
            <w:r>
              <w:rPr>
                <w:rFonts w:hint="eastAsia"/>
                <w:color w:val="000000" w:themeColor="text1"/>
                <w:szCs w:val="21"/>
                <w:lang w:val="en-US" w:eastAsia="zh-CN"/>
                <w14:textFill>
                  <w14:solidFill>
                    <w14:schemeClr w14:val="tx1"/>
                  </w14:solidFill>
                </w14:textFill>
              </w:rPr>
              <w:t>病死鸡鸭不在现场处理，交处理单位外运处理。</w:t>
            </w:r>
          </w:p>
        </w:tc>
        <w:tc>
          <w:tcPr>
            <w:tcW w:w="921" w:type="dxa"/>
            <w:tcBorders>
              <w:tl2br w:val="nil"/>
              <w:tr2bl w:val="nil"/>
            </w:tcBorders>
            <w:vAlign w:val="center"/>
          </w:tcPr>
          <w:p w14:paraId="08E626B6">
            <w:pPr>
              <w:pStyle w:val="56"/>
              <w:jc w:val="both"/>
              <w:rPr>
                <w:rFonts w:ascii="Times New Roman" w:hAnsi="Times New Roman"/>
                <w:color w:val="auto"/>
                <w:szCs w:val="21"/>
              </w:rPr>
            </w:pPr>
            <w:r>
              <w:rPr>
                <w:rFonts w:ascii="Times New Roman" w:hAnsi="Times New Roman"/>
                <w:color w:val="auto"/>
                <w:szCs w:val="21"/>
              </w:rPr>
              <w:t>符合</w:t>
            </w:r>
          </w:p>
        </w:tc>
      </w:tr>
      <w:tr w14:paraId="2D621B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7E9FB789">
            <w:pPr>
              <w:pStyle w:val="56"/>
              <w:rPr>
                <w:rFonts w:ascii="Times New Roman" w:hAnsi="Times New Roman"/>
                <w:color w:val="auto"/>
                <w:szCs w:val="21"/>
              </w:rPr>
            </w:pPr>
          </w:p>
        </w:tc>
        <w:tc>
          <w:tcPr>
            <w:tcW w:w="4160" w:type="dxa"/>
            <w:tcBorders>
              <w:tl2br w:val="nil"/>
              <w:tr2bl w:val="nil"/>
            </w:tcBorders>
            <w:vAlign w:val="center"/>
          </w:tcPr>
          <w:p w14:paraId="10559A58">
            <w:pPr>
              <w:pStyle w:val="56"/>
              <w:ind w:firstLine="420" w:firstLineChars="200"/>
              <w:jc w:val="both"/>
              <w:rPr>
                <w:rFonts w:ascii="Times New Roman" w:hAnsi="Times New Roman"/>
                <w:color w:val="auto"/>
                <w:szCs w:val="21"/>
              </w:rPr>
            </w:pPr>
            <w:r>
              <w:rPr>
                <w:rFonts w:ascii="Times New Roman" w:hAnsi="Times New Roman"/>
                <w:color w:val="auto"/>
                <w:szCs w:val="21"/>
              </w:rPr>
              <w:t>养殖场的排水系统应实行雨水和污水收集输送系统分离，在场区内外设置的污水收集输送系统，不得采取明沟布设。</w:t>
            </w:r>
          </w:p>
        </w:tc>
        <w:tc>
          <w:tcPr>
            <w:tcW w:w="3012" w:type="dxa"/>
            <w:tcBorders>
              <w:tl2br w:val="nil"/>
              <w:tr2bl w:val="nil"/>
            </w:tcBorders>
            <w:vAlign w:val="center"/>
          </w:tcPr>
          <w:p w14:paraId="36A32814">
            <w:pPr>
              <w:pStyle w:val="56"/>
              <w:ind w:firstLine="420" w:firstLineChars="200"/>
              <w:jc w:val="both"/>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r>
              <w:rPr>
                <w:rFonts w:hint="eastAsia"/>
                <w:color w:val="000000" w:themeColor="text1"/>
                <w:szCs w:val="21"/>
                <w:lang w:eastAsia="zh-CN"/>
                <w14:textFill>
                  <w14:solidFill>
                    <w14:schemeClr w14:val="tx1"/>
                  </w14:solidFill>
                </w14:textFill>
              </w:rPr>
              <w:t>污水纳管</w:t>
            </w:r>
            <w:r>
              <w:rPr>
                <w:rFonts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lang w:val="en-US"/>
                <w14:textFill>
                  <w14:solidFill>
                    <w14:schemeClr w14:val="tx1"/>
                  </w14:solidFill>
                </w14:textFill>
              </w:rPr>
              <w:t>无</w:t>
            </w:r>
            <w:r>
              <w:rPr>
                <w:rFonts w:hint="eastAsia"/>
                <w:color w:val="000000" w:themeColor="text1"/>
                <w:szCs w:val="21"/>
                <w:lang w:val="en-US" w:eastAsia="zh-CN"/>
                <w14:textFill>
                  <w14:solidFill>
                    <w14:schemeClr w14:val="tx1"/>
                  </w14:solidFill>
                </w14:textFill>
              </w:rPr>
              <w:t>养殖</w:t>
            </w:r>
            <w:r>
              <w:rPr>
                <w:rFonts w:ascii="Times New Roman" w:hAnsi="Times New Roman"/>
                <w:color w:val="000000" w:themeColor="text1"/>
                <w:szCs w:val="21"/>
                <w:lang w:val="en-US"/>
                <w14:textFill>
                  <w14:solidFill>
                    <w14:schemeClr w14:val="tx1"/>
                  </w14:solidFill>
                </w14:textFill>
              </w:rPr>
              <w:t>和生活废水</w:t>
            </w:r>
            <w:r>
              <w:rPr>
                <w:rFonts w:hint="eastAsia" w:ascii="Times New Roman" w:hAnsi="Times New Roman"/>
                <w:color w:val="000000" w:themeColor="text1"/>
                <w:szCs w:val="21"/>
                <w:lang w:val="en-US" w:eastAsia="zh-CN"/>
                <w14:textFill>
                  <w14:solidFill>
                    <w14:schemeClr w14:val="tx1"/>
                  </w14:solidFill>
                </w14:textFill>
              </w:rPr>
              <w:t>外排</w:t>
            </w:r>
            <w:r>
              <w:rPr>
                <w:rFonts w:hint="eastAsia"/>
                <w:color w:val="000000" w:themeColor="text1"/>
                <w:szCs w:val="21"/>
                <w:lang w:val="en-US" w:eastAsia="zh-CN"/>
                <w14:textFill>
                  <w14:solidFill>
                    <w14:schemeClr w14:val="tx1"/>
                  </w14:solidFill>
                </w14:textFill>
              </w:rPr>
              <w:t>，因此判定属于雨污分流</w:t>
            </w:r>
            <w:r>
              <w:rPr>
                <w:rFonts w:ascii="Times New Roman" w:hAnsi="Times New Roman"/>
                <w:color w:val="000000" w:themeColor="text1"/>
                <w:szCs w:val="21"/>
                <w:lang w:val="en-US"/>
                <w14:textFill>
                  <w14:solidFill>
                    <w14:schemeClr w14:val="tx1"/>
                  </w14:solidFill>
                </w14:textFill>
              </w:rPr>
              <w:t>。</w:t>
            </w:r>
          </w:p>
        </w:tc>
        <w:tc>
          <w:tcPr>
            <w:tcW w:w="921" w:type="dxa"/>
            <w:tcBorders>
              <w:tl2br w:val="nil"/>
              <w:tr2bl w:val="nil"/>
            </w:tcBorders>
            <w:vAlign w:val="center"/>
          </w:tcPr>
          <w:p w14:paraId="4A5449CE">
            <w:pPr>
              <w:pStyle w:val="56"/>
              <w:jc w:val="both"/>
              <w:rPr>
                <w:rFonts w:ascii="Times New Roman" w:hAnsi="Times New Roman"/>
                <w:color w:val="auto"/>
                <w:szCs w:val="21"/>
              </w:rPr>
            </w:pPr>
            <w:r>
              <w:rPr>
                <w:rFonts w:ascii="Times New Roman" w:hAnsi="Times New Roman"/>
                <w:color w:val="auto"/>
                <w:szCs w:val="21"/>
              </w:rPr>
              <w:t>符合</w:t>
            </w:r>
          </w:p>
        </w:tc>
      </w:tr>
      <w:tr w14:paraId="1DABBE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7A4822FC">
            <w:pPr>
              <w:pStyle w:val="56"/>
              <w:rPr>
                <w:rFonts w:ascii="Times New Roman" w:hAnsi="Times New Roman"/>
                <w:color w:val="auto"/>
                <w:szCs w:val="21"/>
              </w:rPr>
            </w:pPr>
          </w:p>
        </w:tc>
        <w:tc>
          <w:tcPr>
            <w:tcW w:w="4160" w:type="dxa"/>
            <w:tcBorders>
              <w:tl2br w:val="nil"/>
              <w:tr2bl w:val="nil"/>
            </w:tcBorders>
            <w:vAlign w:val="center"/>
          </w:tcPr>
          <w:p w14:paraId="13C1C759">
            <w:pPr>
              <w:pStyle w:val="56"/>
              <w:ind w:firstLine="420" w:firstLineChars="200"/>
              <w:jc w:val="both"/>
              <w:rPr>
                <w:rFonts w:ascii="Times New Roman" w:hAnsi="Times New Roman"/>
                <w:color w:val="auto"/>
                <w:szCs w:val="21"/>
              </w:rPr>
            </w:pPr>
            <w:r>
              <w:rPr>
                <w:rFonts w:ascii="Times New Roman" w:hAnsi="Times New Roman"/>
                <w:color w:val="auto"/>
                <w:szCs w:val="21"/>
              </w:rPr>
              <w:t>新建、改建、扩建的畜禽养殖场应采取干法清粪工艺，采取有效措施将粪及时、单独清出，不可与尿、污水混合排出，并将产生的粪渣及时运至贮存或处理场所，实现日产日清。采用水冲粪、水泡粪湿法清粪工艺的养殖场，要逐渐改为干法清粪工艺。</w:t>
            </w:r>
          </w:p>
        </w:tc>
        <w:tc>
          <w:tcPr>
            <w:tcW w:w="3012" w:type="dxa"/>
            <w:tcBorders>
              <w:tl2br w:val="nil"/>
              <w:tr2bl w:val="nil"/>
            </w:tcBorders>
            <w:vAlign w:val="center"/>
          </w:tcPr>
          <w:p w14:paraId="3C24DA24">
            <w:pPr>
              <w:pStyle w:val="56"/>
              <w:ind w:firstLine="420" w:firstLineChars="200"/>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项目圈舍采用垫草料干清粪工艺，</w:t>
            </w:r>
            <w:r>
              <w:rPr>
                <w:rFonts w:hint="eastAsia" w:ascii="Times New Roman" w:hAnsi="Times New Roman"/>
                <w:color w:val="000000" w:themeColor="text1"/>
                <w:szCs w:val="21"/>
                <w:lang w:val="en-US" w:eastAsia="zh-CN"/>
                <w14:textFill>
                  <w14:solidFill>
                    <w14:schemeClr w14:val="tx1"/>
                  </w14:solidFill>
                </w14:textFill>
              </w:rPr>
              <w:t>鸭粪</w:t>
            </w:r>
            <w:r>
              <w:rPr>
                <w:rFonts w:ascii="Times New Roman" w:hAnsi="Times New Roman"/>
                <w:color w:val="000000" w:themeColor="text1"/>
                <w:szCs w:val="21"/>
                <w:lang w:val="en-US"/>
                <w14:textFill>
                  <w14:solidFill>
                    <w14:schemeClr w14:val="tx1"/>
                  </w14:solidFill>
                </w14:textFill>
              </w:rPr>
              <w:t>及垫草料不在项目区贮存，</w:t>
            </w:r>
            <w:r>
              <w:rPr>
                <w:rFonts w:hint="eastAsia"/>
                <w:color w:val="000000" w:themeColor="text1"/>
                <w:szCs w:val="21"/>
                <w:lang w:val="en-US" w:eastAsia="zh-CN"/>
                <w14:textFill>
                  <w14:solidFill>
                    <w14:schemeClr w14:val="tx1"/>
                  </w14:solidFill>
                </w14:textFill>
              </w:rPr>
              <w:t>立即送</w:t>
            </w:r>
            <w:r>
              <w:rPr>
                <w:rFonts w:hint="eastAsia" w:ascii="Times New Roman" w:hAnsi="Times New Roman"/>
                <w:color w:val="000000" w:themeColor="text1"/>
                <w:szCs w:val="21"/>
                <w:lang w:val="en-US" w:eastAsia="zh-CN"/>
                <w14:textFill>
                  <w14:solidFill>
                    <w14:schemeClr w14:val="tx1"/>
                  </w14:solidFill>
                </w14:textFill>
              </w:rPr>
              <w:t>63团3连粪污处理场</w:t>
            </w:r>
            <w:r>
              <w:rPr>
                <w:rFonts w:ascii="Times New Roman" w:hAnsi="Times New Roman"/>
                <w:color w:val="000000" w:themeColor="text1"/>
                <w:szCs w:val="21"/>
                <w:lang w:val="en-US"/>
                <w14:textFill>
                  <w14:solidFill>
                    <w14:schemeClr w14:val="tx1"/>
                  </w14:solidFill>
                </w14:textFill>
              </w:rPr>
              <w:t>外售</w:t>
            </w:r>
            <w:r>
              <w:rPr>
                <w:rFonts w:ascii="Times New Roman" w:hAnsi="Times New Roman"/>
                <w:color w:val="000000" w:themeColor="text1"/>
                <w14:textFill>
                  <w14:solidFill>
                    <w14:schemeClr w14:val="tx1"/>
                  </w14:solidFill>
                </w14:textFill>
              </w:rPr>
              <w:t>。</w:t>
            </w:r>
          </w:p>
        </w:tc>
        <w:tc>
          <w:tcPr>
            <w:tcW w:w="921" w:type="dxa"/>
            <w:tcBorders>
              <w:tl2br w:val="nil"/>
              <w:tr2bl w:val="nil"/>
            </w:tcBorders>
            <w:vAlign w:val="center"/>
          </w:tcPr>
          <w:p w14:paraId="36739F44">
            <w:pPr>
              <w:pStyle w:val="56"/>
              <w:jc w:val="both"/>
              <w:rPr>
                <w:rFonts w:ascii="Times New Roman" w:hAnsi="Times New Roman"/>
                <w:color w:val="auto"/>
                <w:szCs w:val="21"/>
              </w:rPr>
            </w:pPr>
            <w:r>
              <w:rPr>
                <w:rFonts w:ascii="Times New Roman" w:hAnsi="Times New Roman"/>
                <w:color w:val="auto"/>
                <w:szCs w:val="21"/>
              </w:rPr>
              <w:t>符合</w:t>
            </w:r>
          </w:p>
        </w:tc>
      </w:tr>
      <w:tr w14:paraId="60753F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restart"/>
            <w:tcBorders>
              <w:tl2br w:val="nil"/>
              <w:tr2bl w:val="nil"/>
            </w:tcBorders>
            <w:vAlign w:val="center"/>
          </w:tcPr>
          <w:p w14:paraId="08367317">
            <w:pPr>
              <w:pStyle w:val="56"/>
              <w:jc w:val="both"/>
              <w:rPr>
                <w:rFonts w:ascii="Times New Roman" w:hAnsi="Times New Roman"/>
                <w:color w:val="auto"/>
                <w:szCs w:val="21"/>
              </w:rPr>
            </w:pPr>
            <w:r>
              <w:rPr>
                <w:rFonts w:ascii="Times New Roman" w:hAnsi="Times New Roman"/>
                <w:color w:val="auto"/>
                <w:szCs w:val="21"/>
              </w:rPr>
              <w:t>畜禽粪便的贮存</w:t>
            </w:r>
          </w:p>
        </w:tc>
        <w:tc>
          <w:tcPr>
            <w:tcW w:w="4160" w:type="dxa"/>
            <w:tcBorders>
              <w:tl2br w:val="nil"/>
              <w:tr2bl w:val="nil"/>
            </w:tcBorders>
            <w:vAlign w:val="center"/>
          </w:tcPr>
          <w:p w14:paraId="68DE222F">
            <w:pPr>
              <w:pStyle w:val="56"/>
              <w:ind w:firstLine="420" w:firstLineChars="200"/>
              <w:jc w:val="both"/>
              <w:rPr>
                <w:rFonts w:ascii="Times New Roman" w:hAnsi="Times New Roman"/>
                <w:color w:val="auto"/>
                <w:szCs w:val="21"/>
              </w:rPr>
            </w:pPr>
            <w:r>
              <w:rPr>
                <w:rFonts w:ascii="Times New Roman" w:hAnsi="Times New Roman"/>
                <w:color w:val="auto"/>
                <w:szCs w:val="21"/>
              </w:rPr>
              <w:t>畜禽养殖场产生的畜禽粪便应设置专门的贮存设施</w:t>
            </w:r>
          </w:p>
        </w:tc>
        <w:tc>
          <w:tcPr>
            <w:tcW w:w="3012" w:type="dxa"/>
            <w:tcBorders>
              <w:tl2br w:val="nil"/>
              <w:tr2bl w:val="nil"/>
            </w:tcBorders>
            <w:vAlign w:val="center"/>
          </w:tcPr>
          <w:p w14:paraId="6ED70652">
            <w:pPr>
              <w:pStyle w:val="56"/>
              <w:ind w:firstLine="420" w:firstLineChars="200"/>
              <w:jc w:val="both"/>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项目采用干清粪工艺，</w:t>
            </w:r>
            <w:r>
              <w:rPr>
                <w:rFonts w:hint="eastAsia"/>
                <w:color w:val="000000" w:themeColor="text1"/>
                <w:szCs w:val="21"/>
                <w:lang w:val="en-US" w:eastAsia="zh-CN"/>
                <w14:textFill>
                  <w14:solidFill>
                    <w14:schemeClr w14:val="tx1"/>
                  </w14:solidFill>
                </w14:textFill>
              </w:rPr>
              <w:t>清粪后立即送</w:t>
            </w:r>
            <w:r>
              <w:rPr>
                <w:rFonts w:hint="eastAsia" w:ascii="Times New Roman" w:hAnsi="Times New Roman"/>
                <w:color w:val="000000" w:themeColor="text1"/>
                <w:szCs w:val="21"/>
                <w:lang w:val="en-US" w:eastAsia="zh-CN"/>
                <w14:textFill>
                  <w14:solidFill>
                    <w14:schemeClr w14:val="tx1"/>
                  </w14:solidFill>
                </w14:textFill>
              </w:rPr>
              <w:t>63团3连粪污处理场</w:t>
            </w:r>
            <w:r>
              <w:rPr>
                <w:rFonts w:ascii="Times New Roman" w:hAnsi="Times New Roman"/>
                <w:color w:val="000000" w:themeColor="text1"/>
                <w:szCs w:val="21"/>
                <w:lang w:val="en-US"/>
                <w14:textFill>
                  <w14:solidFill>
                    <w14:schemeClr w14:val="tx1"/>
                  </w14:solidFill>
                </w14:textFill>
              </w:rPr>
              <w:t>外售。</w:t>
            </w:r>
            <w:r>
              <w:rPr>
                <w:rFonts w:hint="eastAsia"/>
                <w:color w:val="000000" w:themeColor="text1"/>
                <w:szCs w:val="21"/>
                <w:lang w:val="en-US" w:eastAsia="zh-CN"/>
                <w14:textFill>
                  <w14:solidFill>
                    <w14:schemeClr w14:val="tx1"/>
                  </w14:solidFill>
                </w14:textFill>
              </w:rPr>
              <w:t>现场仅设置污水处理设施和回用水池。</w:t>
            </w:r>
          </w:p>
        </w:tc>
        <w:tc>
          <w:tcPr>
            <w:tcW w:w="921" w:type="dxa"/>
            <w:tcBorders>
              <w:tl2br w:val="nil"/>
              <w:tr2bl w:val="nil"/>
            </w:tcBorders>
            <w:vAlign w:val="center"/>
          </w:tcPr>
          <w:p w14:paraId="6557321D">
            <w:pPr>
              <w:pStyle w:val="56"/>
              <w:jc w:val="both"/>
              <w:rPr>
                <w:rFonts w:ascii="Times New Roman" w:hAnsi="Times New Roman"/>
                <w:color w:val="auto"/>
                <w:szCs w:val="21"/>
              </w:rPr>
            </w:pPr>
            <w:r>
              <w:rPr>
                <w:rFonts w:ascii="Times New Roman" w:hAnsi="Times New Roman"/>
                <w:color w:val="auto"/>
                <w:szCs w:val="21"/>
              </w:rPr>
              <w:t>符合</w:t>
            </w:r>
          </w:p>
        </w:tc>
      </w:tr>
      <w:tr w14:paraId="148241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387341D1">
            <w:pPr>
              <w:pStyle w:val="56"/>
              <w:rPr>
                <w:rFonts w:ascii="Times New Roman" w:hAnsi="Times New Roman"/>
                <w:color w:val="auto"/>
                <w:szCs w:val="21"/>
              </w:rPr>
            </w:pPr>
          </w:p>
        </w:tc>
        <w:tc>
          <w:tcPr>
            <w:tcW w:w="4160" w:type="dxa"/>
            <w:tcBorders>
              <w:tl2br w:val="nil"/>
              <w:tr2bl w:val="nil"/>
            </w:tcBorders>
            <w:vAlign w:val="center"/>
          </w:tcPr>
          <w:p w14:paraId="400CD207">
            <w:pPr>
              <w:pStyle w:val="56"/>
              <w:ind w:firstLine="420" w:firstLineChars="200"/>
              <w:jc w:val="both"/>
              <w:rPr>
                <w:rFonts w:ascii="Times New Roman" w:hAnsi="Times New Roman"/>
                <w:color w:val="auto"/>
                <w:szCs w:val="21"/>
              </w:rPr>
            </w:pPr>
            <w:r>
              <w:rPr>
                <w:rFonts w:ascii="Times New Roman" w:hAnsi="Times New Roman"/>
                <w:color w:val="auto"/>
                <w:szCs w:val="21"/>
              </w:rPr>
              <w:t>贮存设施的位置必须远离各类功能地表水体（距离不得小于400m），并应设在养殖场生产及生活管理区的常年主导风向的下风向或侧风向处。</w:t>
            </w:r>
          </w:p>
        </w:tc>
        <w:tc>
          <w:tcPr>
            <w:tcW w:w="3012" w:type="dxa"/>
            <w:tcBorders>
              <w:tl2br w:val="nil"/>
              <w:tr2bl w:val="nil"/>
            </w:tcBorders>
            <w:vAlign w:val="center"/>
          </w:tcPr>
          <w:p w14:paraId="78F1F081">
            <w:pPr>
              <w:pStyle w:val="56"/>
              <w:ind w:firstLine="420" w:firstLineChars="200"/>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r>
              <w:rPr>
                <w:rFonts w:hint="eastAsia"/>
                <w:color w:val="000000" w:themeColor="text1"/>
                <w:szCs w:val="21"/>
                <w:lang w:val="en-US" w:eastAsia="zh-CN"/>
                <w14:textFill>
                  <w14:solidFill>
                    <w14:schemeClr w14:val="tx1"/>
                  </w14:solidFill>
                </w14:textFill>
              </w:rPr>
              <w:t>污水处理设施和回用水池</w:t>
            </w:r>
            <w:r>
              <w:rPr>
                <w:rFonts w:hint="eastAsia"/>
                <w:color w:val="000000" w:themeColor="text1"/>
                <w:szCs w:val="21"/>
                <w:lang w:eastAsia="zh-CN"/>
                <w14:textFill>
                  <w14:solidFill>
                    <w14:schemeClr w14:val="tx1"/>
                  </w14:solidFill>
                </w14:textFill>
              </w:rPr>
              <w:t>位于生活管理区主导风向侧风向</w:t>
            </w:r>
            <w:r>
              <w:rPr>
                <w:rFonts w:ascii="Times New Roman" w:hAnsi="Times New Roman"/>
                <w:color w:val="000000" w:themeColor="text1"/>
                <w:szCs w:val="21"/>
                <w14:textFill>
                  <w14:solidFill>
                    <w14:schemeClr w14:val="tx1"/>
                  </w14:solidFill>
                </w14:textFill>
              </w:rPr>
              <w:t>，且距离</w:t>
            </w:r>
            <w:r>
              <w:rPr>
                <w:rFonts w:hint="eastAsia" w:ascii="Times New Roman" w:hAnsi="Times New Roman"/>
                <w:color w:val="000000" w:themeColor="text1"/>
                <w:szCs w:val="21"/>
                <w:lang w:val="en-US" w:eastAsia="zh-CN"/>
                <w14:textFill>
                  <w14:solidFill>
                    <w14:schemeClr w14:val="tx1"/>
                  </w14:solidFill>
                </w14:textFill>
              </w:rPr>
              <w:t>周边地表水距离大于</w:t>
            </w:r>
            <w:r>
              <w:rPr>
                <w:rFonts w:hint="eastAsia"/>
                <w:color w:val="000000" w:themeColor="text1"/>
                <w:szCs w:val="21"/>
                <w:lang w:val="en-US" w:eastAsia="zh-CN"/>
                <w14:textFill>
                  <w14:solidFill>
                    <w14:schemeClr w14:val="tx1"/>
                  </w14:solidFill>
                </w14:textFill>
              </w:rPr>
              <w:t>2.5公里</w:t>
            </w:r>
            <w:r>
              <w:rPr>
                <w:rFonts w:ascii="Times New Roman" w:hAnsi="Times New Roman"/>
                <w:color w:val="000000" w:themeColor="text1"/>
                <w:szCs w:val="21"/>
                <w14:textFill>
                  <w14:solidFill>
                    <w14:schemeClr w14:val="tx1"/>
                  </w14:solidFill>
                </w14:textFill>
              </w:rPr>
              <w:t>。</w:t>
            </w:r>
          </w:p>
        </w:tc>
        <w:tc>
          <w:tcPr>
            <w:tcW w:w="921" w:type="dxa"/>
            <w:tcBorders>
              <w:tl2br w:val="nil"/>
              <w:tr2bl w:val="nil"/>
            </w:tcBorders>
            <w:vAlign w:val="center"/>
          </w:tcPr>
          <w:p w14:paraId="6436D2D2">
            <w:pPr>
              <w:pStyle w:val="56"/>
              <w:jc w:val="both"/>
              <w:rPr>
                <w:rFonts w:ascii="Times New Roman" w:hAnsi="Times New Roman"/>
                <w:color w:val="auto"/>
                <w:szCs w:val="21"/>
              </w:rPr>
            </w:pPr>
            <w:r>
              <w:rPr>
                <w:rFonts w:ascii="Times New Roman" w:hAnsi="Times New Roman"/>
                <w:color w:val="auto"/>
                <w:szCs w:val="21"/>
              </w:rPr>
              <w:t>符合</w:t>
            </w:r>
          </w:p>
        </w:tc>
      </w:tr>
      <w:tr w14:paraId="087D94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7D0991F3">
            <w:pPr>
              <w:pStyle w:val="56"/>
              <w:rPr>
                <w:rFonts w:ascii="Times New Roman" w:hAnsi="Times New Roman"/>
                <w:color w:val="auto"/>
                <w:szCs w:val="21"/>
              </w:rPr>
            </w:pPr>
          </w:p>
        </w:tc>
        <w:tc>
          <w:tcPr>
            <w:tcW w:w="4160" w:type="dxa"/>
            <w:tcBorders>
              <w:tl2br w:val="nil"/>
              <w:tr2bl w:val="nil"/>
            </w:tcBorders>
            <w:vAlign w:val="center"/>
          </w:tcPr>
          <w:p w14:paraId="312C7322">
            <w:pPr>
              <w:pStyle w:val="56"/>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ascii="Times New Roman" w:hAnsi="Times New Roman"/>
                <w:color w:val="auto"/>
                <w:szCs w:val="21"/>
              </w:rPr>
            </w:pPr>
            <w:r>
              <w:rPr>
                <w:rFonts w:ascii="Times New Roman" w:hAnsi="Times New Roman"/>
                <w:color w:val="auto"/>
                <w:szCs w:val="21"/>
              </w:rPr>
              <w:t>贮存设施应采取有效的防渗处理工艺，防止畜禽粪便污染地下水。</w:t>
            </w:r>
          </w:p>
        </w:tc>
        <w:tc>
          <w:tcPr>
            <w:tcW w:w="3012" w:type="dxa"/>
            <w:tcBorders>
              <w:tl2br w:val="nil"/>
              <w:tr2bl w:val="nil"/>
            </w:tcBorders>
            <w:vAlign w:val="center"/>
          </w:tcPr>
          <w:p w14:paraId="6C064578">
            <w:pPr>
              <w:pStyle w:val="56"/>
              <w:ind w:firstLine="420" w:firstLineChars="200"/>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污水处理设施和回用水池</w:t>
            </w:r>
            <w:r>
              <w:rPr>
                <w:rFonts w:ascii="Times New Roman" w:hAnsi="Times New Roman"/>
                <w:color w:val="000000" w:themeColor="text1"/>
                <w:szCs w:val="21"/>
                <w:lang w:val="en-US"/>
                <w14:textFill>
                  <w14:solidFill>
                    <w14:schemeClr w14:val="tx1"/>
                  </w14:solidFill>
                </w14:textFill>
              </w:rPr>
              <w:t>采用高密度聚乙烯土工膜（HDPE）进行防渗，再在上层铺设10</w:t>
            </w:r>
            <w:r>
              <w:rPr>
                <w:rFonts w:hint="eastAsia"/>
                <w:color w:val="000000" w:themeColor="text1"/>
                <w:szCs w:val="21"/>
                <w:lang w:val="en-US" w:eastAsia="zh-CN"/>
                <w14:textFill>
                  <w14:solidFill>
                    <w14:schemeClr w14:val="tx1"/>
                  </w14:solidFill>
                </w14:textFill>
              </w:rPr>
              <w:t>～</w:t>
            </w:r>
            <w:r>
              <w:rPr>
                <w:rFonts w:ascii="Times New Roman" w:hAnsi="Times New Roman"/>
                <w:color w:val="000000" w:themeColor="text1"/>
                <w:szCs w:val="21"/>
                <w:lang w:val="en-US"/>
                <w14:textFill>
                  <w14:solidFill>
                    <w14:schemeClr w14:val="tx1"/>
                  </w14:solidFill>
                </w14:textFill>
              </w:rPr>
              <w:t>15cm的水泥进行硬化</w:t>
            </w:r>
            <w:r>
              <w:rPr>
                <w:rFonts w:ascii="Times New Roman" w:hAnsi="Times New Roman"/>
                <w:color w:val="000000" w:themeColor="text1"/>
                <w:szCs w:val="21"/>
                <w14:textFill>
                  <w14:solidFill>
                    <w14:schemeClr w14:val="tx1"/>
                  </w14:solidFill>
                </w14:textFill>
              </w:rPr>
              <w:t>，等效黏土防渗层Mb≥6.0m，K≤1×10</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vertAlign w:val="superscript"/>
                <w14:textFill>
                  <w14:solidFill>
                    <w14:schemeClr w14:val="tx1"/>
                  </w14:solidFill>
                </w14:textFill>
              </w:rPr>
              <w:t>7</w:t>
            </w:r>
            <w:r>
              <w:rPr>
                <w:rFonts w:ascii="Times New Roman" w:hAnsi="Times New Roman"/>
                <w:color w:val="000000" w:themeColor="text1"/>
                <w:szCs w:val="21"/>
                <w14:textFill>
                  <w14:solidFill>
                    <w14:schemeClr w14:val="tx1"/>
                  </w14:solidFill>
                </w14:textFill>
              </w:rPr>
              <w:t>cm/s。</w:t>
            </w:r>
          </w:p>
        </w:tc>
        <w:tc>
          <w:tcPr>
            <w:tcW w:w="921" w:type="dxa"/>
            <w:tcBorders>
              <w:tl2br w:val="nil"/>
              <w:tr2bl w:val="nil"/>
            </w:tcBorders>
            <w:vAlign w:val="center"/>
          </w:tcPr>
          <w:p w14:paraId="4AD115CC">
            <w:pPr>
              <w:pStyle w:val="56"/>
              <w:jc w:val="both"/>
              <w:rPr>
                <w:rFonts w:ascii="Times New Roman" w:hAnsi="Times New Roman"/>
                <w:color w:val="auto"/>
                <w:szCs w:val="21"/>
              </w:rPr>
            </w:pPr>
            <w:r>
              <w:rPr>
                <w:rFonts w:ascii="Times New Roman" w:hAnsi="Times New Roman"/>
                <w:color w:val="auto"/>
                <w:szCs w:val="21"/>
              </w:rPr>
              <w:t>符合</w:t>
            </w:r>
          </w:p>
        </w:tc>
      </w:tr>
      <w:tr w14:paraId="0C4017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vMerge w:val="continue"/>
            <w:tcBorders>
              <w:tl2br w:val="nil"/>
              <w:tr2bl w:val="nil"/>
            </w:tcBorders>
            <w:vAlign w:val="center"/>
          </w:tcPr>
          <w:p w14:paraId="5E0EFF24">
            <w:pPr>
              <w:pStyle w:val="56"/>
              <w:rPr>
                <w:rFonts w:ascii="Times New Roman" w:hAnsi="Times New Roman"/>
                <w:color w:val="auto"/>
                <w:szCs w:val="21"/>
              </w:rPr>
            </w:pPr>
          </w:p>
        </w:tc>
        <w:tc>
          <w:tcPr>
            <w:tcW w:w="4160" w:type="dxa"/>
            <w:tcBorders>
              <w:tl2br w:val="nil"/>
              <w:tr2bl w:val="nil"/>
            </w:tcBorders>
            <w:vAlign w:val="center"/>
          </w:tcPr>
          <w:p w14:paraId="1096E4CE">
            <w:pPr>
              <w:pStyle w:val="56"/>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ascii="Times New Roman" w:hAnsi="Times New Roman"/>
                <w:color w:val="auto"/>
                <w:szCs w:val="21"/>
              </w:rPr>
            </w:pPr>
            <w:r>
              <w:rPr>
                <w:rFonts w:ascii="Times New Roman" w:hAnsi="Times New Roman"/>
                <w:color w:val="auto"/>
                <w:szCs w:val="21"/>
              </w:rPr>
              <w:t>贮存设施应采取设置顶盖等防止降雨（水）进入的措施</w:t>
            </w:r>
          </w:p>
        </w:tc>
        <w:tc>
          <w:tcPr>
            <w:tcW w:w="3012" w:type="dxa"/>
            <w:tcBorders>
              <w:tl2br w:val="nil"/>
              <w:tr2bl w:val="nil"/>
            </w:tcBorders>
            <w:vAlign w:val="center"/>
          </w:tcPr>
          <w:p w14:paraId="4209C405">
            <w:pPr>
              <w:pStyle w:val="56"/>
              <w:ind w:firstLine="420" w:firstLineChars="200"/>
              <w:jc w:val="both"/>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污水处理设施和回用水池</w:t>
            </w:r>
            <w:r>
              <w:rPr>
                <w:rFonts w:hint="eastAsia"/>
                <w:color w:val="000000" w:themeColor="text1"/>
                <w:szCs w:val="21"/>
                <w:lang w:eastAsia="zh-CN"/>
                <w14:textFill>
                  <w14:solidFill>
                    <w14:schemeClr w14:val="tx1"/>
                  </w14:solidFill>
                </w14:textFill>
              </w:rPr>
              <w:t>设置围堰减少雨水进入</w:t>
            </w:r>
            <w:r>
              <w:rPr>
                <w:rFonts w:ascii="Times New Roman" w:hAnsi="Times New Roman"/>
                <w:color w:val="000000" w:themeColor="text1"/>
                <w:szCs w:val="21"/>
                <w14:textFill>
                  <w14:solidFill>
                    <w14:schemeClr w14:val="tx1"/>
                  </w14:solidFill>
                </w14:textFill>
              </w:rPr>
              <w:t>。</w:t>
            </w:r>
          </w:p>
        </w:tc>
        <w:tc>
          <w:tcPr>
            <w:tcW w:w="921" w:type="dxa"/>
            <w:tcBorders>
              <w:tl2br w:val="nil"/>
              <w:tr2bl w:val="nil"/>
            </w:tcBorders>
            <w:vAlign w:val="center"/>
          </w:tcPr>
          <w:p w14:paraId="0CB2A996">
            <w:pPr>
              <w:pStyle w:val="56"/>
              <w:jc w:val="both"/>
              <w:rPr>
                <w:rFonts w:ascii="Times New Roman" w:hAnsi="Times New Roman"/>
                <w:color w:val="auto"/>
                <w:szCs w:val="21"/>
              </w:rPr>
            </w:pPr>
            <w:r>
              <w:rPr>
                <w:rFonts w:ascii="Times New Roman" w:hAnsi="Times New Roman"/>
                <w:color w:val="auto"/>
                <w:szCs w:val="21"/>
              </w:rPr>
              <w:t>符合</w:t>
            </w:r>
          </w:p>
        </w:tc>
      </w:tr>
      <w:tr w14:paraId="3EAA78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41A5205F">
            <w:pPr>
              <w:pStyle w:val="56"/>
              <w:jc w:val="both"/>
              <w:rPr>
                <w:rFonts w:ascii="Times New Roman" w:hAnsi="Times New Roman"/>
                <w:color w:val="auto"/>
                <w:szCs w:val="21"/>
              </w:rPr>
            </w:pPr>
            <w:r>
              <w:rPr>
                <w:rFonts w:ascii="Times New Roman" w:hAnsi="Times New Roman"/>
                <w:color w:val="auto"/>
                <w:szCs w:val="21"/>
              </w:rPr>
              <w:t>污水的处理</w:t>
            </w:r>
          </w:p>
        </w:tc>
        <w:tc>
          <w:tcPr>
            <w:tcW w:w="4160" w:type="dxa"/>
            <w:tcBorders>
              <w:tl2br w:val="nil"/>
              <w:tr2bl w:val="nil"/>
            </w:tcBorders>
            <w:vAlign w:val="center"/>
          </w:tcPr>
          <w:p w14:paraId="35E5FD51">
            <w:pPr>
              <w:pStyle w:val="56"/>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ascii="Times New Roman" w:hAnsi="Times New Roman"/>
                <w:color w:val="auto"/>
                <w:szCs w:val="21"/>
              </w:rPr>
            </w:pPr>
            <w:r>
              <w:rPr>
                <w:rFonts w:ascii="Times New Roman" w:hAnsi="Times New Roman"/>
                <w:color w:val="auto"/>
                <w:szCs w:val="21"/>
              </w:rPr>
              <w:t>畜禽养殖过程中产生的污水应坚持种养结合的原则，经无害化处理后尽量充分还田，实现污水资源化利用</w:t>
            </w:r>
          </w:p>
        </w:tc>
        <w:tc>
          <w:tcPr>
            <w:tcW w:w="3012" w:type="dxa"/>
            <w:tcBorders>
              <w:tl2br w:val="nil"/>
              <w:tr2bl w:val="nil"/>
            </w:tcBorders>
            <w:vAlign w:val="center"/>
          </w:tcPr>
          <w:p w14:paraId="0DD44856">
            <w:pPr>
              <w:pStyle w:val="56"/>
              <w:ind w:firstLine="420" w:firstLineChars="200"/>
              <w:jc w:val="both"/>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污水经处理后，最终用于养殖场区绿化</w:t>
            </w:r>
            <w:r>
              <w:rPr>
                <w:rFonts w:ascii="Times New Roman" w:hAnsi="Times New Roman"/>
                <w:color w:val="000000" w:themeColor="text1"/>
                <w:szCs w:val="21"/>
                <w:lang w:val="en-US"/>
                <w14:textFill>
                  <w14:solidFill>
                    <w14:schemeClr w14:val="tx1"/>
                  </w14:solidFill>
                </w14:textFill>
              </w:rPr>
              <w:t>；养殖区采用垫草料干清粪工艺，无</w:t>
            </w:r>
            <w:r>
              <w:rPr>
                <w:rFonts w:hint="eastAsia"/>
                <w:color w:val="000000" w:themeColor="text1"/>
                <w:szCs w:val="21"/>
                <w:lang w:val="en-US" w:eastAsia="zh-CN"/>
                <w14:textFill>
                  <w14:solidFill>
                    <w14:schemeClr w14:val="tx1"/>
                  </w14:solidFill>
                </w14:textFill>
              </w:rPr>
              <w:t>养殖</w:t>
            </w:r>
            <w:r>
              <w:rPr>
                <w:rFonts w:ascii="Times New Roman" w:hAnsi="Times New Roman"/>
                <w:color w:val="000000" w:themeColor="text1"/>
                <w:szCs w:val="21"/>
                <w:lang w:val="en-US"/>
                <w14:textFill>
                  <w14:solidFill>
                    <w14:schemeClr w14:val="tx1"/>
                  </w14:solidFill>
                </w14:textFill>
              </w:rPr>
              <w:t>废水</w:t>
            </w:r>
            <w:r>
              <w:rPr>
                <w:rFonts w:hint="eastAsia" w:ascii="Times New Roman" w:hAnsi="Times New Roman"/>
                <w:color w:val="000000" w:themeColor="text1"/>
                <w:szCs w:val="21"/>
                <w:lang w:val="en-US" w:eastAsia="zh-CN"/>
                <w14:textFill>
                  <w14:solidFill>
                    <w14:schemeClr w14:val="tx1"/>
                  </w14:solidFill>
                </w14:textFill>
              </w:rPr>
              <w:t>外排</w:t>
            </w:r>
            <w:r>
              <w:rPr>
                <w:rFonts w:ascii="Times New Roman" w:hAnsi="Times New Roman"/>
                <w:color w:val="000000" w:themeColor="text1"/>
                <w:szCs w:val="21"/>
                <w:lang w:val="en-US"/>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粪便等拉至63团粪污处理场。</w:t>
            </w:r>
          </w:p>
        </w:tc>
        <w:tc>
          <w:tcPr>
            <w:tcW w:w="921" w:type="dxa"/>
            <w:tcBorders>
              <w:tl2br w:val="nil"/>
              <w:tr2bl w:val="nil"/>
            </w:tcBorders>
            <w:vAlign w:val="center"/>
          </w:tcPr>
          <w:p w14:paraId="4A22E576">
            <w:pPr>
              <w:pStyle w:val="56"/>
              <w:jc w:val="both"/>
              <w:rPr>
                <w:rFonts w:ascii="Times New Roman" w:hAnsi="Times New Roman"/>
                <w:color w:val="auto"/>
                <w:szCs w:val="21"/>
              </w:rPr>
            </w:pPr>
            <w:r>
              <w:rPr>
                <w:rFonts w:ascii="Times New Roman" w:hAnsi="Times New Roman"/>
                <w:color w:val="auto"/>
                <w:szCs w:val="21"/>
              </w:rPr>
              <w:t>符合</w:t>
            </w:r>
          </w:p>
        </w:tc>
      </w:tr>
      <w:tr w14:paraId="1E0619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2F25AE7D">
            <w:pPr>
              <w:pStyle w:val="56"/>
              <w:jc w:val="both"/>
              <w:rPr>
                <w:rFonts w:ascii="Times New Roman" w:hAnsi="Times New Roman"/>
                <w:color w:val="auto"/>
                <w:szCs w:val="21"/>
              </w:rPr>
            </w:pPr>
            <w:r>
              <w:rPr>
                <w:rFonts w:ascii="Times New Roman" w:hAnsi="Times New Roman"/>
                <w:color w:val="auto"/>
                <w:szCs w:val="21"/>
              </w:rPr>
              <w:t>饲料和饲养管理</w:t>
            </w:r>
          </w:p>
        </w:tc>
        <w:tc>
          <w:tcPr>
            <w:tcW w:w="4160" w:type="dxa"/>
            <w:tcBorders>
              <w:tl2br w:val="nil"/>
              <w:tr2bl w:val="nil"/>
            </w:tcBorders>
            <w:vAlign w:val="center"/>
          </w:tcPr>
          <w:p w14:paraId="004F96D9">
            <w:pPr>
              <w:pStyle w:val="56"/>
              <w:ind w:firstLine="420" w:firstLineChars="200"/>
              <w:jc w:val="both"/>
              <w:rPr>
                <w:rFonts w:ascii="Times New Roman" w:hAnsi="Times New Roman"/>
                <w:color w:val="auto"/>
                <w:szCs w:val="21"/>
              </w:rPr>
            </w:pPr>
            <w:r>
              <w:rPr>
                <w:rFonts w:ascii="Times New Roman" w:hAnsi="Times New Roman"/>
                <w:color w:val="auto"/>
                <w:szCs w:val="21"/>
              </w:rPr>
              <w:t>畜禽养殖饲料应采用合理配方，如理想蛋白质体系配方等，提高蛋白质及其他营养的吸收效率，减少氮的排放量和粪的产生量。养殖场场区、畜禽舍、器械等消毒应采用环境友好的消毒剂和消毒措施（包括紫外、臭氧、双氧水等方法），防止产生氯代有机物及其</w:t>
            </w:r>
            <w:r>
              <w:rPr>
                <w:rFonts w:hint="eastAsia"/>
                <w:color w:val="auto"/>
                <w:szCs w:val="21"/>
                <w:lang w:eastAsia="zh-CN"/>
              </w:rPr>
              <w:t>他</w:t>
            </w:r>
            <w:r>
              <w:rPr>
                <w:rFonts w:ascii="Times New Roman" w:hAnsi="Times New Roman"/>
                <w:color w:val="auto"/>
                <w:szCs w:val="21"/>
              </w:rPr>
              <w:t>二次污染物。</w:t>
            </w:r>
          </w:p>
        </w:tc>
        <w:tc>
          <w:tcPr>
            <w:tcW w:w="3012" w:type="dxa"/>
            <w:tcBorders>
              <w:tl2br w:val="nil"/>
              <w:tr2bl w:val="nil"/>
            </w:tcBorders>
            <w:vAlign w:val="center"/>
          </w:tcPr>
          <w:p w14:paraId="1D7F8ECD">
            <w:pPr>
              <w:pStyle w:val="56"/>
              <w:ind w:firstLine="420" w:firstLineChars="200"/>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本项目采用精饲料</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采用合理配方，直接外购，不在项目区加工</w:t>
            </w:r>
            <w:r>
              <w:rPr>
                <w:rFonts w:ascii="Times New Roman" w:hAnsi="Times New Roman"/>
                <w:color w:val="000000" w:themeColor="text1"/>
                <w:szCs w:val="21"/>
                <w14:textFill>
                  <w14:solidFill>
                    <w14:schemeClr w14:val="tx1"/>
                  </w14:solidFill>
                </w14:textFill>
              </w:rPr>
              <w:t>。</w:t>
            </w:r>
          </w:p>
          <w:p w14:paraId="4B8C8711">
            <w:pPr>
              <w:pStyle w:val="56"/>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本</w:t>
            </w:r>
            <w:r>
              <w:rPr>
                <w:rFonts w:ascii="Times New Roman" w:hAnsi="Times New Roman"/>
                <w:color w:val="000000" w:themeColor="text1"/>
                <w:szCs w:val="21"/>
                <w14:textFill>
                  <w14:solidFill>
                    <w14:schemeClr w14:val="tx1"/>
                  </w14:solidFill>
                </w14:textFill>
              </w:rPr>
              <w:t>项目采用环境友好型消毒剂（</w:t>
            </w:r>
            <w:r>
              <w:rPr>
                <w:rFonts w:hint="eastAsia"/>
                <w:color w:val="000000" w:themeColor="text1"/>
                <w:szCs w:val="21"/>
                <w:lang w:eastAsia="zh-CN"/>
                <w14:textFill>
                  <w14:solidFill>
                    <w14:schemeClr w14:val="tx1"/>
                  </w14:solidFill>
                </w14:textFill>
              </w:rPr>
              <w:t>双氧水、</w:t>
            </w:r>
            <w:r>
              <w:rPr>
                <w:rFonts w:ascii="Times New Roman" w:hAnsi="Times New Roman"/>
                <w:color w:val="000000" w:themeColor="text1"/>
                <w:szCs w:val="21"/>
                <w:lang w:val="en-US"/>
                <w14:textFill>
                  <w14:solidFill>
                    <w14:schemeClr w14:val="tx1"/>
                  </w14:solidFill>
                </w14:textFill>
              </w:rPr>
              <w:t>过氧乙酸消毒液</w:t>
            </w:r>
            <w:r>
              <w:rPr>
                <w:rFonts w:ascii="Times New Roman" w:hAnsi="Times New Roman"/>
                <w:color w:val="000000" w:themeColor="text1"/>
                <w:szCs w:val="21"/>
                <w14:textFill>
                  <w14:solidFill>
                    <w14:schemeClr w14:val="tx1"/>
                  </w14:solidFill>
                </w14:textFill>
              </w:rPr>
              <w:t>）。</w:t>
            </w:r>
          </w:p>
        </w:tc>
        <w:tc>
          <w:tcPr>
            <w:tcW w:w="921" w:type="dxa"/>
            <w:tcBorders>
              <w:tl2br w:val="nil"/>
              <w:tr2bl w:val="nil"/>
            </w:tcBorders>
            <w:vAlign w:val="center"/>
          </w:tcPr>
          <w:p w14:paraId="4A8668AC">
            <w:pPr>
              <w:pStyle w:val="56"/>
              <w:jc w:val="both"/>
              <w:rPr>
                <w:rFonts w:ascii="Times New Roman" w:hAnsi="Times New Roman"/>
                <w:color w:val="auto"/>
                <w:szCs w:val="21"/>
              </w:rPr>
            </w:pPr>
            <w:r>
              <w:rPr>
                <w:rFonts w:ascii="Times New Roman" w:hAnsi="Times New Roman"/>
                <w:color w:val="auto"/>
                <w:szCs w:val="21"/>
              </w:rPr>
              <w:t>符合</w:t>
            </w:r>
          </w:p>
        </w:tc>
      </w:tr>
      <w:tr w14:paraId="4F73C3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865" w:type="dxa"/>
            <w:tcBorders>
              <w:tl2br w:val="nil"/>
              <w:tr2bl w:val="nil"/>
            </w:tcBorders>
            <w:vAlign w:val="center"/>
          </w:tcPr>
          <w:p w14:paraId="2810A1EB">
            <w:pPr>
              <w:pStyle w:val="56"/>
              <w:jc w:val="both"/>
              <w:rPr>
                <w:rFonts w:ascii="Times New Roman" w:hAnsi="Times New Roman"/>
                <w:color w:val="auto"/>
                <w:szCs w:val="21"/>
              </w:rPr>
            </w:pPr>
            <w:r>
              <w:rPr>
                <w:rFonts w:ascii="Times New Roman" w:hAnsi="Times New Roman"/>
                <w:color w:val="auto"/>
                <w:szCs w:val="21"/>
              </w:rPr>
              <w:t>病死畜禽尸体的处理与处置</w:t>
            </w:r>
          </w:p>
        </w:tc>
        <w:tc>
          <w:tcPr>
            <w:tcW w:w="4160" w:type="dxa"/>
            <w:tcBorders>
              <w:tl2br w:val="nil"/>
              <w:tr2bl w:val="nil"/>
            </w:tcBorders>
            <w:vAlign w:val="center"/>
          </w:tcPr>
          <w:p w14:paraId="4357E44F">
            <w:pPr>
              <w:pStyle w:val="56"/>
              <w:ind w:firstLine="420" w:firstLineChars="200"/>
              <w:jc w:val="both"/>
              <w:rPr>
                <w:rFonts w:ascii="Times New Roman" w:hAnsi="Times New Roman"/>
                <w:color w:val="auto"/>
                <w:szCs w:val="21"/>
              </w:rPr>
            </w:pPr>
            <w:r>
              <w:rPr>
                <w:rFonts w:ascii="Times New Roman" w:hAnsi="Times New Roman"/>
                <w:color w:val="auto"/>
                <w:szCs w:val="21"/>
              </w:rPr>
              <w:t>病死禽畜尸体要及时处理，严禁随意丢弃，严禁出售或作为饲料再利用。</w:t>
            </w:r>
          </w:p>
          <w:p w14:paraId="27F659E9">
            <w:pPr>
              <w:pStyle w:val="56"/>
              <w:ind w:firstLine="420" w:firstLineChars="200"/>
              <w:jc w:val="both"/>
              <w:rPr>
                <w:rFonts w:ascii="Times New Roman" w:hAnsi="Times New Roman"/>
                <w:color w:val="auto"/>
                <w:szCs w:val="21"/>
              </w:rPr>
            </w:pPr>
            <w:r>
              <w:rPr>
                <w:rFonts w:ascii="Times New Roman" w:hAnsi="Times New Roman"/>
                <w:color w:val="auto"/>
                <w:szCs w:val="21"/>
              </w:rPr>
              <w:t>病死禽畜尸体处理应采用焚烧炉焚烧的方法，在养殖场比较集中的地区，应集中设置焚烧设施，同时焚烧产生的烟气应采取有效的净化措施，防止烟尘、一氧化碳、恶臭等对周围大气环境的污染。</w:t>
            </w:r>
          </w:p>
          <w:p w14:paraId="641F0ED4">
            <w:pPr>
              <w:pStyle w:val="56"/>
              <w:ind w:firstLine="420" w:firstLineChars="200"/>
              <w:jc w:val="both"/>
              <w:rPr>
                <w:rFonts w:ascii="Times New Roman" w:hAnsi="Times New Roman"/>
                <w:color w:val="auto"/>
                <w:szCs w:val="21"/>
              </w:rPr>
            </w:pPr>
            <w:r>
              <w:rPr>
                <w:rFonts w:ascii="Times New Roman" w:hAnsi="Times New Roman"/>
                <w:color w:val="auto"/>
                <w:szCs w:val="21"/>
              </w:rPr>
              <w:t>不具备焚烧条件的养殖场应设置两个以上安全填埋井，填埋井应为混凝土结构，深度大于2m，直径1m，井口加盖密封。进行填埋时，在每次投入畜禽尸体后，应覆盖一层厚度大于10cm的熟石灰，井填满后，</w:t>
            </w:r>
            <w:r>
              <w:rPr>
                <w:rFonts w:hint="eastAsia" w:ascii="Times New Roman" w:hAnsi="Times New Roman"/>
                <w:color w:val="auto"/>
                <w:szCs w:val="21"/>
                <w:lang w:eastAsia="zh-CN"/>
              </w:rPr>
              <w:t>需用</w:t>
            </w:r>
            <w:r>
              <w:rPr>
                <w:rFonts w:ascii="Times New Roman" w:hAnsi="Times New Roman"/>
                <w:color w:val="auto"/>
                <w:szCs w:val="21"/>
              </w:rPr>
              <w:t>粘土填埋压实并封口。</w:t>
            </w:r>
          </w:p>
        </w:tc>
        <w:tc>
          <w:tcPr>
            <w:tcW w:w="3012" w:type="dxa"/>
            <w:tcBorders>
              <w:tl2br w:val="nil"/>
              <w:tr2bl w:val="nil"/>
            </w:tcBorders>
            <w:vAlign w:val="center"/>
          </w:tcPr>
          <w:p w14:paraId="0C0370AA">
            <w:pPr>
              <w:pStyle w:val="56"/>
              <w:ind w:firstLine="420" w:firstLineChars="200"/>
              <w:jc w:val="both"/>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淘汰鸭、病死鸭</w:t>
            </w:r>
            <w:r>
              <w:rPr>
                <w:rFonts w:ascii="Times New Roman" w:hAnsi="Times New Roman"/>
                <w:color w:val="000000" w:themeColor="text1"/>
                <w:szCs w:val="21"/>
                <w:lang w:val="en-US"/>
                <w14:textFill>
                  <w14:solidFill>
                    <w14:schemeClr w14:val="tx1"/>
                  </w14:solidFill>
                </w14:textFill>
              </w:rPr>
              <w:t>尸体委托伊宁市病死畜禽无害化处理中心处理。</w:t>
            </w:r>
          </w:p>
        </w:tc>
        <w:tc>
          <w:tcPr>
            <w:tcW w:w="921" w:type="dxa"/>
            <w:tcBorders>
              <w:tl2br w:val="nil"/>
              <w:tr2bl w:val="nil"/>
            </w:tcBorders>
            <w:vAlign w:val="center"/>
          </w:tcPr>
          <w:p w14:paraId="2F1EB9CC">
            <w:pPr>
              <w:pStyle w:val="56"/>
              <w:jc w:val="both"/>
              <w:rPr>
                <w:rFonts w:ascii="Times New Roman" w:hAnsi="Times New Roman"/>
                <w:color w:val="auto"/>
                <w:szCs w:val="21"/>
              </w:rPr>
            </w:pPr>
            <w:r>
              <w:rPr>
                <w:rFonts w:ascii="Times New Roman" w:hAnsi="Times New Roman"/>
                <w:color w:val="auto"/>
                <w:szCs w:val="21"/>
              </w:rPr>
              <w:t>符合</w:t>
            </w:r>
          </w:p>
        </w:tc>
      </w:tr>
    </w:tbl>
    <w:p w14:paraId="59BB6354">
      <w:pPr>
        <w:ind w:firstLine="480"/>
        <w:rPr>
          <w:rFonts w:ascii="Times New Roman" w:hAnsi="Times New Roman" w:cs="Times New Roman"/>
          <w:color w:val="auto"/>
        </w:rPr>
      </w:pPr>
      <w:bookmarkStart w:id="21" w:name="_Toc13474"/>
      <w:r>
        <w:rPr>
          <w:rFonts w:ascii="Times New Roman" w:hAnsi="Times New Roman" w:cs="Times New Roman"/>
          <w:color w:val="auto"/>
        </w:rPr>
        <w:t>因此，本项目建设符合《畜禽养殖业污染防治技术规范》相关要求。</w:t>
      </w:r>
      <w:bookmarkEnd w:id="21"/>
    </w:p>
    <w:p w14:paraId="2EFCA668">
      <w:pPr>
        <w:ind w:firstLine="480"/>
        <w:rPr>
          <w:rFonts w:ascii="Times New Roman" w:hAnsi="Times New Roman" w:cs="Times New Roman"/>
          <w:color w:val="auto"/>
        </w:rPr>
      </w:pPr>
      <w:bookmarkStart w:id="22" w:name="_Toc14781"/>
      <w:r>
        <w:rPr>
          <w:rFonts w:hint="eastAsia" w:cs="Times New Roman"/>
          <w:color w:val="auto"/>
          <w:lang w:val="en-US" w:eastAsia="zh-CN"/>
        </w:rPr>
        <w:t>6.</w:t>
      </w:r>
      <w:r>
        <w:rPr>
          <w:rFonts w:ascii="Times New Roman" w:hAnsi="Times New Roman" w:cs="Times New Roman"/>
          <w:color w:val="auto"/>
        </w:rPr>
        <w:t>与《新疆维吾尔自治区环境保护条例》符合性分析</w:t>
      </w:r>
      <w:bookmarkEnd w:id="22"/>
    </w:p>
    <w:p w14:paraId="4980EABB">
      <w:pPr>
        <w:ind w:firstLine="480"/>
        <w:rPr>
          <w:rFonts w:ascii="Times New Roman" w:hAnsi="Times New Roman" w:cs="Times New Roman"/>
          <w:color w:val="auto"/>
        </w:rPr>
      </w:pPr>
      <w:r>
        <w:rPr>
          <w:rFonts w:ascii="Times New Roman" w:hAnsi="Times New Roman" w:cs="Times New Roman"/>
          <w:color w:val="auto"/>
        </w:rPr>
        <w:t>条例中第三十五条规定：“畜禽养殖场、养殖小区应当根据养殖规模和污染防治需要，建设相应的畜禽粪便、污水贮存、污水处理和畜禽尸体处理等综合利用和无害化处理设施；采取科学饲养方式和废弃物处理工艺等有效措施，防止环境污染。禁止在饮用水水源保护区、风景名胜区、自然保护区的核心区和缓冲区、城镇居民区、文化教育科学研究区等人口集中区域以及</w:t>
      </w:r>
      <w:r>
        <w:rPr>
          <w:rFonts w:hint="eastAsia" w:ascii="Times New Roman" w:hAnsi="Times New Roman" w:cs="Times New Roman"/>
          <w:color w:val="auto"/>
          <w:lang w:eastAsia="zh-CN"/>
        </w:rPr>
        <w:t>法律法规</w:t>
      </w:r>
      <w:r>
        <w:rPr>
          <w:rFonts w:ascii="Times New Roman" w:hAnsi="Times New Roman" w:cs="Times New Roman"/>
          <w:color w:val="auto"/>
        </w:rPr>
        <w:t>规定的其他禁止养殖区域建设畜禽养殖场、养殖小区”。</w:t>
      </w:r>
    </w:p>
    <w:p w14:paraId="313C16BA">
      <w:pPr>
        <w:ind w:firstLine="480"/>
        <w:rPr>
          <w:rFonts w:ascii="Times New Roman" w:hAnsi="Times New Roman" w:cs="Times New Roman"/>
          <w:color w:val="auto"/>
        </w:rPr>
      </w:pPr>
      <w:r>
        <w:rPr>
          <w:rFonts w:ascii="Times New Roman" w:hAnsi="Times New Roman" w:cs="Times New Roman"/>
          <w:color w:val="auto"/>
        </w:rPr>
        <w:t>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w:t>
      </w:r>
      <w:r>
        <w:rPr>
          <w:rFonts w:ascii="Times New Roman" w:hAnsi="Times New Roman" w:cs="Times New Roman"/>
          <w:color w:val="auto"/>
        </w:rPr>
        <w:t>km范围内无城镇居民区、文化教育科学研究区等人口集中区域，不涉及风景名胜区、自然保护区的核心区和缓冲区。因此，本项目建设符合《新疆维吾尔自治区环境保护条例》相关要求。</w:t>
      </w:r>
    </w:p>
    <w:p w14:paraId="7FE4CF20">
      <w:pPr>
        <w:ind w:firstLine="480"/>
        <w:rPr>
          <w:rFonts w:ascii="Times New Roman" w:hAnsi="Times New Roman" w:cs="Times New Roman"/>
          <w:color w:val="auto"/>
        </w:rPr>
      </w:pPr>
      <w:r>
        <w:rPr>
          <w:rFonts w:hint="eastAsia" w:cs="Times New Roman"/>
          <w:color w:val="auto"/>
          <w:lang w:val="en-US" w:eastAsia="zh-CN"/>
        </w:rPr>
        <w:t>7.</w:t>
      </w:r>
      <w:r>
        <w:rPr>
          <w:rFonts w:ascii="Times New Roman" w:hAnsi="Times New Roman" w:cs="Times New Roman"/>
          <w:color w:val="auto"/>
        </w:rPr>
        <w:t>与《</w:t>
      </w:r>
      <w:r>
        <w:rPr>
          <w:rFonts w:hint="eastAsia" w:ascii="Times New Roman" w:hAnsi="Times New Roman" w:cs="Times New Roman"/>
          <w:color w:val="auto"/>
          <w:lang w:val="en-US" w:eastAsia="zh-CN"/>
        </w:rPr>
        <w:t>畜禽规模养殖污染防治条例</w:t>
      </w:r>
      <w:r>
        <w:rPr>
          <w:rFonts w:ascii="Times New Roman" w:hAnsi="Times New Roman" w:cs="Times New Roman"/>
          <w:color w:val="auto"/>
        </w:rPr>
        <w:t>》符合性分析</w:t>
      </w:r>
    </w:p>
    <w:p w14:paraId="0A0A259A">
      <w:pPr>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条例中第十三条规定：“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14:paraId="564DE96B">
      <w:pPr>
        <w:ind w:firstLine="480"/>
        <w:rPr>
          <w:rFonts w:ascii="Times New Roman" w:hAnsi="Times New Roman" w:cs="Times New Roman"/>
          <w:color w:val="auto"/>
        </w:rPr>
      </w:pPr>
      <w:r>
        <w:rPr>
          <w:rFonts w:ascii="Times New Roman" w:hAnsi="Times New Roman" w:cs="Times New Roman"/>
          <w:color w:val="auto"/>
        </w:rPr>
        <w:t>本项目</w:t>
      </w:r>
      <w:r>
        <w:rPr>
          <w:rFonts w:hint="eastAsia" w:ascii="Times New Roman" w:hAnsi="Times New Roman" w:cs="Times New Roman"/>
          <w:color w:val="auto"/>
          <w:lang w:val="en-US" w:eastAsia="zh-CN"/>
        </w:rPr>
        <w:t>粪污及畜禽尸体等均委托他人代为综合利用和无害化处理，本项目不自行建设综合利用和无害化处理设施</w:t>
      </w:r>
      <w:r>
        <w:rPr>
          <w:rFonts w:ascii="Times New Roman" w:hAnsi="Times New Roman" w:cs="Times New Roman"/>
          <w:color w:val="auto"/>
        </w:rPr>
        <w:t>，因此，本项目建设符合《</w:t>
      </w:r>
      <w:r>
        <w:rPr>
          <w:rFonts w:hint="eastAsia" w:ascii="Times New Roman" w:hAnsi="Times New Roman" w:cs="Times New Roman"/>
          <w:color w:val="auto"/>
          <w:lang w:val="en-US" w:eastAsia="zh-CN"/>
        </w:rPr>
        <w:t>畜禽规模养殖污染防治条例</w:t>
      </w:r>
      <w:r>
        <w:rPr>
          <w:rFonts w:ascii="Times New Roman" w:hAnsi="Times New Roman" w:cs="Times New Roman"/>
          <w:color w:val="auto"/>
        </w:rPr>
        <w:t>》相关要求。</w:t>
      </w:r>
    </w:p>
    <w:p w14:paraId="637A0785">
      <w:pPr>
        <w:ind w:firstLine="480"/>
        <w:rPr>
          <w:rFonts w:ascii="Times New Roman" w:hAnsi="Times New Roman" w:cs="Times New Roman"/>
          <w:color w:val="auto"/>
        </w:rPr>
      </w:pPr>
      <w:r>
        <w:rPr>
          <w:rFonts w:hint="eastAsia" w:cs="Times New Roman"/>
          <w:color w:val="auto"/>
          <w:lang w:val="en-US" w:eastAsia="zh-CN"/>
        </w:rPr>
        <w:t>8.</w:t>
      </w:r>
      <w:r>
        <w:rPr>
          <w:rFonts w:ascii="Times New Roman" w:hAnsi="Times New Roman" w:cs="Times New Roman"/>
          <w:color w:val="auto"/>
        </w:rPr>
        <w:t>与</w:t>
      </w:r>
      <w:r>
        <w:rPr>
          <w:rFonts w:hint="eastAsia" w:ascii="Times New Roman" w:hAnsi="Times New Roman" w:cs="Times New Roman"/>
          <w:color w:val="000000" w:themeColor="text1"/>
          <w:lang w:val="en-US" w:eastAsia="zh-CN"/>
          <w14:textFill>
            <w14:solidFill>
              <w14:schemeClr w14:val="tx1"/>
            </w14:solidFill>
          </w14:textFill>
        </w:rPr>
        <w:t>《规模畜禽养殖场污染防治最佳可行技术指南</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试行</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》符合</w:t>
      </w:r>
      <w:r>
        <w:rPr>
          <w:rFonts w:ascii="Times New Roman" w:hAnsi="Times New Roman" w:cs="Times New Roman"/>
          <w:color w:val="auto"/>
        </w:rPr>
        <w:t>性分析</w:t>
      </w:r>
    </w:p>
    <w:p w14:paraId="6B55FB05">
      <w:pPr>
        <w:ind w:firstLine="480"/>
        <w:rPr>
          <w:rFonts w:ascii="Times New Roman" w:hAnsi="Times New Roman" w:cs="Times New Roman"/>
          <w:color w:val="auto"/>
        </w:rPr>
      </w:pPr>
      <w:r>
        <w:rPr>
          <w:rFonts w:hint="eastAsia" w:ascii="Times New Roman" w:hAnsi="Times New Roman" w:cs="Times New Roman"/>
          <w:color w:val="auto"/>
          <w:lang w:val="en-US" w:eastAsia="zh-CN"/>
        </w:rPr>
        <w:t>该技术指南中</w:t>
      </w:r>
      <w:r>
        <w:rPr>
          <w:rFonts w:ascii="Times New Roman" w:hAnsi="Times New Roman" w:cs="Times New Roman"/>
          <w:color w:val="auto"/>
        </w:rPr>
        <w:t>规定：“</w:t>
      </w:r>
      <w:r>
        <w:rPr>
          <w:rFonts w:hint="eastAsia" w:ascii="Times New Roman" w:hAnsi="Times New Roman" w:cs="Times New Roman"/>
          <w:color w:val="auto"/>
          <w:lang w:val="en-US" w:eastAsia="zh-CN"/>
        </w:rPr>
        <w:t>科学饲养、提高畜禽饲料的利用率，采用干清粪技术，可采用向粪便或舍内投（铺）放吸附剂减少臭气的散发，宜采用的吸附剂有沸石、锯末、膨润土以及秸秆、泥炭等含纤维素和木质素较多的材料</w:t>
      </w:r>
      <w:r>
        <w:rPr>
          <w:rFonts w:ascii="Times New Roman" w:hAnsi="Times New Roman" w:cs="Times New Roman"/>
          <w:color w:val="auto"/>
        </w:rPr>
        <w:t>”。</w:t>
      </w:r>
    </w:p>
    <w:p w14:paraId="37A3AA15">
      <w:pPr>
        <w:ind w:firstLine="480"/>
        <w:rPr>
          <w:rFonts w:ascii="Times New Roman" w:hAnsi="Times New Roman" w:cs="Times New Roman"/>
          <w:color w:val="auto"/>
        </w:rPr>
      </w:pPr>
      <w:r>
        <w:rPr>
          <w:rFonts w:ascii="Times New Roman" w:hAnsi="Times New Roman" w:cs="Times New Roman"/>
          <w:color w:val="auto"/>
        </w:rPr>
        <w:t>本项目</w:t>
      </w:r>
      <w:r>
        <w:rPr>
          <w:rFonts w:hint="eastAsia" w:ascii="Times New Roman" w:hAnsi="Times New Roman" w:cs="Times New Roman"/>
          <w:color w:val="auto"/>
          <w:lang w:val="en-US" w:eastAsia="zh-CN"/>
        </w:rPr>
        <w:t>采用科学饲养，购买优良的鸭饲料喂养，采用干清粪工艺，畜禽固体粪便委托</w:t>
      </w:r>
      <w:r>
        <w:rPr>
          <w:rFonts w:hint="eastAsia" w:ascii="Times New Roman" w:hAnsi="Times New Roman" w:cs="Times New Roman"/>
          <w:color w:val="000000" w:themeColor="text1"/>
          <w:lang w:val="en-US" w:eastAsia="zh-CN"/>
          <w14:textFill>
            <w14:solidFill>
              <w14:schemeClr w14:val="tx1"/>
            </w14:solidFill>
          </w14:textFill>
        </w:rPr>
        <w:t>63团3连粪污处理场处理，本项目</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下方铺设含木质素较多的垫草料。</w:t>
      </w:r>
      <w:r>
        <w:rPr>
          <w:rFonts w:ascii="Times New Roman" w:hAnsi="Times New Roman" w:cs="Times New Roman"/>
          <w:color w:val="auto"/>
        </w:rPr>
        <w:t>因此，本项目建设符合《</w:t>
      </w:r>
      <w:r>
        <w:rPr>
          <w:rFonts w:hint="eastAsia" w:ascii="Times New Roman" w:hAnsi="Times New Roman" w:cs="Times New Roman"/>
          <w:color w:val="000000" w:themeColor="text1"/>
          <w:lang w:val="en-US" w:eastAsia="zh-CN"/>
          <w14:textFill>
            <w14:solidFill>
              <w14:schemeClr w14:val="tx1"/>
            </w14:solidFill>
          </w14:textFill>
        </w:rPr>
        <w:t>规模畜禽养殖场污染防治最佳可行技术指南</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试行</w:t>
      </w:r>
      <w:r>
        <w:rPr>
          <w:rFonts w:hint="eastAsia" w:cs="Times New Roman"/>
          <w:color w:val="000000" w:themeColor="text1"/>
          <w:lang w:val="en-US" w:eastAsia="zh-CN"/>
          <w14:textFill>
            <w14:solidFill>
              <w14:schemeClr w14:val="tx1"/>
            </w14:solidFill>
          </w14:textFill>
        </w:rPr>
        <w:t>）</w:t>
      </w:r>
      <w:r>
        <w:rPr>
          <w:rFonts w:ascii="Times New Roman" w:hAnsi="Times New Roman" w:cs="Times New Roman"/>
          <w:color w:val="auto"/>
        </w:rPr>
        <w:t>》相关要求。</w:t>
      </w:r>
    </w:p>
    <w:p w14:paraId="27320EE5">
      <w:pPr>
        <w:ind w:firstLine="480"/>
        <w:rPr>
          <w:rFonts w:hint="eastAsia" w:ascii="Times New Roman" w:hAnsi="Times New Roman" w:cs="Times New Roman"/>
          <w:color w:val="auto"/>
          <w:lang w:val="en-US" w:eastAsia="zh-CN"/>
        </w:rPr>
      </w:pPr>
      <w:r>
        <w:rPr>
          <w:rFonts w:hint="eastAsia" w:cs="Times New Roman"/>
          <w:color w:val="auto"/>
          <w:lang w:val="en-US" w:eastAsia="zh-CN"/>
        </w:rPr>
        <w:t>9.</w:t>
      </w:r>
      <w:r>
        <w:rPr>
          <w:rFonts w:ascii="Times New Roman" w:hAnsi="Times New Roman" w:cs="Times New Roman"/>
          <w:color w:val="auto"/>
        </w:rPr>
        <w:t>与</w:t>
      </w:r>
      <w:r>
        <w:rPr>
          <w:rFonts w:hint="eastAsia" w:ascii="Times New Roman" w:hAnsi="Times New Roman" w:cs="Times New Roman"/>
          <w:color w:val="auto"/>
          <w:lang w:val="en-US" w:eastAsia="zh-CN"/>
        </w:rPr>
        <w:t>《畜禽粪便无害化处理技术规范》符合性分析</w:t>
      </w:r>
    </w:p>
    <w:p w14:paraId="5C2A6496">
      <w:pPr>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该规范中规定：“新建、扩建、改建畜禽养殖场和养殖小区应设置粪污处理区，建设畜禽粪污处理设施”。</w:t>
      </w:r>
    </w:p>
    <w:p w14:paraId="2AD106BE">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auto"/>
          <w:lang w:val="en-US" w:eastAsia="zh-CN"/>
        </w:rPr>
        <w:t>因63团3连建设了粪污处理场，本项目距离该粪污处理场较近，因此本项目采用干清粪工艺，定期清运粪污至63团3连建设</w:t>
      </w:r>
      <w:r>
        <w:rPr>
          <w:rFonts w:hint="eastAsia" w:cs="Times New Roman"/>
          <w:color w:val="auto"/>
          <w:lang w:val="en-US" w:eastAsia="zh-CN"/>
        </w:rPr>
        <w:t>的</w:t>
      </w:r>
      <w:r>
        <w:rPr>
          <w:rFonts w:hint="eastAsia" w:ascii="Times New Roman" w:hAnsi="Times New Roman" w:cs="Times New Roman"/>
          <w:color w:val="auto"/>
          <w:lang w:val="en-US" w:eastAsia="zh-CN"/>
        </w:rPr>
        <w:t>粪污处理场进行粪污综合处理。因此本项目没有在项目区内建设粪污处理设施，本项目粪污委托第三方进行处理。因此，本项目建设</w:t>
      </w:r>
      <w:r>
        <w:rPr>
          <w:rFonts w:hint="eastAsia" w:ascii="Times New Roman" w:hAnsi="Times New Roman" w:cs="Times New Roman"/>
          <w:color w:val="000000" w:themeColor="text1"/>
          <w:lang w:val="en-US" w:eastAsia="zh-CN"/>
          <w14:textFill>
            <w14:solidFill>
              <w14:schemeClr w14:val="tx1"/>
            </w14:solidFill>
          </w14:textFill>
        </w:rPr>
        <w:t>符合《畜禽粪便无害化处理技术规范》相关要求</w:t>
      </w:r>
      <w:r>
        <w:rPr>
          <w:rFonts w:ascii="Times New Roman" w:hAnsi="Times New Roman" w:cs="Times New Roman"/>
          <w:color w:val="000000" w:themeColor="text1"/>
          <w14:textFill>
            <w14:solidFill>
              <w14:schemeClr w14:val="tx1"/>
            </w14:solidFill>
          </w14:textFill>
        </w:rPr>
        <w:t>。</w:t>
      </w:r>
    </w:p>
    <w:p w14:paraId="277A5BCB">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与</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Times New Roman" w:hAnsi="Times New Roman" w:eastAsia="宋体" w:cs="宋体"/>
          <w:i w:val="0"/>
          <w:iCs w:val="0"/>
          <w:caps w:val="0"/>
          <w:color w:val="000000" w:themeColor="text1"/>
          <w:spacing w:val="0"/>
          <w:sz w:val="24"/>
          <w:szCs w:val="24"/>
          <w:shd w:val="clear" w:fill="FFFFFF"/>
          <w:lang w:val="en-US" w:eastAsia="zh-CN"/>
          <w14:textFill>
            <w14:solidFill>
              <w14:schemeClr w14:val="tx1"/>
            </w14:solidFill>
          </w14:textFill>
        </w:rPr>
        <w:t>关于做好畜禽规模养殖项目环境影响评价管理工作的通知</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》符合性</w:t>
      </w:r>
      <w:r>
        <w:rPr>
          <w:rFonts w:ascii="Times New Roman" w:hAnsi="Times New Roman" w:cs="Times New Roman"/>
          <w:color w:val="000000" w:themeColor="text1"/>
          <w14:textFill>
            <w14:solidFill>
              <w14:schemeClr w14:val="tx1"/>
            </w14:solidFill>
          </w14:textFill>
        </w:rPr>
        <w:t>分析</w:t>
      </w:r>
    </w:p>
    <w:p w14:paraId="696056AE">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该文件中</w:t>
      </w:r>
      <w:r>
        <w:rPr>
          <w:rFonts w:ascii="Times New Roman" w:hAnsi="Times New Roman" w:cs="Times New Roman"/>
          <w:color w:val="000000" w:themeColor="text1"/>
          <w14:textFill>
            <w14:solidFill>
              <w14:schemeClr w14:val="tx1"/>
            </w14:solidFill>
          </w14:textFill>
        </w:rPr>
        <w:t>规定：“</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项目环评应充分论证选址的环境合理性，选址应避开当地划定的禁止养殖区域，并与区域主体功能区规划、环境功能区划、土地利用规划、城乡规划、畜牧业发展规划、畜禽养殖污染防治规划等规划相协调</w:t>
      </w:r>
      <w:r>
        <w:rPr>
          <w:rFonts w:hint="eastAsia" w:ascii="Times New Roman" w:hAnsi="Times New Roman" w:eastAsia="宋体" w:cs="宋体"/>
          <w:i w:val="0"/>
          <w:iCs w:val="0"/>
          <w:caps w:val="0"/>
          <w:color w:val="000000" w:themeColor="text1"/>
          <w:spacing w:val="0"/>
          <w:sz w:val="24"/>
          <w:szCs w:val="24"/>
          <w:shd w:val="clear" w:fill="FFFFFF"/>
          <w:lang w:eastAsia="zh-CN"/>
          <w14:textFill>
            <w14:solidFill>
              <w14:schemeClr w14:val="tx1"/>
            </w14:solidFill>
          </w14:textFill>
        </w:rPr>
        <w:t>。</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优化工艺，通过采取优化饲料配方、提高饲养技术等措施，从源头减少粪污的产生量。鼓励采取干清粪方式</w:t>
      </w:r>
      <w:r>
        <w:rPr>
          <w:rFonts w:hint="eastAsia" w:ascii="Times New Roman" w:hAnsi="Times New Roman" w:eastAsia="宋体" w:cs="宋体"/>
          <w:i w:val="0"/>
          <w:iCs w:val="0"/>
          <w:caps w:val="0"/>
          <w:color w:val="000000" w:themeColor="text1"/>
          <w:spacing w:val="0"/>
          <w:sz w:val="24"/>
          <w:szCs w:val="24"/>
          <w:shd w:val="clear" w:fill="FFFFFF"/>
          <w:lang w:eastAsia="zh-CN"/>
          <w14:textFill>
            <w14:solidFill>
              <w14:schemeClr w14:val="tx1"/>
            </w14:solidFill>
          </w14:textFill>
        </w:rPr>
        <w:t>。</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委托满足相关环保要求的第三方代为利用或者处理的，可不自行建设粪污处理或利用设施</w:t>
      </w:r>
      <w:r>
        <w:rPr>
          <w:rFonts w:ascii="Times New Roman" w:hAnsi="Times New Roman" w:cs="Times New Roman"/>
          <w:color w:val="000000" w:themeColor="text1"/>
          <w14:textFill>
            <w14:solidFill>
              <w14:schemeClr w14:val="tx1"/>
            </w14:solidFill>
          </w14:textFill>
        </w:rPr>
        <w:t>”。</w:t>
      </w:r>
    </w:p>
    <w:p w14:paraId="57771AF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本项目建设地点</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避开当地划定的禁止养殖区域</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符合</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主体功能区规划、环境功能区划、土地利用规划</w:t>
      </w:r>
      <w:r>
        <w:rPr>
          <w:rFonts w:hint="eastAsia" w:ascii="Times New Roman" w:hAnsi="Times New Roman" w:eastAsia="宋体" w:cs="宋体"/>
          <w:i w:val="0"/>
          <w:iCs w:val="0"/>
          <w:caps w:val="0"/>
          <w:color w:val="000000" w:themeColor="text1"/>
          <w:spacing w:val="0"/>
          <w:sz w:val="24"/>
          <w:szCs w:val="24"/>
          <w:shd w:val="clear" w:fill="FFFFFF"/>
          <w:lang w:val="en-US" w:eastAsia="zh-CN"/>
          <w14:textFill>
            <w14:solidFill>
              <w14:schemeClr w14:val="tx1"/>
            </w14:solidFill>
          </w14:textFill>
        </w:rPr>
        <w:t>等，本项目优化饲料配方，从源头减少粪污产生，采用干清粪，</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委托满足相关环保要求的第三方代为处理</w:t>
      </w:r>
      <w:r>
        <w:rPr>
          <w:rFonts w:hint="eastAsia" w:ascii="Times New Roman" w:hAnsi="Times New Roman" w:eastAsia="宋体" w:cs="宋体"/>
          <w:i w:val="0"/>
          <w:iCs w:val="0"/>
          <w:caps w:val="0"/>
          <w:color w:val="000000" w:themeColor="text1"/>
          <w:spacing w:val="0"/>
          <w:sz w:val="24"/>
          <w:szCs w:val="24"/>
          <w:shd w:val="clear" w:fill="FFFFFF"/>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因此</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，本项目建设符合《</w:t>
      </w:r>
      <w:r>
        <w:rPr>
          <w:rFonts w:hint="eastAsia" w:ascii="Times New Roman" w:hAnsi="Times New Roman" w:eastAsia="宋体" w:cs="宋体"/>
          <w:i w:val="0"/>
          <w:iCs w:val="0"/>
          <w:caps w:val="0"/>
          <w:color w:val="000000" w:themeColor="text1"/>
          <w:spacing w:val="0"/>
          <w:sz w:val="24"/>
          <w:szCs w:val="24"/>
          <w:shd w:val="clear" w:fill="FFFFFF"/>
          <w:lang w:val="en-US" w:eastAsia="zh-CN"/>
          <w14:textFill>
            <w14:solidFill>
              <w14:schemeClr w14:val="tx1"/>
            </w14:solidFill>
          </w14:textFill>
        </w:rPr>
        <w:t>关于做好畜禽规模养殖项目环境影响评价管理工作的通知</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》相关要求。</w:t>
      </w:r>
    </w:p>
    <w:p w14:paraId="301A5348">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11.</w:t>
      </w:r>
      <w:r>
        <w:rPr>
          <w:rFonts w:ascii="Times New Roman" w:hAnsi="Times New Roman" w:cs="Times New Roman"/>
          <w:color w:val="000000" w:themeColor="text1"/>
          <w14:textFill>
            <w14:solidFill>
              <w14:schemeClr w14:val="tx1"/>
            </w14:solidFill>
          </w14:textFill>
        </w:rPr>
        <w:t>与</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Times New Roman" w:hAnsi="Times New Roman" w:eastAsia="宋体" w:cs="宋体"/>
          <w:i w:val="0"/>
          <w:iCs w:val="0"/>
          <w:caps w:val="0"/>
          <w:color w:val="000000" w:themeColor="text1"/>
          <w:spacing w:val="0"/>
          <w:sz w:val="24"/>
          <w:szCs w:val="24"/>
          <w:shd w:val="clear" w:fill="FFFFFF"/>
          <w:lang w:val="en-US" w:eastAsia="zh-CN"/>
          <w14:textFill>
            <w14:solidFill>
              <w14:schemeClr w14:val="tx1"/>
            </w14:solidFill>
          </w14:textFill>
        </w:rPr>
        <w:t>关于促进新疆畜牧业高质量发展的意见</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》符合性</w:t>
      </w:r>
      <w:r>
        <w:rPr>
          <w:rFonts w:ascii="Times New Roman" w:hAnsi="Times New Roman" w:cs="Times New Roman"/>
          <w:color w:val="000000" w:themeColor="text1"/>
          <w14:textFill>
            <w14:solidFill>
              <w14:schemeClr w14:val="tx1"/>
            </w14:solidFill>
          </w14:textFill>
        </w:rPr>
        <w:t>分析</w:t>
      </w:r>
    </w:p>
    <w:p w14:paraId="04537F23">
      <w:pPr>
        <w:ind w:firstLine="480"/>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pPr>
      <w:r>
        <w:rPr>
          <w:rFonts w:hint="eastAsia" w:ascii="Times New Roman" w:hAnsi="Times New Roman" w:eastAsia="宋体" w:cs="宋体"/>
          <w:i w:val="0"/>
          <w:iCs w:val="0"/>
          <w:caps w:val="0"/>
          <w:color w:val="000000" w:themeColor="text1"/>
          <w:spacing w:val="0"/>
          <w:sz w:val="24"/>
          <w:szCs w:val="24"/>
          <w:shd w:val="clear" w:fill="FFFFFF"/>
          <w:lang w:val="en-US" w:eastAsia="zh-CN"/>
          <w14:textFill>
            <w14:solidFill>
              <w14:schemeClr w14:val="tx1"/>
            </w14:solidFill>
          </w14:textFill>
        </w:rPr>
        <w:t>该意见中</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规定：“实施肉羊增产、奶业振兴、肉牛增产、生猪产业转型升级、家禽及特色产业发展等五大行动</w:t>
      </w:r>
      <w:r>
        <w:rPr>
          <w:rFonts w:hint="eastAsia" w:ascii="Times New Roman" w:hAnsi="Times New Roman" w:eastAsia="宋体" w:cs="宋体"/>
          <w:i w:val="0"/>
          <w:iCs w:val="0"/>
          <w:caps w:val="0"/>
          <w:color w:val="000000" w:themeColor="text1"/>
          <w:spacing w:val="0"/>
          <w:sz w:val="24"/>
          <w:szCs w:val="24"/>
          <w:shd w:val="clear" w:fill="FFFFFF"/>
          <w:lang w:eastAsia="zh-CN"/>
          <w14:textFill>
            <w14:solidFill>
              <w14:schemeClr w14:val="tx1"/>
            </w14:solidFill>
          </w14:textFill>
        </w:rPr>
        <w:t>。</w:t>
      </w:r>
      <w:r>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t>”。</w:t>
      </w:r>
    </w:p>
    <w:p w14:paraId="55CAD977">
      <w:pPr>
        <w:ind w:firstLine="480"/>
        <w:rPr>
          <w:rFonts w:hint="eastAsia" w:ascii="Times New Roman" w:hAnsi="Times New Roman" w:eastAsia="宋体" w:cs="宋体"/>
          <w:i w:val="0"/>
          <w:iCs w:val="0"/>
          <w:caps w:val="0"/>
          <w:color w:val="000000" w:themeColor="text1"/>
          <w:spacing w:val="0"/>
          <w:sz w:val="24"/>
          <w:szCs w:val="24"/>
          <w:shd w:val="clear" w:fill="FFFFFF"/>
          <w14:textFill>
            <w14:solidFill>
              <w14:schemeClr w14:val="tx1"/>
            </w14:solidFill>
          </w14:textFill>
        </w:rPr>
      </w:pPr>
      <w:r>
        <w:rPr>
          <w:rFonts w:hint="eastAsia" w:ascii="Times New Roman" w:hAnsi="Times New Roman" w:eastAsia="宋体" w:cs="宋体"/>
          <w:i w:val="0"/>
          <w:iCs w:val="0"/>
          <w:caps w:val="0"/>
          <w:color w:val="000000" w:themeColor="text1"/>
          <w:spacing w:val="0"/>
          <w:sz w:val="24"/>
          <w:szCs w:val="24"/>
          <w:shd w:val="clear" w:fill="FFFFFF"/>
          <w:lang w:val="en-US" w:eastAsia="zh-CN"/>
          <w14:textFill>
            <w14:solidFill>
              <w14:schemeClr w14:val="tx1"/>
            </w14:solidFill>
          </w14:textFill>
        </w:rPr>
        <w:t>本项目致力于建设标准化、规模化养殖场，打造63团家禽养殖基地，属于振兴家禽产业。符合《关于促进新疆畜牧业高质量发展的意见》要求。</w:t>
      </w:r>
    </w:p>
    <w:p w14:paraId="4DDE19B6">
      <w:pPr>
        <w:pStyle w:val="5"/>
        <w:ind w:left="120"/>
        <w:rPr>
          <w:rFonts w:ascii="Times New Roman" w:hAnsi="Times New Roman" w:cs="Times New Roman"/>
          <w:color w:val="auto"/>
        </w:rPr>
      </w:pPr>
      <w:r>
        <w:rPr>
          <w:rFonts w:ascii="Times New Roman" w:hAnsi="Times New Roman" w:cs="Times New Roman"/>
          <w:color w:val="auto"/>
        </w:rPr>
        <w:t>“三线一单”符合性分析</w:t>
      </w:r>
    </w:p>
    <w:p w14:paraId="3DB5A886">
      <w:pPr>
        <w:ind w:firstLine="480"/>
        <w:rPr>
          <w:rFonts w:ascii="Times New Roman" w:hAnsi="Times New Roman" w:cs="Times New Roman"/>
          <w:color w:val="auto"/>
        </w:rPr>
      </w:pPr>
      <w:r>
        <w:rPr>
          <w:rFonts w:ascii="Times New Roman" w:hAnsi="Times New Roman" w:cs="Times New Roman"/>
          <w:color w:val="auto"/>
        </w:rPr>
        <w:t>根据</w:t>
      </w:r>
      <w:r>
        <w:rPr>
          <w:rFonts w:hint="eastAsia" w:ascii="Times New Roman" w:hAnsi="Times New Roman" w:cs="Times New Roman"/>
          <w:color w:val="auto"/>
          <w:lang w:eastAsia="zh-CN"/>
        </w:rPr>
        <w:t>生态环境部</w:t>
      </w:r>
      <w:r>
        <w:rPr>
          <w:rFonts w:ascii="Times New Roman" w:hAnsi="Times New Roman" w:cs="Times New Roman"/>
          <w:color w:val="auto"/>
        </w:rPr>
        <w:t>《关于以改善环境质量为核心加强环境影响评价管理的通知》（环环评〔2016〕150号），</w:t>
      </w:r>
      <w:r>
        <w:rPr>
          <w:rFonts w:hint="eastAsia" w:cs="Times New Roman"/>
          <w:color w:val="auto"/>
          <w:lang w:eastAsia="zh-CN"/>
        </w:rPr>
        <w:t>“三线一单”</w:t>
      </w:r>
      <w:r>
        <w:rPr>
          <w:rFonts w:ascii="Times New Roman" w:hAnsi="Times New Roman" w:cs="Times New Roman"/>
          <w:color w:val="auto"/>
        </w:rPr>
        <w:t>中的三线是指“生态保护红线、环境质量底线、资源利用上线”，一单为生态环境准入清单。对照《</w:t>
      </w:r>
      <w:r>
        <w:rPr>
          <w:rFonts w:hint="default" w:ascii="Times New Roman" w:hAnsi="Times New Roman" w:eastAsia="宋体" w:cs="Times New Roman"/>
          <w:color w:val="auto"/>
          <w:sz w:val="24"/>
          <w:szCs w:val="24"/>
          <w:highlight w:val="none"/>
        </w:rPr>
        <w:t>新疆生产建设兵团“三线一单”生态环境分区管控方案</w:t>
      </w:r>
      <w:r>
        <w:rPr>
          <w:rFonts w:ascii="Times New Roman" w:hAnsi="Times New Roman" w:cs="Times New Roman"/>
          <w:color w:val="auto"/>
        </w:rPr>
        <w:t>》（</w:t>
      </w:r>
      <w:r>
        <w:rPr>
          <w:rFonts w:hint="default" w:ascii="Times New Roman" w:hAnsi="Times New Roman" w:eastAsia="宋体" w:cs="Times New Roman"/>
          <w:color w:val="auto"/>
          <w:sz w:val="24"/>
          <w:szCs w:val="24"/>
          <w:highlight w:val="none"/>
        </w:rPr>
        <w:t>新兵发〔2021〕16号</w:t>
      </w:r>
      <w:r>
        <w:rPr>
          <w:rFonts w:ascii="Times New Roman" w:hAnsi="Times New Roman" w:cs="Times New Roman"/>
          <w:color w:val="auto"/>
        </w:rPr>
        <w:t>）和《</w:t>
      </w:r>
      <w:r>
        <w:rPr>
          <w:rFonts w:hint="eastAsia" w:ascii="Times New Roman" w:hAnsi="Times New Roman" w:eastAsia="宋体" w:cs="宋体"/>
          <w:color w:val="auto"/>
          <w:kern w:val="0"/>
          <w:sz w:val="24"/>
          <w:szCs w:val="24"/>
          <w:lang w:val="en-US" w:eastAsia="zh-CN"/>
        </w:rPr>
        <w:t>2023年生态环境分区管控成果动态更新工作方案</w:t>
      </w:r>
      <w:r>
        <w:rPr>
          <w:rFonts w:ascii="Times New Roman" w:hAnsi="Times New Roman" w:cs="Times New Roman"/>
          <w:color w:val="auto"/>
        </w:rPr>
        <w:t>》（</w:t>
      </w:r>
      <w:r>
        <w:rPr>
          <w:rFonts w:hint="eastAsia" w:ascii="Times New Roman" w:hAnsi="Times New Roman" w:cs="Times New Roman"/>
          <w:color w:val="auto"/>
          <w:lang w:val="en-US" w:eastAsia="zh-CN"/>
        </w:rPr>
        <w:t>环办环评函</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81</w:t>
      </w:r>
      <w:r>
        <w:rPr>
          <w:rFonts w:hint="default" w:ascii="Times New Roman" w:hAnsi="Times New Roman" w:eastAsia="宋体" w:cs="Times New Roman"/>
          <w:color w:val="auto"/>
          <w:sz w:val="24"/>
          <w:szCs w:val="24"/>
          <w:highlight w:val="none"/>
        </w:rPr>
        <w:t>号</w:t>
      </w:r>
      <w:r>
        <w:rPr>
          <w:rFonts w:ascii="Times New Roman" w:hAnsi="Times New Roman" w:cs="Times New Roman"/>
          <w:color w:val="auto"/>
        </w:rPr>
        <w:t>）</w:t>
      </w:r>
      <w:r>
        <w:rPr>
          <w:rFonts w:hint="eastAsia" w:ascii="Times New Roman" w:hAnsi="Times New Roman" w:cs="Times New Roman"/>
          <w:color w:val="auto"/>
          <w:lang w:val="en-US" w:eastAsia="zh-CN"/>
        </w:rPr>
        <w:t>，</w:t>
      </w:r>
      <w:r>
        <w:rPr>
          <w:rFonts w:ascii="Times New Roman" w:hAnsi="Times New Roman" w:cs="Times New Roman"/>
          <w:color w:val="auto"/>
        </w:rPr>
        <w:t>项目“三线一单”相符性分析如下：</w:t>
      </w:r>
    </w:p>
    <w:p w14:paraId="5D8F329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（1）与生态保护红线的相符性</w:t>
      </w:r>
    </w:p>
    <w:p w14:paraId="5891729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文件要求：</w:t>
      </w:r>
      <w:r>
        <w:rPr>
          <w:rFonts w:hint="default" w:ascii="Times New Roman" w:hAnsi="Times New Roman" w:eastAsia="宋体" w:cs="Times New Roman"/>
          <w:color w:val="auto"/>
          <w:sz w:val="24"/>
          <w:szCs w:val="24"/>
          <w:highlight w:val="none"/>
        </w:rPr>
        <w:t>按照“生态功能不降低、面积不减少、性质不改变”的基本要求，对划定的生态保护红线实施严格管控，保障和维护师市生态安全的底线和生命线</w:t>
      </w:r>
      <w:r>
        <w:rPr>
          <w:rFonts w:ascii="Times New Roman" w:hAnsi="Times New Roman" w:cs="Times New Roman"/>
          <w:color w:val="000000" w:themeColor="text1"/>
          <w14:textFill>
            <w14:solidFill>
              <w14:schemeClr w14:val="tx1"/>
            </w14:solidFill>
          </w14:textFill>
        </w:rPr>
        <w:t>。</w:t>
      </w:r>
    </w:p>
    <w:p w14:paraId="75FE1E6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w:t>
      </w:r>
      <w:r>
        <w:rPr>
          <w:rFonts w:hint="eastAsia" w:ascii="Times New Roman" w:hAnsi="Times New Roman" w:cs="Times New Roman"/>
          <w:color w:val="000000" w:themeColor="text1"/>
          <w:lang w:val="en-US" w:eastAsia="zh-CN"/>
          <w14:textFill>
            <w14:solidFill>
              <w14:schemeClr w14:val="tx1"/>
            </w14:solidFill>
          </w14:textFill>
        </w:rPr>
        <w:t>第四师63团6连</w:t>
      </w:r>
      <w:r>
        <w:rPr>
          <w:rFonts w:ascii="Times New Roman" w:hAnsi="Times New Roman" w:cs="Times New Roman"/>
          <w:color w:val="000000" w:themeColor="text1"/>
          <w14:textFill>
            <w14:solidFill>
              <w14:schemeClr w14:val="tx1"/>
            </w14:solidFill>
          </w14:textFill>
        </w:rPr>
        <w:t>，项目区不属于生态功能重要区域和生态环境敏感脆弱区，不位于生态保护红线</w:t>
      </w:r>
      <w:r>
        <w:rPr>
          <w:rFonts w:hint="eastAsia" w:ascii="Times New Roman" w:hAnsi="Times New Roman" w:cs="Times New Roman"/>
          <w:color w:val="000000" w:themeColor="text1"/>
          <w:lang w:eastAsia="zh-CN"/>
          <w14:textFill>
            <w14:solidFill>
              <w14:schemeClr w14:val="tx1"/>
            </w14:solidFill>
          </w14:textFill>
        </w:rPr>
        <w:t>禁止开发区域</w:t>
      </w:r>
      <w:r>
        <w:rPr>
          <w:rFonts w:ascii="Times New Roman" w:hAnsi="Times New Roman" w:cs="Times New Roman"/>
          <w:color w:val="000000" w:themeColor="text1"/>
          <w14:textFill>
            <w14:solidFill>
              <w14:schemeClr w14:val="tx1"/>
            </w14:solidFill>
          </w14:textFill>
        </w:rPr>
        <w:t>。因此本项目的建设符合生态保护红线要求。</w:t>
      </w:r>
    </w:p>
    <w:p w14:paraId="351CB0A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（2）与环境质量底线的相符性</w:t>
      </w:r>
    </w:p>
    <w:p w14:paraId="6B12034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文件要求：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师市河流、湖库、水源地水质总体保持稳定，饮用水安全保障水平持续提升，水生态环境状况继续好转。环境空气质量稳步提升，重污染天数持续减少。土壤环境质量保持稳定，农用地和建设用地土壤环境安全得到有效保障，土壤环境风险得到有效管控。受污染耕地安全利用率达到93%以上，污染地块安全利用率达到93%以上</w:t>
      </w:r>
      <w:r>
        <w:rPr>
          <w:rFonts w:ascii="Times New Roman" w:hAnsi="Times New Roman" w:cs="Times New Roman"/>
          <w:color w:val="000000" w:themeColor="text1"/>
          <w14:textFill>
            <w14:solidFill>
              <w14:schemeClr w14:val="tx1"/>
            </w14:solidFill>
          </w14:textFill>
        </w:rPr>
        <w:t>。</w:t>
      </w:r>
    </w:p>
    <w:p w14:paraId="18E8EFB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本项目营运期产生的废气主</w:t>
      </w:r>
      <w:r>
        <w:rPr>
          <w:rFonts w:hint="eastAsia" w:cs="Times New Roman"/>
          <w:color w:val="000000" w:themeColor="text1"/>
          <w:lang w:eastAsia="zh-CN"/>
          <w14:textFill>
            <w14:solidFill>
              <w14:schemeClr w14:val="tx1"/>
            </w14:solidFill>
          </w14:textFill>
        </w:rPr>
        <w:t>要是</w:t>
      </w:r>
      <w:r>
        <w:rPr>
          <w:rFonts w:ascii="Times New Roman" w:hAnsi="Times New Roman" w:cs="Times New Roman"/>
          <w:color w:val="000000" w:themeColor="text1"/>
          <w14:textFill>
            <w14:solidFill>
              <w14:schemeClr w14:val="tx1"/>
            </w14:solidFill>
          </w14:textFill>
        </w:rPr>
        <w:t>养殖区和粪污</w:t>
      </w:r>
      <w:r>
        <w:rPr>
          <w:rFonts w:hint="eastAsia" w:ascii="Times New Roman" w:hAnsi="Times New Roman" w:cs="Times New Roman"/>
          <w:color w:val="000000" w:themeColor="text1"/>
          <w:lang w:val="en-US" w:eastAsia="zh-CN"/>
          <w14:textFill>
            <w14:solidFill>
              <w14:schemeClr w14:val="tx1"/>
            </w14:solidFill>
          </w14:textFill>
        </w:rPr>
        <w:t>暂存</w:t>
      </w:r>
      <w:r>
        <w:rPr>
          <w:rFonts w:ascii="Times New Roman" w:hAnsi="Times New Roman" w:cs="Times New Roman"/>
          <w:color w:val="000000" w:themeColor="text1"/>
          <w14:textFill>
            <w14:solidFill>
              <w14:schemeClr w14:val="tx1"/>
            </w14:solidFill>
          </w14:textFill>
        </w:rPr>
        <w:t>区产生的恶臭气体，选择优质的饲料原料，在饲料中添加EM生物菌，加强圈舍的通风，及时清除粪便，定期喷洒除臭剂，不会对大气环境产生明显影响；养殖区采用干清粪工艺，</w:t>
      </w:r>
      <w:r>
        <w:rPr>
          <w:rFonts w:hint="eastAsia" w:cs="Times New Roman"/>
          <w:color w:val="000000" w:themeColor="text1"/>
          <w:lang w:eastAsia="zh-CN"/>
          <w14:textFill>
            <w14:solidFill>
              <w14:schemeClr w14:val="tx1"/>
            </w14:solidFill>
          </w14:textFill>
        </w:rPr>
        <w:t>清粪过程无</w:t>
      </w:r>
      <w:r>
        <w:rPr>
          <w:rFonts w:ascii="Times New Roman" w:hAnsi="Times New Roman" w:cs="Times New Roman"/>
          <w:color w:val="000000" w:themeColor="text1"/>
          <w:lang w:val="zh-CN"/>
          <w14:textFill>
            <w14:solidFill>
              <w14:schemeClr w14:val="tx1"/>
            </w14:solidFill>
          </w14:textFill>
        </w:rPr>
        <w:t>废水</w:t>
      </w:r>
      <w:r>
        <w:rPr>
          <w:rFonts w:hint="eastAsia" w:ascii="Times New Roman" w:hAnsi="Times New Roman" w:cs="Times New Roman"/>
          <w:color w:val="000000" w:themeColor="text1"/>
          <w:lang w:val="en-US" w:eastAsia="zh-CN"/>
          <w14:textFill>
            <w14:solidFill>
              <w14:schemeClr w14:val="tx1"/>
            </w14:solidFill>
          </w14:textFill>
        </w:rPr>
        <w:t>外排</w:t>
      </w:r>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工作人员办公生活</w:t>
      </w:r>
      <w:r>
        <w:rPr>
          <w:rFonts w:hint="eastAsia" w:ascii="Times New Roman" w:hAnsi="Times New Roman" w:cs="Times New Roman"/>
          <w:color w:val="000000" w:themeColor="text1"/>
          <w:lang w:val="en-US" w:eastAsia="zh-CN"/>
          <w14:textFill>
            <w14:solidFill>
              <w14:schemeClr w14:val="tx1"/>
            </w14:solidFill>
          </w14:textFill>
        </w:rPr>
        <w:t>污水收集至</w:t>
      </w:r>
      <w:r>
        <w:rPr>
          <w:rFonts w:hint="eastAsia" w:cs="Times New Roman"/>
          <w:color w:val="000000" w:themeColor="text1"/>
          <w:lang w:val="en-US" w:eastAsia="zh-CN"/>
          <w14:textFill>
            <w14:solidFill>
              <w14:schemeClr w14:val="tx1"/>
            </w14:solidFill>
          </w14:textFill>
        </w:rPr>
        <w:t>生活区</w:t>
      </w:r>
      <w:r>
        <w:rPr>
          <w:rFonts w:hint="eastAsia" w:ascii="Times New Roman" w:hAnsi="Times New Roman" w:cs="Times New Roman"/>
          <w:color w:val="000000" w:themeColor="text1"/>
          <w:lang w:val="en-US" w:eastAsia="zh-CN"/>
          <w14:textFill>
            <w14:solidFill>
              <w14:schemeClr w14:val="tx1"/>
            </w14:solidFill>
          </w14:textFill>
        </w:rPr>
        <w:t>化粪池，定期</w:t>
      </w:r>
      <w:r>
        <w:rPr>
          <w:rFonts w:hint="eastAsia" w:cs="Times New Roman"/>
          <w:color w:val="000000" w:themeColor="text1"/>
          <w:lang w:val="en-US" w:eastAsia="zh-CN"/>
          <w14:textFill>
            <w14:solidFill>
              <w14:schemeClr w14:val="tx1"/>
            </w14:solidFill>
          </w14:textFill>
        </w:rPr>
        <w:t>抽排到污水处理厂。日常养殖废水经废水处理设施处理后，用于养殖区绿化浇灌；养殖鸭粪</w:t>
      </w:r>
      <w:r>
        <w:rPr>
          <w:rFonts w:hint="eastAsia" w:ascii="Times New Roman" w:hAnsi="Times New Roman" w:cs="Times New Roman"/>
          <w:color w:val="000000" w:themeColor="text1"/>
          <w:lang w:val="en-US" w:eastAsia="zh-CN"/>
          <w14:textFill>
            <w14:solidFill>
              <w14:schemeClr w14:val="tx1"/>
            </w14:solidFill>
          </w14:textFill>
        </w:rPr>
        <w:t>清运至63团粪污处理场</w:t>
      </w:r>
      <w:r>
        <w:rPr>
          <w:rFonts w:ascii="Times New Roman" w:hAnsi="Times New Roman" w:cs="Times New Roman"/>
          <w:color w:val="000000" w:themeColor="text1"/>
          <w14:textFill>
            <w14:solidFill>
              <w14:schemeClr w14:val="tx1"/>
            </w14:solidFill>
          </w14:textFill>
        </w:rPr>
        <w:t>，无</w:t>
      </w:r>
      <w:r>
        <w:rPr>
          <w:rFonts w:hint="eastAsia" w:cs="Times New Roman"/>
          <w:color w:val="000000" w:themeColor="text1"/>
          <w:lang w:eastAsia="zh-CN"/>
          <w14:textFill>
            <w14:solidFill>
              <w14:schemeClr w14:val="tx1"/>
            </w14:solidFill>
          </w14:textFill>
        </w:rPr>
        <w:t>养殖</w:t>
      </w:r>
      <w:r>
        <w:rPr>
          <w:rFonts w:ascii="Times New Roman" w:hAnsi="Times New Roman" w:cs="Times New Roman"/>
          <w:color w:val="000000" w:themeColor="text1"/>
          <w14:textFill>
            <w14:solidFill>
              <w14:schemeClr w14:val="tx1"/>
            </w14:solidFill>
          </w14:textFill>
        </w:rPr>
        <w:t>污水</w:t>
      </w:r>
      <w:r>
        <w:rPr>
          <w:rFonts w:hint="eastAsia" w:ascii="Times New Roman" w:hAnsi="Times New Roman" w:cs="Times New Roman"/>
          <w:color w:val="000000" w:themeColor="text1"/>
          <w:lang w:val="en-US" w:eastAsia="zh-CN"/>
          <w14:textFill>
            <w14:solidFill>
              <w14:schemeClr w14:val="tx1"/>
            </w14:solidFill>
          </w14:textFill>
        </w:rPr>
        <w:t>外排</w:t>
      </w:r>
      <w:r>
        <w:rPr>
          <w:rFonts w:ascii="Times New Roman" w:hAnsi="Times New Roman" w:cs="Times New Roman"/>
          <w:color w:val="000000" w:themeColor="text1"/>
          <w14:textFill>
            <w14:solidFill>
              <w14:schemeClr w14:val="tx1"/>
            </w14:solidFill>
          </w14:textFill>
        </w:rPr>
        <w:t>；因此，本项目建设不会</w:t>
      </w:r>
      <w:r>
        <w:rPr>
          <w:rFonts w:hint="eastAsia" w:cs="Times New Roman"/>
          <w:color w:val="000000" w:themeColor="text1"/>
          <w:lang w:eastAsia="zh-CN"/>
          <w14:textFill>
            <w14:solidFill>
              <w14:schemeClr w14:val="tx1"/>
            </w14:solidFill>
          </w14:textFill>
        </w:rPr>
        <w:t>污染土壤耕地</w:t>
      </w:r>
      <w:r>
        <w:rPr>
          <w:rFonts w:ascii="Times New Roman" w:hAnsi="Times New Roman" w:cs="Times New Roman"/>
          <w:color w:val="000000" w:themeColor="text1"/>
          <w14:textFill>
            <w14:solidFill>
              <w14:schemeClr w14:val="tx1"/>
            </w14:solidFill>
          </w14:textFill>
        </w:rPr>
        <w:t>，不会突破环境质量底线。</w:t>
      </w:r>
    </w:p>
    <w:p w14:paraId="170418E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（3）与资源利用上线的相符性 </w:t>
      </w:r>
    </w:p>
    <w:p w14:paraId="0C86447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文件要求：</w:t>
      </w:r>
      <w:r>
        <w:rPr>
          <w:rFonts w:hint="default" w:ascii="Times New Roman" w:hAnsi="Times New Roman" w:eastAsia="宋体" w:cs="Times New Roman"/>
          <w:color w:val="000000" w:themeColor="text1"/>
          <w:sz w:val="24"/>
          <w:szCs w:val="24"/>
          <w:highlight w:val="none"/>
          <w14:textFill>
            <w14:solidFill>
              <w14:schemeClr w14:val="tx1"/>
            </w14:solidFill>
          </w14:textFill>
        </w:rPr>
        <w:t>强化节约集约利用，持续提升资源能源利用效率，水资源、土地资源、能源消耗达到国家、兵团下达</w:t>
      </w:r>
      <w:r>
        <w:rPr>
          <w:rFonts w:hint="default" w:ascii="Times New Roman" w:hAnsi="Times New Roman" w:eastAsia="宋体" w:cs="Times New Roman"/>
          <w:color w:val="auto"/>
          <w:sz w:val="24"/>
          <w:szCs w:val="24"/>
          <w:highlight w:val="none"/>
        </w:rPr>
        <w:t>的总</w:t>
      </w:r>
      <w:r>
        <w:rPr>
          <w:rFonts w:hint="default" w:ascii="Times New Roman" w:hAnsi="Times New Roman" w:eastAsia="宋体" w:cs="Times New Roman"/>
          <w:color w:val="000000" w:themeColor="text1"/>
          <w:sz w:val="24"/>
          <w:szCs w:val="24"/>
          <w:highlight w:val="none"/>
          <w14:textFill>
            <w14:solidFill>
              <w14:schemeClr w14:val="tx1"/>
            </w14:solidFill>
          </w14:textFill>
        </w:rPr>
        <w:t>量和强度控制目标。加快区域低碳发展，积极推动低碳试点建设，发挥低碳试点示范引领作用</w:t>
      </w:r>
      <w:r>
        <w:rPr>
          <w:rFonts w:ascii="Times New Roman" w:hAnsi="Times New Roman" w:cs="Times New Roman"/>
          <w:color w:val="000000" w:themeColor="text1"/>
          <w14:textFill>
            <w14:solidFill>
              <w14:schemeClr w14:val="tx1"/>
            </w14:solidFill>
          </w14:textFill>
        </w:rPr>
        <w:t>。</w:t>
      </w:r>
    </w:p>
    <w:p w14:paraId="5DF37FC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主要利用土地资源、水资源、能源资源。</w:t>
      </w:r>
      <w:r>
        <w:rPr>
          <w:rFonts w:ascii="Times New Roman" w:hAnsi="Times New Roman" w:cs="Times New Roman"/>
          <w:color w:val="000000" w:themeColor="text1"/>
          <w:lang w:val="zh-CN"/>
          <w14:textFill>
            <w14:solidFill>
              <w14:schemeClr w14:val="tx1"/>
            </w14:solidFill>
          </w14:textFill>
        </w:rPr>
        <w:t>供水来自</w:t>
      </w:r>
      <w:r>
        <w:rPr>
          <w:rFonts w:hint="eastAsia" w:cs="Times New Roman"/>
          <w:color w:val="000000" w:themeColor="text1"/>
          <w:lang w:val="en-US" w:eastAsia="zh-CN"/>
          <w14:textFill>
            <w14:solidFill>
              <w14:schemeClr w14:val="tx1"/>
            </w14:solidFill>
          </w14:textFill>
        </w:rPr>
        <w:t>63团连队</w:t>
      </w:r>
      <w:r>
        <w:rPr>
          <w:rFonts w:ascii="Times New Roman" w:hAnsi="Times New Roman" w:cs="Times New Roman"/>
          <w:color w:val="000000" w:themeColor="text1"/>
          <w:lang w:val="zh-CN"/>
          <w14:textFill>
            <w14:solidFill>
              <w14:schemeClr w14:val="tx1"/>
            </w14:solidFill>
          </w14:textFill>
        </w:rPr>
        <w:t>供水管网，</w:t>
      </w:r>
      <w:r>
        <w:rPr>
          <w:rFonts w:hint="eastAsia" w:cs="Times New Roman"/>
          <w:color w:val="000000" w:themeColor="text1"/>
          <w:lang w:val="zh-CN"/>
          <w14:textFill>
            <w14:solidFill>
              <w14:schemeClr w14:val="tx1"/>
            </w14:solidFill>
          </w14:textFill>
        </w:rPr>
        <w:t>场</w:t>
      </w:r>
      <w:r>
        <w:rPr>
          <w:rFonts w:ascii="Times New Roman" w:hAnsi="Times New Roman" w:cs="Times New Roman"/>
          <w:color w:val="000000" w:themeColor="text1"/>
          <w14:textFill>
            <w14:solidFill>
              <w14:schemeClr w14:val="tx1"/>
            </w14:solidFill>
          </w14:textFill>
        </w:rPr>
        <w:t>内加强水资源循环利用；项目建设利用设施农用地，不占用耕地，</w:t>
      </w:r>
      <w:r>
        <w:rPr>
          <w:rFonts w:hint="eastAsia" w:cs="Times New Roman"/>
          <w:color w:val="000000" w:themeColor="text1"/>
          <w:lang w:eastAsia="zh-CN"/>
          <w14:textFill>
            <w14:solidFill>
              <w14:schemeClr w14:val="tx1"/>
            </w14:solidFill>
          </w14:textFill>
        </w:rPr>
        <w:t>占地面积</w:t>
      </w:r>
      <w:r>
        <w:rPr>
          <w:rFonts w:hint="eastAsia" w:cs="Times New Roman"/>
          <w:color w:val="000000" w:themeColor="text1"/>
          <w:lang w:val="en-US" w:eastAsia="zh-CN"/>
          <w14:textFill>
            <w14:solidFill>
              <w14:schemeClr w14:val="tx1"/>
            </w14:solidFill>
          </w14:textFill>
        </w:rPr>
        <w:t>200.688亩，</w:t>
      </w:r>
      <w:r>
        <w:rPr>
          <w:rFonts w:ascii="Times New Roman" w:hAnsi="Times New Roman" w:cs="Times New Roman"/>
          <w:color w:val="000000" w:themeColor="text1"/>
          <w14:textFill>
            <w14:solidFill>
              <w14:schemeClr w14:val="tx1"/>
            </w14:solidFill>
          </w14:textFill>
        </w:rPr>
        <w:t>土地资源消耗符合要求</w:t>
      </w:r>
      <w:r>
        <w:rPr>
          <w:rFonts w:hint="eastAsia" w:cs="Times New Roman"/>
          <w:color w:val="000000" w:themeColor="text1"/>
          <w:lang w:eastAsia="zh-CN"/>
          <w14:textFill>
            <w14:solidFill>
              <w14:schemeClr w14:val="tx1"/>
            </w14:solidFill>
          </w14:textFill>
        </w:rPr>
        <w:t>；项目冬季供热设</w:t>
      </w:r>
      <w:r>
        <w:rPr>
          <w:rFonts w:hint="eastAsia" w:cs="Times New Roman"/>
          <w:color w:val="000000" w:themeColor="text1"/>
          <w:lang w:val="en-US" w:eastAsia="zh-CN"/>
          <w14:textFill>
            <w14:solidFill>
              <w14:schemeClr w14:val="tx1"/>
            </w14:solidFill>
          </w14:textFill>
        </w:rPr>
        <w:t>2台生物质燃料锅炉，仅冬季供热，预计年消耗生物质燃料最大</w:t>
      </w:r>
      <w:r>
        <w:rPr>
          <w:rFonts w:hint="eastAsia" w:cs="Times New Roman"/>
          <w:color w:val="FF0000"/>
          <w:lang w:val="en-US" w:eastAsia="zh-CN"/>
        </w:rPr>
        <w:t>1000t，</w:t>
      </w:r>
      <w:r>
        <w:rPr>
          <w:rFonts w:ascii="Times New Roman" w:hAnsi="Times New Roman" w:cs="Times New Roman"/>
          <w:color w:val="000000" w:themeColor="text1"/>
          <w14:textFill>
            <w14:solidFill>
              <w14:schemeClr w14:val="tx1"/>
            </w14:solidFill>
          </w14:textFill>
        </w:rPr>
        <w:t>项目总体上不会突破资源利用</w:t>
      </w:r>
      <w:r>
        <w:rPr>
          <w:rFonts w:hint="eastAsia" w:cs="Times New Roman"/>
          <w:color w:val="000000" w:themeColor="text1"/>
          <w:lang w:eastAsia="zh-CN"/>
          <w14:textFill>
            <w14:solidFill>
              <w14:schemeClr w14:val="tx1"/>
            </w14:solidFill>
          </w14:textFill>
        </w:rPr>
        <w:t>上限</w:t>
      </w:r>
      <w:r>
        <w:rPr>
          <w:rFonts w:ascii="Times New Roman" w:hAnsi="Times New Roman" w:cs="Times New Roman"/>
          <w:color w:val="000000" w:themeColor="text1"/>
          <w14:textFill>
            <w14:solidFill>
              <w14:schemeClr w14:val="tx1"/>
            </w14:solidFill>
          </w14:textFill>
        </w:rPr>
        <w:t>。</w:t>
      </w:r>
    </w:p>
    <w:p w14:paraId="2A9DF5FA">
      <w:pPr>
        <w:ind w:firstLine="480"/>
        <w:rPr>
          <w:rFonts w:ascii="Times New Roman" w:hAnsi="Times New Roman" w:cs="Times New Roman"/>
          <w:color w:val="auto"/>
        </w:rPr>
      </w:pPr>
      <w:r>
        <w:rPr>
          <w:rFonts w:ascii="Times New Roman" w:hAnsi="Times New Roman" w:cs="Times New Roman"/>
          <w:color w:val="auto"/>
        </w:rPr>
        <w:t>（4）与生态环境管控单元及生态环境准入清单的符合性</w:t>
      </w:r>
    </w:p>
    <w:p w14:paraId="422DDC16">
      <w:pPr>
        <w:ind w:firstLine="480"/>
        <w:rPr>
          <w:rFonts w:ascii="Times New Roman" w:hAnsi="Times New Roman" w:cs="Times New Roman"/>
          <w:color w:val="auto"/>
        </w:rPr>
      </w:pPr>
      <w:r>
        <w:rPr>
          <w:rFonts w:ascii="Times New Roman" w:hAnsi="Times New Roman" w:cs="Times New Roman"/>
          <w:color w:val="auto"/>
        </w:rPr>
        <w:t>文件要求：</w:t>
      </w:r>
      <w:r>
        <w:rPr>
          <w:rFonts w:hint="eastAsia" w:ascii="Times New Roman" w:hAnsi="Times New Roman" w:cs="Times New Roman"/>
          <w:color w:val="auto"/>
          <w:lang w:val="en-US" w:eastAsia="zh-CN"/>
        </w:rPr>
        <w:t>第四师可克达拉市</w:t>
      </w:r>
      <w:r>
        <w:rPr>
          <w:rFonts w:ascii="Times New Roman" w:hAnsi="Times New Roman" w:cs="Times New Roman"/>
          <w:color w:val="auto"/>
        </w:rPr>
        <w:t>划定环境管控单元，分为优先保护单元、重点管控单元和一般管控单元三类，实施分类管控。</w:t>
      </w:r>
    </w:p>
    <w:p w14:paraId="705DDDFE">
      <w:pPr>
        <w:ind w:firstLine="480"/>
        <w:rPr>
          <w:rFonts w:ascii="Times New Roman" w:hAnsi="Times New Roman" w:cs="Times New Roman"/>
          <w:color w:val="auto"/>
        </w:rPr>
      </w:pPr>
      <w:r>
        <w:rPr>
          <w:rFonts w:hint="eastAsia" w:ascii="Times New Roman" w:hAnsi="Times New Roman" w:eastAsia="宋体" w:cs="宋体"/>
          <w:color w:val="auto"/>
          <w:kern w:val="0"/>
          <w:sz w:val="24"/>
          <w:szCs w:val="24"/>
          <w:lang w:val="en-US" w:eastAsia="zh-CN"/>
        </w:rPr>
        <w:t>根据《2023年生态环境分区管控成果动态更新工作方案</w:t>
      </w:r>
      <w:r>
        <w:rPr>
          <w:rFonts w:ascii="Times New Roman" w:hAnsi="Times New Roman" w:cs="Times New Roman"/>
          <w:color w:val="auto"/>
        </w:rPr>
        <w:t>》（</w:t>
      </w:r>
      <w:r>
        <w:rPr>
          <w:rFonts w:hint="eastAsia" w:ascii="Times New Roman" w:hAnsi="Times New Roman" w:cs="Times New Roman"/>
          <w:color w:val="auto"/>
          <w:lang w:val="en-US" w:eastAsia="zh-CN"/>
        </w:rPr>
        <w:t>环办环评函</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81</w:t>
      </w:r>
      <w:r>
        <w:rPr>
          <w:rFonts w:hint="default" w:ascii="Times New Roman" w:hAnsi="Times New Roman" w:eastAsia="宋体" w:cs="Times New Roman"/>
          <w:color w:val="auto"/>
          <w:sz w:val="24"/>
          <w:szCs w:val="24"/>
          <w:highlight w:val="none"/>
        </w:rPr>
        <w:t>号</w:t>
      </w:r>
      <w:r>
        <w:rPr>
          <w:rFonts w:ascii="Times New Roman" w:hAnsi="Times New Roman" w:cs="Times New Roman"/>
          <w:color w:val="auto"/>
        </w:rPr>
        <w:t>），本项目位于</w:t>
      </w:r>
      <w:r>
        <w:rPr>
          <w:rFonts w:hint="eastAsia" w:ascii="Times New Roman" w:hAnsi="Times New Roman" w:cs="Times New Roman"/>
          <w:color w:val="auto"/>
          <w:lang w:val="en-US" w:eastAsia="zh-CN"/>
        </w:rPr>
        <w:t>第四师63团6连</w:t>
      </w:r>
      <w:r>
        <w:rPr>
          <w:rFonts w:ascii="Times New Roman" w:hAnsi="Times New Roman" w:cs="Times New Roman"/>
          <w:color w:val="auto"/>
        </w:rPr>
        <w:t>，属于</w:t>
      </w:r>
      <w:r>
        <w:rPr>
          <w:rFonts w:hint="eastAsia" w:ascii="Times New Roman" w:hAnsi="Times New Roman" w:cs="Times New Roman"/>
          <w:color w:val="auto"/>
          <w:lang w:val="en-US" w:eastAsia="zh-CN"/>
        </w:rPr>
        <w:t>可克达拉市63团重点管控单元</w:t>
      </w:r>
      <w:r>
        <w:rPr>
          <w:rFonts w:ascii="Times New Roman" w:hAnsi="Times New Roman" w:cs="Times New Roman"/>
          <w:color w:val="auto"/>
        </w:rPr>
        <w:t>，单元编码ZH65</w:t>
      </w:r>
      <w:r>
        <w:rPr>
          <w:rFonts w:hint="eastAsia" w:ascii="Times New Roman" w:hAnsi="Times New Roman" w:cs="Times New Roman"/>
          <w:color w:val="auto"/>
          <w:lang w:val="en-US" w:eastAsia="zh-CN"/>
        </w:rPr>
        <w:t>90082001</w:t>
      </w:r>
      <w:r>
        <w:rPr>
          <w:rFonts w:ascii="Times New Roman" w:hAnsi="Times New Roman" w:cs="Times New Roman"/>
          <w:color w:val="auto"/>
        </w:rPr>
        <w:t>，管控要求如下：</w:t>
      </w:r>
    </w:p>
    <w:p w14:paraId="66198D65">
      <w:pPr>
        <w:ind w:firstLine="482"/>
        <w:jc w:val="center"/>
        <w:rPr>
          <w:rFonts w:ascii="Times New Roman" w:hAnsi="Times New Roman" w:cs="Times New Roman"/>
          <w:snapToGrid w:val="0"/>
          <w:color w:val="auto"/>
          <w:kern w:val="0"/>
          <w:lang w:val="zh-CN"/>
        </w:rPr>
      </w:pPr>
      <w:r>
        <w:rPr>
          <w:rFonts w:ascii="Times New Roman" w:hAnsi="Times New Roman" w:cs="Times New Roman"/>
          <w:b/>
          <w:bCs/>
          <w:snapToGrid w:val="0"/>
          <w:color w:val="auto"/>
          <w:kern w:val="0"/>
          <w:lang w:val="zh-CN"/>
        </w:rPr>
        <w:t>表</w:t>
      </w:r>
      <w:r>
        <w:rPr>
          <w:rFonts w:ascii="Times New Roman" w:hAnsi="Times New Roman" w:cs="Times New Roman"/>
          <w:b/>
          <w:bCs/>
          <w:snapToGrid w:val="0"/>
          <w:color w:val="auto"/>
          <w:kern w:val="0"/>
        </w:rPr>
        <w:t>1.3-2</w:t>
      </w:r>
      <w:r>
        <w:rPr>
          <w:rFonts w:ascii="Times New Roman" w:hAnsi="Times New Roman" w:cs="Times New Roman"/>
          <w:b/>
          <w:bCs/>
          <w:snapToGrid w:val="0"/>
          <w:color w:val="auto"/>
          <w:kern w:val="0"/>
          <w:lang w:val="zh-CN"/>
        </w:rPr>
        <w:t xml:space="preserve"> </w:t>
      </w:r>
      <w:r>
        <w:rPr>
          <w:rFonts w:ascii="Times New Roman" w:hAnsi="Times New Roman" w:cs="Times New Roman"/>
          <w:b/>
          <w:bCs/>
          <w:snapToGrid w:val="0"/>
          <w:color w:val="auto"/>
          <w:kern w:val="0"/>
        </w:rPr>
        <w:t xml:space="preserve">   </w:t>
      </w:r>
      <w:r>
        <w:rPr>
          <w:rFonts w:hint="eastAsia" w:ascii="Times New Roman" w:hAnsi="Times New Roman" w:cs="Times New Roman"/>
          <w:b/>
          <w:bCs/>
          <w:snapToGrid w:val="0"/>
          <w:color w:val="auto"/>
          <w:kern w:val="0"/>
          <w:lang w:val="en-US" w:eastAsia="zh-CN"/>
        </w:rPr>
        <w:t>第四师可克达拉市</w:t>
      </w:r>
      <w:r>
        <w:rPr>
          <w:rFonts w:ascii="Times New Roman" w:hAnsi="Times New Roman" w:cs="Times New Roman"/>
          <w:b/>
          <w:bCs/>
          <w:snapToGrid w:val="0"/>
          <w:color w:val="auto"/>
          <w:kern w:val="0"/>
          <w:lang w:val="zh-CN"/>
        </w:rPr>
        <w:t>生态环境准入清单</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2"/>
        <w:gridCol w:w="3070"/>
        <w:gridCol w:w="2366"/>
        <w:gridCol w:w="1812"/>
      </w:tblGrid>
      <w:tr w14:paraId="3683A4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87" w:hRule="atLeast"/>
          <w:jc w:val="center"/>
        </w:trPr>
        <w:tc>
          <w:tcPr>
            <w:tcW w:w="1812" w:type="dxa"/>
            <w:tcBorders>
              <w:tl2br w:val="nil"/>
              <w:tr2bl w:val="nil"/>
            </w:tcBorders>
            <w:vAlign w:val="center"/>
          </w:tcPr>
          <w:p w14:paraId="6F549FFB">
            <w:pPr>
              <w:pStyle w:val="60"/>
              <w:rPr>
                <w:rFonts w:ascii="Times New Roman" w:hAnsi="Times New Roman" w:cs="Times New Roman"/>
                <w:color w:val="auto"/>
              </w:rPr>
            </w:pPr>
            <w:r>
              <w:rPr>
                <w:rFonts w:ascii="Times New Roman" w:hAnsi="Times New Roman" w:cs="Times New Roman"/>
                <w:color w:val="auto"/>
              </w:rPr>
              <w:t>单元编码</w:t>
            </w:r>
          </w:p>
        </w:tc>
        <w:tc>
          <w:tcPr>
            <w:tcW w:w="3070" w:type="dxa"/>
            <w:tcBorders>
              <w:tl2br w:val="nil"/>
              <w:tr2bl w:val="nil"/>
            </w:tcBorders>
            <w:vAlign w:val="center"/>
          </w:tcPr>
          <w:p w14:paraId="04D0C143">
            <w:pPr>
              <w:pStyle w:val="60"/>
              <w:rPr>
                <w:rFonts w:ascii="Times New Roman" w:hAnsi="Times New Roman" w:cs="Times New Roman"/>
                <w:color w:val="auto"/>
              </w:rPr>
            </w:pPr>
            <w:r>
              <w:rPr>
                <w:rFonts w:ascii="Times New Roman" w:hAnsi="Times New Roman" w:cs="Times New Roman"/>
                <w:color w:val="auto"/>
              </w:rPr>
              <w:t>单元名称</w:t>
            </w:r>
          </w:p>
        </w:tc>
        <w:tc>
          <w:tcPr>
            <w:tcW w:w="2366" w:type="dxa"/>
            <w:tcBorders>
              <w:tl2br w:val="nil"/>
              <w:tr2bl w:val="nil"/>
            </w:tcBorders>
            <w:vAlign w:val="center"/>
          </w:tcPr>
          <w:p w14:paraId="6E371E95">
            <w:pPr>
              <w:pStyle w:val="60"/>
              <w:rPr>
                <w:rFonts w:ascii="Times New Roman" w:hAnsi="Times New Roman" w:cs="Times New Roman"/>
                <w:color w:val="auto"/>
              </w:rPr>
            </w:pPr>
            <w:r>
              <w:rPr>
                <w:rFonts w:ascii="Times New Roman" w:hAnsi="Times New Roman" w:cs="Times New Roman"/>
                <w:color w:val="auto"/>
              </w:rPr>
              <w:t>单元属性</w:t>
            </w:r>
          </w:p>
        </w:tc>
        <w:tc>
          <w:tcPr>
            <w:tcW w:w="1812" w:type="dxa"/>
            <w:tcBorders>
              <w:tl2br w:val="nil"/>
              <w:tr2bl w:val="nil"/>
            </w:tcBorders>
            <w:vAlign w:val="center"/>
          </w:tcPr>
          <w:p w14:paraId="7D77CCE7">
            <w:pPr>
              <w:pStyle w:val="60"/>
              <w:rPr>
                <w:rFonts w:ascii="Times New Roman" w:hAnsi="Times New Roman" w:cs="Times New Roman"/>
                <w:color w:val="auto"/>
              </w:rPr>
            </w:pPr>
            <w:r>
              <w:rPr>
                <w:rFonts w:ascii="Times New Roman" w:hAnsi="Times New Roman" w:cs="Times New Roman"/>
                <w:color w:val="auto"/>
              </w:rPr>
              <w:t>本项目情况</w:t>
            </w:r>
          </w:p>
        </w:tc>
      </w:tr>
      <w:tr w14:paraId="0402F1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12" w:type="dxa"/>
            <w:tcBorders>
              <w:tl2br w:val="nil"/>
              <w:tr2bl w:val="nil"/>
            </w:tcBorders>
            <w:vAlign w:val="center"/>
          </w:tcPr>
          <w:p w14:paraId="5E59E03E">
            <w:pPr>
              <w:pStyle w:val="60"/>
              <w:rPr>
                <w:rFonts w:ascii="Times New Roman" w:hAnsi="Times New Roman" w:cs="Times New Roman"/>
                <w:color w:val="auto"/>
              </w:rPr>
            </w:pPr>
            <w:r>
              <w:rPr>
                <w:rFonts w:ascii="Times New Roman" w:hAnsi="Times New Roman" w:cs="Times New Roman"/>
                <w:color w:val="auto"/>
              </w:rPr>
              <w:t>ZH65</w:t>
            </w:r>
            <w:r>
              <w:rPr>
                <w:rFonts w:hint="eastAsia" w:ascii="Times New Roman" w:hAnsi="Times New Roman" w:cs="Times New Roman"/>
                <w:color w:val="auto"/>
                <w:lang w:val="en-US" w:eastAsia="zh-CN"/>
              </w:rPr>
              <w:t>90082001</w:t>
            </w:r>
          </w:p>
        </w:tc>
        <w:tc>
          <w:tcPr>
            <w:tcW w:w="3070" w:type="dxa"/>
            <w:tcBorders>
              <w:tl2br w:val="nil"/>
              <w:tr2bl w:val="nil"/>
            </w:tcBorders>
            <w:vAlign w:val="center"/>
          </w:tcPr>
          <w:p w14:paraId="693F8022">
            <w:pPr>
              <w:pStyle w:val="60"/>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可克达拉市63团重点管控单元</w:t>
            </w:r>
          </w:p>
        </w:tc>
        <w:tc>
          <w:tcPr>
            <w:tcW w:w="2366" w:type="dxa"/>
            <w:tcBorders>
              <w:tl2br w:val="nil"/>
              <w:tr2bl w:val="nil"/>
            </w:tcBorders>
            <w:vAlign w:val="center"/>
          </w:tcPr>
          <w:p w14:paraId="73A030E3">
            <w:pPr>
              <w:pStyle w:val="60"/>
              <w:rPr>
                <w:rFonts w:ascii="Times New Roman" w:hAnsi="Times New Roman" w:cs="Times New Roman"/>
                <w:color w:val="auto"/>
              </w:rPr>
            </w:pPr>
            <w:r>
              <w:rPr>
                <w:rFonts w:hint="eastAsia" w:ascii="Times New Roman" w:hAnsi="Times New Roman" w:cs="Times New Roman"/>
                <w:color w:val="auto"/>
                <w:lang w:val="en-US" w:eastAsia="zh-CN"/>
              </w:rPr>
              <w:t>重点</w:t>
            </w:r>
            <w:r>
              <w:rPr>
                <w:rFonts w:ascii="Times New Roman" w:hAnsi="Times New Roman" w:cs="Times New Roman"/>
                <w:color w:val="auto"/>
              </w:rPr>
              <w:t>管控单元</w:t>
            </w:r>
          </w:p>
        </w:tc>
        <w:tc>
          <w:tcPr>
            <w:tcW w:w="1812" w:type="dxa"/>
            <w:tcBorders>
              <w:tl2br w:val="nil"/>
              <w:tr2bl w:val="nil"/>
            </w:tcBorders>
            <w:vAlign w:val="center"/>
          </w:tcPr>
          <w:p w14:paraId="406623E3">
            <w:pPr>
              <w:pStyle w:val="60"/>
              <w:rPr>
                <w:rFonts w:hint="default" w:ascii="Times New Roman" w:hAnsi="Times New Roman" w:cs="Times New Roman" w:eastAsiaTheme="minorEastAsia"/>
                <w:color w:val="auto"/>
                <w:lang w:val="en-US" w:eastAsia="zh-CN"/>
              </w:rPr>
            </w:pPr>
            <w:r>
              <w:rPr>
                <w:rFonts w:ascii="Times New Roman" w:hAnsi="Times New Roman" w:cs="Times New Roman"/>
                <w:color w:val="auto"/>
              </w:rPr>
              <w:t>本项目位于</w:t>
            </w:r>
            <w:r>
              <w:rPr>
                <w:rFonts w:hint="eastAsia" w:ascii="Times New Roman" w:hAnsi="Times New Roman" w:cs="Times New Roman"/>
                <w:color w:val="auto"/>
                <w:lang w:val="en-US" w:eastAsia="zh-CN"/>
              </w:rPr>
              <w:t>63团6连</w:t>
            </w:r>
          </w:p>
        </w:tc>
      </w:tr>
      <w:tr w14:paraId="2A0B2E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1812" w:type="dxa"/>
            <w:tcBorders>
              <w:tl2br w:val="nil"/>
              <w:tr2bl w:val="nil"/>
            </w:tcBorders>
            <w:vAlign w:val="center"/>
          </w:tcPr>
          <w:p w14:paraId="4392FEBD">
            <w:pPr>
              <w:pStyle w:val="60"/>
              <w:rPr>
                <w:rFonts w:ascii="Times New Roman" w:hAnsi="Times New Roman" w:cs="Times New Roman"/>
                <w:color w:val="auto"/>
              </w:rPr>
            </w:pPr>
            <w:r>
              <w:rPr>
                <w:rFonts w:ascii="Times New Roman" w:hAnsi="Times New Roman" w:cs="Times New Roman"/>
                <w:color w:val="auto"/>
              </w:rPr>
              <w:t>管控维度</w:t>
            </w:r>
          </w:p>
        </w:tc>
        <w:tc>
          <w:tcPr>
            <w:tcW w:w="5436" w:type="dxa"/>
            <w:gridSpan w:val="2"/>
            <w:tcBorders>
              <w:tl2br w:val="nil"/>
              <w:tr2bl w:val="nil"/>
            </w:tcBorders>
            <w:vAlign w:val="center"/>
          </w:tcPr>
          <w:p w14:paraId="33A286AF">
            <w:pPr>
              <w:pStyle w:val="60"/>
              <w:rPr>
                <w:rFonts w:ascii="Times New Roman" w:hAnsi="Times New Roman" w:cs="Times New Roman"/>
                <w:color w:val="auto"/>
              </w:rPr>
            </w:pPr>
            <w:r>
              <w:rPr>
                <w:rFonts w:ascii="Times New Roman" w:hAnsi="Times New Roman" w:cs="Times New Roman"/>
                <w:color w:val="auto"/>
              </w:rPr>
              <w:t>管控要求</w:t>
            </w:r>
          </w:p>
        </w:tc>
        <w:tc>
          <w:tcPr>
            <w:tcW w:w="1812" w:type="dxa"/>
            <w:tcBorders>
              <w:tl2br w:val="nil"/>
              <w:tr2bl w:val="nil"/>
            </w:tcBorders>
            <w:vAlign w:val="center"/>
          </w:tcPr>
          <w:p w14:paraId="22C29A6B">
            <w:pPr>
              <w:pStyle w:val="60"/>
              <w:rPr>
                <w:rFonts w:ascii="Times New Roman" w:hAnsi="Times New Roman" w:cs="Times New Roman"/>
                <w:color w:val="auto"/>
              </w:rPr>
            </w:pPr>
          </w:p>
        </w:tc>
      </w:tr>
      <w:tr w14:paraId="369D14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73" w:hRule="atLeast"/>
          <w:jc w:val="center"/>
        </w:trPr>
        <w:tc>
          <w:tcPr>
            <w:tcW w:w="1812" w:type="dxa"/>
            <w:tcBorders>
              <w:tl2br w:val="nil"/>
              <w:tr2bl w:val="nil"/>
            </w:tcBorders>
            <w:vAlign w:val="center"/>
          </w:tcPr>
          <w:p w14:paraId="50EB2CBF">
            <w:pPr>
              <w:pStyle w:val="6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空间布局约束</w:t>
            </w:r>
          </w:p>
        </w:tc>
        <w:tc>
          <w:tcPr>
            <w:tcW w:w="5436" w:type="dxa"/>
            <w:gridSpan w:val="2"/>
            <w:tcBorders>
              <w:tl2br w:val="nil"/>
              <w:tr2bl w:val="nil"/>
            </w:tcBorders>
            <w:vAlign w:val="center"/>
          </w:tcPr>
          <w:p w14:paraId="5D4E8617">
            <w:pPr>
              <w:pStyle w:val="6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执行大气环境布局敏感区相关要求</w:t>
            </w:r>
            <w:r>
              <w:rPr>
                <w:rFonts w:ascii="Times New Roman" w:hAnsi="Times New Roman" w:cs="Times New Roman"/>
                <w:color w:val="000000" w:themeColor="text1"/>
                <w14:textFill>
                  <w14:solidFill>
                    <w14:schemeClr w14:val="tx1"/>
                  </w14:solidFill>
                </w14:textFill>
              </w:rPr>
              <w:t>。</w:t>
            </w:r>
          </w:p>
          <w:p w14:paraId="722143B2">
            <w:pPr>
              <w:pStyle w:val="60"/>
              <w:jc w:val="both"/>
              <w:rPr>
                <w:rFonts w:hint="eastAsia"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维护国土生态安全</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改善边境沿线团场生态环境</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实施边境团场生态治理与修复重建工程。</w:t>
            </w:r>
          </w:p>
          <w:p w14:paraId="17A2E994">
            <w:pPr>
              <w:pStyle w:val="60"/>
              <w:jc w:val="both"/>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加强退化湿地恢复及湿地保护管理机构建设</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开展湿地生态保护修复</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禁止侵占自然湿地等水源涵养空间。</w:t>
            </w:r>
          </w:p>
          <w:p w14:paraId="619E8DED">
            <w:pPr>
              <w:pStyle w:val="60"/>
              <w:jc w:val="both"/>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严格控制非农建设占用耕地</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加大对土地整理复垦开发重点区域及重点工程、粮食主产区和基本农田保护区的投入。</w:t>
            </w:r>
          </w:p>
          <w:p w14:paraId="08CCABAE">
            <w:pPr>
              <w:pStyle w:val="6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禁止任何单位和个人在基本农田保护区内建窑、建房、建坟、挖砂采石、采矿、取土、堆放固体废弃物或者进行其他破坏基本农田的活动。</w:t>
            </w:r>
          </w:p>
        </w:tc>
        <w:tc>
          <w:tcPr>
            <w:tcW w:w="1812" w:type="dxa"/>
            <w:tcBorders>
              <w:tl2br w:val="nil"/>
              <w:tr2bl w:val="nil"/>
            </w:tcBorders>
            <w:vAlign w:val="center"/>
          </w:tcPr>
          <w:p w14:paraId="15BA1224">
            <w:pPr>
              <w:pStyle w:val="6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本项目为规模化养殖项目</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2.5</w:t>
            </w:r>
            <w:r>
              <w:rPr>
                <w:rFonts w:hint="eastAsia" w:ascii="Times New Roman" w:hAnsi="Times New Roman" w:cs="Times New Roman"/>
                <w:color w:val="000000" w:themeColor="text1"/>
                <w:lang w:val="en-US" w:eastAsia="zh-CN"/>
                <w14:textFill>
                  <w14:solidFill>
                    <w14:schemeClr w14:val="tx1"/>
                  </w14:solidFill>
                </w14:textFill>
              </w:rPr>
              <w:t>km范围内没有</w:t>
            </w:r>
            <w:r>
              <w:rPr>
                <w:rFonts w:hint="eastAsia" w:cs="Times New Roman"/>
                <w:color w:val="000000" w:themeColor="text1"/>
                <w:lang w:val="en-US" w:eastAsia="zh-CN"/>
                <w14:textFill>
                  <w14:solidFill>
                    <w14:schemeClr w14:val="tx1"/>
                  </w14:solidFill>
                </w14:textFill>
              </w:rPr>
              <w:t>集中</w:t>
            </w:r>
            <w:r>
              <w:rPr>
                <w:rFonts w:hint="eastAsia" w:ascii="Times New Roman" w:hAnsi="Times New Roman" w:cs="Times New Roman"/>
                <w:color w:val="000000" w:themeColor="text1"/>
                <w:lang w:val="en-US" w:eastAsia="zh-CN"/>
                <w14:textFill>
                  <w14:solidFill>
                    <w14:schemeClr w14:val="tx1"/>
                  </w14:solidFill>
                </w14:textFill>
              </w:rPr>
              <w:t>居住区、文化区等人群较集中区域，也无需要特殊保护的区域，本项目不占用耕地</w:t>
            </w:r>
            <w:r>
              <w:rPr>
                <w:rFonts w:ascii="Times New Roman" w:hAnsi="Times New Roman" w:cs="Times New Roman"/>
                <w:color w:val="000000" w:themeColor="text1"/>
                <w14:textFill>
                  <w14:solidFill>
                    <w14:schemeClr w14:val="tx1"/>
                  </w14:solidFill>
                </w14:textFill>
              </w:rPr>
              <w:t>。</w:t>
            </w:r>
          </w:p>
        </w:tc>
      </w:tr>
      <w:tr w14:paraId="1E296B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12" w:type="dxa"/>
            <w:tcBorders>
              <w:tl2br w:val="nil"/>
              <w:tr2bl w:val="nil"/>
            </w:tcBorders>
            <w:vAlign w:val="center"/>
          </w:tcPr>
          <w:p w14:paraId="4DD485CD">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污染物排放管控</w:t>
            </w:r>
          </w:p>
        </w:tc>
        <w:tc>
          <w:tcPr>
            <w:tcW w:w="5436" w:type="dxa"/>
            <w:gridSpan w:val="2"/>
            <w:tcBorders>
              <w:tl2br w:val="nil"/>
              <w:tr2bl w:val="nil"/>
            </w:tcBorders>
            <w:vAlign w:val="center"/>
          </w:tcPr>
          <w:p w14:paraId="340D9DA7">
            <w:pPr>
              <w:pStyle w:val="6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重点控制区主要大气污染物排放须进行“倍量替代</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执行大气污染物特别排放限值</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新增大气污染物排放量须在项目所在区域内实施总量替代</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不得接受其他区域主要大气污染物可替代总量指标</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一般控制区域内主要大气污染物排放须进行“等量替代”</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执行大气污染物特别排放限值。</w:t>
            </w:r>
          </w:p>
        </w:tc>
        <w:tc>
          <w:tcPr>
            <w:tcW w:w="1812" w:type="dxa"/>
            <w:tcBorders>
              <w:tl2br w:val="nil"/>
              <w:tr2bl w:val="nil"/>
            </w:tcBorders>
            <w:vAlign w:val="center"/>
          </w:tcPr>
          <w:p w14:paraId="2B6AD45C">
            <w:pPr>
              <w:pStyle w:val="6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本项目圈舍通风换气、定期喷洒除臭剂；</w:t>
            </w:r>
          </w:p>
          <w:p w14:paraId="319DB43E">
            <w:pPr>
              <w:pStyle w:val="6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本项目采用干清粪工艺，</w:t>
            </w:r>
            <w:r>
              <w:rPr>
                <w:rFonts w:hint="eastAsia" w:ascii="Times New Roman" w:hAnsi="Times New Roman" w:cs="Times New Roman"/>
                <w:color w:val="000000" w:themeColor="text1"/>
                <w:lang w:val="en-US" w:eastAsia="zh-CN"/>
                <w14:textFill>
                  <w14:solidFill>
                    <w14:schemeClr w14:val="tx1"/>
                  </w14:solidFill>
                </w14:textFill>
              </w:rPr>
              <w:t>粪污拉运至63团粪污处理场</w:t>
            </w:r>
            <w:r>
              <w:rPr>
                <w:rFonts w:ascii="Times New Roman" w:hAnsi="Times New Roman" w:cs="Times New Roman"/>
                <w:color w:val="000000" w:themeColor="text1"/>
                <w14:textFill>
                  <w14:solidFill>
                    <w14:schemeClr w14:val="tx1"/>
                  </w14:solidFill>
                </w14:textFill>
              </w:rPr>
              <w:t>，最终生产为有机肥综合利用，</w:t>
            </w:r>
            <w:r>
              <w:rPr>
                <w:rFonts w:hint="eastAsia" w:cs="Times New Roman"/>
                <w:color w:val="000000" w:themeColor="text1"/>
                <w:lang w:eastAsia="zh-CN"/>
                <w14:textFill>
                  <w14:solidFill>
                    <w14:schemeClr w14:val="tx1"/>
                  </w14:solidFill>
                </w14:textFill>
              </w:rPr>
              <w:t>项目不排放重点管控的污染物</w:t>
            </w:r>
            <w:r>
              <w:rPr>
                <w:rFonts w:ascii="Times New Roman" w:hAnsi="Times New Roman" w:cs="Times New Roman"/>
                <w:color w:val="000000" w:themeColor="text1"/>
                <w14:textFill>
                  <w14:solidFill>
                    <w14:schemeClr w14:val="tx1"/>
                  </w14:solidFill>
                </w14:textFill>
              </w:rPr>
              <w:t>。</w:t>
            </w:r>
          </w:p>
        </w:tc>
      </w:tr>
      <w:tr w14:paraId="67E46E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12" w:type="dxa"/>
            <w:tcBorders>
              <w:tl2br w:val="nil"/>
              <w:tr2bl w:val="nil"/>
            </w:tcBorders>
            <w:vAlign w:val="center"/>
          </w:tcPr>
          <w:p w14:paraId="00C5E2D8">
            <w:pPr>
              <w:pStyle w:val="60"/>
              <w:rPr>
                <w:rFonts w:ascii="Times New Roman" w:hAnsi="Times New Roman" w:cs="Times New Roman"/>
                <w:color w:val="auto"/>
              </w:rPr>
            </w:pPr>
            <w:r>
              <w:rPr>
                <w:rFonts w:ascii="Times New Roman" w:hAnsi="Times New Roman" w:cs="Times New Roman"/>
                <w:color w:val="auto"/>
              </w:rPr>
              <w:t>环境风险防控</w:t>
            </w:r>
          </w:p>
        </w:tc>
        <w:tc>
          <w:tcPr>
            <w:tcW w:w="5436" w:type="dxa"/>
            <w:gridSpan w:val="2"/>
            <w:tcBorders>
              <w:tl2br w:val="nil"/>
              <w:tr2bl w:val="nil"/>
            </w:tcBorders>
            <w:vAlign w:val="center"/>
          </w:tcPr>
          <w:p w14:paraId="77439E6D">
            <w:pPr>
              <w:pStyle w:val="60"/>
              <w:jc w:val="both"/>
              <w:rPr>
                <w:rFonts w:ascii="Times New Roman" w:hAnsi="Times New Roman" w:cs="Times New Roman"/>
                <w:color w:val="auto"/>
              </w:rPr>
            </w:pPr>
            <w:r>
              <w:rPr>
                <w:rFonts w:hint="eastAsia" w:ascii="Times New Roman" w:hAnsi="Times New Roman" w:cs="Times New Roman"/>
                <w:color w:val="auto"/>
              </w:rPr>
              <w:t>对耕地面积减少或土壤环境质量下降的团场要进行预警提醒</w:t>
            </w:r>
            <w:r>
              <w:rPr>
                <w:rFonts w:hint="eastAsia" w:ascii="Times New Roman" w:hAnsi="Times New Roman" w:cs="Times New Roman"/>
                <w:color w:val="auto"/>
                <w:lang w:eastAsia="zh-CN"/>
              </w:rPr>
              <w:t>，</w:t>
            </w:r>
            <w:r>
              <w:rPr>
                <w:rFonts w:hint="eastAsia" w:ascii="Times New Roman" w:hAnsi="Times New Roman" w:cs="Times New Roman"/>
                <w:color w:val="auto"/>
              </w:rPr>
              <w:t>并依法采取环评限批等限制性措施。</w:t>
            </w:r>
          </w:p>
        </w:tc>
        <w:tc>
          <w:tcPr>
            <w:tcW w:w="1812" w:type="dxa"/>
            <w:tcBorders>
              <w:tl2br w:val="nil"/>
              <w:tr2bl w:val="nil"/>
            </w:tcBorders>
            <w:vAlign w:val="center"/>
          </w:tcPr>
          <w:p w14:paraId="14A30B4C">
            <w:pPr>
              <w:pStyle w:val="60"/>
              <w:jc w:val="both"/>
              <w:rPr>
                <w:rFonts w:ascii="Times New Roman" w:hAnsi="Times New Roman" w:cs="Times New Roman"/>
                <w:color w:val="auto"/>
              </w:rPr>
            </w:pPr>
            <w:r>
              <w:rPr>
                <w:rFonts w:hint="eastAsia" w:ascii="Times New Roman" w:hAnsi="Times New Roman" w:cs="Times New Roman"/>
                <w:color w:val="auto"/>
                <w:lang w:val="en-US" w:eastAsia="zh-CN"/>
              </w:rPr>
              <w:t>本</w:t>
            </w:r>
            <w:r>
              <w:rPr>
                <w:rFonts w:hint="eastAsia" w:ascii="Times New Roman" w:hAnsi="Times New Roman" w:cs="Times New Roman"/>
                <w:color w:val="000000" w:themeColor="text1"/>
                <w:lang w:val="en-US" w:eastAsia="zh-CN"/>
                <w14:textFill>
                  <w14:solidFill>
                    <w14:schemeClr w14:val="tx1"/>
                  </w14:solidFill>
                </w14:textFill>
              </w:rPr>
              <w:t>项目建设不占用耕地，不污染土壤环境</w:t>
            </w:r>
            <w:r>
              <w:rPr>
                <w:rFonts w:ascii="Times New Roman" w:hAnsi="Times New Roman" w:cs="Times New Roman"/>
                <w:color w:val="000000" w:themeColor="text1"/>
                <w14:textFill>
                  <w14:solidFill>
                    <w14:schemeClr w14:val="tx1"/>
                  </w14:solidFill>
                </w14:textFill>
              </w:rPr>
              <w:t>。</w:t>
            </w:r>
          </w:p>
        </w:tc>
      </w:tr>
      <w:tr w14:paraId="0E84B7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12" w:type="dxa"/>
            <w:tcBorders>
              <w:tl2br w:val="nil"/>
              <w:tr2bl w:val="nil"/>
            </w:tcBorders>
            <w:vAlign w:val="center"/>
          </w:tcPr>
          <w:p w14:paraId="6AE12BCE">
            <w:pPr>
              <w:pStyle w:val="60"/>
              <w:rPr>
                <w:rFonts w:ascii="Times New Roman" w:hAnsi="Times New Roman" w:cs="Times New Roman"/>
                <w:color w:val="auto"/>
              </w:rPr>
            </w:pPr>
            <w:r>
              <w:rPr>
                <w:rFonts w:ascii="Times New Roman" w:hAnsi="Times New Roman" w:cs="Times New Roman"/>
                <w:color w:val="auto"/>
              </w:rPr>
              <w:t>资源利用效率</w:t>
            </w:r>
          </w:p>
        </w:tc>
        <w:tc>
          <w:tcPr>
            <w:tcW w:w="5436" w:type="dxa"/>
            <w:gridSpan w:val="2"/>
            <w:tcBorders>
              <w:tl2br w:val="nil"/>
              <w:tr2bl w:val="nil"/>
            </w:tcBorders>
            <w:vAlign w:val="center"/>
          </w:tcPr>
          <w:p w14:paraId="5973827B">
            <w:pPr>
              <w:pStyle w:val="60"/>
              <w:jc w:val="both"/>
              <w:rPr>
                <w:rFonts w:hint="eastAsia"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推行秸秆还田、增施有机肥、少耕免耕、粮豆轮作、化肥农药减量、农膜减量与回收利用等措施</w:t>
            </w:r>
            <w:r>
              <w:rPr>
                <w:rFonts w:hint="eastAsia" w:ascii="Times New Roman" w:hAnsi="Times New Roman" w:cs="Times New Roman"/>
                <w:color w:val="auto"/>
                <w:lang w:eastAsia="zh-CN"/>
              </w:rPr>
              <w:t>，</w:t>
            </w:r>
            <w:r>
              <w:rPr>
                <w:rFonts w:hint="eastAsia" w:ascii="Times New Roman" w:hAnsi="Times New Roman" w:cs="Times New Roman"/>
                <w:color w:val="auto"/>
              </w:rPr>
              <w:t>切实保护耕地土壤环境质量。</w:t>
            </w:r>
          </w:p>
          <w:p w14:paraId="06E2FB64">
            <w:pPr>
              <w:pStyle w:val="60"/>
              <w:jc w:val="both"/>
              <w:rPr>
                <w:rFonts w:ascii="Times New Roman" w:hAnsi="Times New Roman" w:cs="Times New Roman"/>
                <w:color w:val="auto"/>
              </w:rPr>
            </w:pPr>
            <w:r>
              <w:rPr>
                <w:rFonts w:hint="eastAsia" w:ascii="Times New Roman" w:hAnsi="Times New Roman" w:cs="Times New Roman"/>
                <w:color w:val="auto"/>
                <w:lang w:val="en-US" w:eastAsia="zh-CN"/>
              </w:rPr>
              <w:t>2.</w:t>
            </w:r>
            <w:r>
              <w:rPr>
                <w:rFonts w:hint="eastAsia" w:ascii="Times New Roman" w:hAnsi="Times New Roman" w:cs="Times New Roman"/>
                <w:color w:val="auto"/>
              </w:rPr>
              <w:t>推进规模化高效节水灌溉</w:t>
            </w:r>
            <w:r>
              <w:rPr>
                <w:rFonts w:hint="eastAsia" w:ascii="Times New Roman" w:hAnsi="Times New Roman" w:cs="Times New Roman"/>
                <w:color w:val="auto"/>
                <w:lang w:eastAsia="zh-CN"/>
              </w:rPr>
              <w:t>，</w:t>
            </w:r>
            <w:r>
              <w:rPr>
                <w:rFonts w:hint="eastAsia" w:ascii="Times New Roman" w:hAnsi="Times New Roman" w:cs="Times New Roman"/>
                <w:color w:val="auto"/>
              </w:rPr>
              <w:t>推广农作物节水抗旱技术。发展以喷滴灌和渠道防渗为中心的节水农业。</w:t>
            </w:r>
          </w:p>
        </w:tc>
        <w:tc>
          <w:tcPr>
            <w:tcW w:w="1812" w:type="dxa"/>
            <w:tcBorders>
              <w:tl2br w:val="nil"/>
              <w:tr2bl w:val="nil"/>
            </w:tcBorders>
            <w:vAlign w:val="center"/>
          </w:tcPr>
          <w:p w14:paraId="290348DB">
            <w:pPr>
              <w:pStyle w:val="60"/>
              <w:rPr>
                <w:rFonts w:hint="eastAsia" w:ascii="Times New Roman" w:hAnsi="Times New Roman" w:cs="Times New Roman" w:eastAsiaTheme="minorEastAsia"/>
                <w:color w:val="auto"/>
                <w:lang w:val="en-US" w:eastAsia="zh-CN"/>
              </w:rPr>
            </w:pPr>
            <w:r>
              <w:rPr>
                <w:rFonts w:ascii="Times New Roman" w:hAnsi="Times New Roman" w:cs="Times New Roman"/>
                <w:color w:val="auto"/>
              </w:rPr>
              <w:t>本项目不涉及</w:t>
            </w:r>
            <w:r>
              <w:rPr>
                <w:rFonts w:hint="eastAsia" w:ascii="Times New Roman" w:hAnsi="Times New Roman" w:cs="Times New Roman"/>
                <w:color w:val="auto"/>
                <w:lang w:val="en-US" w:eastAsia="zh-CN"/>
              </w:rPr>
              <w:t>耕种及</w:t>
            </w:r>
            <w:r>
              <w:rPr>
                <w:rFonts w:ascii="Times New Roman" w:hAnsi="Times New Roman" w:cs="Times New Roman"/>
                <w:color w:val="auto"/>
              </w:rPr>
              <w:t>节水灌溉内容</w:t>
            </w:r>
            <w:r>
              <w:rPr>
                <w:rFonts w:hint="eastAsia" w:ascii="Times New Roman" w:hAnsi="Times New Roman" w:cs="Times New Roman"/>
                <w:color w:val="auto"/>
                <w:lang w:eastAsia="zh-CN"/>
              </w:rPr>
              <w:t>。</w:t>
            </w:r>
          </w:p>
        </w:tc>
      </w:tr>
    </w:tbl>
    <w:p w14:paraId="78B6C096">
      <w:pPr>
        <w:pStyle w:val="33"/>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ascii="Times New Roman" w:hAnsi="Times New Roman" w:cs="Times New Roman"/>
          <w:color w:val="auto"/>
        </w:rPr>
      </w:pPr>
      <w:r>
        <w:rPr>
          <w:rFonts w:ascii="Times New Roman" w:hAnsi="Times New Roman" w:eastAsia="宋体" w:cs="Times New Roman"/>
          <w:color w:val="auto"/>
          <w:szCs w:val="24"/>
        </w:rPr>
        <w:t>综上所述，本项目的建设符合</w:t>
      </w:r>
      <w:r>
        <w:rPr>
          <w:rFonts w:hint="eastAsia" w:ascii="Times New Roman" w:hAnsi="Times New Roman" w:eastAsia="宋体" w:cs="宋体"/>
          <w:color w:val="auto"/>
          <w:kern w:val="0"/>
          <w:sz w:val="24"/>
          <w:szCs w:val="24"/>
          <w:lang w:val="en-US" w:eastAsia="zh-CN"/>
        </w:rPr>
        <w:t>《2023年生态环境分区管控成果动态更新工作方案</w:t>
      </w:r>
      <w:r>
        <w:rPr>
          <w:rFonts w:ascii="Times New Roman" w:hAnsi="Times New Roman" w:cs="Times New Roman"/>
          <w:color w:val="auto"/>
        </w:rPr>
        <w:t>》（</w:t>
      </w:r>
      <w:r>
        <w:rPr>
          <w:rFonts w:hint="eastAsia" w:ascii="Times New Roman" w:hAnsi="Times New Roman" w:cs="Times New Roman"/>
          <w:color w:val="auto"/>
          <w:lang w:val="en-US" w:eastAsia="zh-CN"/>
        </w:rPr>
        <w:t>环办环评函</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81</w:t>
      </w:r>
      <w:r>
        <w:rPr>
          <w:rFonts w:hint="default" w:ascii="Times New Roman" w:hAnsi="Times New Roman" w:eastAsia="宋体" w:cs="Times New Roman"/>
          <w:color w:val="auto"/>
          <w:sz w:val="24"/>
          <w:szCs w:val="24"/>
          <w:highlight w:val="none"/>
        </w:rPr>
        <w:t>号</w:t>
      </w:r>
      <w:r>
        <w:rPr>
          <w:rFonts w:ascii="Times New Roman" w:hAnsi="Times New Roman" w:cs="Times New Roman"/>
          <w:color w:val="auto"/>
        </w:rPr>
        <w:t>）</w:t>
      </w:r>
      <w:r>
        <w:rPr>
          <w:rFonts w:ascii="Times New Roman" w:hAnsi="Times New Roman" w:eastAsia="宋体" w:cs="Times New Roman"/>
          <w:color w:val="auto"/>
          <w:szCs w:val="24"/>
        </w:rPr>
        <w:t>管理要求。</w:t>
      </w:r>
      <w:r>
        <w:rPr>
          <w:rFonts w:hint="eastAsia" w:ascii="Times New Roman" w:hAnsi="Times New Roman" w:eastAsia="宋体" w:cs="Times New Roman"/>
          <w:color w:val="auto"/>
          <w:szCs w:val="24"/>
          <w:lang w:val="en-US" w:eastAsia="zh-CN"/>
        </w:rPr>
        <w:t>第四师</w:t>
      </w:r>
      <w:r>
        <w:rPr>
          <w:rFonts w:ascii="Times New Roman" w:hAnsi="Times New Roman" w:eastAsia="宋体" w:cs="Times New Roman"/>
          <w:color w:val="auto"/>
          <w:szCs w:val="24"/>
        </w:rPr>
        <w:t>环境管控单元图详见图1.3-1。</w:t>
      </w:r>
    </w:p>
    <w:p w14:paraId="7425FF96">
      <w:pPr>
        <w:pStyle w:val="33"/>
        <w:ind w:firstLine="240"/>
        <w:rPr>
          <w:rFonts w:ascii="Times New Roman" w:hAnsi="Times New Roman" w:cs="Times New Roman"/>
          <w:color w:val="auto"/>
        </w:rPr>
        <w:sectPr>
          <w:pgSz w:w="11906" w:h="16838"/>
          <w:pgMar w:top="1588" w:right="1474" w:bottom="1474" w:left="1588" w:header="1077" w:footer="850" w:gutter="0"/>
          <w:pgBorders>
            <w:top w:val="none" w:sz="0" w:space="0"/>
            <w:left w:val="none" w:sz="0" w:space="0"/>
            <w:bottom w:val="none" w:sz="0" w:space="0"/>
            <w:right w:val="none" w:sz="0" w:space="0"/>
          </w:pgBorders>
          <w:pgNumType w:start="1"/>
          <w:cols w:space="425" w:num="1"/>
          <w:docGrid w:type="lines" w:linePitch="326" w:charSpace="0"/>
        </w:sectPr>
      </w:pPr>
    </w:p>
    <w:p w14:paraId="6E40BE5B">
      <w:pPr>
        <w:pStyle w:val="33"/>
        <w:ind w:firstLine="0" w:firstLineChars="0"/>
        <w:jc w:val="center"/>
        <w:rPr>
          <w:rFonts w:ascii="Times New Roman" w:hAnsi="Times New Roman" w:eastAsia="仿宋" w:cs="Times New Roman"/>
          <w:color w:val="auto"/>
          <w:sz w:val="28"/>
          <w:szCs w:val="28"/>
        </w:rPr>
      </w:pPr>
      <w:r>
        <w:rPr>
          <w:sz w:val="24"/>
        </w:rPr>
        <mc:AlternateContent>
          <mc:Choice Requires="wps">
            <w:drawing>
              <wp:anchor distT="0" distB="0" distL="114300" distR="114300" simplePos="0" relativeHeight="251666432" behindDoc="0" locked="0" layoutInCell="1" allowOverlap="1">
                <wp:simplePos x="0" y="0"/>
                <wp:positionH relativeFrom="column">
                  <wp:posOffset>2125980</wp:posOffset>
                </wp:positionH>
                <wp:positionV relativeFrom="paragraph">
                  <wp:posOffset>1854200</wp:posOffset>
                </wp:positionV>
                <wp:extent cx="981710" cy="324485"/>
                <wp:effectExtent l="574040" t="12700" r="25400" b="196215"/>
                <wp:wrapNone/>
                <wp:docPr id="32" name="矩形标注 32"/>
                <wp:cNvGraphicFramePr/>
                <a:graphic xmlns:a="http://schemas.openxmlformats.org/drawingml/2006/main">
                  <a:graphicData uri="http://schemas.microsoft.com/office/word/2010/wordprocessingShape">
                    <wps:wsp>
                      <wps:cNvSpPr/>
                      <wps:spPr>
                        <a:xfrm>
                          <a:off x="2573020" y="3203575"/>
                          <a:ext cx="981710" cy="324485"/>
                        </a:xfrm>
                        <a:prstGeom prst="wedgeRectCallout">
                          <a:avLst>
                            <a:gd name="adj1" fmla="val -107179"/>
                            <a:gd name="adj2" fmla="val 10362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854586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7.4pt;margin-top:146pt;height:25.55pt;width:77.3pt;z-index:251666432;v-text-anchor:middle;mso-width-relative:page;mso-height-relative:page;" filled="f" stroked="t" coordsize="21600,21600" o:gfxdata="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8S6gUdsAAAALAQAADwAAAAAAAAABACAAAAAiAAAAZHJzL2Rv&#10;d25yZXYueG1sUEsBAhQAFAAAAAgAh07iQJ6qUxepAgAAMgUAAA4AAAAAAAAAAQAgAAAAKgEAAGRy&#10;cy9lMm9Eb2MueG1sUEsFBgAAAAAGAAYAWQEAAEUGAAAAAA==&#10;" adj="-12351,33182">
                <v:fill on="f" focussize="0,0"/>
                <v:stroke weight="2pt" color="#FF0000 [2404]" joinstyle="round"/>
                <v:imagedata o:title=""/>
                <o:lock v:ext="edit" aspectratio="f"/>
                <v:textbox>
                  <w:txbxContent>
                    <w:p w14:paraId="0854586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v:textbox>
              </v:shape>
            </w:pict>
          </mc:Fallback>
        </mc:AlternateContent>
      </w:r>
      <w:r>
        <w:rPr>
          <w:rFonts w:ascii="Times New Roman" w:hAnsi="Times New Roman"/>
        </w:rPr>
        <w:drawing>
          <wp:inline distT="0" distB="0" distL="114300" distR="114300">
            <wp:extent cx="7150100" cy="5086350"/>
            <wp:effectExtent l="0" t="0" r="1270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7"/>
                    <a:stretch>
                      <a:fillRect/>
                    </a:stretch>
                  </pic:blipFill>
                  <pic:spPr>
                    <a:xfrm>
                      <a:off x="0" y="0"/>
                      <a:ext cx="7150100" cy="5086350"/>
                    </a:xfrm>
                    <a:prstGeom prst="rect">
                      <a:avLst/>
                    </a:prstGeom>
                    <a:noFill/>
                    <a:ln>
                      <a:noFill/>
                    </a:ln>
                  </pic:spPr>
                </pic:pic>
              </a:graphicData>
            </a:graphic>
          </wp:inline>
        </w:drawing>
      </w:r>
    </w:p>
    <w:p w14:paraId="55F3D16C">
      <w:pPr>
        <w:pStyle w:val="3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ascii="Times New Roman" w:hAnsi="Times New Roman" w:eastAsia="仿宋" w:cs="Times New Roman"/>
          <w:color w:val="auto"/>
          <w:sz w:val="28"/>
          <w:szCs w:val="28"/>
        </w:rPr>
        <w:sectPr>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r>
        <w:rPr>
          <w:rFonts w:ascii="Times New Roman" w:hAnsi="Times New Roman" w:eastAsia="宋体" w:cs="Times New Roman"/>
          <w:b/>
          <w:bCs/>
          <w:color w:val="auto"/>
          <w:szCs w:val="24"/>
        </w:rPr>
        <w:t xml:space="preserve">图1.3-1    </w:t>
      </w:r>
      <w:r>
        <w:rPr>
          <w:rFonts w:hint="eastAsia" w:ascii="Times New Roman" w:hAnsi="Times New Roman" w:eastAsia="宋体" w:cs="Times New Roman"/>
          <w:b/>
          <w:bCs/>
          <w:color w:val="auto"/>
          <w:szCs w:val="24"/>
          <w:lang w:val="en-US" w:eastAsia="zh-CN"/>
        </w:rPr>
        <w:t>第四师</w:t>
      </w:r>
      <w:r>
        <w:rPr>
          <w:rFonts w:ascii="Times New Roman" w:hAnsi="Times New Roman" w:eastAsia="宋体" w:cs="Times New Roman"/>
          <w:b/>
          <w:bCs/>
          <w:color w:val="auto"/>
          <w:szCs w:val="24"/>
        </w:rPr>
        <w:t>环境管控单元图</w:t>
      </w:r>
    </w:p>
    <w:p w14:paraId="6B5C68DB">
      <w:pPr>
        <w:pStyle w:val="5"/>
        <w:ind w:left="120"/>
        <w:rPr>
          <w:rFonts w:ascii="Times New Roman" w:hAnsi="Times New Roman" w:cs="Times New Roman"/>
          <w:color w:val="auto"/>
        </w:rPr>
      </w:pPr>
      <w:bookmarkStart w:id="23" w:name="_Toc11945"/>
      <w:r>
        <w:rPr>
          <w:rFonts w:ascii="Times New Roman" w:hAnsi="Times New Roman" w:cs="Times New Roman"/>
          <w:color w:val="auto"/>
        </w:rPr>
        <w:t>选址合理性分析</w:t>
      </w:r>
      <w:bookmarkEnd w:id="23"/>
    </w:p>
    <w:p w14:paraId="06729297">
      <w:pPr>
        <w:ind w:firstLine="480"/>
        <w:rPr>
          <w:rFonts w:ascii="Times New Roman" w:hAnsi="Times New Roman" w:cs="Times New Roman"/>
          <w:color w:val="auto"/>
        </w:rPr>
      </w:pPr>
      <w:r>
        <w:rPr>
          <w:rFonts w:ascii="Times New Roman" w:hAnsi="Times New Roman" w:cs="Times New Roman"/>
          <w:color w:val="auto"/>
        </w:rPr>
        <w:t>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2.5</w:t>
      </w:r>
      <w:r>
        <w:rPr>
          <w:rFonts w:ascii="Times New Roman" w:hAnsi="Times New Roman" w:cs="Times New Roman"/>
          <w:color w:val="auto"/>
        </w:rPr>
        <w:t>km范围内无城镇居民区、文化教育科学研究区等人口集中区域，不涉及风景名胜区、自然保护区的核心区和缓冲区。中心地理坐标为东经：</w:t>
      </w:r>
      <w:r>
        <w:rPr>
          <w:rFonts w:hint="eastAsia" w:ascii="Times New Roman" w:hAnsi="Times New Roman" w:cs="Times New Roman"/>
          <w:color w:val="auto"/>
          <w:lang w:val="en-US" w:eastAsia="zh-CN"/>
        </w:rPr>
        <w:t>80</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22.165</w:t>
      </w:r>
      <w:r>
        <w:rPr>
          <w:rFonts w:ascii="Times New Roman" w:hAnsi="Times New Roman" w:cs="Times New Roman"/>
          <w:color w:val="auto"/>
        </w:rPr>
        <w:t>″，北纬：</w:t>
      </w:r>
      <w:r>
        <w:rPr>
          <w:rFonts w:hint="eastAsia" w:ascii="Times New Roman" w:hAnsi="Times New Roman" w:cs="Times New Roman"/>
          <w:color w:val="auto"/>
          <w:lang w:val="en-US" w:eastAsia="zh-CN"/>
        </w:rPr>
        <w:t>4</w:t>
      </w:r>
      <w:r>
        <w:rPr>
          <w:rFonts w:hint="eastAsia" w:cs="Times New Roman"/>
          <w:color w:val="auto"/>
          <w:lang w:val="en-US" w:eastAsia="zh-CN"/>
        </w:rPr>
        <w:t>3</w:t>
      </w:r>
      <w:r>
        <w:rPr>
          <w:rFonts w:ascii="Times New Roman" w:hAnsi="Times New Roman" w:cs="Times New Roman"/>
          <w:color w:val="auto"/>
        </w:rPr>
        <w:t>°</w:t>
      </w:r>
      <w:r>
        <w:rPr>
          <w:rFonts w:hint="eastAsia" w:cs="Times New Roman"/>
          <w:color w:val="auto"/>
          <w:lang w:val="en-US" w:eastAsia="zh-CN"/>
        </w:rPr>
        <w:t>55</w:t>
      </w:r>
      <w:r>
        <w:rPr>
          <w:rFonts w:ascii="Times New Roman" w:hAnsi="Times New Roman" w:cs="Times New Roman"/>
          <w:color w:val="auto"/>
        </w:rPr>
        <w:t>′</w:t>
      </w:r>
      <w:r>
        <w:rPr>
          <w:rFonts w:hint="eastAsia" w:cs="Times New Roman"/>
          <w:color w:val="auto"/>
          <w:lang w:val="en-US" w:eastAsia="zh-CN"/>
        </w:rPr>
        <w:t>08</w:t>
      </w:r>
      <w:r>
        <w:rPr>
          <w:rFonts w:hint="eastAsia" w:ascii="Times New Roman" w:hAnsi="Times New Roman" w:cs="Times New Roman"/>
          <w:color w:val="auto"/>
          <w:lang w:val="en-US" w:eastAsia="zh-CN"/>
        </w:rPr>
        <w:t>.</w:t>
      </w:r>
      <w:r>
        <w:rPr>
          <w:rFonts w:hint="eastAsia" w:cs="Times New Roman"/>
          <w:color w:val="auto"/>
          <w:lang w:val="en-US" w:eastAsia="zh-CN"/>
        </w:rPr>
        <w:t>278</w:t>
      </w:r>
      <w:r>
        <w:rPr>
          <w:rFonts w:ascii="Times New Roman" w:hAnsi="Times New Roman" w:cs="Times New Roman"/>
          <w:color w:val="auto"/>
        </w:rPr>
        <w:t>″。</w:t>
      </w:r>
      <w:r>
        <w:rPr>
          <w:rFonts w:hint="eastAsia" w:ascii="Times New Roman" w:hAnsi="Times New Roman" w:cs="Times New Roman"/>
          <w:color w:val="auto"/>
          <w:lang w:val="en-US" w:eastAsia="zh-CN"/>
        </w:rPr>
        <w:t>本项目</w:t>
      </w:r>
      <w:r>
        <w:rPr>
          <w:rFonts w:ascii="Times New Roman" w:hAnsi="Times New Roman" w:cs="Times New Roman"/>
          <w:color w:val="auto"/>
        </w:rPr>
        <w:t>未在</w:t>
      </w:r>
      <w:r>
        <w:rPr>
          <w:rFonts w:hint="eastAsia" w:ascii="Times New Roman" w:hAnsi="Times New Roman" w:cs="Times New Roman"/>
          <w:color w:val="auto"/>
          <w:lang w:val="en-US" w:eastAsia="zh-CN"/>
        </w:rPr>
        <w:t>第四师</w:t>
      </w:r>
      <w:r>
        <w:rPr>
          <w:rFonts w:ascii="Times New Roman" w:hAnsi="Times New Roman" w:cs="Times New Roman"/>
          <w:color w:val="auto"/>
        </w:rPr>
        <w:t>禁养区内；项目评价范围内无村庄、居民区等敏感点分布。本项目养殖场</w:t>
      </w:r>
      <w:r>
        <w:rPr>
          <w:rFonts w:hint="eastAsia" w:ascii="Times New Roman" w:hAnsi="Times New Roman" w:cs="Times New Roman"/>
          <w:color w:val="auto"/>
          <w:lang w:val="en-US" w:eastAsia="zh-CN"/>
        </w:rPr>
        <w:t>总</w:t>
      </w:r>
      <w:r>
        <w:rPr>
          <w:rFonts w:ascii="Times New Roman" w:hAnsi="Times New Roman" w:cs="Times New Roman"/>
          <w:color w:val="auto"/>
        </w:rPr>
        <w:t>占地</w:t>
      </w:r>
      <w:r>
        <w:rPr>
          <w:rFonts w:hint="eastAsia" w:ascii="Times New Roman" w:hAnsi="Times New Roman" w:cs="Times New Roman"/>
          <w:color w:val="auto"/>
          <w:lang w:val="en-US" w:eastAsia="zh-CN"/>
        </w:rPr>
        <w:t>面积</w:t>
      </w:r>
      <w:r>
        <w:rPr>
          <w:rFonts w:hint="eastAsia" w:cs="Times New Roman"/>
          <w:color w:val="auto"/>
          <w:lang w:val="en-US" w:eastAsia="zh-CN"/>
        </w:rPr>
        <w:t>13.38</w:t>
      </w:r>
      <w:r>
        <w:rPr>
          <w:rFonts w:hint="eastAsia" w:ascii="Times New Roman" w:hAnsi="Times New Roman" w:cs="Times New Roman"/>
          <w:color w:val="auto"/>
          <w:lang w:val="en-US" w:eastAsia="zh-CN"/>
        </w:rPr>
        <w:t>hm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vertAlign w:val="baseline"/>
          <w:lang w:val="en-US" w:eastAsia="zh-CN"/>
        </w:rPr>
        <w:t>（</w:t>
      </w:r>
      <w:r>
        <w:rPr>
          <w:rFonts w:hint="eastAsia" w:cs="Times New Roman"/>
          <w:color w:val="auto"/>
          <w:vertAlign w:val="baseline"/>
          <w:lang w:val="en-US" w:eastAsia="zh-CN"/>
        </w:rPr>
        <w:t>200.688亩</w:t>
      </w:r>
      <w:r>
        <w:rPr>
          <w:rFonts w:hint="eastAsia" w:ascii="Times New Roman" w:hAnsi="Times New Roman" w:cs="Times New Roman"/>
          <w:color w:val="auto"/>
          <w:vertAlign w:val="baseline"/>
          <w:lang w:val="en-US" w:eastAsia="zh-CN"/>
        </w:rPr>
        <w:t>），</w:t>
      </w:r>
      <w:r>
        <w:rPr>
          <w:rFonts w:ascii="Times New Roman" w:hAnsi="Times New Roman" w:cs="Times New Roman"/>
          <w:color w:val="auto"/>
        </w:rPr>
        <w:t>土地利用类型为设施农用地</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现状为未利用地</w:t>
      </w:r>
      <w:r>
        <w:rPr>
          <w:rFonts w:ascii="Times New Roman" w:hAnsi="Times New Roman" w:cs="Times New Roman"/>
          <w:color w:val="auto"/>
        </w:rPr>
        <w:t>。</w:t>
      </w:r>
    </w:p>
    <w:p w14:paraId="7217ED5E">
      <w:pPr>
        <w:ind w:firstLine="0" w:firstLineChars="0"/>
        <w:rPr>
          <w:rFonts w:ascii="Times New Roman" w:hAnsi="Times New Roman" w:cs="Times New Roman"/>
          <w:b/>
          <w:bCs/>
          <w:color w:val="auto"/>
        </w:rPr>
      </w:pPr>
      <w:r>
        <w:rPr>
          <w:rFonts w:ascii="Times New Roman" w:hAnsi="Times New Roman" w:cs="Times New Roman"/>
          <w:b/>
          <w:bCs/>
          <w:color w:val="auto"/>
        </w:rPr>
        <w:t>1.3.6.1与《畜禽养殖业污染防治技术规范》（HJ/T81-2001）中选址要求合理性分析</w:t>
      </w:r>
    </w:p>
    <w:p w14:paraId="4A268AE0">
      <w:pPr>
        <w:ind w:firstLine="480"/>
        <w:rPr>
          <w:rFonts w:ascii="Times New Roman" w:hAnsi="Times New Roman" w:cs="Times New Roman"/>
          <w:color w:val="auto"/>
        </w:rPr>
      </w:pPr>
      <w:r>
        <w:rPr>
          <w:rFonts w:ascii="Times New Roman" w:hAnsi="Times New Roman" w:cs="Times New Roman"/>
          <w:color w:val="auto"/>
        </w:rPr>
        <w:t>具体选址要求详见表1.3-3。</w:t>
      </w:r>
    </w:p>
    <w:p w14:paraId="5921F4E0">
      <w:pPr>
        <w:pStyle w:val="13"/>
        <w:spacing w:line="306" w:lineRule="exact"/>
        <w:ind w:firstLine="0" w:firstLineChars="0"/>
        <w:jc w:val="center"/>
        <w:rPr>
          <w:rFonts w:ascii="Times New Roman" w:hAnsi="Times New Roman" w:cs="Times New Roman"/>
          <w:b/>
          <w:bCs/>
          <w:color w:val="auto"/>
        </w:rPr>
      </w:pPr>
      <w:r>
        <w:rPr>
          <w:rFonts w:ascii="Times New Roman" w:hAnsi="Times New Roman" w:cs="Times New Roman"/>
          <w:b/>
          <w:bCs/>
          <w:color w:val="auto"/>
        </w:rPr>
        <w:t>表</w:t>
      </w:r>
      <w:r>
        <w:rPr>
          <w:rFonts w:ascii="Times New Roman" w:hAnsi="Times New Roman" w:cs="Times New Roman"/>
          <w:b/>
          <w:bCs/>
          <w:color w:val="auto"/>
          <w:spacing w:val="-62"/>
        </w:rPr>
        <w:t xml:space="preserve"> </w:t>
      </w:r>
      <w:r>
        <w:rPr>
          <w:rFonts w:ascii="Times New Roman" w:hAnsi="Times New Roman" w:eastAsia="宋体" w:cs="Times New Roman"/>
          <w:b/>
          <w:bCs/>
          <w:color w:val="auto"/>
        </w:rPr>
        <w:t>1.3-3</w:t>
      </w:r>
      <w:r>
        <w:rPr>
          <w:rFonts w:ascii="Times New Roman" w:hAnsi="Times New Roman" w:eastAsia="Times New Roman" w:cs="Times New Roman"/>
          <w:b/>
          <w:bCs/>
          <w:color w:val="auto"/>
        </w:rPr>
        <w:tab/>
      </w:r>
      <w:r>
        <w:rPr>
          <w:rFonts w:hint="eastAsia" w:ascii="Times New Roman" w:hAnsi="Times New Roman" w:eastAsia="宋体" w:cs="Times New Roman"/>
          <w:b/>
          <w:bCs/>
          <w:color w:val="auto"/>
          <w:lang w:val="en-US" w:eastAsia="zh-CN"/>
        </w:rPr>
        <w:t xml:space="preserve">       </w:t>
      </w:r>
      <w:r>
        <w:rPr>
          <w:rFonts w:ascii="Times New Roman" w:hAnsi="Times New Roman" w:cs="Times New Roman"/>
          <w:b/>
          <w:bCs/>
          <w:color w:val="auto"/>
        </w:rPr>
        <w:t>畜禽养殖选址要求</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060"/>
      </w:tblGrid>
      <w:tr w14:paraId="6CA3A72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 w:hRule="atLeast"/>
          <w:jc w:val="center"/>
        </w:trPr>
        <w:tc>
          <w:tcPr>
            <w:tcW w:w="9060" w:type="dxa"/>
            <w:tcBorders>
              <w:tl2br w:val="nil"/>
              <w:tr2bl w:val="nil"/>
            </w:tcBorders>
            <w:vAlign w:val="center"/>
          </w:tcPr>
          <w:p w14:paraId="304EF64E">
            <w:pPr>
              <w:pStyle w:val="60"/>
              <w:jc w:val="both"/>
              <w:rPr>
                <w:rFonts w:ascii="Times New Roman" w:hAnsi="Times New Roman" w:cs="Times New Roman"/>
                <w:color w:val="auto"/>
              </w:rPr>
            </w:pPr>
            <w:r>
              <w:rPr>
                <w:rFonts w:ascii="Times New Roman" w:hAnsi="Times New Roman" w:cs="Times New Roman"/>
                <w:color w:val="auto"/>
              </w:rPr>
              <w:t>《畜禽养殖业污染防治技术规范》（HJ/T81-2001）</w:t>
            </w:r>
          </w:p>
        </w:tc>
      </w:tr>
      <w:tr w14:paraId="4E7E5A4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 w:hRule="atLeast"/>
          <w:jc w:val="center"/>
        </w:trPr>
        <w:tc>
          <w:tcPr>
            <w:tcW w:w="9060" w:type="dxa"/>
            <w:tcBorders>
              <w:tl2br w:val="nil"/>
              <w:tr2bl w:val="nil"/>
            </w:tcBorders>
            <w:vAlign w:val="center"/>
          </w:tcPr>
          <w:p w14:paraId="15EACAD9">
            <w:pPr>
              <w:pStyle w:val="60"/>
              <w:jc w:val="both"/>
              <w:rPr>
                <w:rFonts w:ascii="Times New Roman" w:hAnsi="Times New Roman" w:cs="Times New Roman"/>
                <w:color w:val="auto"/>
              </w:rPr>
            </w:pPr>
            <w:r>
              <w:rPr>
                <w:rFonts w:ascii="Times New Roman" w:hAnsi="Times New Roman" w:cs="Times New Roman"/>
                <w:color w:val="auto"/>
              </w:rPr>
              <w:t>1.禁止在下列区域内建设畜禽养殖场</w:t>
            </w:r>
          </w:p>
        </w:tc>
      </w:tr>
      <w:tr w14:paraId="300FAD1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 w:hRule="atLeast"/>
          <w:jc w:val="center"/>
        </w:trPr>
        <w:tc>
          <w:tcPr>
            <w:tcW w:w="9060" w:type="dxa"/>
            <w:tcBorders>
              <w:tl2br w:val="nil"/>
              <w:tr2bl w:val="nil"/>
            </w:tcBorders>
            <w:vAlign w:val="center"/>
          </w:tcPr>
          <w:p w14:paraId="012647F2">
            <w:pPr>
              <w:pStyle w:val="60"/>
              <w:jc w:val="both"/>
              <w:rPr>
                <w:rFonts w:ascii="Times New Roman" w:hAnsi="Times New Roman" w:cs="Times New Roman"/>
                <w:color w:val="auto"/>
              </w:rPr>
            </w:pPr>
            <w:r>
              <w:rPr>
                <w:rFonts w:ascii="Times New Roman" w:hAnsi="Times New Roman" w:cs="Times New Roman"/>
                <w:color w:val="auto"/>
              </w:rPr>
              <w:t>1.1.生活饮用水源保护区、风景名胜区、自然保护区的核心区和缓冲区。</w:t>
            </w:r>
          </w:p>
        </w:tc>
      </w:tr>
      <w:tr w14:paraId="12C9341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 w:hRule="atLeast"/>
          <w:jc w:val="center"/>
        </w:trPr>
        <w:tc>
          <w:tcPr>
            <w:tcW w:w="9060" w:type="dxa"/>
            <w:tcBorders>
              <w:tl2br w:val="nil"/>
              <w:tr2bl w:val="nil"/>
            </w:tcBorders>
            <w:vAlign w:val="center"/>
          </w:tcPr>
          <w:p w14:paraId="27D069A4">
            <w:pPr>
              <w:pStyle w:val="60"/>
              <w:jc w:val="both"/>
              <w:rPr>
                <w:rFonts w:ascii="Times New Roman" w:hAnsi="Times New Roman" w:cs="Times New Roman"/>
                <w:color w:val="auto"/>
              </w:rPr>
            </w:pPr>
            <w:r>
              <w:rPr>
                <w:rFonts w:ascii="Times New Roman" w:hAnsi="Times New Roman" w:cs="Times New Roman"/>
                <w:color w:val="auto"/>
              </w:rPr>
              <w:t>1.2.城市和城镇居民区，包括文教科研</w:t>
            </w:r>
            <w:r>
              <w:rPr>
                <w:rFonts w:hint="eastAsia" w:ascii="Times New Roman" w:hAnsi="Times New Roman" w:cs="Times New Roman"/>
                <w:color w:val="auto"/>
                <w:lang w:eastAsia="zh-CN"/>
              </w:rPr>
              <w:t>区</w:t>
            </w:r>
            <w:r>
              <w:rPr>
                <w:rFonts w:ascii="Times New Roman" w:hAnsi="Times New Roman" w:cs="Times New Roman"/>
                <w:color w:val="auto"/>
              </w:rPr>
              <w:t>、医疗区、商业区、游览区、游览区等人口集中地区。</w:t>
            </w:r>
          </w:p>
        </w:tc>
      </w:tr>
      <w:tr w14:paraId="536DA6C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 w:hRule="atLeast"/>
          <w:jc w:val="center"/>
        </w:trPr>
        <w:tc>
          <w:tcPr>
            <w:tcW w:w="9060" w:type="dxa"/>
            <w:tcBorders>
              <w:tl2br w:val="nil"/>
              <w:tr2bl w:val="nil"/>
            </w:tcBorders>
            <w:vAlign w:val="center"/>
          </w:tcPr>
          <w:p w14:paraId="4F6B2224">
            <w:pPr>
              <w:pStyle w:val="60"/>
              <w:jc w:val="both"/>
              <w:rPr>
                <w:rFonts w:ascii="Times New Roman" w:hAnsi="Times New Roman" w:cs="Times New Roman"/>
                <w:color w:val="auto"/>
              </w:rPr>
            </w:pPr>
            <w:r>
              <w:rPr>
                <w:rFonts w:ascii="Times New Roman" w:hAnsi="Times New Roman" w:cs="Times New Roman"/>
                <w:color w:val="auto"/>
              </w:rPr>
              <w:t>1.3.县级人民政府依法划定的禁养区域</w:t>
            </w:r>
          </w:p>
        </w:tc>
      </w:tr>
      <w:tr w14:paraId="2759D0C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4" w:hRule="atLeast"/>
          <w:jc w:val="center"/>
        </w:trPr>
        <w:tc>
          <w:tcPr>
            <w:tcW w:w="9060" w:type="dxa"/>
            <w:tcBorders>
              <w:tl2br w:val="nil"/>
              <w:tr2bl w:val="nil"/>
            </w:tcBorders>
            <w:vAlign w:val="center"/>
          </w:tcPr>
          <w:p w14:paraId="1627B102">
            <w:pPr>
              <w:pStyle w:val="60"/>
              <w:jc w:val="both"/>
              <w:rPr>
                <w:rFonts w:ascii="Times New Roman" w:hAnsi="Times New Roman" w:cs="Times New Roman"/>
                <w:color w:val="auto"/>
              </w:rPr>
            </w:pPr>
            <w:r>
              <w:rPr>
                <w:rFonts w:ascii="Times New Roman" w:hAnsi="Times New Roman" w:cs="Times New Roman"/>
                <w:color w:val="auto"/>
              </w:rPr>
              <w:t>1.4、国家或地方</w:t>
            </w:r>
            <w:r>
              <w:rPr>
                <w:rFonts w:hint="eastAsia" w:ascii="Times New Roman" w:hAnsi="Times New Roman" w:cs="Times New Roman"/>
                <w:color w:val="auto"/>
                <w:lang w:eastAsia="zh-CN"/>
              </w:rPr>
              <w:t>法律法规</w:t>
            </w:r>
            <w:r>
              <w:rPr>
                <w:rFonts w:ascii="Times New Roman" w:hAnsi="Times New Roman" w:cs="Times New Roman"/>
                <w:color w:val="auto"/>
              </w:rPr>
              <w:t>规定需特殊保护的其他区域</w:t>
            </w:r>
          </w:p>
        </w:tc>
      </w:tr>
      <w:tr w14:paraId="7A2038C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jc w:val="center"/>
        </w:trPr>
        <w:tc>
          <w:tcPr>
            <w:tcW w:w="9060" w:type="dxa"/>
            <w:tcBorders>
              <w:tl2br w:val="nil"/>
              <w:tr2bl w:val="nil"/>
            </w:tcBorders>
            <w:vAlign w:val="center"/>
          </w:tcPr>
          <w:p w14:paraId="6DB305EB">
            <w:pPr>
              <w:pStyle w:val="60"/>
              <w:jc w:val="both"/>
              <w:rPr>
                <w:rFonts w:ascii="Times New Roman" w:hAnsi="Times New Roman" w:cs="Times New Roman"/>
                <w:color w:val="auto"/>
              </w:rPr>
            </w:pPr>
            <w:r>
              <w:rPr>
                <w:rFonts w:ascii="Times New Roman" w:hAnsi="Times New Roman" w:cs="Times New Roman"/>
                <w:color w:val="auto"/>
              </w:rPr>
              <w:t>2.新建、改建、扩建的畜禽养殖选址应避开1规定的禁建区域，在禁建区域附</w:t>
            </w:r>
            <w:r>
              <w:rPr>
                <w:rFonts w:ascii="Times New Roman" w:hAnsi="Times New Roman" w:cs="Times New Roman"/>
                <w:color w:val="auto"/>
                <w:lang w:val="en-US"/>
              </w:rPr>
              <w:t>近</w:t>
            </w:r>
            <w:r>
              <w:rPr>
                <w:rFonts w:ascii="Times New Roman" w:hAnsi="Times New Roman" w:cs="Times New Roman"/>
                <w:color w:val="auto"/>
              </w:rPr>
              <w:t>建设的，应设在1规定的禁建区域常年主导风向的下风向或侧风向处，场界与禁建区域边界的最小距离不得小于500m。</w:t>
            </w:r>
          </w:p>
        </w:tc>
      </w:tr>
    </w:tbl>
    <w:p w14:paraId="04936346">
      <w:pPr>
        <w:ind w:firstLine="480"/>
        <w:rPr>
          <w:rFonts w:ascii="Times New Roman" w:hAnsi="Times New Roman" w:cs="Times New Roman"/>
          <w:color w:val="auto"/>
        </w:rPr>
      </w:pPr>
      <w:r>
        <w:rPr>
          <w:rFonts w:ascii="Times New Roman" w:hAnsi="Times New Roman" w:cs="Times New Roman"/>
          <w:color w:val="auto"/>
        </w:rPr>
        <w:t>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2.5</w:t>
      </w:r>
      <w:r>
        <w:rPr>
          <w:rFonts w:ascii="Times New Roman" w:hAnsi="Times New Roman" w:cs="Times New Roman"/>
          <w:color w:val="auto"/>
        </w:rPr>
        <w:t>km范围内无城镇居民区、文化教育科学研究区等人口集中区域，不涉及风景名胜区、自然保护区的核心区和缓冲区。因此项目选址符合《畜禽养殖业污染防治技术规范》（HJ/T81-2001）选址要求。</w:t>
      </w:r>
    </w:p>
    <w:p w14:paraId="3EFECAB5">
      <w:pPr>
        <w:ind w:firstLine="0" w:firstLineChars="0"/>
        <w:rPr>
          <w:rFonts w:ascii="Times New Roman" w:hAnsi="Times New Roman" w:cs="Times New Roman"/>
          <w:b/>
          <w:bCs/>
          <w:color w:val="auto"/>
        </w:rPr>
      </w:pPr>
      <w:r>
        <w:rPr>
          <w:rFonts w:ascii="Times New Roman" w:hAnsi="Times New Roman" w:cs="Times New Roman"/>
          <w:b/>
          <w:bCs/>
          <w:color w:val="auto"/>
        </w:rPr>
        <w:t>1.3.6.2《关于印发第</w:t>
      </w:r>
      <w:r>
        <w:rPr>
          <w:rFonts w:hint="eastAsia" w:ascii="Times New Roman" w:hAnsi="Times New Roman" w:cs="Times New Roman"/>
          <w:b/>
          <w:bCs/>
          <w:color w:val="auto"/>
        </w:rPr>
        <w:t>四</w:t>
      </w:r>
      <w:r>
        <w:rPr>
          <w:rFonts w:ascii="Times New Roman" w:hAnsi="Times New Roman" w:cs="Times New Roman"/>
          <w:b/>
          <w:bCs/>
          <w:color w:val="auto"/>
        </w:rPr>
        <w:t>师</w:t>
      </w:r>
      <w:r>
        <w:rPr>
          <w:rFonts w:hint="eastAsia" w:ascii="Times New Roman" w:hAnsi="Times New Roman" w:cs="Times New Roman"/>
          <w:b/>
          <w:bCs/>
          <w:color w:val="auto"/>
        </w:rPr>
        <w:t>可克达拉</w:t>
      </w:r>
      <w:r>
        <w:rPr>
          <w:rFonts w:ascii="Times New Roman" w:hAnsi="Times New Roman" w:cs="Times New Roman"/>
          <w:b/>
          <w:bCs/>
          <w:color w:val="auto"/>
        </w:rPr>
        <w:t>市禁养区划定工作实施方案的通知》（</w:t>
      </w:r>
      <w:r>
        <w:rPr>
          <w:rFonts w:hint="eastAsia" w:ascii="Times New Roman" w:hAnsi="Times New Roman" w:cs="Times New Roman"/>
          <w:b/>
          <w:bCs/>
          <w:color w:val="auto"/>
          <w:lang w:val="en-US" w:eastAsia="zh-CN"/>
        </w:rPr>
        <w:t>师市办发〔2019〕76号</w:t>
      </w:r>
      <w:r>
        <w:rPr>
          <w:rFonts w:ascii="Times New Roman" w:hAnsi="Times New Roman" w:cs="Times New Roman"/>
          <w:b/>
          <w:bCs/>
          <w:color w:val="auto"/>
        </w:rPr>
        <w:t>）符合性分析</w:t>
      </w:r>
    </w:p>
    <w:p w14:paraId="6ADDD361">
      <w:pPr>
        <w:ind w:firstLine="480"/>
        <w:rPr>
          <w:rFonts w:ascii="Times New Roman" w:hAnsi="Times New Roman" w:cs="Times New Roman"/>
          <w:color w:val="auto"/>
        </w:rPr>
      </w:pPr>
      <w:r>
        <w:rPr>
          <w:rFonts w:ascii="Times New Roman" w:hAnsi="Times New Roman" w:cs="Times New Roman"/>
          <w:color w:val="auto"/>
        </w:rPr>
        <w:t>根据《</w:t>
      </w:r>
      <w:r>
        <w:rPr>
          <w:rFonts w:hint="eastAsia" w:ascii="Times New Roman" w:hAnsi="Times New Roman" w:cs="Times New Roman"/>
          <w:color w:val="auto"/>
          <w:lang w:eastAsia="zh-CN"/>
        </w:rPr>
        <w:t>关于印发第四师可克达拉市禁养区划定工作实施方案的通知</w:t>
      </w:r>
      <w:r>
        <w:rPr>
          <w:rFonts w:ascii="Times New Roman" w:hAnsi="Times New Roman" w:cs="Times New Roman"/>
          <w:color w:val="auto"/>
        </w:rPr>
        <w:t>》（</w:t>
      </w:r>
      <w:r>
        <w:rPr>
          <w:rFonts w:hint="eastAsia" w:ascii="Times New Roman" w:hAnsi="Times New Roman" w:cs="Times New Roman"/>
          <w:color w:val="auto"/>
          <w:lang w:val="en-US" w:eastAsia="zh-CN"/>
        </w:rPr>
        <w:t>师市办发〔2019〕76号</w:t>
      </w:r>
      <w:r>
        <w:rPr>
          <w:rFonts w:ascii="Times New Roman" w:hAnsi="Times New Roman" w:cs="Times New Roman"/>
          <w:color w:val="auto"/>
        </w:rPr>
        <w:t>）规定如下：</w:t>
      </w:r>
    </w:p>
    <w:p w14:paraId="2A0C1841">
      <w:pPr>
        <w:ind w:firstLine="480"/>
        <w:rPr>
          <w:rFonts w:ascii="Times New Roman" w:hAnsi="Times New Roman" w:cs="Times New Roman"/>
          <w:color w:val="auto"/>
        </w:rPr>
      </w:pPr>
      <w:r>
        <w:rPr>
          <w:rFonts w:ascii="Times New Roman" w:hAnsi="Times New Roman" w:cs="Times New Roman"/>
          <w:color w:val="auto"/>
        </w:rPr>
        <w:t>禁养区划定：</w:t>
      </w:r>
      <w:r>
        <w:rPr>
          <w:rFonts w:hint="eastAsia" w:ascii="Times New Roman" w:hAnsi="Times New Roman" w:cs="Times New Roman"/>
          <w:color w:val="auto"/>
        </w:rPr>
        <w:t>四</w:t>
      </w:r>
      <w:r>
        <w:rPr>
          <w:rFonts w:ascii="Times New Roman" w:hAnsi="Times New Roman" w:cs="Times New Roman"/>
          <w:color w:val="auto"/>
        </w:rPr>
        <w:t>师依法划定的禁养区分为</w:t>
      </w:r>
      <w:r>
        <w:rPr>
          <w:rFonts w:hint="eastAsia" w:ascii="Times New Roman" w:hAnsi="Times New Roman" w:cs="Times New Roman"/>
          <w:color w:val="auto"/>
        </w:rPr>
        <w:t>六</w:t>
      </w:r>
      <w:r>
        <w:rPr>
          <w:rFonts w:ascii="Times New Roman" w:hAnsi="Times New Roman" w:cs="Times New Roman"/>
          <w:color w:val="auto"/>
        </w:rPr>
        <w:t>大类，共计</w:t>
      </w:r>
      <w:r>
        <w:rPr>
          <w:rFonts w:hint="eastAsia" w:ascii="Times New Roman" w:hAnsi="Times New Roman" w:cs="Times New Roman"/>
          <w:color w:val="auto"/>
        </w:rPr>
        <w:t>22</w:t>
      </w:r>
      <w:r>
        <w:rPr>
          <w:rFonts w:ascii="Times New Roman" w:hAnsi="Times New Roman" w:cs="Times New Roman"/>
          <w:color w:val="auto"/>
        </w:rPr>
        <w:t>个禁养区。</w:t>
      </w:r>
    </w:p>
    <w:p w14:paraId="5FA96774">
      <w:pPr>
        <w:ind w:firstLine="480"/>
        <w:rPr>
          <w:rFonts w:ascii="Times New Roman" w:hAnsi="Times New Roman" w:cs="Times New Roman"/>
          <w:color w:val="auto"/>
        </w:rPr>
      </w:pPr>
      <w:r>
        <w:rPr>
          <w:rFonts w:ascii="Times New Roman" w:hAnsi="Times New Roman" w:cs="Times New Roman"/>
          <w:color w:val="auto"/>
        </w:rPr>
        <w:t>第一类城镇居民规划区</w:t>
      </w:r>
      <w:r>
        <w:rPr>
          <w:rFonts w:hint="eastAsia" w:ascii="Times New Roman" w:hAnsi="Times New Roman" w:cs="Times New Roman"/>
          <w:color w:val="auto"/>
        </w:rPr>
        <w:t>（主要包括：城镇人口集中区、文教科研区、医疗区、休闲活动区等以内区域）；</w:t>
      </w:r>
      <w:r>
        <w:rPr>
          <w:rFonts w:ascii="Times New Roman" w:hAnsi="Times New Roman" w:cs="Times New Roman"/>
          <w:color w:val="auto"/>
        </w:rPr>
        <w:t>第二类饮用水水源保护区：饮用水水源一级保护区的陆域范围</w:t>
      </w:r>
      <w:r>
        <w:rPr>
          <w:rFonts w:hint="eastAsia" w:ascii="Times New Roman" w:hAnsi="Times New Roman" w:cs="Times New Roman"/>
          <w:color w:val="auto"/>
        </w:rPr>
        <w:t>；</w:t>
      </w:r>
      <w:r>
        <w:rPr>
          <w:rFonts w:ascii="Times New Roman" w:hAnsi="Times New Roman" w:cs="Times New Roman"/>
          <w:color w:val="auto"/>
        </w:rPr>
        <w:t>第三类工业园区</w:t>
      </w:r>
      <w:r>
        <w:rPr>
          <w:rFonts w:hint="eastAsia" w:ascii="Times New Roman" w:hAnsi="Times New Roman" w:cs="Times New Roman"/>
          <w:color w:val="auto"/>
        </w:rPr>
        <w:t>：</w:t>
      </w:r>
      <w:r>
        <w:rPr>
          <w:rFonts w:ascii="Times New Roman" w:hAnsi="Times New Roman" w:cs="Times New Roman"/>
          <w:color w:val="auto"/>
        </w:rPr>
        <w:t>包括兵团霍尔果斯口岸工业园区</w:t>
      </w:r>
      <w:r>
        <w:rPr>
          <w:rFonts w:hint="eastAsia" w:ascii="Times New Roman" w:hAnsi="Times New Roman" w:cs="Times New Roman"/>
          <w:color w:val="auto"/>
        </w:rPr>
        <w:t>、</w:t>
      </w:r>
      <w:r>
        <w:rPr>
          <w:rFonts w:ascii="Times New Roman" w:hAnsi="Times New Roman" w:cs="Times New Roman"/>
          <w:color w:val="auto"/>
        </w:rPr>
        <w:t>兵团霍尔果斯口岸工业园区B区</w:t>
      </w:r>
      <w:r>
        <w:rPr>
          <w:rFonts w:hint="eastAsia" w:ascii="Times New Roman" w:hAnsi="Times New Roman" w:cs="Times New Roman"/>
          <w:color w:val="auto"/>
        </w:rPr>
        <w:t>、</w:t>
      </w:r>
      <w:r>
        <w:rPr>
          <w:rFonts w:ascii="Times New Roman" w:hAnsi="Times New Roman" w:cs="Times New Roman"/>
          <w:color w:val="auto"/>
        </w:rPr>
        <w:t>金岗循环经济产业园区</w:t>
      </w:r>
      <w:r>
        <w:rPr>
          <w:rFonts w:hint="eastAsia" w:ascii="Times New Roman" w:hAnsi="Times New Roman" w:cs="Times New Roman"/>
          <w:color w:val="auto"/>
        </w:rPr>
        <w:t>；</w:t>
      </w:r>
      <w:r>
        <w:rPr>
          <w:rFonts w:ascii="Times New Roman" w:hAnsi="Times New Roman" w:cs="Times New Roman"/>
          <w:color w:val="auto"/>
        </w:rPr>
        <w:t>第四类文物历史遗迹保护区：包括阿力玛里故城遗址</w:t>
      </w:r>
      <w:r>
        <w:rPr>
          <w:rFonts w:hint="eastAsia" w:ascii="Times New Roman" w:hAnsi="Times New Roman" w:cs="Times New Roman"/>
          <w:color w:val="auto"/>
        </w:rPr>
        <w:t>、</w:t>
      </w:r>
      <w:r>
        <w:rPr>
          <w:rFonts w:ascii="Times New Roman" w:hAnsi="Times New Roman" w:cs="Times New Roman"/>
          <w:color w:val="auto"/>
        </w:rPr>
        <w:t>吐虎鲁克</w:t>
      </w:r>
      <w:r>
        <w:rPr>
          <w:rFonts w:hint="eastAsia" w:ascii="Times New Roman" w:hAnsi="Times New Roman" w:cs="Times New Roman"/>
          <w:color w:val="auto"/>
          <w:lang w:eastAsia="zh-CN"/>
        </w:rPr>
        <w:t>。</w:t>
      </w:r>
      <w:r>
        <w:rPr>
          <w:rFonts w:ascii="Times New Roman" w:hAnsi="Times New Roman" w:cs="Times New Roman"/>
          <w:color w:val="auto"/>
        </w:rPr>
        <w:t>铁木尔汗麻扎</w:t>
      </w:r>
      <w:r>
        <w:rPr>
          <w:rFonts w:hint="eastAsia" w:ascii="Times New Roman" w:hAnsi="Times New Roman" w:cs="Times New Roman"/>
          <w:color w:val="auto"/>
        </w:rPr>
        <w:t>、拱宸城遗址、头湖边防站、平定准格尔勒铭碑、边防哨所遗址；</w:t>
      </w:r>
      <w:r>
        <w:rPr>
          <w:rFonts w:ascii="Times New Roman" w:hAnsi="Times New Roman" w:cs="Times New Roman"/>
          <w:color w:val="auto"/>
        </w:rPr>
        <w:t>第</w:t>
      </w:r>
      <w:r>
        <w:rPr>
          <w:rFonts w:hint="eastAsia" w:ascii="Times New Roman" w:hAnsi="Times New Roman" w:cs="Times New Roman"/>
          <w:color w:val="auto"/>
        </w:rPr>
        <w:t>五</w:t>
      </w:r>
      <w:r>
        <w:rPr>
          <w:rFonts w:ascii="Times New Roman" w:hAnsi="Times New Roman" w:cs="Times New Roman"/>
          <w:color w:val="auto"/>
        </w:rPr>
        <w:t>类</w:t>
      </w:r>
      <w:r>
        <w:rPr>
          <w:rFonts w:hint="eastAsia" w:ascii="Times New Roman" w:hAnsi="Times New Roman" w:cs="Times New Roman"/>
          <w:color w:val="auto"/>
        </w:rPr>
        <w:t>风景名胜区；</w:t>
      </w:r>
      <w:r>
        <w:rPr>
          <w:rFonts w:ascii="Times New Roman" w:hAnsi="Times New Roman" w:cs="Times New Roman"/>
          <w:color w:val="auto"/>
        </w:rPr>
        <w:t>第六类其他</w:t>
      </w:r>
      <w:r>
        <w:rPr>
          <w:rFonts w:hint="eastAsia" w:ascii="Times New Roman" w:hAnsi="Times New Roman" w:cs="Times New Roman"/>
          <w:color w:val="auto"/>
        </w:rPr>
        <w:t>禁养区</w:t>
      </w:r>
      <w:r>
        <w:rPr>
          <w:rFonts w:ascii="Times New Roman" w:hAnsi="Times New Roman" w:cs="Times New Roman"/>
          <w:color w:val="auto"/>
        </w:rPr>
        <w:t>划定范围。</w:t>
      </w:r>
    </w:p>
    <w:p w14:paraId="78BDCBCD">
      <w:pPr>
        <w:ind w:firstLine="480"/>
        <w:rPr>
          <w:rFonts w:ascii="Times New Roman" w:hAnsi="Times New Roman" w:cs="Times New Roman"/>
          <w:color w:val="auto"/>
        </w:rPr>
      </w:pPr>
      <w:r>
        <w:rPr>
          <w:rFonts w:ascii="Times New Roman" w:hAnsi="Times New Roman" w:cs="Times New Roman"/>
          <w:color w:val="auto"/>
        </w:rPr>
        <w:t>限养区划定：</w:t>
      </w:r>
      <w:r>
        <w:rPr>
          <w:rFonts w:hint="eastAsia" w:ascii="Times New Roman" w:hAnsi="Times New Roman" w:cs="Times New Roman"/>
          <w:color w:val="auto"/>
        </w:rPr>
        <w:t>1.</w:t>
      </w:r>
      <w:r>
        <w:rPr>
          <w:rFonts w:ascii="Times New Roman" w:hAnsi="Times New Roman" w:cs="Times New Roman"/>
          <w:color w:val="auto"/>
        </w:rPr>
        <w:t>将</w:t>
      </w:r>
      <w:r>
        <w:rPr>
          <w:rFonts w:hint="eastAsia" w:ascii="Times New Roman" w:hAnsi="Times New Roman" w:cs="Times New Roman"/>
          <w:color w:val="auto"/>
        </w:rPr>
        <w:t>四</w:t>
      </w:r>
      <w:r>
        <w:rPr>
          <w:rFonts w:ascii="Times New Roman" w:hAnsi="Times New Roman" w:cs="Times New Roman"/>
          <w:color w:val="auto"/>
        </w:rPr>
        <w:t>师可克达拉市</w:t>
      </w:r>
      <w:r>
        <w:rPr>
          <w:rFonts w:hint="eastAsia" w:ascii="Times New Roman" w:hAnsi="Times New Roman" w:cs="Times New Roman"/>
          <w:color w:val="auto"/>
        </w:rPr>
        <w:t>、6</w:t>
      </w:r>
      <w:r>
        <w:rPr>
          <w:rFonts w:ascii="Times New Roman" w:hAnsi="Times New Roman" w:cs="Times New Roman"/>
          <w:color w:val="auto"/>
        </w:rPr>
        <w:t>1团、</w:t>
      </w:r>
      <w:r>
        <w:rPr>
          <w:rFonts w:hint="eastAsia" w:ascii="Times New Roman" w:hAnsi="Times New Roman" w:cs="Times New Roman"/>
          <w:color w:val="auto"/>
        </w:rPr>
        <w:t>6</w:t>
      </w:r>
      <w:r>
        <w:rPr>
          <w:rFonts w:ascii="Times New Roman" w:hAnsi="Times New Roman" w:cs="Times New Roman"/>
          <w:color w:val="auto"/>
        </w:rPr>
        <w:t>2团、</w:t>
      </w:r>
      <w:r>
        <w:rPr>
          <w:rFonts w:hint="eastAsia" w:ascii="Times New Roman" w:hAnsi="Times New Roman" w:cs="Times New Roman"/>
          <w:color w:val="auto"/>
        </w:rPr>
        <w:t>6</w:t>
      </w:r>
      <w:r>
        <w:rPr>
          <w:rFonts w:ascii="Times New Roman" w:hAnsi="Times New Roman" w:cs="Times New Roman"/>
          <w:color w:val="auto"/>
        </w:rPr>
        <w:t>3团、</w:t>
      </w:r>
      <w:r>
        <w:rPr>
          <w:rFonts w:hint="eastAsia" w:ascii="Times New Roman" w:hAnsi="Times New Roman" w:cs="Times New Roman"/>
          <w:color w:val="auto"/>
        </w:rPr>
        <w:t>6</w:t>
      </w:r>
      <w:r>
        <w:rPr>
          <w:rFonts w:ascii="Times New Roman" w:hAnsi="Times New Roman" w:cs="Times New Roman"/>
          <w:color w:val="auto"/>
        </w:rPr>
        <w:t>4团、</w:t>
      </w:r>
      <w:r>
        <w:rPr>
          <w:rFonts w:hint="eastAsia" w:ascii="Times New Roman" w:hAnsi="Times New Roman" w:cs="Times New Roman"/>
          <w:color w:val="auto"/>
        </w:rPr>
        <w:t>6</w:t>
      </w:r>
      <w:r>
        <w:rPr>
          <w:rFonts w:ascii="Times New Roman" w:hAnsi="Times New Roman" w:cs="Times New Roman"/>
          <w:color w:val="auto"/>
        </w:rPr>
        <w:t>5团、</w:t>
      </w:r>
      <w:r>
        <w:rPr>
          <w:rFonts w:hint="eastAsia" w:ascii="Times New Roman" w:hAnsi="Times New Roman" w:cs="Times New Roman"/>
          <w:color w:val="auto"/>
        </w:rPr>
        <w:t>6</w:t>
      </w:r>
      <w:r>
        <w:rPr>
          <w:rFonts w:ascii="Times New Roman" w:hAnsi="Times New Roman" w:cs="Times New Roman"/>
          <w:color w:val="auto"/>
        </w:rPr>
        <w:t>6团、</w:t>
      </w:r>
      <w:r>
        <w:rPr>
          <w:rFonts w:hint="eastAsia" w:ascii="Times New Roman" w:hAnsi="Times New Roman" w:cs="Times New Roman"/>
          <w:color w:val="auto"/>
        </w:rPr>
        <w:t>6</w:t>
      </w:r>
      <w:r>
        <w:rPr>
          <w:rFonts w:ascii="Times New Roman" w:hAnsi="Times New Roman" w:cs="Times New Roman"/>
          <w:color w:val="auto"/>
        </w:rPr>
        <w:t>7团、</w:t>
      </w:r>
      <w:r>
        <w:rPr>
          <w:rFonts w:hint="eastAsia" w:ascii="Times New Roman" w:hAnsi="Times New Roman" w:cs="Times New Roman"/>
          <w:color w:val="auto"/>
        </w:rPr>
        <w:t>6</w:t>
      </w:r>
      <w:r>
        <w:rPr>
          <w:rFonts w:ascii="Times New Roman" w:hAnsi="Times New Roman" w:cs="Times New Roman"/>
          <w:color w:val="auto"/>
        </w:rPr>
        <w:t>8团、</w:t>
      </w:r>
      <w:r>
        <w:rPr>
          <w:rFonts w:hint="eastAsia" w:ascii="Times New Roman" w:hAnsi="Times New Roman" w:cs="Times New Roman"/>
          <w:color w:val="auto"/>
        </w:rPr>
        <w:t>69团、70团、7</w:t>
      </w:r>
      <w:r>
        <w:rPr>
          <w:rFonts w:ascii="Times New Roman" w:hAnsi="Times New Roman" w:cs="Times New Roman"/>
          <w:color w:val="auto"/>
        </w:rPr>
        <w:t>1团、</w:t>
      </w:r>
      <w:r>
        <w:rPr>
          <w:rFonts w:hint="eastAsia" w:ascii="Times New Roman" w:hAnsi="Times New Roman" w:cs="Times New Roman"/>
          <w:color w:val="auto"/>
        </w:rPr>
        <w:t>7</w:t>
      </w:r>
      <w:r>
        <w:rPr>
          <w:rFonts w:ascii="Times New Roman" w:hAnsi="Times New Roman" w:cs="Times New Roman"/>
          <w:color w:val="auto"/>
        </w:rPr>
        <w:t>2团、</w:t>
      </w:r>
      <w:r>
        <w:rPr>
          <w:rFonts w:hint="eastAsia" w:ascii="Times New Roman" w:hAnsi="Times New Roman" w:cs="Times New Roman"/>
          <w:color w:val="auto"/>
        </w:rPr>
        <w:t>7</w:t>
      </w:r>
      <w:r>
        <w:rPr>
          <w:rFonts w:ascii="Times New Roman" w:hAnsi="Times New Roman" w:cs="Times New Roman"/>
          <w:color w:val="auto"/>
        </w:rPr>
        <w:t>3团、</w:t>
      </w:r>
      <w:r>
        <w:rPr>
          <w:rFonts w:hint="eastAsia" w:ascii="Times New Roman" w:hAnsi="Times New Roman" w:cs="Times New Roman"/>
          <w:color w:val="auto"/>
        </w:rPr>
        <w:t>7</w:t>
      </w:r>
      <w:r>
        <w:rPr>
          <w:rFonts w:ascii="Times New Roman" w:hAnsi="Times New Roman" w:cs="Times New Roman"/>
          <w:color w:val="auto"/>
        </w:rPr>
        <w:t>4团、</w:t>
      </w:r>
      <w:r>
        <w:rPr>
          <w:rFonts w:hint="eastAsia" w:ascii="Times New Roman" w:hAnsi="Times New Roman" w:cs="Times New Roman"/>
          <w:color w:val="auto"/>
        </w:rPr>
        <w:t>7</w:t>
      </w:r>
      <w:r>
        <w:rPr>
          <w:rFonts w:ascii="Times New Roman" w:hAnsi="Times New Roman" w:cs="Times New Roman"/>
          <w:color w:val="auto"/>
        </w:rPr>
        <w:t>5团、</w:t>
      </w:r>
      <w:r>
        <w:rPr>
          <w:rFonts w:hint="eastAsia" w:ascii="Times New Roman" w:hAnsi="Times New Roman" w:cs="Times New Roman"/>
          <w:color w:val="auto"/>
        </w:rPr>
        <w:t>7</w:t>
      </w:r>
      <w:r>
        <w:rPr>
          <w:rFonts w:ascii="Times New Roman" w:hAnsi="Times New Roman" w:cs="Times New Roman"/>
          <w:color w:val="auto"/>
        </w:rPr>
        <w:t>6团、</w:t>
      </w:r>
      <w:r>
        <w:rPr>
          <w:rFonts w:hint="eastAsia" w:ascii="Times New Roman" w:hAnsi="Times New Roman" w:cs="Times New Roman"/>
          <w:color w:val="auto"/>
        </w:rPr>
        <w:t>7</w:t>
      </w:r>
      <w:r>
        <w:rPr>
          <w:rFonts w:ascii="Times New Roman" w:hAnsi="Times New Roman" w:cs="Times New Roman"/>
          <w:color w:val="auto"/>
        </w:rPr>
        <w:t>7团、</w:t>
      </w:r>
      <w:r>
        <w:rPr>
          <w:rFonts w:hint="eastAsia" w:ascii="Times New Roman" w:hAnsi="Times New Roman" w:cs="Times New Roman"/>
          <w:color w:val="auto"/>
        </w:rPr>
        <w:t>7</w:t>
      </w:r>
      <w:r>
        <w:rPr>
          <w:rFonts w:ascii="Times New Roman" w:hAnsi="Times New Roman" w:cs="Times New Roman"/>
          <w:color w:val="auto"/>
        </w:rPr>
        <w:t>8团、</w:t>
      </w:r>
      <w:r>
        <w:rPr>
          <w:rFonts w:hint="eastAsia" w:ascii="Times New Roman" w:hAnsi="Times New Roman" w:cs="Times New Roman"/>
          <w:color w:val="auto"/>
        </w:rPr>
        <w:t>79团、36团</w:t>
      </w:r>
      <w:r>
        <w:rPr>
          <w:rFonts w:ascii="Times New Roman" w:hAnsi="Times New Roman" w:cs="Times New Roman"/>
          <w:color w:val="auto"/>
        </w:rPr>
        <w:t>共</w:t>
      </w:r>
      <w:r>
        <w:rPr>
          <w:rFonts w:hint="eastAsia" w:ascii="Times New Roman" w:hAnsi="Times New Roman" w:cs="Times New Roman"/>
          <w:color w:val="auto"/>
        </w:rPr>
        <w:t>21</w:t>
      </w:r>
      <w:r>
        <w:rPr>
          <w:rFonts w:ascii="Times New Roman" w:hAnsi="Times New Roman" w:cs="Times New Roman"/>
          <w:color w:val="auto"/>
        </w:rPr>
        <w:t>个城镇居民区禁养区外延500米范围内的区域划为限养区；</w:t>
      </w:r>
      <w:r>
        <w:rPr>
          <w:rFonts w:hint="eastAsia" w:ascii="Times New Roman" w:hAnsi="Times New Roman" w:cs="Times New Roman"/>
          <w:color w:val="auto"/>
        </w:rPr>
        <w:t>2</w:t>
      </w:r>
      <w:r>
        <w:rPr>
          <w:rFonts w:ascii="Times New Roman" w:hAnsi="Times New Roman" w:cs="Times New Roman"/>
          <w:color w:val="auto"/>
        </w:rPr>
        <w:t>.</w:t>
      </w:r>
      <w:r>
        <w:rPr>
          <w:rFonts w:hint="eastAsia" w:ascii="Times New Roman" w:hAnsi="Times New Roman" w:cs="Times New Roman"/>
          <w:color w:val="auto"/>
        </w:rPr>
        <w:t>将四师团场连队连部区域划为限养区；</w:t>
      </w:r>
      <w:r>
        <w:rPr>
          <w:rFonts w:ascii="Times New Roman" w:hAnsi="Times New Roman" w:cs="Times New Roman"/>
          <w:color w:val="auto"/>
        </w:rPr>
        <w:t>3.</w:t>
      </w:r>
      <w:r>
        <w:rPr>
          <w:rFonts w:hint="eastAsia" w:ascii="Times New Roman" w:hAnsi="Times New Roman" w:cs="Times New Roman"/>
          <w:color w:val="auto"/>
        </w:rPr>
        <w:t>可克达拉市</w:t>
      </w:r>
      <w:r>
        <w:rPr>
          <w:rFonts w:hint="eastAsia" w:ascii="Times New Roman" w:hAnsi="Times New Roman" w:cs="Times New Roman"/>
          <w:color w:val="auto"/>
          <w:lang w:eastAsia="zh-CN"/>
        </w:rPr>
        <w:t>饮</w:t>
      </w:r>
      <w:r>
        <w:rPr>
          <w:rFonts w:hint="eastAsia" w:ascii="Times New Roman" w:hAnsi="Times New Roman" w:cs="Times New Roman"/>
          <w:color w:val="auto"/>
        </w:rPr>
        <w:t>用水水源保护区</w:t>
      </w:r>
      <w:r>
        <w:rPr>
          <w:rFonts w:ascii="Times New Roman" w:hAnsi="Times New Roman" w:cs="Times New Roman"/>
          <w:color w:val="auto"/>
        </w:rPr>
        <w:t>以</w:t>
      </w:r>
      <w:r>
        <w:rPr>
          <w:rFonts w:hint="eastAsia" w:ascii="Times New Roman" w:hAnsi="Times New Roman" w:cs="Times New Roman"/>
          <w:color w:val="auto"/>
        </w:rPr>
        <w:t>6口</w:t>
      </w:r>
      <w:r>
        <w:rPr>
          <w:rFonts w:ascii="Times New Roman" w:hAnsi="Times New Roman" w:cs="Times New Roman"/>
          <w:color w:val="auto"/>
        </w:rPr>
        <w:t>供水井中心为圆心，以</w:t>
      </w:r>
      <w:r>
        <w:rPr>
          <w:rFonts w:hint="eastAsia" w:ascii="Times New Roman" w:hAnsi="Times New Roman" w:cs="Times New Roman"/>
          <w:color w:val="auto"/>
        </w:rPr>
        <w:t>300m</w:t>
      </w:r>
      <w:r>
        <w:rPr>
          <w:rFonts w:ascii="Times New Roman" w:hAnsi="Times New Roman" w:cs="Times New Roman"/>
          <w:color w:val="auto"/>
        </w:rPr>
        <w:t>为半径形成的圆形区域</w:t>
      </w:r>
      <w:r>
        <w:rPr>
          <w:rFonts w:hint="eastAsia" w:ascii="Times New Roman" w:hAnsi="Times New Roman" w:cs="Times New Roman"/>
          <w:color w:val="auto"/>
        </w:rPr>
        <w:t>；4.其他禁养区外延500米范围区域划为限养区。</w:t>
      </w:r>
      <w:r>
        <w:rPr>
          <w:rFonts w:ascii="Times New Roman" w:hAnsi="Times New Roman" w:cs="Times New Roman"/>
          <w:color w:val="auto"/>
        </w:rPr>
        <w:t>5.</w:t>
      </w:r>
      <w:r>
        <w:rPr>
          <w:rFonts w:hint="eastAsia" w:ascii="Times New Roman" w:hAnsi="Times New Roman" w:cs="Times New Roman"/>
          <w:color w:val="auto"/>
        </w:rPr>
        <w:t>四师范围</w:t>
      </w:r>
      <w:r>
        <w:rPr>
          <w:rFonts w:ascii="Times New Roman" w:hAnsi="Times New Roman" w:cs="Times New Roman"/>
          <w:color w:val="auto"/>
        </w:rPr>
        <w:t>内因建设养殖场而</w:t>
      </w:r>
      <w:r>
        <w:rPr>
          <w:rFonts w:hint="eastAsia" w:ascii="Times New Roman" w:hAnsi="Times New Roman" w:cs="Times New Roman"/>
          <w:color w:val="auto"/>
          <w:lang w:eastAsia="zh-CN"/>
        </w:rPr>
        <w:t>涉及</w:t>
      </w:r>
      <w:r>
        <w:rPr>
          <w:rFonts w:hint="eastAsia" w:ascii="Times New Roman" w:hAnsi="Times New Roman" w:cs="Times New Roman"/>
          <w:color w:val="auto"/>
        </w:rPr>
        <w:t>设施</w:t>
      </w:r>
      <w:r>
        <w:rPr>
          <w:rFonts w:ascii="Times New Roman" w:hAnsi="Times New Roman" w:cs="Times New Roman"/>
          <w:color w:val="auto"/>
        </w:rPr>
        <w:t>农用地</w:t>
      </w:r>
      <w:r>
        <w:rPr>
          <w:rFonts w:hint="eastAsia" w:ascii="Times New Roman" w:hAnsi="Times New Roman" w:cs="Times New Roman"/>
          <w:color w:val="auto"/>
        </w:rPr>
        <w:t>时</w:t>
      </w:r>
      <w:r>
        <w:rPr>
          <w:rFonts w:ascii="Times New Roman" w:hAnsi="Times New Roman" w:cs="Times New Roman"/>
          <w:color w:val="auto"/>
        </w:rPr>
        <w:t>，</w:t>
      </w:r>
      <w:r>
        <w:rPr>
          <w:rFonts w:hint="eastAsia" w:ascii="Times New Roman" w:hAnsi="Times New Roman" w:cs="Times New Roman"/>
          <w:color w:val="auto"/>
        </w:rPr>
        <w:t>应</w:t>
      </w:r>
      <w:r>
        <w:rPr>
          <w:rFonts w:ascii="Times New Roman" w:hAnsi="Times New Roman" w:cs="Times New Roman"/>
          <w:color w:val="auto"/>
        </w:rPr>
        <w:t>尽量利用荒山荒坡、滩涂等未利用地、低效闲置</w:t>
      </w:r>
      <w:r>
        <w:rPr>
          <w:rFonts w:hint="eastAsia" w:ascii="Times New Roman" w:hAnsi="Times New Roman" w:cs="Times New Roman"/>
          <w:color w:val="auto"/>
        </w:rPr>
        <w:t>土地</w:t>
      </w:r>
      <w:r>
        <w:rPr>
          <w:rFonts w:ascii="Times New Roman" w:hAnsi="Times New Roman" w:cs="Times New Roman"/>
          <w:color w:val="auto"/>
        </w:rPr>
        <w:t>及废弃</w:t>
      </w:r>
      <w:r>
        <w:rPr>
          <w:rFonts w:hint="eastAsia" w:ascii="Times New Roman" w:hAnsi="Times New Roman" w:cs="Times New Roman"/>
          <w:color w:val="auto"/>
        </w:rPr>
        <w:t>连队</w:t>
      </w:r>
      <w:r>
        <w:rPr>
          <w:rFonts w:ascii="Times New Roman" w:hAnsi="Times New Roman" w:cs="Times New Roman"/>
          <w:color w:val="auto"/>
        </w:rPr>
        <w:t>居民点用地，不占或少占</w:t>
      </w:r>
      <w:r>
        <w:rPr>
          <w:rFonts w:hint="eastAsia" w:ascii="Times New Roman" w:hAnsi="Times New Roman" w:cs="Times New Roman"/>
          <w:color w:val="auto"/>
        </w:rPr>
        <w:t>耕地。</w:t>
      </w:r>
      <w:r>
        <w:rPr>
          <w:rFonts w:ascii="Times New Roman" w:hAnsi="Times New Roman" w:cs="Times New Roman"/>
          <w:color w:val="auto"/>
        </w:rPr>
        <w:t>确需</w:t>
      </w:r>
      <w:r>
        <w:rPr>
          <w:rFonts w:hint="eastAsia" w:ascii="Times New Roman" w:hAnsi="Times New Roman" w:cs="Times New Roman"/>
          <w:color w:val="auto"/>
        </w:rPr>
        <w:t>占用</w:t>
      </w:r>
      <w:r>
        <w:rPr>
          <w:rFonts w:ascii="Times New Roman" w:hAnsi="Times New Roman" w:cs="Times New Roman"/>
          <w:color w:val="auto"/>
        </w:rPr>
        <w:t>耕地的，应尽量占用劣质耕地，避免滥占优质耕地，同时通过耕作层土壤</w:t>
      </w:r>
      <w:r>
        <w:rPr>
          <w:rFonts w:hint="eastAsia" w:ascii="Times New Roman" w:hAnsi="Times New Roman" w:cs="Times New Roman"/>
          <w:color w:val="auto"/>
        </w:rPr>
        <w:t>剥离</w:t>
      </w:r>
      <w:r>
        <w:rPr>
          <w:rFonts w:ascii="Times New Roman" w:hAnsi="Times New Roman" w:cs="Times New Roman"/>
          <w:color w:val="auto"/>
        </w:rPr>
        <w:t>等技术措施，尽量减少对耕作层的破坏。</w:t>
      </w:r>
    </w:p>
    <w:p w14:paraId="7A760841">
      <w:pPr>
        <w:ind w:firstLine="480"/>
        <w:rPr>
          <w:rFonts w:ascii="Times New Roman" w:hAnsi="Times New Roman" w:cs="Times New Roman"/>
          <w:color w:val="auto"/>
        </w:rPr>
      </w:pPr>
      <w:r>
        <w:rPr>
          <w:rFonts w:ascii="Times New Roman" w:hAnsi="Times New Roman" w:cs="Times New Roman"/>
          <w:color w:val="auto"/>
        </w:rPr>
        <w:t>项目所在地不在</w:t>
      </w:r>
      <w:r>
        <w:rPr>
          <w:rFonts w:hint="eastAsia" w:ascii="Times New Roman" w:hAnsi="Times New Roman" w:cs="Times New Roman"/>
          <w:color w:val="auto"/>
          <w:lang w:val="en-US" w:eastAsia="zh-CN"/>
        </w:rPr>
        <w:t>第四师</w:t>
      </w:r>
      <w:r>
        <w:rPr>
          <w:rFonts w:ascii="Times New Roman" w:hAnsi="Times New Roman" w:cs="Times New Roman"/>
          <w:color w:val="auto"/>
        </w:rPr>
        <w:t>禁养区及限养区范围内，因此，项目选址合理可行。</w:t>
      </w:r>
    </w:p>
    <w:p w14:paraId="36D831FD">
      <w:pPr>
        <w:ind w:firstLine="0" w:firstLineChars="0"/>
        <w:rPr>
          <w:rFonts w:ascii="Times New Roman" w:hAnsi="Times New Roman" w:cs="Times New Roman"/>
          <w:b/>
          <w:bCs/>
          <w:color w:val="auto"/>
        </w:rPr>
      </w:pPr>
      <w:r>
        <w:rPr>
          <w:rFonts w:ascii="Times New Roman" w:hAnsi="Times New Roman" w:cs="Times New Roman"/>
          <w:b/>
          <w:bCs/>
          <w:color w:val="auto"/>
        </w:rPr>
        <w:t>1.3.6.3《新疆维吾尔自治区环境保护条例》（2017年1月1日）中规定：</w:t>
      </w:r>
    </w:p>
    <w:p w14:paraId="2B399DE0">
      <w:pPr>
        <w:ind w:firstLine="480"/>
        <w:rPr>
          <w:rFonts w:ascii="Times New Roman" w:hAnsi="Times New Roman" w:cs="Times New Roman"/>
          <w:color w:val="auto"/>
        </w:rPr>
      </w:pPr>
      <w:r>
        <w:rPr>
          <w:rFonts w:ascii="Times New Roman" w:hAnsi="Times New Roman" w:cs="Times New Roman"/>
          <w:color w:val="auto"/>
        </w:rPr>
        <w:t>森林公园、世界自然和文化遗产地、文物保护单位保护范围及其他历史、文化、自然保护地禁止建设畜禽养殖场。</w:t>
      </w:r>
    </w:p>
    <w:p w14:paraId="11F1BD45">
      <w:pPr>
        <w:ind w:firstLine="480"/>
        <w:rPr>
          <w:rFonts w:ascii="Times New Roman" w:hAnsi="Times New Roman" w:cs="Times New Roman"/>
          <w:color w:val="auto"/>
        </w:rPr>
      </w:pPr>
      <w:r>
        <w:rPr>
          <w:rFonts w:ascii="Times New Roman" w:hAnsi="Times New Roman" w:cs="Times New Roman"/>
          <w:color w:val="auto"/>
        </w:rPr>
        <w:t>本项目所在地不在上述范围内。</w:t>
      </w:r>
    </w:p>
    <w:p w14:paraId="6D484817">
      <w:pPr>
        <w:ind w:firstLine="0" w:firstLineChars="0"/>
        <w:rPr>
          <w:rFonts w:ascii="Times New Roman" w:hAnsi="Times New Roman" w:cs="Times New Roman"/>
          <w:b/>
          <w:bCs/>
          <w:color w:val="auto"/>
        </w:rPr>
      </w:pPr>
      <w:r>
        <w:rPr>
          <w:rFonts w:ascii="Times New Roman" w:hAnsi="Times New Roman" w:cs="Times New Roman"/>
          <w:b/>
          <w:bCs/>
          <w:color w:val="auto"/>
        </w:rPr>
        <w:t>1.3.6.4根据生态环境部部长信箱2019年9月6日《关于非禁养区规模化畜禽养殖场需距住户多远的回复》中要求如下：</w:t>
      </w:r>
    </w:p>
    <w:p w14:paraId="1EC28920">
      <w:pPr>
        <w:ind w:firstLine="480"/>
        <w:rPr>
          <w:rFonts w:ascii="Times New Roman" w:hAnsi="Times New Roman" w:cs="Times New Roman"/>
          <w:color w:val="auto"/>
        </w:rPr>
      </w:pPr>
      <w:r>
        <w:rPr>
          <w:rFonts w:ascii="Times New Roman" w:hAnsi="Times New Roman" w:cs="Times New Roman"/>
          <w:color w:val="auto"/>
        </w:rPr>
        <w:t>函复如下：一、环境保护行业标准《畜禽养殖业污染防治技术规范》（HJ/T81-2001）中关于畜禽养殖场选址要求规定：禁止在城市和城镇居民区，包括文教科研区、医疗区、商业区、工业区、游览区等人口集中地区建设畜禽养殖场；新建、改建、扩建的畜禽养殖场选址应避开前述禁建区域，在禁建区域附近建设的，应设在前述禁建区域常年主导风向的下风向或侧风向处，场界与禁建区域边界的最小距离不得小于500m。二、《动物防疫条件审查办法》（</w:t>
      </w:r>
      <w:r>
        <w:rPr>
          <w:rFonts w:hint="eastAsia" w:cs="Times New Roman"/>
          <w:color w:val="auto"/>
          <w:lang w:eastAsia="zh-CN"/>
        </w:rPr>
        <w:t>农业农村部</w:t>
      </w:r>
      <w:r>
        <w:rPr>
          <w:rFonts w:ascii="Times New Roman" w:hAnsi="Times New Roman" w:cs="Times New Roman"/>
          <w:color w:val="auto"/>
        </w:rPr>
        <w:t>令2010年第7号）第五条第（三）项规定：动物饲养场、养殖小区选址应当距离城镇居民区、文化教育科研等人口集中区域及公路、铁路等主要交通干线500米以上。三、《村镇规划卫生标准》（GB18055-2000）已由《村镇规划卫生规范》（GB18055-2012）代替，根据该规范中表1对住宅区与养猪场卫生防护距离的要求，养猪500</w:t>
      </w:r>
      <w:r>
        <w:rPr>
          <w:rFonts w:hint="eastAsia" w:cs="Times New Roman"/>
          <w:color w:val="auto"/>
          <w:lang w:eastAsia="zh-CN"/>
        </w:rPr>
        <w:t>～</w:t>
      </w:r>
      <w:r>
        <w:rPr>
          <w:rFonts w:ascii="Times New Roman" w:hAnsi="Times New Roman" w:cs="Times New Roman"/>
          <w:color w:val="auto"/>
        </w:rPr>
        <w:t>10000头、10000</w:t>
      </w:r>
      <w:r>
        <w:rPr>
          <w:rFonts w:hint="eastAsia" w:cs="Times New Roman"/>
          <w:color w:val="auto"/>
          <w:lang w:eastAsia="zh-CN"/>
        </w:rPr>
        <w:t>～</w:t>
      </w:r>
      <w:r>
        <w:rPr>
          <w:rFonts w:ascii="Times New Roman" w:hAnsi="Times New Roman" w:cs="Times New Roman"/>
          <w:color w:val="auto"/>
        </w:rPr>
        <w:t>25000头的，卫生防护距离分别为200</w:t>
      </w:r>
      <w:r>
        <w:rPr>
          <w:rFonts w:hint="eastAsia" w:cs="Times New Roman"/>
          <w:color w:val="auto"/>
          <w:lang w:eastAsia="zh-CN"/>
        </w:rPr>
        <w:t>～</w:t>
      </w:r>
      <w:r>
        <w:rPr>
          <w:rFonts w:ascii="Times New Roman" w:hAnsi="Times New Roman" w:cs="Times New Roman"/>
          <w:color w:val="auto"/>
        </w:rPr>
        <w:t>800m、800</w:t>
      </w:r>
      <w:r>
        <w:rPr>
          <w:rFonts w:hint="eastAsia" w:cs="Times New Roman"/>
          <w:color w:val="auto"/>
          <w:lang w:eastAsia="zh-CN"/>
        </w:rPr>
        <w:t>～</w:t>
      </w:r>
      <w:r>
        <w:rPr>
          <w:rFonts w:ascii="Times New Roman" w:hAnsi="Times New Roman" w:cs="Times New Roman"/>
          <w:color w:val="auto"/>
        </w:rPr>
        <w:t>1000m，其中的养殖规模数指存栏量。该规范同时规定，在复杂地形条件下的住宅区与产生有害因素场所（包括畜禽养殖场）之间的卫生防护距离，应根据环境影响评价报告，由建设单位主管部门与建设项目所在省、市、自治区的卫生、</w:t>
      </w:r>
      <w:r>
        <w:rPr>
          <w:rFonts w:hint="eastAsia" w:ascii="Times New Roman" w:hAnsi="Times New Roman" w:cs="Times New Roman"/>
          <w:color w:val="auto"/>
          <w:lang w:eastAsia="zh-CN"/>
        </w:rPr>
        <w:t>生态环境部</w:t>
      </w:r>
      <w:r>
        <w:rPr>
          <w:rFonts w:ascii="Times New Roman" w:hAnsi="Times New Roman" w:cs="Times New Roman"/>
          <w:color w:val="auto"/>
        </w:rPr>
        <w:t>门共同确定。综上，畜禽养殖场选址应当距离城镇居民区500米以上，与村镇住宅区的距离，可参考相关标准要求确定。</w:t>
      </w:r>
    </w:p>
    <w:p w14:paraId="51604AC2">
      <w:pPr>
        <w:ind w:firstLine="480"/>
        <w:rPr>
          <w:rFonts w:ascii="Times New Roman" w:hAnsi="Times New Roman" w:cs="Times New Roman"/>
          <w:color w:val="auto"/>
        </w:rPr>
      </w:pPr>
      <w:r>
        <w:rPr>
          <w:rFonts w:ascii="Times New Roman" w:hAnsi="Times New Roman" w:cs="Times New Roman"/>
          <w:color w:val="auto"/>
        </w:rPr>
        <w:t>本项目</w:t>
      </w:r>
      <w:r>
        <w:rPr>
          <w:rFonts w:hint="eastAsia" w:cs="Times New Roman"/>
          <w:color w:val="auto"/>
          <w:lang w:val="en-US" w:eastAsia="zh-CN"/>
        </w:rPr>
        <w:t>900</w:t>
      </w:r>
      <w:r>
        <w:rPr>
          <w:rFonts w:ascii="Times New Roman" w:hAnsi="Times New Roman" w:cs="Times New Roman"/>
          <w:color w:val="auto"/>
        </w:rPr>
        <w:t>米范围内</w:t>
      </w:r>
      <w:r>
        <w:rPr>
          <w:rFonts w:hint="eastAsia" w:cs="Times New Roman"/>
          <w:color w:val="auto"/>
          <w:lang w:val="en-US" w:eastAsia="zh-CN"/>
        </w:rPr>
        <w:t>无任何居民，2.5公里范围内</w:t>
      </w:r>
      <w:r>
        <w:rPr>
          <w:rFonts w:ascii="Times New Roman" w:hAnsi="Times New Roman" w:cs="Times New Roman"/>
          <w:color w:val="auto"/>
        </w:rPr>
        <w:t>无村镇</w:t>
      </w:r>
      <w:r>
        <w:rPr>
          <w:rFonts w:hint="eastAsia" w:cs="Times New Roman"/>
          <w:color w:val="auto"/>
          <w:lang w:val="en-US" w:eastAsia="zh-CN"/>
        </w:rPr>
        <w:t>集中</w:t>
      </w:r>
      <w:r>
        <w:rPr>
          <w:rFonts w:ascii="Times New Roman" w:hAnsi="Times New Roman" w:cs="Times New Roman"/>
          <w:color w:val="auto"/>
        </w:rPr>
        <w:t>住宅区等敏感点分布，符合《关于非禁养区规模化畜禽养殖场需距住户多远的回复》中要求。</w:t>
      </w:r>
    </w:p>
    <w:p w14:paraId="35D65C68">
      <w:pPr>
        <w:ind w:firstLine="0" w:firstLineChars="0"/>
        <w:rPr>
          <w:rFonts w:ascii="Times New Roman" w:hAnsi="Times New Roman" w:cs="Times New Roman"/>
          <w:b/>
          <w:bCs/>
          <w:color w:val="auto"/>
        </w:rPr>
      </w:pPr>
      <w:r>
        <w:rPr>
          <w:rFonts w:ascii="Times New Roman" w:hAnsi="Times New Roman" w:cs="Times New Roman"/>
          <w:b/>
          <w:bCs/>
          <w:color w:val="auto"/>
        </w:rPr>
        <w:t>1.3.6.5与《动物防疫条件审查办法》及《农业农村部关于调整动物防疫条件审查有关规定的通知》（农牧发〔2019〕42 号）相符性分析</w:t>
      </w:r>
    </w:p>
    <w:p w14:paraId="6D7674EA">
      <w:pPr>
        <w:ind w:firstLine="480"/>
        <w:rPr>
          <w:rFonts w:ascii="Times New Roman" w:hAnsi="Times New Roman" w:cs="Times New Roman"/>
          <w:color w:val="auto"/>
        </w:rPr>
      </w:pPr>
      <w:r>
        <w:rPr>
          <w:rFonts w:ascii="Times New Roman" w:hAnsi="Times New Roman" w:cs="Times New Roman"/>
          <w:color w:val="auto"/>
        </w:rPr>
        <w:t>根据《动物防疫条件审查办法》（中华人民共和国</w:t>
      </w:r>
      <w:r>
        <w:rPr>
          <w:rFonts w:hint="eastAsia" w:cs="Times New Roman"/>
          <w:color w:val="auto"/>
          <w:lang w:eastAsia="zh-CN"/>
        </w:rPr>
        <w:t>农业农村部</w:t>
      </w:r>
      <w:r>
        <w:rPr>
          <w:rFonts w:ascii="Times New Roman" w:hAnsi="Times New Roman" w:cs="Times New Roman"/>
          <w:color w:val="auto"/>
        </w:rPr>
        <w:t>令2010年第7号，2010年5月1日施行）中规定，动物饲养场、养殖小区选址应当符合下列条件：</w:t>
      </w:r>
    </w:p>
    <w:p w14:paraId="322C396C">
      <w:pPr>
        <w:ind w:firstLine="480"/>
        <w:rPr>
          <w:rFonts w:ascii="Times New Roman" w:hAnsi="Times New Roman" w:cs="Times New Roman"/>
          <w:color w:val="auto"/>
        </w:rPr>
      </w:pPr>
      <w:r>
        <w:rPr>
          <w:rFonts w:ascii="Times New Roman" w:hAnsi="Times New Roman" w:cs="Times New Roman"/>
          <w:color w:val="auto"/>
        </w:rPr>
        <w:t>（1）距离生活饮用水源地、动物屠宰加工场所、动物和动物产品集贸市场500m以上；距离种畜禽场1000m以上；距离动物诊疗场所200m以上；动物饲养场（养殖小区）之间距离不少于500m；</w:t>
      </w:r>
    </w:p>
    <w:p w14:paraId="3186EFA2">
      <w:pPr>
        <w:ind w:firstLine="480"/>
        <w:rPr>
          <w:rFonts w:ascii="Times New Roman" w:hAnsi="Times New Roman" w:cs="Times New Roman"/>
          <w:color w:val="auto"/>
        </w:rPr>
      </w:pPr>
      <w:r>
        <w:rPr>
          <w:rFonts w:ascii="Times New Roman" w:hAnsi="Times New Roman" w:cs="Times New Roman"/>
          <w:color w:val="auto"/>
        </w:rPr>
        <w:t>（2）距离动物隔离场所、无害化处理场所3000m以上；</w:t>
      </w:r>
    </w:p>
    <w:p w14:paraId="39782466">
      <w:pPr>
        <w:ind w:firstLine="480"/>
        <w:rPr>
          <w:rFonts w:ascii="Times New Roman" w:hAnsi="Times New Roman" w:cs="Times New Roman"/>
          <w:color w:val="auto"/>
        </w:rPr>
      </w:pPr>
      <w:r>
        <w:rPr>
          <w:rFonts w:ascii="Times New Roman" w:hAnsi="Times New Roman" w:cs="Times New Roman"/>
          <w:color w:val="auto"/>
        </w:rPr>
        <w:t>（3）距离城镇居民区、文化教育科研等人口集中区域及公路、铁路等主要交通干线500m以上；</w:t>
      </w:r>
    </w:p>
    <w:p w14:paraId="620E9E21">
      <w:pPr>
        <w:ind w:firstLine="480"/>
        <w:rPr>
          <w:rFonts w:ascii="Times New Roman" w:hAnsi="Times New Roman" w:cs="Times New Roman"/>
          <w:color w:val="auto"/>
        </w:rPr>
      </w:pPr>
      <w:r>
        <w:rPr>
          <w:rFonts w:ascii="Times New Roman" w:hAnsi="Times New Roman" w:cs="Times New Roman"/>
          <w:color w:val="auto"/>
        </w:rPr>
        <w:t>本项目选址范围内无生活饮用水源地、动物屠宰加工场所、动物和动物产品集贸市场，且距离城镇居民区、文化教育科研等人口集中区域及公路、铁路等主要交通干线500m以上，3000m范围内无动物隔离场所、无害化处理场所</w:t>
      </w:r>
      <w:r>
        <w:rPr>
          <w:rFonts w:hint="eastAsia" w:ascii="Times New Roman" w:hAnsi="Times New Roman" w:cs="Times New Roman"/>
          <w:color w:val="auto"/>
          <w:lang w:eastAsia="zh-CN"/>
        </w:rPr>
        <w:t>，</w:t>
      </w:r>
      <w:r>
        <w:rPr>
          <w:rFonts w:ascii="Times New Roman" w:hAnsi="Times New Roman" w:cs="Times New Roman"/>
          <w:color w:val="auto"/>
        </w:rPr>
        <w:t>满足《动物防疫条件审查办法》及《农业农村部关于调整动物防疫条件审查有关规定的通知》中关于动物饲养场、养殖小区的选址要求。</w:t>
      </w:r>
    </w:p>
    <w:p w14:paraId="75010E5E">
      <w:pPr>
        <w:ind w:firstLine="0" w:firstLineChars="0"/>
        <w:rPr>
          <w:rFonts w:ascii="Times New Roman" w:hAnsi="Times New Roman" w:cs="Times New Roman"/>
          <w:b/>
          <w:bCs/>
          <w:color w:val="auto"/>
        </w:rPr>
      </w:pPr>
      <w:r>
        <w:rPr>
          <w:rFonts w:ascii="Times New Roman" w:hAnsi="Times New Roman" w:cs="Times New Roman"/>
          <w:b/>
          <w:bCs/>
          <w:color w:val="auto"/>
        </w:rPr>
        <w:t>1.3.6.</w:t>
      </w:r>
      <w:r>
        <w:rPr>
          <w:rFonts w:hint="eastAsia" w:ascii="Times New Roman" w:hAnsi="Times New Roman" w:cs="Times New Roman"/>
          <w:b/>
          <w:bCs/>
          <w:color w:val="auto"/>
          <w:lang w:val="en-US" w:eastAsia="zh-CN"/>
        </w:rPr>
        <w:t>6</w:t>
      </w:r>
      <w:r>
        <w:rPr>
          <w:rFonts w:ascii="Times New Roman" w:hAnsi="Times New Roman" w:cs="Times New Roman"/>
          <w:b/>
          <w:bCs/>
          <w:color w:val="auto"/>
        </w:rPr>
        <w:t>与《</w:t>
      </w:r>
      <w:r>
        <w:rPr>
          <w:rFonts w:hint="eastAsia" w:ascii="Times New Roman" w:hAnsi="Times New Roman" w:cs="Times New Roman"/>
          <w:b/>
          <w:bCs/>
          <w:color w:val="auto"/>
          <w:lang w:val="en-US" w:eastAsia="zh-CN"/>
        </w:rPr>
        <w:t>畜禽养殖产地环境评价规范</w:t>
      </w:r>
      <w:r>
        <w:rPr>
          <w:rFonts w:ascii="Times New Roman" w:hAnsi="Times New Roman" w:cs="Times New Roman"/>
          <w:b/>
          <w:bCs/>
          <w:color w:val="auto"/>
        </w:rPr>
        <w:t>》相符性分析</w:t>
      </w:r>
    </w:p>
    <w:p w14:paraId="300F9C4C">
      <w:pPr>
        <w:ind w:firstLine="480"/>
        <w:rPr>
          <w:rFonts w:ascii="Times New Roman" w:hAnsi="Times New Roman" w:cs="Times New Roman"/>
          <w:color w:val="auto"/>
        </w:rPr>
      </w:pPr>
      <w:r>
        <w:rPr>
          <w:rFonts w:ascii="Times New Roman" w:hAnsi="Times New Roman" w:cs="Times New Roman"/>
          <w:color w:val="auto"/>
        </w:rPr>
        <w:t>根据《</w:t>
      </w:r>
      <w:r>
        <w:rPr>
          <w:rFonts w:hint="eastAsia" w:ascii="Times New Roman" w:hAnsi="Times New Roman" w:cs="Times New Roman"/>
          <w:color w:val="auto"/>
          <w:lang w:val="en-US" w:eastAsia="zh-CN"/>
        </w:rPr>
        <w:t>畜禽养殖产地环境评价规范</w:t>
      </w:r>
      <w:r>
        <w:rPr>
          <w:rFonts w:ascii="Times New Roman" w:hAnsi="Times New Roman" w:cs="Times New Roman"/>
          <w:color w:val="auto"/>
        </w:rPr>
        <w:t>》（</w:t>
      </w:r>
      <w:r>
        <w:rPr>
          <w:rFonts w:hint="eastAsia" w:ascii="Times New Roman" w:hAnsi="Times New Roman" w:cs="Times New Roman"/>
          <w:color w:val="auto"/>
          <w:lang w:val="en-US" w:eastAsia="zh-CN"/>
        </w:rPr>
        <w:t>HJ568-2010</w:t>
      </w:r>
      <w:r>
        <w:rPr>
          <w:rFonts w:ascii="Times New Roman" w:hAnsi="Times New Roman" w:cs="Times New Roman"/>
          <w:color w:val="auto"/>
        </w:rPr>
        <w:t>）中规定，</w:t>
      </w:r>
      <w:r>
        <w:rPr>
          <w:rFonts w:hint="eastAsia" w:ascii="Times New Roman" w:hAnsi="Times New Roman" w:cs="Times New Roman"/>
          <w:color w:val="auto"/>
          <w:lang w:val="en-US" w:eastAsia="zh-CN"/>
        </w:rPr>
        <w:t>畜禽养殖场所与居民生活区分离。</w:t>
      </w:r>
    </w:p>
    <w:p w14:paraId="25B85327">
      <w:pPr>
        <w:ind w:firstLine="480"/>
        <w:rPr>
          <w:rFonts w:ascii="Times New Roman" w:hAnsi="Times New Roman" w:cs="Times New Roman"/>
          <w:color w:val="auto"/>
        </w:rPr>
      </w:pPr>
      <w:r>
        <w:rPr>
          <w:rFonts w:ascii="Times New Roman" w:hAnsi="Times New Roman" w:cs="Times New Roman"/>
          <w:color w:val="auto"/>
        </w:rPr>
        <w:t>本项目选址范围距离城镇居民区、文化教育科研等人口集中区域</w:t>
      </w:r>
      <w:r>
        <w:rPr>
          <w:rFonts w:hint="eastAsia" w:cs="Times New Roman"/>
          <w:color w:val="auto"/>
          <w:lang w:val="en-US" w:eastAsia="zh-CN"/>
        </w:rPr>
        <w:t>2</w:t>
      </w:r>
      <w:r>
        <w:rPr>
          <w:rFonts w:ascii="Times New Roman" w:hAnsi="Times New Roman" w:cs="Times New Roman"/>
          <w:color w:val="auto"/>
        </w:rPr>
        <w:t>500m以上，满足《</w:t>
      </w:r>
      <w:r>
        <w:rPr>
          <w:rFonts w:hint="eastAsia" w:ascii="Times New Roman" w:hAnsi="Times New Roman" w:cs="Times New Roman"/>
          <w:color w:val="auto"/>
          <w:lang w:val="en-US" w:eastAsia="zh-CN"/>
        </w:rPr>
        <w:t>畜禽养殖产地环境评价规范</w:t>
      </w:r>
      <w:r>
        <w:rPr>
          <w:rFonts w:ascii="Times New Roman" w:hAnsi="Times New Roman" w:cs="Times New Roman"/>
          <w:color w:val="auto"/>
        </w:rPr>
        <w:t>》的选址要求。</w:t>
      </w:r>
    </w:p>
    <w:p w14:paraId="5D90CD22">
      <w:pPr>
        <w:ind w:firstLine="0" w:firstLineChars="0"/>
        <w:rPr>
          <w:rFonts w:ascii="Times New Roman" w:hAnsi="Times New Roman" w:cs="Times New Roman"/>
          <w:b/>
          <w:bCs/>
          <w:color w:val="auto"/>
        </w:rPr>
      </w:pPr>
      <w:r>
        <w:rPr>
          <w:rFonts w:ascii="Times New Roman" w:hAnsi="Times New Roman" w:cs="Times New Roman"/>
          <w:b/>
          <w:bCs/>
          <w:color w:val="auto"/>
        </w:rPr>
        <w:t>1.3.6.</w:t>
      </w:r>
      <w:r>
        <w:rPr>
          <w:rFonts w:hint="eastAsia" w:ascii="Times New Roman" w:hAnsi="Times New Roman" w:cs="Times New Roman"/>
          <w:b/>
          <w:bCs/>
          <w:color w:val="auto"/>
          <w:lang w:val="en-US" w:eastAsia="zh-CN"/>
        </w:rPr>
        <w:t>7</w:t>
      </w:r>
      <w:r>
        <w:rPr>
          <w:rFonts w:ascii="Times New Roman" w:hAnsi="Times New Roman" w:cs="Times New Roman"/>
          <w:b/>
          <w:bCs/>
          <w:color w:val="auto"/>
        </w:rPr>
        <w:t>与《</w:t>
      </w:r>
      <w:r>
        <w:rPr>
          <w:rFonts w:hint="eastAsia" w:ascii="Times New Roman" w:hAnsi="Times New Roman" w:cs="Times New Roman"/>
          <w:b/>
          <w:bCs/>
          <w:color w:val="auto"/>
          <w:lang w:val="en-US" w:eastAsia="zh-CN"/>
        </w:rPr>
        <w:t>畜禽养殖业污染治理工程技术规范</w:t>
      </w:r>
      <w:r>
        <w:rPr>
          <w:rFonts w:ascii="Times New Roman" w:hAnsi="Times New Roman" w:cs="Times New Roman"/>
          <w:b/>
          <w:bCs/>
          <w:color w:val="auto"/>
        </w:rPr>
        <w:t>》（</w:t>
      </w:r>
      <w:r>
        <w:rPr>
          <w:rFonts w:hint="eastAsia" w:ascii="Times New Roman" w:hAnsi="Times New Roman" w:cs="Times New Roman"/>
          <w:b/>
          <w:bCs/>
          <w:color w:val="auto"/>
          <w:lang w:val="en-US" w:eastAsia="zh-CN"/>
        </w:rPr>
        <w:t>HJ497-2009</w:t>
      </w:r>
      <w:r>
        <w:rPr>
          <w:rFonts w:ascii="Times New Roman" w:hAnsi="Times New Roman" w:cs="Times New Roman"/>
          <w:b/>
          <w:bCs/>
          <w:color w:val="auto"/>
        </w:rPr>
        <w:t>）相符性分析</w:t>
      </w:r>
    </w:p>
    <w:p w14:paraId="6D04F357">
      <w:pPr>
        <w:ind w:firstLine="480"/>
        <w:rPr>
          <w:rFonts w:ascii="Times New Roman" w:hAnsi="Times New Roman" w:cs="Times New Roman"/>
          <w:color w:val="auto"/>
        </w:rPr>
      </w:pPr>
      <w:r>
        <w:rPr>
          <w:rFonts w:ascii="Times New Roman" w:hAnsi="Times New Roman" w:cs="Times New Roman"/>
          <w:color w:val="auto"/>
        </w:rPr>
        <w:t>根据《</w:t>
      </w:r>
      <w:r>
        <w:rPr>
          <w:rFonts w:hint="eastAsia" w:ascii="Times New Roman" w:hAnsi="Times New Roman" w:cs="Times New Roman"/>
          <w:color w:val="auto"/>
          <w:lang w:val="en-US" w:eastAsia="zh-CN"/>
        </w:rPr>
        <w:t>畜禽养殖业污染治理工程技术规范</w:t>
      </w:r>
      <w:r>
        <w:rPr>
          <w:rFonts w:ascii="Times New Roman" w:hAnsi="Times New Roman" w:cs="Times New Roman"/>
          <w:color w:val="auto"/>
        </w:rPr>
        <w:t>》中规定，养殖小区选址应当符合下列条件：</w:t>
      </w:r>
    </w:p>
    <w:p w14:paraId="7CBA3FCF">
      <w:pPr>
        <w:ind w:firstLine="48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畜禽养殖业污染治理工程应与养殖场生产区、居民区等建筑保持一定的卫生防护距离，设置在畜禽养殖场的生产区、生活区主导风向的下风向或侧风向处</w:t>
      </w:r>
      <w:r>
        <w:rPr>
          <w:rFonts w:ascii="Times New Roman" w:hAnsi="Times New Roman" w:cs="Times New Roman"/>
          <w:color w:val="auto"/>
        </w:rPr>
        <w:t>；</w:t>
      </w:r>
    </w:p>
    <w:p w14:paraId="1DAAD83F">
      <w:pPr>
        <w:ind w:firstLine="480"/>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lang w:val="en-US" w:eastAsia="zh-CN"/>
        </w:rPr>
        <w:t>畜禽养殖业污染治理工程的位置应有利于排放、资源化利用和运输，并留有扩建的余地，方便施工、运行和维护</w:t>
      </w:r>
      <w:r>
        <w:rPr>
          <w:rFonts w:ascii="Times New Roman" w:hAnsi="Times New Roman" w:cs="Times New Roman"/>
          <w:color w:val="auto"/>
        </w:rPr>
        <w:t>；</w:t>
      </w:r>
    </w:p>
    <w:p w14:paraId="2A34F88D">
      <w:pPr>
        <w:ind w:firstLine="480"/>
        <w:rPr>
          <w:rFonts w:ascii="Times New Roman" w:hAnsi="Times New Roman" w:cs="Times New Roman"/>
          <w:color w:val="auto"/>
        </w:rPr>
      </w:pPr>
      <w:r>
        <w:rPr>
          <w:rFonts w:ascii="Times New Roman" w:hAnsi="Times New Roman" w:cs="Times New Roman"/>
          <w:color w:val="auto"/>
        </w:rPr>
        <w:t>本项目选址范围距离城镇居民区、文化教育科研等人口集中区域等</w:t>
      </w:r>
      <w:r>
        <w:rPr>
          <w:rFonts w:hint="eastAsia" w:cs="Times New Roman"/>
          <w:color w:val="auto"/>
          <w:lang w:val="en-US" w:eastAsia="zh-CN"/>
        </w:rPr>
        <w:t>2</w:t>
      </w:r>
      <w:r>
        <w:rPr>
          <w:rFonts w:ascii="Times New Roman" w:hAnsi="Times New Roman" w:cs="Times New Roman"/>
          <w:color w:val="auto"/>
        </w:rPr>
        <w:t>500m以上，</w:t>
      </w:r>
      <w:r>
        <w:rPr>
          <w:rFonts w:hint="eastAsia" w:ascii="Times New Roman" w:hAnsi="Times New Roman" w:cs="Times New Roman"/>
          <w:color w:val="auto"/>
          <w:lang w:val="en-US" w:eastAsia="zh-CN"/>
        </w:rPr>
        <w:t>本项目养殖区污水进行集中收集</w:t>
      </w:r>
      <w:r>
        <w:rPr>
          <w:rFonts w:hint="eastAsia" w:cs="Times New Roman"/>
          <w:color w:val="auto"/>
          <w:lang w:val="en-US" w:eastAsia="zh-CN"/>
        </w:rPr>
        <w:t>处理回用</w:t>
      </w:r>
      <w:r>
        <w:rPr>
          <w:rFonts w:hint="eastAsia" w:ascii="Times New Roman" w:hAnsi="Times New Roman" w:cs="Times New Roman"/>
          <w:color w:val="auto"/>
          <w:lang w:val="en-US" w:eastAsia="zh-CN"/>
        </w:rPr>
        <w:t>，</w:t>
      </w:r>
      <w:r>
        <w:rPr>
          <w:rFonts w:hint="eastAsia" w:cs="Times New Roman"/>
          <w:color w:val="auto"/>
          <w:lang w:val="en-US" w:eastAsia="zh-CN"/>
        </w:rPr>
        <w:t>鸭粪</w:t>
      </w:r>
      <w:r>
        <w:rPr>
          <w:rFonts w:hint="eastAsia" w:ascii="Times New Roman" w:hAnsi="Times New Roman" w:cs="Times New Roman"/>
          <w:color w:val="auto"/>
          <w:lang w:val="en-US" w:eastAsia="zh-CN"/>
        </w:rPr>
        <w:t>拉运至63团3连粪污处理场，</w:t>
      </w:r>
      <w:r>
        <w:rPr>
          <w:rFonts w:hint="eastAsia" w:cs="Times New Roman"/>
          <w:color w:val="auto"/>
          <w:lang w:val="en-US" w:eastAsia="zh-CN"/>
        </w:rPr>
        <w:t>污水处理后用于绿化浇灌，</w:t>
      </w:r>
      <w:r>
        <w:rPr>
          <w:rFonts w:hint="eastAsia" w:ascii="Times New Roman" w:hAnsi="Times New Roman" w:cs="Times New Roman"/>
          <w:color w:val="auto"/>
          <w:lang w:val="en-US" w:eastAsia="zh-CN"/>
        </w:rPr>
        <w:t>项目区范围内不设置粪污处理工程</w:t>
      </w:r>
      <w:r>
        <w:rPr>
          <w:rFonts w:hint="eastAsia" w:ascii="Times New Roman" w:hAnsi="Times New Roman" w:cs="Times New Roman"/>
          <w:color w:val="auto"/>
          <w:lang w:eastAsia="zh-CN"/>
        </w:rPr>
        <w:t>，</w:t>
      </w:r>
      <w:r>
        <w:rPr>
          <w:rFonts w:ascii="Times New Roman" w:hAnsi="Times New Roman" w:cs="Times New Roman"/>
          <w:color w:val="auto"/>
        </w:rPr>
        <w:t>满足《</w:t>
      </w:r>
      <w:r>
        <w:rPr>
          <w:rFonts w:hint="eastAsia" w:ascii="Times New Roman" w:hAnsi="Times New Roman" w:cs="Times New Roman"/>
          <w:color w:val="auto"/>
          <w:lang w:val="en-US" w:eastAsia="zh-CN"/>
        </w:rPr>
        <w:t>畜禽养殖业污染治理工程技术规范</w:t>
      </w:r>
      <w:r>
        <w:rPr>
          <w:rFonts w:ascii="Times New Roman" w:hAnsi="Times New Roman" w:cs="Times New Roman"/>
          <w:color w:val="auto"/>
        </w:rPr>
        <w:t>》的选址要求。</w:t>
      </w:r>
    </w:p>
    <w:p w14:paraId="51425155">
      <w:pPr>
        <w:ind w:firstLine="480"/>
        <w:rPr>
          <w:rFonts w:ascii="Times New Roman" w:hAnsi="Times New Roman" w:cs="Times New Roman"/>
          <w:color w:val="auto"/>
        </w:rPr>
      </w:pPr>
      <w:r>
        <w:rPr>
          <w:rFonts w:ascii="Times New Roman" w:hAnsi="Times New Roman" w:cs="Times New Roman"/>
          <w:color w:val="auto"/>
        </w:rPr>
        <w:t>综上所述，本项目</w:t>
      </w:r>
      <w:r>
        <w:rPr>
          <w:rFonts w:hint="eastAsia" w:cs="Times New Roman"/>
          <w:color w:val="auto"/>
          <w:lang w:val="en-US" w:eastAsia="zh-CN"/>
        </w:rPr>
        <w:t>满足</w:t>
      </w:r>
      <w:r>
        <w:rPr>
          <w:rFonts w:ascii="Times New Roman" w:hAnsi="Times New Roman" w:cs="Times New Roman"/>
          <w:color w:val="auto"/>
        </w:rPr>
        <w:t>《</w:t>
      </w:r>
      <w:r>
        <w:rPr>
          <w:rFonts w:hint="eastAsia" w:ascii="Times New Roman" w:hAnsi="Times New Roman" w:cs="Times New Roman"/>
          <w:color w:val="auto"/>
          <w:lang w:val="en-US" w:eastAsia="zh-CN"/>
        </w:rPr>
        <w:t>畜禽养殖业污染治理工程技术规范</w:t>
      </w:r>
      <w:r>
        <w:rPr>
          <w:rFonts w:ascii="Times New Roman" w:hAnsi="Times New Roman" w:cs="Times New Roman"/>
          <w:color w:val="auto"/>
        </w:rPr>
        <w:t>》。</w:t>
      </w:r>
    </w:p>
    <w:p w14:paraId="7F3217C5">
      <w:pPr>
        <w:pStyle w:val="4"/>
        <w:ind w:left="120"/>
        <w:rPr>
          <w:rFonts w:ascii="Times New Roman" w:hAnsi="Times New Roman" w:cs="Times New Roman"/>
          <w:color w:val="auto"/>
          <w:lang w:val="en-GB"/>
        </w:rPr>
      </w:pPr>
      <w:bookmarkStart w:id="24" w:name="_Toc4775"/>
      <w:bookmarkStart w:id="25" w:name="_Toc490417056"/>
      <w:bookmarkStart w:id="26" w:name="_Toc483491973"/>
      <w:r>
        <w:rPr>
          <w:rFonts w:ascii="Times New Roman" w:hAnsi="Times New Roman" w:cs="Times New Roman"/>
          <w:color w:val="auto"/>
          <w:lang w:val="en-GB"/>
        </w:rPr>
        <w:t>建设项目特点</w:t>
      </w:r>
      <w:bookmarkEnd w:id="24"/>
      <w:bookmarkEnd w:id="25"/>
      <w:bookmarkEnd w:id="26"/>
    </w:p>
    <w:p w14:paraId="5FF3821E">
      <w:pPr>
        <w:ind w:firstLine="480"/>
        <w:rPr>
          <w:rFonts w:ascii="Times New Roman" w:hAnsi="Times New Roman" w:cs="Times New Roman"/>
          <w:color w:val="FF0000"/>
        </w:rPr>
      </w:pPr>
      <w:r>
        <w:rPr>
          <w:rFonts w:ascii="Times New Roman" w:hAnsi="Times New Roman" w:cs="Times New Roman"/>
          <w:color w:val="auto"/>
        </w:rPr>
        <w:t>（1</w:t>
      </w:r>
      <w:r>
        <w:rPr>
          <w:rFonts w:ascii="Times New Roman" w:hAnsi="Times New Roman" w:cs="Times New Roman"/>
          <w:color w:val="000000" w:themeColor="text1"/>
          <w14:textFill>
            <w14:solidFill>
              <w14:schemeClr w14:val="tx1"/>
            </w14:solidFill>
          </w14:textFill>
        </w:rPr>
        <w:t>）本项目为</w:t>
      </w:r>
      <w:r>
        <w:rPr>
          <w:rFonts w:hint="eastAsia" w:cs="Times New Roman"/>
          <w:color w:val="000000" w:themeColor="text1"/>
          <w:lang w:val="en-US" w:eastAsia="zh-CN"/>
          <w14:textFill>
            <w14:solidFill>
              <w14:schemeClr w14:val="tx1"/>
            </w14:solidFill>
          </w14:textFill>
        </w:rPr>
        <w:t>新建</w:t>
      </w:r>
      <w:r>
        <w:rPr>
          <w:rFonts w:ascii="Times New Roman" w:hAnsi="Times New Roman" w:cs="Times New Roman"/>
          <w:color w:val="000000" w:themeColor="text1"/>
          <w14:textFill>
            <w14:solidFill>
              <w14:schemeClr w14:val="tx1"/>
            </w14:solidFill>
          </w14:textFill>
        </w:rPr>
        <w:t>项目，施工期主要产生施工废水、扬尘、噪声及固废等，对环境有一定影响；项目在营运过程中产生的污染物主</w:t>
      </w:r>
      <w:r>
        <w:rPr>
          <w:rFonts w:hint="eastAsia" w:cs="Times New Roman"/>
          <w:color w:val="000000" w:themeColor="text1"/>
          <w:lang w:eastAsia="zh-CN"/>
          <w14:textFill>
            <w14:solidFill>
              <w14:schemeClr w14:val="tx1"/>
            </w14:solidFill>
          </w14:textFill>
        </w:rPr>
        <w:t>要是</w:t>
      </w:r>
      <w:r>
        <w:rPr>
          <w:rFonts w:ascii="Times New Roman" w:hAnsi="Times New Roman" w:cs="Times New Roman"/>
          <w:color w:val="000000" w:themeColor="text1"/>
          <w14:textFill>
            <w14:solidFill>
              <w14:schemeClr w14:val="tx1"/>
            </w14:solidFill>
          </w14:textFill>
        </w:rPr>
        <w:t>养殖区和</w:t>
      </w:r>
      <w:r>
        <w:rPr>
          <w:rFonts w:hint="eastAsia" w:cs="Times New Roman"/>
          <w:color w:val="000000" w:themeColor="text1"/>
          <w:lang w:val="en-US" w:eastAsia="zh-CN"/>
          <w14:textFill>
            <w14:solidFill>
              <w14:schemeClr w14:val="tx1"/>
            </w14:solidFill>
          </w14:textFill>
        </w:rPr>
        <w:t>污水处理设施</w:t>
      </w:r>
      <w:r>
        <w:rPr>
          <w:rFonts w:ascii="Times New Roman" w:hAnsi="Times New Roman" w:cs="Times New Roman"/>
          <w:color w:val="000000" w:themeColor="text1"/>
          <w14:textFill>
            <w14:solidFill>
              <w14:schemeClr w14:val="tx1"/>
            </w14:solidFill>
          </w14:textFill>
        </w:rPr>
        <w:t>周围产生的恶臭气体；</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叫声及设备运行噪声影响；生产过</w:t>
      </w:r>
      <w:r>
        <w:rPr>
          <w:rFonts w:hint="eastAsia" w:cs="Times New Roman"/>
          <w:color w:val="000000" w:themeColor="text1"/>
          <w:lang w:eastAsia="zh-CN"/>
          <w14:textFill>
            <w14:solidFill>
              <w14:schemeClr w14:val="tx1"/>
            </w14:solidFill>
          </w14:textFill>
        </w:rPr>
        <w:t>程中</w:t>
      </w:r>
      <w:r>
        <w:rPr>
          <w:rFonts w:ascii="Times New Roman" w:hAnsi="Times New Roman" w:cs="Times New Roman"/>
          <w:color w:val="000000" w:themeColor="text1"/>
          <w14:textFill>
            <w14:solidFill>
              <w14:schemeClr w14:val="tx1"/>
            </w14:solidFill>
          </w14:textFill>
        </w:rPr>
        <w:t>产生的</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尸体及兽用医疗废物等固体废物的影响。</w:t>
      </w:r>
    </w:p>
    <w:p w14:paraId="1898CBC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auto"/>
        </w:rPr>
        <w:t>（2）本项目不涉及自然保护区、饮用水源保护区、基本农田保护区、森林公园等敏感区域；不属于城市和城镇居民区等人口集中地区；不在</w:t>
      </w:r>
      <w:r>
        <w:rPr>
          <w:rFonts w:hint="eastAsia" w:ascii="Times New Roman" w:hAnsi="Times New Roman" w:cs="Times New Roman"/>
          <w:color w:val="auto"/>
          <w:lang w:val="en-US" w:eastAsia="zh-CN"/>
        </w:rPr>
        <w:t>第四师</w:t>
      </w:r>
      <w:r>
        <w:rPr>
          <w:rFonts w:ascii="Times New Roman" w:hAnsi="Times New Roman" w:cs="Times New Roman"/>
          <w:color w:val="auto"/>
        </w:rPr>
        <w:t>人民政府依法划定的禁养区和限养区域以及国家或地方</w:t>
      </w:r>
      <w:r>
        <w:rPr>
          <w:rFonts w:hint="eastAsia" w:ascii="Times New Roman" w:hAnsi="Times New Roman" w:cs="Times New Roman"/>
          <w:color w:val="auto"/>
          <w:lang w:eastAsia="zh-CN"/>
        </w:rPr>
        <w:t>法律法规</w:t>
      </w:r>
      <w:r>
        <w:rPr>
          <w:rFonts w:ascii="Times New Roman" w:hAnsi="Times New Roman" w:cs="Times New Roman"/>
          <w:color w:val="auto"/>
        </w:rPr>
        <w:t>规定需特殊保护的</w:t>
      </w:r>
      <w:r>
        <w:rPr>
          <w:rFonts w:hint="eastAsia" w:cs="Times New Roman"/>
          <w:color w:val="auto"/>
          <w:lang w:eastAsia="zh-CN"/>
        </w:rPr>
        <w:t>其他</w:t>
      </w:r>
      <w:r>
        <w:rPr>
          <w:rFonts w:ascii="Times New Roman" w:hAnsi="Times New Roman" w:cs="Times New Roman"/>
          <w:color w:val="auto"/>
        </w:rPr>
        <w:t>区域，项目区为典型</w:t>
      </w:r>
      <w:r>
        <w:rPr>
          <w:rFonts w:ascii="Times New Roman" w:hAnsi="Times New Roman" w:cs="Times New Roman"/>
          <w:color w:val="000000" w:themeColor="text1"/>
          <w14:textFill>
            <w14:solidFill>
              <w14:schemeClr w14:val="tx1"/>
            </w14:solidFill>
          </w14:textFill>
        </w:rPr>
        <w:t>的农村环境，周边环境质量较好。</w:t>
      </w:r>
    </w:p>
    <w:p w14:paraId="0E5C71F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（3）工程特点：本项目采用干清粪工艺，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w:t>
      </w:r>
      <w:r>
        <w:rPr>
          <w:rFonts w:hint="eastAsia" w:cs="Times New Roman"/>
          <w:color w:val="000000" w:themeColor="text1"/>
          <w:lang w:eastAsia="zh-CN"/>
          <w14:textFill>
            <w14:solidFill>
              <w14:schemeClr w14:val="tx1"/>
            </w14:solidFill>
          </w14:textFill>
        </w:rPr>
        <w:t>清污后随即</w:t>
      </w:r>
      <w:r>
        <w:rPr>
          <w:rFonts w:ascii="Times New Roman" w:hAnsi="Times New Roman" w:cs="Times New Roman"/>
          <w:color w:val="000000" w:themeColor="text1"/>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尸体委托伊宁市病死畜禽无害化处理中心处理。根据</w:t>
      </w:r>
      <w:r>
        <w:rPr>
          <w:rFonts w:hint="eastAsia" w:cs="Times New Roman"/>
          <w:color w:val="000000" w:themeColor="text1"/>
          <w:lang w:eastAsia="zh-CN"/>
          <w14:textFill>
            <w14:solidFill>
              <w14:schemeClr w14:val="tx1"/>
            </w14:solidFill>
          </w14:textFill>
        </w:rPr>
        <w:t>农业农村部</w:t>
      </w:r>
      <w:r>
        <w:rPr>
          <w:rFonts w:ascii="Times New Roman" w:hAnsi="Times New Roman" w:cs="Times New Roman"/>
          <w:color w:val="000000" w:themeColor="text1"/>
          <w14:textFill>
            <w14:solidFill>
              <w14:schemeClr w14:val="tx1"/>
            </w14:solidFill>
          </w14:textFill>
        </w:rPr>
        <w:t>2017年7月3日发布的“关于印发《病死及病害动物无害化处理技术规范》的通知”，</w:t>
      </w:r>
      <w:r>
        <w:rPr>
          <w:rFonts w:hint="eastAsia" w:cs="Times New Roman"/>
          <w:color w:val="000000" w:themeColor="text1"/>
          <w:lang w:val="en-US" w:eastAsia="zh-CN"/>
          <w14:textFill>
            <w14:solidFill>
              <w14:schemeClr w14:val="tx1"/>
            </w14:solidFill>
          </w14:textFill>
        </w:rPr>
        <w:t>处理方式均符合推荐的</w:t>
      </w:r>
      <w:r>
        <w:rPr>
          <w:rFonts w:ascii="Times New Roman" w:hAnsi="Times New Roman" w:cs="Times New Roman"/>
          <w:color w:val="000000" w:themeColor="text1"/>
          <w14:textFill>
            <w14:solidFill>
              <w14:schemeClr w14:val="tx1"/>
            </w14:solidFill>
          </w14:textFill>
        </w:rPr>
        <w:t>可行技术。</w:t>
      </w:r>
    </w:p>
    <w:p w14:paraId="1C1D511C">
      <w:pPr>
        <w:pStyle w:val="4"/>
        <w:ind w:left="120"/>
        <w:rPr>
          <w:rFonts w:ascii="Times New Roman" w:hAnsi="Times New Roman" w:cs="Times New Roman"/>
          <w:color w:val="auto"/>
          <w:lang w:val="en-GB"/>
        </w:rPr>
      </w:pPr>
      <w:bookmarkStart w:id="27" w:name="_Toc490417057"/>
      <w:bookmarkStart w:id="28" w:name="_Toc483491974"/>
      <w:bookmarkStart w:id="29" w:name="_Toc16591"/>
      <w:r>
        <w:rPr>
          <w:rFonts w:ascii="Times New Roman" w:hAnsi="Times New Roman" w:cs="Times New Roman"/>
          <w:color w:val="auto"/>
          <w:lang w:val="en-GB"/>
        </w:rPr>
        <w:t>关注的环境问题</w:t>
      </w:r>
      <w:bookmarkEnd w:id="27"/>
      <w:bookmarkEnd w:id="28"/>
      <w:r>
        <w:rPr>
          <w:rFonts w:hint="eastAsia" w:ascii="Times New Roman" w:hAnsi="Times New Roman" w:cs="Times New Roman"/>
          <w:color w:val="auto"/>
          <w:lang w:val="en-US" w:eastAsia="zh-CN"/>
        </w:rPr>
        <w:t>及本项目环境影响</w:t>
      </w:r>
      <w:bookmarkEnd w:id="29"/>
    </w:p>
    <w:p w14:paraId="164174B9">
      <w:pPr>
        <w:ind w:firstLine="480"/>
        <w:rPr>
          <w:rFonts w:ascii="Times New Roman" w:hAnsi="Times New Roman" w:cs="Times New Roman"/>
          <w:color w:val="auto"/>
        </w:rPr>
      </w:pPr>
      <w:r>
        <w:rPr>
          <w:rFonts w:ascii="Times New Roman" w:hAnsi="Times New Roman" w:cs="Times New Roman"/>
          <w:color w:val="auto"/>
        </w:rPr>
        <w:t>本项目主要关注的环境问题有以下几个方面：</w:t>
      </w:r>
    </w:p>
    <w:p w14:paraId="6EBC2054">
      <w:pPr>
        <w:ind w:firstLine="480"/>
        <w:rPr>
          <w:rFonts w:ascii="Times New Roman" w:hAnsi="Times New Roman" w:cs="Times New Roman"/>
          <w:color w:val="auto"/>
        </w:rPr>
      </w:pPr>
      <w:r>
        <w:rPr>
          <w:rFonts w:ascii="Times New Roman" w:hAnsi="Times New Roman" w:cs="Times New Roman"/>
          <w:color w:val="auto"/>
        </w:rPr>
        <w:t>（1）施工期施工噪声、扬尘、各类弃渣、建筑垃圾对周边环境的影响及施工废水对水环境的影响，以及生态环境的影响。</w:t>
      </w:r>
    </w:p>
    <w:p w14:paraId="1841386B">
      <w:pPr>
        <w:ind w:firstLine="480"/>
        <w:rPr>
          <w:rFonts w:hint="default" w:ascii="Times New Roman" w:hAnsi="Times New Roman" w:cs="Times New Roman" w:eastAsiaTheme="minorEastAsia"/>
          <w:color w:val="auto"/>
          <w:lang w:val="en-US" w:eastAsia="zh-CN"/>
        </w:rPr>
      </w:pPr>
      <w:r>
        <w:rPr>
          <w:rFonts w:ascii="Times New Roman" w:hAnsi="Times New Roman" w:cs="Times New Roman"/>
          <w:color w:val="auto"/>
        </w:rPr>
        <w:t>（2）运营期污染物对环境的影响：本项目废气主要是运营过程中产生的H2S、NH3、臭气浓度等对环境的影响；</w:t>
      </w:r>
      <w:r>
        <w:rPr>
          <w:rFonts w:hint="eastAsia" w:ascii="Times New Roman" w:hAnsi="Times New Roman" w:cs="Times New Roman"/>
          <w:color w:val="auto"/>
          <w:lang w:val="en-US" w:eastAsia="zh-CN"/>
        </w:rPr>
        <w:t>家禽</w:t>
      </w:r>
      <w:r>
        <w:rPr>
          <w:rFonts w:ascii="Times New Roman" w:hAnsi="Times New Roman" w:cs="Times New Roman"/>
          <w:color w:val="auto"/>
        </w:rPr>
        <w:t>尿及垫草料等固体废弃物在项目区的收集、暂存、处置等问题</w:t>
      </w:r>
      <w:r>
        <w:rPr>
          <w:rFonts w:hint="eastAsia" w:cs="Times New Roman"/>
          <w:color w:val="auto"/>
          <w:lang w:eastAsia="zh-CN"/>
        </w:rPr>
        <w:t>；</w:t>
      </w:r>
      <w:r>
        <w:rPr>
          <w:rFonts w:hint="eastAsia" w:cs="Times New Roman"/>
          <w:color w:val="auto"/>
          <w:lang w:val="en-US" w:eastAsia="zh-CN"/>
        </w:rPr>
        <w:t>病死家禽及医疗废物的合理处理。</w:t>
      </w:r>
    </w:p>
    <w:p w14:paraId="570176BA">
      <w:pPr>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本项目主要环境影响有以下几方面：</w:t>
      </w:r>
    </w:p>
    <w:p w14:paraId="51B3A4F3">
      <w:pPr>
        <w:ind w:firstLine="480"/>
        <w:rPr>
          <w:rFonts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）废气</w:t>
      </w:r>
    </w:p>
    <w:p w14:paraId="568C42CB">
      <w:pPr>
        <w:ind w:firstLine="48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拟建项目产生的废气包括鸭舍恶臭、</w:t>
      </w:r>
      <w:r>
        <w:rPr>
          <w:rFonts w:hint="eastAsia" w:cs="Times New Roman"/>
          <w:color w:val="000000" w:themeColor="text1"/>
          <w:lang w:val="en-US" w:eastAsia="zh-CN"/>
          <w14:textFill>
            <w14:solidFill>
              <w14:schemeClr w14:val="tx1"/>
            </w14:solidFill>
          </w14:textFill>
        </w:rPr>
        <w:t>粪污处理区</w:t>
      </w:r>
      <w:r>
        <w:rPr>
          <w:rFonts w:hint="eastAsia" w:ascii="Times New Roman" w:hAnsi="Times New Roman" w:cs="Times New Roman"/>
          <w:color w:val="000000" w:themeColor="text1"/>
          <w:lang w:val="en-US" w:eastAsia="zh-CN"/>
          <w14:textFill>
            <w14:solidFill>
              <w14:schemeClr w14:val="tx1"/>
            </w14:solidFill>
          </w14:textFill>
        </w:rPr>
        <w:t>恶臭、料塔粉尘、</w:t>
      </w:r>
      <w:r>
        <w:rPr>
          <w:rFonts w:hint="eastAsia" w:cs="Times New Roman"/>
          <w:color w:val="000000" w:themeColor="text1"/>
          <w:lang w:val="en-US" w:eastAsia="zh-CN"/>
          <w14:textFill>
            <w14:solidFill>
              <w14:schemeClr w14:val="tx1"/>
            </w14:solidFill>
          </w14:textFill>
        </w:rPr>
        <w:t>供热锅炉烟气、</w:t>
      </w:r>
      <w:r>
        <w:rPr>
          <w:rFonts w:hint="eastAsia" w:ascii="Times New Roman" w:hAnsi="Times New Roman" w:cs="Times New Roman"/>
          <w:color w:val="000000" w:themeColor="text1"/>
          <w:lang w:val="en-US" w:eastAsia="zh-CN"/>
          <w14:textFill>
            <w14:solidFill>
              <w14:schemeClr w14:val="tx1"/>
            </w14:solidFill>
          </w14:textFill>
        </w:rPr>
        <w:t>食堂油烟等。</w:t>
      </w:r>
    </w:p>
    <w:p w14:paraId="28477FFD">
      <w:pPr>
        <w:ind w:firstLine="480"/>
        <w:rPr>
          <w:rFonts w:ascii="Times New Roman" w:hAnsi="Times New Roman" w:cs="Times New Roman"/>
          <w:color w:val="auto"/>
        </w:rPr>
      </w:pPr>
      <w:r>
        <w:rPr>
          <w:rFonts w:hint="eastAsia" w:ascii="Times New Roman" w:hAnsi="Times New Roman" w:cs="Times New Roman"/>
          <w:color w:val="000000" w:themeColor="text1"/>
          <w:lang w:val="en-US" w:eastAsia="zh-CN"/>
          <w14:textFill>
            <w14:solidFill>
              <w14:schemeClr w14:val="tx1"/>
            </w14:solidFill>
          </w14:textFill>
        </w:rPr>
        <w:t>通过加强鸭舍通风、调整饲料成分、喷洒除臭剂等措施，项目无组织恶臭气体能够满足《恶臭污染物排放标准》（</w:t>
      </w:r>
      <w:r>
        <w:rPr>
          <w:rFonts w:hint="default" w:ascii="Times New Roman" w:hAnsi="Times New Roman" w:cs="Times New Roman"/>
          <w:color w:val="000000" w:themeColor="text1"/>
          <w:lang w:val="en-US" w:eastAsia="zh-CN"/>
          <w14:textFill>
            <w14:solidFill>
              <w14:schemeClr w14:val="tx1"/>
            </w14:solidFill>
          </w14:textFill>
        </w:rPr>
        <w:t>GB14554-93</w:t>
      </w:r>
      <w:r>
        <w:rPr>
          <w:rFonts w:hint="eastAsia" w:ascii="Times New Roman" w:hAnsi="Times New Roman" w:cs="Times New Roman"/>
          <w:color w:val="000000" w:themeColor="text1"/>
          <w:lang w:val="en-US" w:eastAsia="zh-CN"/>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恶臭污染物厂界标准要求和《畜禽养殖业污染物排放标准》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GB18596-2001</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lang w:val="en-US" w:eastAsia="zh-CN"/>
          <w14:textFill>
            <w14:solidFill>
              <w14:schemeClr w14:val="tx1"/>
            </w14:solidFill>
          </w14:textFill>
        </w:rPr>
        <w:t>集约化畜禽养殖业恶臭污染物排放标准；料塔粉尘能够满足《大气污染物综合排放标准》（</w:t>
      </w:r>
      <w:r>
        <w:rPr>
          <w:rFonts w:hint="default" w:ascii="Times New Roman" w:hAnsi="Times New Roman" w:cs="Times New Roman"/>
          <w:color w:val="000000" w:themeColor="text1"/>
          <w:lang w:val="en-US" w:eastAsia="zh-CN"/>
          <w14:textFill>
            <w14:solidFill>
              <w14:schemeClr w14:val="tx1"/>
            </w14:solidFill>
          </w14:textFill>
        </w:rPr>
        <w:t>GB16297-1996</w:t>
      </w:r>
      <w:r>
        <w:rPr>
          <w:rFonts w:hint="eastAsia" w:ascii="Times New Roman" w:hAnsi="Times New Roman" w:cs="Times New Roman"/>
          <w:color w:val="000000" w:themeColor="text1"/>
          <w:lang w:val="en-US" w:eastAsia="zh-CN"/>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无组织排放监控浓度限值标准要求；</w:t>
      </w:r>
      <w:r>
        <w:rPr>
          <w:rFonts w:hint="eastAsia" w:ascii="Times New Roman" w:hAnsi="Times New Roman" w:cs="Times New Roman"/>
          <w:color w:val="auto"/>
          <w:lang w:val="en-US" w:eastAsia="zh-CN"/>
        </w:rPr>
        <w:t>食堂油烟由集气罩收集后经油烟机净化器处理后排放，能够满足</w:t>
      </w:r>
      <w:r>
        <w:rPr>
          <w:rFonts w:hint="eastAsia" w:ascii="Times New Roman" w:hAnsi="Times New Roman" w:eastAsia="宋体" w:cs="宋体"/>
          <w:color w:val="auto"/>
          <w:kern w:val="0"/>
          <w:sz w:val="24"/>
          <w:szCs w:val="24"/>
          <w:lang w:val="en-US" w:eastAsia="zh-CN" w:bidi="ar"/>
        </w:rPr>
        <w:t>《饮食业油烟排放标准（试行）》（</w:t>
      </w:r>
      <w:r>
        <w:rPr>
          <w:rFonts w:hint="default" w:ascii="Times New Roman" w:hAnsi="Times New Roman" w:eastAsia="宋体" w:cs="Times New Roman"/>
          <w:color w:val="auto"/>
          <w:kern w:val="0"/>
          <w:sz w:val="24"/>
          <w:szCs w:val="24"/>
          <w:lang w:val="en-US" w:eastAsia="zh-CN" w:bidi="ar"/>
        </w:rPr>
        <w:t>GB18483-2001</w:t>
      </w:r>
      <w:r>
        <w:rPr>
          <w:rFonts w:hint="eastAsia" w:ascii="Times New Roman" w:hAnsi="Times New Roman" w:eastAsia="宋体" w:cs="宋体"/>
          <w:color w:val="auto"/>
          <w:kern w:val="0"/>
          <w:sz w:val="24"/>
          <w:szCs w:val="24"/>
          <w:lang w:val="en-US" w:eastAsia="zh-CN" w:bidi="ar"/>
        </w:rPr>
        <w:t>）小型标准（油烟排放浓度≤</w:t>
      </w:r>
      <w:r>
        <w:rPr>
          <w:rFonts w:hint="default" w:ascii="Times New Roman" w:hAnsi="Times New Roman" w:eastAsia="宋体" w:cs="Times New Roman"/>
          <w:color w:val="auto"/>
          <w:kern w:val="0"/>
          <w:sz w:val="24"/>
          <w:szCs w:val="24"/>
          <w:lang w:val="en-US" w:eastAsia="zh-CN" w:bidi="ar"/>
        </w:rPr>
        <w:t>2.0mg/m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宋体"/>
          <w:color w:val="auto"/>
          <w:kern w:val="0"/>
          <w:sz w:val="24"/>
          <w:szCs w:val="24"/>
          <w:lang w:val="en-US" w:eastAsia="zh-CN" w:bidi="ar"/>
        </w:rPr>
        <w:t>）</w:t>
      </w:r>
      <w:r>
        <w:rPr>
          <w:rFonts w:hint="eastAsia" w:ascii="Times New Roman" w:hAnsi="Times New Roman" w:cs="Times New Roman"/>
          <w:color w:val="auto"/>
          <w:lang w:val="en-US" w:eastAsia="zh-CN"/>
        </w:rPr>
        <w:t>。</w:t>
      </w:r>
    </w:p>
    <w:p w14:paraId="28133907">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auto"/>
          <w:lang w:val="en-US" w:eastAsia="zh-CN"/>
        </w:rPr>
        <w:t>根据预测结果，本项目排放的氨气、硫化氢最大落地浓度占标率均小于</w:t>
      </w:r>
      <w:r>
        <w:rPr>
          <w:rFonts w:hint="default" w:ascii="Times New Roman" w:hAnsi="Times New Roman" w:cs="Times New Roman"/>
          <w:color w:val="auto"/>
          <w:lang w:val="en-US" w:eastAsia="zh-CN"/>
        </w:rPr>
        <w:t>10%</w:t>
      </w:r>
      <w:r>
        <w:rPr>
          <w:rFonts w:hint="eastAsia" w:ascii="Times New Roman" w:hAnsi="Times New Roman" w:cs="Times New Roman"/>
          <w:color w:val="auto"/>
          <w:lang w:val="en-US" w:eastAsia="zh-CN"/>
        </w:rPr>
        <w:t>，对周</w:t>
      </w:r>
      <w:r>
        <w:rPr>
          <w:rFonts w:hint="eastAsia" w:ascii="Times New Roman" w:hAnsi="Times New Roman" w:cs="Times New Roman"/>
          <w:color w:val="000000" w:themeColor="text1"/>
          <w:lang w:val="en-US" w:eastAsia="zh-CN"/>
          <w14:textFill>
            <w14:solidFill>
              <w14:schemeClr w14:val="tx1"/>
            </w14:solidFill>
          </w14:textFill>
        </w:rPr>
        <w:t>围环境的影响较小。</w:t>
      </w:r>
    </w:p>
    <w:p w14:paraId="16E8FB0A">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）废水</w:t>
      </w:r>
    </w:p>
    <w:p w14:paraId="6E2638F9">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废水主要为鸭舍</w:t>
      </w:r>
      <w:r>
        <w:rPr>
          <w:rFonts w:hint="eastAsia" w:cs="Times New Roman"/>
          <w:color w:val="000000" w:themeColor="text1"/>
          <w:lang w:val="en-US" w:eastAsia="zh-CN"/>
          <w14:textFill>
            <w14:solidFill>
              <w14:schemeClr w14:val="tx1"/>
            </w14:solidFill>
          </w14:textFill>
        </w:rPr>
        <w:t>设备</w:t>
      </w:r>
      <w:r>
        <w:rPr>
          <w:rFonts w:hint="eastAsia" w:ascii="Times New Roman" w:hAnsi="Times New Roman" w:cs="Times New Roman"/>
          <w:color w:val="000000" w:themeColor="text1"/>
          <w:lang w:val="en-US" w:eastAsia="zh-CN"/>
          <w14:textFill>
            <w14:solidFill>
              <w14:schemeClr w14:val="tx1"/>
            </w14:solidFill>
          </w14:textFill>
        </w:rPr>
        <w:t>冲洗废水、鸭只饮用泄漏水和职工生活污水。</w:t>
      </w:r>
    </w:p>
    <w:p w14:paraId="30956273">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鸭舍</w:t>
      </w:r>
      <w:r>
        <w:rPr>
          <w:rFonts w:hint="eastAsia" w:cs="Times New Roman"/>
          <w:color w:val="000000" w:themeColor="text1"/>
          <w:lang w:val="en-US" w:eastAsia="zh-CN"/>
          <w14:textFill>
            <w14:solidFill>
              <w14:schemeClr w14:val="tx1"/>
            </w14:solidFill>
          </w14:textFill>
        </w:rPr>
        <w:t>设备</w:t>
      </w:r>
      <w:r>
        <w:rPr>
          <w:rFonts w:hint="eastAsia" w:ascii="Times New Roman" w:hAnsi="Times New Roman" w:cs="Times New Roman"/>
          <w:color w:val="000000" w:themeColor="text1"/>
          <w:lang w:val="en-US" w:eastAsia="zh-CN"/>
          <w14:textFill>
            <w14:solidFill>
              <w14:schemeClr w14:val="tx1"/>
            </w14:solidFill>
          </w14:textFill>
        </w:rPr>
        <w:t>冲洗废水</w:t>
      </w:r>
      <w:r>
        <w:rPr>
          <w:rFonts w:hint="eastAsia" w:cs="Times New Roman"/>
          <w:color w:val="000000" w:themeColor="text1"/>
          <w:lang w:val="en-US" w:eastAsia="zh-CN"/>
          <w14:textFill>
            <w14:solidFill>
              <w14:schemeClr w14:val="tx1"/>
            </w14:solidFill>
          </w14:textFill>
        </w:rPr>
        <w:t>、鸭舍泄漏鸭饮用水属于养殖废水，</w:t>
      </w:r>
      <w:r>
        <w:rPr>
          <w:rFonts w:hint="eastAsia" w:ascii="Times New Roman" w:hAnsi="Times New Roman" w:cs="Times New Roman"/>
          <w:color w:val="000000" w:themeColor="text1"/>
          <w:lang w:val="en-US" w:eastAsia="zh-CN"/>
          <w14:textFill>
            <w14:solidFill>
              <w14:schemeClr w14:val="tx1"/>
            </w14:solidFill>
          </w14:textFill>
        </w:rPr>
        <w:t>经</w:t>
      </w:r>
      <w:r>
        <w:rPr>
          <w:rFonts w:hint="eastAsia" w:cs="Times New Roman"/>
          <w:color w:val="000000" w:themeColor="text1"/>
          <w:lang w:val="en-US" w:eastAsia="zh-CN"/>
          <w14:textFill>
            <w14:solidFill>
              <w14:schemeClr w14:val="tx1"/>
            </w14:solidFill>
          </w14:textFill>
        </w:rPr>
        <w:t>场区污水处理设施处理后，用于厂区内绿化浇灌；生活污水在生活区设置10m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化粪池，化粪处理后，最终剩余物抽排到污水处理厂处理</w:t>
      </w:r>
      <w:r>
        <w:rPr>
          <w:rFonts w:hint="eastAsia" w:ascii="Times New Roman" w:hAnsi="Times New Roman" w:cs="Times New Roman"/>
          <w:color w:val="000000" w:themeColor="text1"/>
          <w:lang w:val="en-US" w:eastAsia="zh-CN"/>
          <w14:textFill>
            <w14:solidFill>
              <w14:schemeClr w14:val="tx1"/>
            </w14:solidFill>
          </w14:textFill>
        </w:rPr>
        <w:t>。</w:t>
      </w:r>
    </w:p>
    <w:p w14:paraId="27D438ED">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本项目无废水排放，本项目区周围也不存在地下水水源地，</w:t>
      </w:r>
      <w:r>
        <w:rPr>
          <w:rFonts w:hint="eastAsia" w:cs="Times New Roman"/>
          <w:color w:val="000000" w:themeColor="text1"/>
          <w:lang w:val="en-US" w:eastAsia="zh-CN"/>
          <w14:textFill>
            <w14:solidFill>
              <w14:schemeClr w14:val="tx1"/>
            </w14:solidFill>
          </w14:textFill>
        </w:rPr>
        <w:t>区域地下水埋深在15m以上，</w:t>
      </w:r>
      <w:r>
        <w:rPr>
          <w:rFonts w:hint="eastAsia" w:ascii="Times New Roman" w:hAnsi="Times New Roman" w:cs="Times New Roman"/>
          <w:color w:val="000000" w:themeColor="text1"/>
          <w:lang w:val="en-US" w:eastAsia="zh-CN"/>
          <w14:textFill>
            <w14:solidFill>
              <w14:schemeClr w14:val="tx1"/>
            </w14:solidFill>
          </w14:textFill>
        </w:rPr>
        <w:t>建设单位对可能产生地下水影响的各项途径均进行有效预防，确保各项防渗措施完好，</w:t>
      </w:r>
      <w:r>
        <w:rPr>
          <w:rFonts w:hint="eastAsia" w:cs="Times New Roman"/>
          <w:color w:val="000000" w:themeColor="text1"/>
          <w:lang w:val="en-US" w:eastAsia="zh-CN"/>
          <w14:textFill>
            <w14:solidFill>
              <w14:schemeClr w14:val="tx1"/>
            </w14:solidFill>
          </w14:textFill>
        </w:rPr>
        <w:t>并在</w:t>
      </w:r>
      <w:r>
        <w:rPr>
          <w:rFonts w:hint="eastAsia" w:ascii="Times New Roman" w:hAnsi="Times New Roman" w:cs="Times New Roman"/>
          <w:color w:val="000000" w:themeColor="text1"/>
          <w:lang w:val="en-US" w:eastAsia="zh-CN"/>
          <w14:textFill>
            <w14:solidFill>
              <w14:schemeClr w14:val="tx1"/>
            </w14:solidFill>
          </w14:textFill>
        </w:rPr>
        <w:t>加强维护场区环境管理的前提下，可有效控制场区内的废水污染物下渗现象，避免因污水与地下水发生水力联系而污染地下水。综上所述，本项目建设对区域地下水环境产生的影响较小。</w:t>
      </w:r>
    </w:p>
    <w:p w14:paraId="3F1D28FF">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）固废</w:t>
      </w:r>
    </w:p>
    <w:p w14:paraId="3EAF105C">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本项目运营过程中，</w:t>
      </w:r>
      <w:r>
        <w:rPr>
          <w:rFonts w:hint="eastAsia" w:cs="Times New Roman"/>
          <w:color w:val="000000" w:themeColor="text1"/>
          <w:lang w:val="en-US" w:eastAsia="zh-CN"/>
          <w14:textFill>
            <w14:solidFill>
              <w14:schemeClr w14:val="tx1"/>
            </w14:solidFill>
          </w14:textFill>
        </w:rPr>
        <w:t>鸭粪每个养殖周期集中清污一次，清粪后送63团3连粪污处理厂资源化利用；</w:t>
      </w:r>
      <w:r>
        <w:rPr>
          <w:rFonts w:hint="eastAsia" w:ascii="Times New Roman" w:hAnsi="Times New Roman" w:cs="Times New Roman"/>
          <w:color w:val="000000" w:themeColor="text1"/>
          <w:lang w:val="en-US" w:eastAsia="zh-CN"/>
          <w14:textFill>
            <w14:solidFill>
              <w14:schemeClr w14:val="tx1"/>
            </w14:solidFill>
          </w14:textFill>
        </w:rPr>
        <w:t>鸭只防疫产生的医疗废物属于危险废物，送至场区设置的危废暂存间暂存，委托有资质的危废处理单位处置；死鸭苗、病死鸭委托有资质单位进行处置；生活垃圾集中收集定期由环卫部门统一清理。拟建项目产生的各类固废均得到合理有效处置，无固废外排，对周边环境影响不大。</w:t>
      </w:r>
    </w:p>
    <w:p w14:paraId="6DA05F71">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）噪声</w:t>
      </w:r>
    </w:p>
    <w:p w14:paraId="17EBF2A2">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项目主要噪声源为鸭叫声、</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风机、运输车辆</w:t>
      </w:r>
      <w:r>
        <w:rPr>
          <w:rFonts w:hint="eastAsia" w:ascii="Times New Roman" w:hAnsi="Times New Roman" w:cs="Times New Roman"/>
          <w:color w:val="000000" w:themeColor="text1"/>
          <w:lang w:val="en-US" w:eastAsia="zh-CN"/>
          <w14:textFill>
            <w14:solidFill>
              <w14:schemeClr w14:val="tx1"/>
            </w14:solidFill>
          </w14:textFill>
        </w:rPr>
        <w:t>等，采取减振、隔声、消音等综合治理措施，经预测厂界</w:t>
      </w:r>
      <w:r>
        <w:rPr>
          <w:rFonts w:hint="eastAsia" w:cs="Times New Roman"/>
          <w:color w:val="000000" w:themeColor="text1"/>
          <w:lang w:val="en-US" w:eastAsia="zh-CN"/>
          <w14:textFill>
            <w14:solidFill>
              <w14:schemeClr w14:val="tx1"/>
            </w14:solidFill>
          </w14:textFill>
        </w:rPr>
        <w:t>外</w:t>
      </w:r>
      <w:r>
        <w:rPr>
          <w:rFonts w:hint="eastAsia" w:ascii="Times New Roman" w:hAnsi="Times New Roman" w:cs="Times New Roman"/>
          <w:color w:val="000000" w:themeColor="text1"/>
          <w:lang w:val="en-US" w:eastAsia="zh-CN"/>
          <w14:textFill>
            <w14:solidFill>
              <w14:schemeClr w14:val="tx1"/>
            </w14:solidFill>
          </w14:textFill>
        </w:rPr>
        <w:t>昼夜间噪声均满足</w:t>
      </w:r>
      <w:r>
        <w:rPr>
          <w:rFonts w:ascii="Times New Roman" w:hAnsi="Times New Roman" w:cs="Times New Roman"/>
          <w:color w:val="auto"/>
        </w:rPr>
        <w:t>《声环境质量标准》（GB3096-2008）</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类区标准。</w:t>
      </w:r>
      <w:r>
        <w:rPr>
          <w:rFonts w:hint="eastAsia" w:cs="Times New Roman"/>
          <w:color w:val="000000" w:themeColor="text1"/>
          <w:lang w:val="en-US" w:eastAsia="zh-CN"/>
          <w14:textFill>
            <w14:solidFill>
              <w14:schemeClr w14:val="tx1"/>
            </w14:solidFill>
          </w14:textFill>
        </w:rPr>
        <w:t>且项目周边900m以内无居民，2.5公里以内无集中居住区等敏感目标，</w:t>
      </w:r>
      <w:r>
        <w:rPr>
          <w:rFonts w:hint="eastAsia" w:ascii="Times New Roman" w:hAnsi="Times New Roman" w:cs="Times New Roman"/>
          <w:color w:val="000000" w:themeColor="text1"/>
          <w:lang w:val="en-US" w:eastAsia="zh-CN"/>
          <w14:textFill>
            <w14:solidFill>
              <w14:schemeClr w14:val="tx1"/>
            </w14:solidFill>
          </w14:textFill>
        </w:rPr>
        <w:t>因此项目建设对外界声环境影响较小。</w:t>
      </w:r>
    </w:p>
    <w:p w14:paraId="1C869C43">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（5）环境风险</w:t>
      </w:r>
    </w:p>
    <w:p w14:paraId="3B0ECA29">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拟建工程不涉及重大风险源且事故风险概率极低，</w:t>
      </w:r>
      <w:r>
        <w:rPr>
          <w:rFonts w:hint="eastAsia" w:cs="Times New Roman"/>
          <w:color w:val="000000" w:themeColor="text1"/>
          <w:lang w:val="en-US" w:eastAsia="zh-CN"/>
          <w14:textFill>
            <w14:solidFill>
              <w14:schemeClr w14:val="tx1"/>
            </w14:solidFill>
          </w14:textFill>
        </w:rPr>
        <w:t>主要风险为一旦感染暴发禽流感等疫病，可能对周围畜禽和人群带来的风险。</w:t>
      </w:r>
      <w:r>
        <w:rPr>
          <w:rFonts w:hint="eastAsia" w:ascii="Times New Roman" w:hAnsi="Times New Roman" w:cs="Times New Roman"/>
          <w:color w:val="000000" w:themeColor="text1"/>
          <w:lang w:val="en-US" w:eastAsia="zh-CN"/>
          <w14:textFill>
            <w14:solidFill>
              <w14:schemeClr w14:val="tx1"/>
            </w14:solidFill>
          </w14:textFill>
        </w:rPr>
        <w:t>在采取严格有效的事故防范措施并制定相应的应急预案的基础上，可将项目的事故概率和事故情况的环境影响降至最低。针对本项目可能发生的各种环境风险，应落实环评提出的各项预防和应急措施，设置应急预案</w:t>
      </w:r>
      <w:r>
        <w:rPr>
          <w:rFonts w:hint="eastAsia" w:cs="Times New Roman"/>
          <w:color w:val="000000" w:themeColor="text1"/>
          <w:lang w:val="en-US" w:eastAsia="zh-CN"/>
          <w14:textFill>
            <w14:solidFill>
              <w14:schemeClr w14:val="tx1"/>
            </w14:solidFill>
          </w14:textFill>
        </w:rPr>
        <w:t>，在</w:t>
      </w:r>
      <w:r>
        <w:rPr>
          <w:rFonts w:hint="eastAsia" w:ascii="Times New Roman" w:hAnsi="Times New Roman" w:cs="Times New Roman"/>
          <w:color w:val="000000" w:themeColor="text1"/>
          <w:lang w:val="en-US" w:eastAsia="zh-CN"/>
          <w14:textFill>
            <w14:solidFill>
              <w14:schemeClr w14:val="tx1"/>
            </w14:solidFill>
          </w14:textFill>
        </w:rPr>
        <w:t>可能的情况下应定期进行演习。本项目风险防范措施落实到位的前提下，项目的风险事故水平是可以接受的。</w:t>
      </w:r>
    </w:p>
    <w:p w14:paraId="55B9ACB1">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（6）卫生防护距离</w:t>
      </w:r>
    </w:p>
    <w:p w14:paraId="00C43CE4">
      <w:pPr>
        <w:ind w:firstLine="480"/>
        <w:rPr>
          <w:rFonts w:ascii="Times New Roman" w:hAnsi="Times New Roman" w:cs="Times New Roman"/>
          <w:color w:val="auto"/>
        </w:rPr>
      </w:pPr>
      <w:r>
        <w:rPr>
          <w:rFonts w:ascii="Times New Roman" w:hAnsi="Times New Roman" w:cs="Times New Roman"/>
          <w:color w:val="auto"/>
        </w:rPr>
        <w:t>根据《畜禽养殖污染技术防治规范》（HJ/T81-2001）3.2规定</w:t>
      </w:r>
      <w:r>
        <w:rPr>
          <w:rFonts w:hint="eastAsia" w:ascii="Times New Roman" w:hAnsi="Times New Roman" w:cs="Times New Roman"/>
          <w:color w:val="auto"/>
          <w:lang w:eastAsia="zh-CN"/>
        </w:rPr>
        <w:t>，</w:t>
      </w:r>
      <w:r>
        <w:rPr>
          <w:rFonts w:ascii="Times New Roman" w:hAnsi="Times New Roman" w:cs="Times New Roman"/>
          <w:color w:val="auto"/>
        </w:rPr>
        <w:t>本环评确定该项目的卫生防护距离为500m，在本项目禁建区域范围内，不得规划建设居民区、学校、医院、机关、养老院等环境空气要求较高的项目。</w:t>
      </w:r>
    </w:p>
    <w:p w14:paraId="37D5AF75">
      <w:pPr>
        <w:ind w:firstLine="480"/>
        <w:rPr>
          <w:rFonts w:hint="default"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auto"/>
        </w:rPr>
        <w:t>根据现场调查，项目厂址周边</w:t>
      </w:r>
      <w:r>
        <w:rPr>
          <w:rFonts w:hint="eastAsia" w:cs="Times New Roman"/>
          <w:color w:val="auto"/>
          <w:lang w:val="en-US" w:eastAsia="zh-CN"/>
        </w:rPr>
        <w:t>2</w:t>
      </w:r>
      <w:r>
        <w:rPr>
          <w:rFonts w:ascii="Times New Roman" w:hAnsi="Times New Roman" w:cs="Times New Roman"/>
          <w:color w:val="auto"/>
        </w:rPr>
        <w:t>500m内无</w:t>
      </w:r>
      <w:r>
        <w:rPr>
          <w:rFonts w:hint="eastAsia" w:cs="Times New Roman"/>
          <w:color w:val="auto"/>
          <w:lang w:val="en-US" w:eastAsia="zh-CN"/>
        </w:rPr>
        <w:t>集中</w:t>
      </w:r>
      <w:r>
        <w:rPr>
          <w:rFonts w:ascii="Times New Roman" w:hAnsi="Times New Roman" w:cs="Times New Roman"/>
          <w:color w:val="auto"/>
        </w:rPr>
        <w:t>居民区及其他人员聚集类建筑物，满足卫生防护距离的要求</w:t>
      </w:r>
      <w:r>
        <w:rPr>
          <w:rFonts w:hint="eastAsia" w:ascii="Times New Roman" w:hAnsi="Times New Roman" w:cs="Times New Roman"/>
          <w:color w:val="000000" w:themeColor="text1"/>
          <w:lang w:val="en-US" w:eastAsia="zh-CN"/>
          <w14:textFill>
            <w14:solidFill>
              <w14:schemeClr w14:val="tx1"/>
            </w14:solidFill>
          </w14:textFill>
        </w:rPr>
        <w:t>。</w:t>
      </w:r>
    </w:p>
    <w:p w14:paraId="1ECA6D09">
      <w:pPr>
        <w:pStyle w:val="4"/>
        <w:ind w:left="120"/>
        <w:rPr>
          <w:rFonts w:ascii="Times New Roman" w:hAnsi="Times New Roman" w:cs="Times New Roman"/>
          <w:color w:val="auto"/>
          <w:lang w:val="en-GB"/>
        </w:rPr>
      </w:pPr>
      <w:bookmarkStart w:id="30" w:name="_Toc490417058"/>
      <w:bookmarkStart w:id="31" w:name="_Toc29905"/>
      <w:bookmarkStart w:id="32" w:name="_Toc483491975"/>
      <w:r>
        <w:rPr>
          <w:rFonts w:ascii="Times New Roman" w:hAnsi="Times New Roman" w:cs="Times New Roman"/>
          <w:color w:val="auto"/>
          <w:lang w:val="en-GB"/>
        </w:rPr>
        <w:t>环境影响评价主要结论</w:t>
      </w:r>
      <w:bookmarkEnd w:id="30"/>
      <w:bookmarkEnd w:id="31"/>
      <w:bookmarkEnd w:id="32"/>
    </w:p>
    <w:p w14:paraId="065EB6EA">
      <w:pPr>
        <w:ind w:firstLine="480"/>
        <w:rPr>
          <w:rFonts w:ascii="Times New Roman" w:hAnsi="Times New Roman" w:cs="Times New Roman"/>
          <w:color w:val="auto"/>
        </w:rPr>
      </w:pPr>
      <w:r>
        <w:rPr>
          <w:rFonts w:ascii="Times New Roman" w:hAnsi="Times New Roman" w:cs="Times New Roman"/>
          <w:color w:val="auto"/>
        </w:rPr>
        <w:t>本项目的建设符合国家产业政策，同时具有很好的环境效益和社会效益，工程采取相关污染防治措施后，污染物能够实现达标排放，生产工艺较为先进，总体清洁水平良好，项目对环境的影响可降低到当地环境能够容许的程度，不会对周围环境产生明显影响，不会引起环境质量功能的改变。项目选址不在</w:t>
      </w:r>
      <w:r>
        <w:rPr>
          <w:rFonts w:hint="eastAsia" w:ascii="Times New Roman" w:hAnsi="Times New Roman" w:cs="Times New Roman"/>
          <w:color w:val="auto"/>
          <w:lang w:val="en-US" w:eastAsia="zh-CN"/>
        </w:rPr>
        <w:t>第四师</w:t>
      </w:r>
      <w:r>
        <w:rPr>
          <w:rFonts w:ascii="Times New Roman" w:hAnsi="Times New Roman" w:cs="Times New Roman"/>
          <w:color w:val="auto"/>
        </w:rPr>
        <w:t>人民政府规定的禁养区和限养区范围内，符合</w:t>
      </w:r>
      <w:r>
        <w:rPr>
          <w:rFonts w:hint="eastAsia" w:ascii="Times New Roman" w:hAnsi="Times New Roman" w:cs="Times New Roman"/>
          <w:color w:val="auto"/>
          <w:lang w:val="en-US" w:eastAsia="zh-CN"/>
        </w:rPr>
        <w:t>第四师</w:t>
      </w:r>
      <w:r>
        <w:rPr>
          <w:rFonts w:ascii="Times New Roman" w:hAnsi="Times New Roman" w:cs="Times New Roman"/>
          <w:color w:val="auto"/>
        </w:rPr>
        <w:t>总体规划要求。在采取相应的污染防治措施以及充分落实评价推荐的各项治理措施后，可最大限度</w:t>
      </w:r>
      <w:r>
        <w:rPr>
          <w:rFonts w:hint="eastAsia" w:cs="Times New Roman"/>
          <w:color w:val="auto"/>
          <w:lang w:eastAsia="zh-CN"/>
        </w:rPr>
        <w:t>地</w:t>
      </w:r>
      <w:r>
        <w:rPr>
          <w:rFonts w:ascii="Times New Roman" w:hAnsi="Times New Roman" w:cs="Times New Roman"/>
          <w:color w:val="auto"/>
        </w:rPr>
        <w:t>减少污染物的排放，避免工程对周围环境产生较大的不利影响。因此，从环保角度来讲，本建设项目实施是可行的。</w:t>
      </w:r>
    </w:p>
    <w:p w14:paraId="7A656ADD">
      <w:pPr>
        <w:ind w:firstLine="480"/>
        <w:rPr>
          <w:rFonts w:ascii="Times New Roman" w:hAnsi="Times New Roman" w:cs="Times New Roman"/>
          <w:color w:val="auto"/>
        </w:rPr>
      </w:pPr>
      <w:r>
        <w:rPr>
          <w:rFonts w:ascii="Times New Roman" w:hAnsi="Times New Roman" w:cs="Times New Roman"/>
          <w:color w:val="auto"/>
        </w:rPr>
        <w:br w:type="page"/>
      </w:r>
    </w:p>
    <w:p w14:paraId="783711C1">
      <w:pPr>
        <w:pStyle w:val="3"/>
        <w:rPr>
          <w:rFonts w:ascii="Times New Roman" w:hAnsi="Times New Roman" w:cs="Times New Roman"/>
          <w:color w:val="auto"/>
        </w:rPr>
      </w:pPr>
      <w:bookmarkStart w:id="33" w:name="_Toc490417059"/>
      <w:bookmarkStart w:id="34" w:name="_Toc483491976"/>
      <w:bookmarkStart w:id="35" w:name="_Toc32139"/>
      <w:r>
        <w:rPr>
          <w:rFonts w:ascii="Times New Roman" w:hAnsi="Times New Roman" w:cs="Times New Roman"/>
          <w:color w:val="auto"/>
        </w:rPr>
        <w:t>总则</w:t>
      </w:r>
      <w:bookmarkEnd w:id="33"/>
      <w:bookmarkEnd w:id="34"/>
      <w:bookmarkEnd w:id="35"/>
    </w:p>
    <w:p w14:paraId="1819999C">
      <w:pPr>
        <w:pStyle w:val="4"/>
        <w:ind w:left="120"/>
        <w:rPr>
          <w:rFonts w:ascii="Times New Roman" w:hAnsi="Times New Roman" w:cs="Times New Roman"/>
          <w:color w:val="auto"/>
          <w:lang w:val="en-GB"/>
        </w:rPr>
      </w:pPr>
      <w:bookmarkStart w:id="36" w:name="_Toc483491977"/>
      <w:bookmarkStart w:id="37" w:name="_Toc490417060"/>
      <w:bookmarkStart w:id="38" w:name="_Toc5260"/>
      <w:r>
        <w:rPr>
          <w:rFonts w:ascii="Times New Roman" w:hAnsi="Times New Roman" w:cs="Times New Roman"/>
          <w:color w:val="auto"/>
          <w:lang w:val="en-GB"/>
        </w:rPr>
        <w:t>编制依据</w:t>
      </w:r>
      <w:bookmarkEnd w:id="36"/>
      <w:bookmarkEnd w:id="37"/>
      <w:bookmarkEnd w:id="38"/>
    </w:p>
    <w:p w14:paraId="3EDD2A8F">
      <w:pPr>
        <w:pStyle w:val="5"/>
        <w:ind w:left="120"/>
        <w:rPr>
          <w:rFonts w:ascii="Times New Roman" w:hAnsi="Times New Roman" w:cs="Times New Roman"/>
          <w:color w:val="auto"/>
        </w:rPr>
      </w:pPr>
      <w:bookmarkStart w:id="39" w:name="_Toc483491978"/>
      <w:bookmarkStart w:id="40" w:name="_Toc490417061"/>
      <w:r>
        <w:rPr>
          <w:rFonts w:ascii="Times New Roman" w:hAnsi="Times New Roman" w:cs="Times New Roman"/>
          <w:color w:val="auto"/>
        </w:rPr>
        <w:t>环境保护法律法规</w:t>
      </w:r>
      <w:bookmarkEnd w:id="39"/>
      <w:bookmarkEnd w:id="40"/>
    </w:p>
    <w:p w14:paraId="177C2272">
      <w:pPr>
        <w:ind w:left="480" w:leftChars="200" w:firstLine="0" w:firstLineChars="0"/>
        <w:rPr>
          <w:rFonts w:ascii="Times New Roman" w:hAnsi="Times New Roman" w:cs="Times New Roman"/>
          <w:color w:val="auto"/>
        </w:rPr>
      </w:pPr>
      <w:bookmarkStart w:id="41" w:name="_Toc490417062"/>
      <w:bookmarkStart w:id="42" w:name="_Toc483491979"/>
      <w:r>
        <w:rPr>
          <w:rFonts w:ascii="Times New Roman" w:hAnsi="Times New Roman" w:cs="Times New Roman"/>
          <w:color w:val="auto"/>
        </w:rPr>
        <w:t>（1）《中华人民共和国环境保护法》（2015年1月1日）；</w:t>
      </w:r>
    </w:p>
    <w:p w14:paraId="7574635C">
      <w:pPr>
        <w:ind w:left="480" w:leftChars="200" w:firstLine="0" w:firstLineChars="0"/>
        <w:rPr>
          <w:rFonts w:ascii="Times New Roman" w:hAnsi="Times New Roman" w:cs="Times New Roman"/>
          <w:color w:val="auto"/>
        </w:rPr>
      </w:pPr>
      <w:r>
        <w:rPr>
          <w:rFonts w:ascii="Times New Roman" w:hAnsi="Times New Roman" w:cs="Times New Roman"/>
          <w:color w:val="auto"/>
        </w:rPr>
        <w:t>（2）《中华人民共和国环境影响评价法》（2018年12月29日）；</w:t>
      </w:r>
    </w:p>
    <w:p w14:paraId="3213E5F6">
      <w:pPr>
        <w:tabs>
          <w:tab w:val="left" w:pos="1242"/>
        </w:tabs>
        <w:ind w:left="480" w:leftChars="200" w:firstLine="0" w:firstLineChars="0"/>
        <w:rPr>
          <w:rFonts w:ascii="Times New Roman" w:hAnsi="Times New Roman" w:cs="Times New Roman"/>
          <w:color w:val="auto"/>
        </w:rPr>
      </w:pPr>
      <w:r>
        <w:rPr>
          <w:rFonts w:ascii="Times New Roman" w:hAnsi="Times New Roman" w:cs="Times New Roman"/>
          <w:color w:val="auto"/>
        </w:rPr>
        <w:t>（3）《中华人民共和国大气污染防治法》（2018年10月26日）；</w:t>
      </w:r>
    </w:p>
    <w:p w14:paraId="0722EB9D">
      <w:pPr>
        <w:ind w:left="480" w:leftChars="200" w:firstLine="0" w:firstLineChars="0"/>
        <w:rPr>
          <w:rFonts w:ascii="Times New Roman" w:hAnsi="Times New Roman" w:cs="Times New Roman"/>
          <w:color w:val="auto"/>
        </w:rPr>
      </w:pPr>
      <w:r>
        <w:rPr>
          <w:rFonts w:ascii="Times New Roman" w:hAnsi="Times New Roman" w:cs="Times New Roman"/>
          <w:color w:val="auto"/>
        </w:rPr>
        <w:t>（4）《中华人民共和国环境噪声污染防治法》（2022年6月5日）；</w:t>
      </w:r>
    </w:p>
    <w:p w14:paraId="36C541BE">
      <w:pPr>
        <w:ind w:left="480" w:leftChars="200" w:firstLine="0" w:firstLineChars="0"/>
        <w:rPr>
          <w:rFonts w:ascii="Times New Roman" w:hAnsi="Times New Roman" w:cs="Times New Roman"/>
          <w:color w:val="auto"/>
        </w:rPr>
      </w:pPr>
      <w:r>
        <w:rPr>
          <w:rFonts w:ascii="Times New Roman" w:hAnsi="Times New Roman" w:cs="Times New Roman"/>
          <w:color w:val="auto"/>
        </w:rPr>
        <w:t>（5）《中华人民共和国水污染防治法》（2018年1月1日实施）；</w:t>
      </w:r>
    </w:p>
    <w:p w14:paraId="696F8A17">
      <w:pPr>
        <w:ind w:left="480" w:leftChars="200" w:firstLine="0" w:firstLineChars="0"/>
        <w:rPr>
          <w:rFonts w:ascii="Times New Roman" w:hAnsi="Times New Roman" w:cs="Times New Roman"/>
          <w:color w:val="auto"/>
        </w:rPr>
      </w:pPr>
      <w:r>
        <w:rPr>
          <w:rFonts w:ascii="Times New Roman" w:hAnsi="Times New Roman" w:cs="Times New Roman"/>
          <w:color w:val="auto"/>
        </w:rPr>
        <w:t>（6）《中华人民共和国固体废物污染环境防治法》（2020年9月1日实施）；</w:t>
      </w:r>
    </w:p>
    <w:p w14:paraId="3D985C6E">
      <w:pPr>
        <w:ind w:left="480" w:leftChars="200" w:firstLine="0" w:firstLineChars="0"/>
        <w:rPr>
          <w:rFonts w:ascii="Times New Roman" w:hAnsi="Times New Roman" w:cs="Times New Roman"/>
          <w:color w:val="auto"/>
        </w:rPr>
      </w:pPr>
      <w:r>
        <w:rPr>
          <w:rFonts w:ascii="Times New Roman" w:hAnsi="Times New Roman" w:cs="Times New Roman"/>
          <w:color w:val="auto"/>
        </w:rPr>
        <w:t>（7）《中华人民共和国土壤污染防治法》（2019年1月1日）；</w:t>
      </w:r>
    </w:p>
    <w:p w14:paraId="6F6CE8B0">
      <w:pPr>
        <w:ind w:left="480" w:leftChars="200" w:firstLine="0" w:firstLineChars="0"/>
        <w:rPr>
          <w:rFonts w:ascii="Times New Roman" w:hAnsi="Times New Roman" w:cs="Times New Roman"/>
          <w:color w:val="auto"/>
        </w:rPr>
      </w:pPr>
      <w:r>
        <w:rPr>
          <w:rFonts w:ascii="Times New Roman" w:hAnsi="Times New Roman" w:cs="Times New Roman"/>
          <w:color w:val="auto"/>
        </w:rPr>
        <w:t>（8）《中华人民共和国土地管理法》（2019年8月26日修改，2020年1月1日施行）；</w:t>
      </w:r>
    </w:p>
    <w:p w14:paraId="50D7C087">
      <w:pPr>
        <w:ind w:firstLine="480"/>
        <w:rPr>
          <w:rFonts w:ascii="Times New Roman" w:hAnsi="Times New Roman" w:cs="Times New Roman"/>
          <w:color w:val="auto"/>
        </w:rPr>
      </w:pPr>
      <w:r>
        <w:rPr>
          <w:rFonts w:ascii="Times New Roman" w:hAnsi="Times New Roman" w:cs="Times New Roman"/>
          <w:color w:val="auto"/>
        </w:rPr>
        <w:t>（9）《中华人民共和国水法》（2016年9月1日）；</w:t>
      </w:r>
    </w:p>
    <w:p w14:paraId="33ADBBEA">
      <w:pPr>
        <w:ind w:left="480" w:leftChars="200" w:firstLine="0" w:firstLineChars="0"/>
        <w:rPr>
          <w:rFonts w:ascii="Times New Roman" w:hAnsi="Times New Roman" w:cs="Times New Roman"/>
          <w:color w:val="auto"/>
        </w:rPr>
      </w:pPr>
      <w:r>
        <w:rPr>
          <w:rFonts w:ascii="Times New Roman" w:hAnsi="Times New Roman" w:cs="Times New Roman"/>
          <w:color w:val="auto"/>
        </w:rPr>
        <w:t>（10）《中华人民共和国清洁生产促进法》（2012年7月1日）；</w:t>
      </w:r>
    </w:p>
    <w:p w14:paraId="710A6A3F">
      <w:pPr>
        <w:ind w:left="480" w:leftChars="200" w:firstLine="0" w:firstLineChars="0"/>
        <w:rPr>
          <w:rFonts w:ascii="Times New Roman" w:hAnsi="Times New Roman" w:cs="Times New Roman"/>
          <w:color w:val="auto"/>
        </w:rPr>
      </w:pPr>
      <w:r>
        <w:rPr>
          <w:rFonts w:ascii="Times New Roman" w:hAnsi="Times New Roman" w:cs="Times New Roman"/>
          <w:color w:val="auto"/>
        </w:rPr>
        <w:t>（11）《中华人民共和国循环经济促进法》（2018年10月26日修正）；</w:t>
      </w:r>
    </w:p>
    <w:p w14:paraId="770DC319">
      <w:pPr>
        <w:ind w:left="480" w:leftChars="200" w:firstLine="0" w:firstLineChars="0"/>
        <w:rPr>
          <w:rFonts w:ascii="Times New Roman" w:hAnsi="Times New Roman" w:cs="Times New Roman"/>
          <w:color w:val="auto"/>
        </w:rPr>
      </w:pPr>
      <w:r>
        <w:rPr>
          <w:rFonts w:ascii="Times New Roman" w:hAnsi="Times New Roman" w:cs="Times New Roman"/>
          <w:color w:val="auto"/>
        </w:rPr>
        <w:t>（12）《中华人民共和国水土保持法》及其实施条例（2011年3月1日）；</w:t>
      </w:r>
    </w:p>
    <w:p w14:paraId="2D22B331">
      <w:pPr>
        <w:ind w:left="480" w:leftChars="200" w:firstLine="0" w:firstLineChars="0"/>
        <w:rPr>
          <w:rFonts w:ascii="Times New Roman" w:hAnsi="Times New Roman" w:cs="Times New Roman"/>
          <w:color w:val="auto"/>
        </w:rPr>
      </w:pPr>
      <w:r>
        <w:rPr>
          <w:rFonts w:ascii="Times New Roman" w:hAnsi="Times New Roman" w:cs="Times New Roman"/>
          <w:color w:val="auto"/>
        </w:rPr>
        <w:t>（13）《中华人民共和国野生动物保护法》（</w:t>
      </w:r>
      <w:r>
        <w:rPr>
          <w:rFonts w:hint="eastAsia" w:ascii="Times New Roman" w:hAnsi="Times New Roman" w:cs="Times New Roman"/>
          <w:color w:val="auto"/>
          <w:lang w:val="en-US" w:eastAsia="zh-CN"/>
        </w:rPr>
        <w:t>2022年12月30日第二次修订</w:t>
      </w:r>
      <w:r>
        <w:rPr>
          <w:rFonts w:ascii="Times New Roman" w:hAnsi="Times New Roman" w:cs="Times New Roman"/>
          <w:color w:val="auto"/>
        </w:rPr>
        <w:t>）；</w:t>
      </w:r>
    </w:p>
    <w:p w14:paraId="60E1A03E">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14</w:t>
      </w:r>
      <w:r>
        <w:rPr>
          <w:rFonts w:ascii="Times New Roman" w:hAnsi="Times New Roman" w:cs="Times New Roman"/>
          <w:color w:val="auto"/>
        </w:rPr>
        <w:t>）《中华人民共和国环境保护税法》（2018年1月1日实施）；</w:t>
      </w:r>
    </w:p>
    <w:p w14:paraId="52DCDB4F">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15</w:t>
      </w:r>
      <w:r>
        <w:rPr>
          <w:rFonts w:ascii="Times New Roman" w:hAnsi="Times New Roman" w:cs="Times New Roman"/>
          <w:color w:val="auto"/>
        </w:rPr>
        <w:t>）《中华人民共和国传染病防治法》（2004年12月1日起施行，2013年6月29日修正）；</w:t>
      </w:r>
    </w:p>
    <w:p w14:paraId="247F6859">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16</w:t>
      </w:r>
      <w:r>
        <w:rPr>
          <w:rFonts w:ascii="Times New Roman" w:hAnsi="Times New Roman" w:cs="Times New Roman"/>
          <w:color w:val="auto"/>
        </w:rPr>
        <w:t>）《中华人民共和国畜牧法》（</w:t>
      </w:r>
      <w:r>
        <w:rPr>
          <w:rFonts w:hint="eastAsia" w:ascii="Times New Roman" w:hAnsi="Times New Roman" w:cs="Times New Roman"/>
          <w:color w:val="auto"/>
          <w:lang w:val="en-US" w:eastAsia="zh-CN"/>
        </w:rPr>
        <w:t>2022年修订，2023</w:t>
      </w:r>
      <w:r>
        <w:rPr>
          <w:rFonts w:ascii="Times New Roman" w:hAnsi="Times New Roman" w:cs="Times New Roman"/>
          <w:color w:val="auto"/>
        </w:rPr>
        <w:t>年</w:t>
      </w:r>
      <w:r>
        <w:rPr>
          <w:rFonts w:hint="eastAsia" w:ascii="Times New Roman" w:hAnsi="Times New Roman" w:cs="Times New Roman"/>
          <w:color w:val="auto"/>
          <w:lang w:val="en-US" w:eastAsia="zh-CN"/>
        </w:rPr>
        <w:t>3</w:t>
      </w:r>
      <w:r>
        <w:rPr>
          <w:rFonts w:ascii="Times New Roman" w:hAnsi="Times New Roman" w:cs="Times New Roman"/>
          <w:color w:val="auto"/>
        </w:rPr>
        <w:t>月</w:t>
      </w:r>
      <w:r>
        <w:rPr>
          <w:rFonts w:hint="eastAsia" w:ascii="Times New Roman" w:hAnsi="Times New Roman" w:cs="Times New Roman"/>
          <w:color w:val="auto"/>
          <w:lang w:val="en-US" w:eastAsia="zh-CN"/>
        </w:rPr>
        <w:t>1</w:t>
      </w:r>
      <w:r>
        <w:rPr>
          <w:rFonts w:ascii="Times New Roman" w:hAnsi="Times New Roman" w:cs="Times New Roman"/>
          <w:color w:val="auto"/>
        </w:rPr>
        <w:t>日实施）；</w:t>
      </w:r>
    </w:p>
    <w:p w14:paraId="057F8EC4">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17</w:t>
      </w:r>
      <w:r>
        <w:rPr>
          <w:rFonts w:ascii="Times New Roman" w:hAnsi="Times New Roman" w:cs="Times New Roman"/>
          <w:color w:val="auto"/>
        </w:rPr>
        <w:t>）《中华人民共和国动物防疫法》（2021年5月1日实施）；</w:t>
      </w:r>
    </w:p>
    <w:p w14:paraId="6609BA9B">
      <w:pPr>
        <w:pStyle w:val="5"/>
        <w:ind w:left="120"/>
        <w:rPr>
          <w:rFonts w:ascii="Times New Roman" w:hAnsi="Times New Roman" w:cs="Times New Roman"/>
          <w:color w:val="auto"/>
        </w:rPr>
      </w:pPr>
      <w:r>
        <w:rPr>
          <w:rFonts w:ascii="Times New Roman" w:hAnsi="Times New Roman" w:cs="Times New Roman"/>
          <w:color w:val="auto"/>
        </w:rPr>
        <w:t>部委规章、条例</w:t>
      </w:r>
    </w:p>
    <w:p w14:paraId="1AED5AF6">
      <w:pPr>
        <w:ind w:left="480" w:leftChars="200" w:firstLine="0" w:firstLineChars="0"/>
        <w:rPr>
          <w:rFonts w:ascii="Times New Roman" w:hAnsi="Times New Roman" w:cs="Times New Roman"/>
          <w:color w:val="auto"/>
        </w:rPr>
      </w:pPr>
      <w:r>
        <w:rPr>
          <w:rFonts w:ascii="Times New Roman" w:hAnsi="Times New Roman" w:cs="Times New Roman"/>
          <w:color w:val="auto"/>
        </w:rPr>
        <w:t>（1）《建设项目环境保护管理条例》（国务院令第682号）；</w:t>
      </w:r>
    </w:p>
    <w:p w14:paraId="347FA52B">
      <w:pPr>
        <w:ind w:left="480" w:leftChars="200" w:firstLine="0" w:firstLineChars="0"/>
        <w:rPr>
          <w:rFonts w:ascii="Times New Roman" w:hAnsi="Times New Roman" w:cs="Times New Roman"/>
          <w:color w:val="auto"/>
        </w:rPr>
      </w:pPr>
      <w:r>
        <w:rPr>
          <w:rFonts w:ascii="Times New Roman" w:hAnsi="Times New Roman" w:cs="Times New Roman"/>
          <w:color w:val="auto"/>
        </w:rPr>
        <w:t>（2）《建设项目环境影响评价分类管理名录》（2021年版）；</w:t>
      </w:r>
    </w:p>
    <w:p w14:paraId="7FF8497A">
      <w:pPr>
        <w:ind w:left="480" w:leftChars="200" w:firstLine="0" w:firstLineChars="0"/>
        <w:rPr>
          <w:rFonts w:ascii="Times New Roman" w:hAnsi="Times New Roman" w:cs="Times New Roman"/>
          <w:color w:val="auto"/>
        </w:rPr>
      </w:pPr>
      <w:r>
        <w:rPr>
          <w:rFonts w:ascii="Times New Roman" w:hAnsi="Times New Roman" w:cs="Times New Roman"/>
          <w:color w:val="auto"/>
        </w:rPr>
        <w:t>（3）《环境影响评价公众参与办法》（生态环境部，2019年1月1日实施）；</w:t>
      </w:r>
    </w:p>
    <w:p w14:paraId="1B83D1B7">
      <w:pPr>
        <w:ind w:left="480" w:leftChars="200" w:firstLine="0" w:firstLineChars="0"/>
        <w:rPr>
          <w:rFonts w:ascii="Times New Roman" w:hAnsi="Times New Roman" w:cs="Times New Roman"/>
          <w:color w:val="auto"/>
        </w:rPr>
      </w:pPr>
      <w:r>
        <w:rPr>
          <w:rFonts w:ascii="Times New Roman" w:hAnsi="Times New Roman" w:cs="Times New Roman"/>
          <w:color w:val="auto"/>
        </w:rPr>
        <w:t>（4）《</w:t>
      </w:r>
      <w:r>
        <w:rPr>
          <w:rFonts w:hint="eastAsia" w:ascii="Times New Roman" w:hAnsi="Times New Roman" w:cs="Times New Roman"/>
          <w:color w:val="auto"/>
          <w:lang w:eastAsia="zh-CN"/>
        </w:rPr>
        <w:t>产业结构调整指导目录（2024年本）</w:t>
      </w:r>
      <w:r>
        <w:rPr>
          <w:rFonts w:ascii="Times New Roman" w:hAnsi="Times New Roman" w:cs="Times New Roman"/>
          <w:color w:val="auto"/>
        </w:rPr>
        <w:t>》（国家发展和改革委员会令第</w:t>
      </w:r>
      <w:r>
        <w:rPr>
          <w:rFonts w:hint="eastAsia" w:ascii="Times New Roman" w:hAnsi="Times New Roman" w:cs="Times New Roman"/>
          <w:color w:val="auto"/>
          <w:lang w:val="en-US" w:eastAsia="zh-CN"/>
        </w:rPr>
        <w:t>7</w:t>
      </w:r>
      <w:r>
        <w:rPr>
          <w:rFonts w:ascii="Times New Roman" w:hAnsi="Times New Roman" w:cs="Times New Roman"/>
          <w:color w:val="auto"/>
        </w:rPr>
        <w:t>号，</w:t>
      </w:r>
      <w:r>
        <w:rPr>
          <w:rFonts w:hint="eastAsia" w:ascii="Times New Roman" w:hAnsi="Times New Roman" w:cs="Times New Roman"/>
          <w:color w:val="auto"/>
          <w:lang w:val="en-US" w:eastAsia="zh-CN"/>
        </w:rPr>
        <w:t>2024年2月1日起施行</w:t>
      </w:r>
      <w:r>
        <w:rPr>
          <w:rFonts w:ascii="Times New Roman" w:hAnsi="Times New Roman" w:cs="Times New Roman"/>
          <w:color w:val="auto"/>
        </w:rPr>
        <w:t>）；</w:t>
      </w:r>
    </w:p>
    <w:p w14:paraId="3EB0D733">
      <w:pPr>
        <w:ind w:left="480" w:leftChars="200" w:firstLine="0" w:firstLineChars="0"/>
        <w:rPr>
          <w:rFonts w:ascii="Times New Roman" w:hAnsi="Times New Roman" w:cs="Times New Roman"/>
          <w:color w:val="auto"/>
        </w:rPr>
      </w:pPr>
      <w:r>
        <w:rPr>
          <w:rFonts w:ascii="Times New Roman" w:hAnsi="Times New Roman" w:cs="Times New Roman"/>
          <w:color w:val="auto"/>
        </w:rPr>
        <w:t>（5）《市场准入负面清单（2022年版）》（发改体改规〔2022〕397号）；</w:t>
      </w:r>
    </w:p>
    <w:p w14:paraId="3B313377">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6</w:t>
      </w:r>
      <w:r>
        <w:rPr>
          <w:rFonts w:ascii="Times New Roman" w:hAnsi="Times New Roman" w:cs="Times New Roman"/>
          <w:color w:val="auto"/>
        </w:rPr>
        <w:t>）《关于促进规模化畜禽养殖有关用地政策的通知》（国土资发</w:t>
      </w:r>
      <w:r>
        <w:rPr>
          <w:rFonts w:hint="eastAsia" w:ascii="Times New Roman" w:hAnsi="Times New Roman" w:cs="Times New Roman"/>
          <w:color w:val="auto"/>
          <w:lang w:eastAsia="zh-CN"/>
        </w:rPr>
        <w:t>〔2007〕220号</w:t>
      </w:r>
      <w:r>
        <w:rPr>
          <w:rFonts w:ascii="Times New Roman" w:hAnsi="Times New Roman" w:cs="Times New Roman"/>
          <w:color w:val="auto"/>
        </w:rPr>
        <w:t>，2007年9月）；</w:t>
      </w:r>
    </w:p>
    <w:p w14:paraId="19F58BED">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7</w:t>
      </w:r>
      <w:r>
        <w:rPr>
          <w:rFonts w:ascii="Times New Roman" w:hAnsi="Times New Roman" w:cs="Times New Roman"/>
          <w:color w:val="auto"/>
        </w:rPr>
        <w:t>）《国务院关于促进畜牧业持续健康发展的意见》（国发〔2007〕4号，2007年1月26日）；</w:t>
      </w:r>
    </w:p>
    <w:p w14:paraId="5C598541">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8</w:t>
      </w:r>
      <w:r>
        <w:rPr>
          <w:rFonts w:ascii="Times New Roman" w:hAnsi="Times New Roman" w:cs="Times New Roman"/>
          <w:color w:val="auto"/>
        </w:rPr>
        <w:t>）《建设项目竣工环境保护验收暂行办法》（国环规环评〔2017〕4号，2017年</w:t>
      </w:r>
      <w:r>
        <w:rPr>
          <w:rFonts w:hint="eastAsia" w:ascii="Times New Roman" w:hAnsi="Times New Roman" w:cs="Times New Roman"/>
          <w:color w:val="auto"/>
          <w:lang w:eastAsia="zh-CN"/>
        </w:rPr>
        <w:t>11月22日</w:t>
      </w:r>
      <w:r>
        <w:rPr>
          <w:rFonts w:ascii="Times New Roman" w:hAnsi="Times New Roman" w:cs="Times New Roman"/>
          <w:color w:val="auto"/>
        </w:rPr>
        <w:t>施行）；</w:t>
      </w:r>
    </w:p>
    <w:p w14:paraId="40319159">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9</w:t>
      </w:r>
      <w:r>
        <w:rPr>
          <w:rFonts w:ascii="Times New Roman" w:hAnsi="Times New Roman" w:cs="Times New Roman"/>
          <w:color w:val="auto"/>
        </w:rPr>
        <w:t>）《关于进一步加强畜禽养殖污染防治工作的通知》（环水体〔2016〕144号）；</w:t>
      </w:r>
    </w:p>
    <w:p w14:paraId="07BD2DDE">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10</w:t>
      </w:r>
      <w:r>
        <w:rPr>
          <w:rFonts w:ascii="Times New Roman" w:hAnsi="Times New Roman" w:cs="Times New Roman"/>
          <w:color w:val="auto"/>
        </w:rPr>
        <w:t>）《国家危险废物名录》（环境保护部令第</w:t>
      </w:r>
      <w:r>
        <w:rPr>
          <w:rFonts w:hint="eastAsia" w:ascii="Times New Roman" w:hAnsi="Times New Roman" w:cs="Times New Roman"/>
          <w:color w:val="auto"/>
          <w:lang w:val="en-US" w:eastAsia="zh-CN"/>
        </w:rPr>
        <w:t>36</w:t>
      </w:r>
      <w:r>
        <w:rPr>
          <w:rFonts w:ascii="Times New Roman" w:hAnsi="Times New Roman" w:cs="Times New Roman"/>
          <w:color w:val="auto"/>
        </w:rPr>
        <w:t>号），202</w:t>
      </w:r>
      <w:r>
        <w:rPr>
          <w:rFonts w:hint="eastAsia" w:ascii="Times New Roman" w:hAnsi="Times New Roman" w:cs="Times New Roman"/>
          <w:color w:val="auto"/>
          <w:lang w:val="en-US" w:eastAsia="zh-CN"/>
        </w:rPr>
        <w:t>5</w:t>
      </w:r>
      <w:r>
        <w:rPr>
          <w:rFonts w:ascii="Times New Roman" w:hAnsi="Times New Roman" w:cs="Times New Roman"/>
          <w:color w:val="auto"/>
        </w:rPr>
        <w:t>年1月1日起施行；</w:t>
      </w:r>
    </w:p>
    <w:p w14:paraId="58D798D2">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11</w:t>
      </w:r>
      <w:r>
        <w:rPr>
          <w:rFonts w:ascii="Times New Roman" w:hAnsi="Times New Roman" w:cs="Times New Roman"/>
          <w:color w:val="auto"/>
        </w:rPr>
        <w:t>）《关于切实做好大型规模养殖场畜禽粪污资源化利用工作的通知》（农牧办〔2018〕8号）；</w:t>
      </w:r>
    </w:p>
    <w:p w14:paraId="6C003E6E">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12</w:t>
      </w:r>
      <w:r>
        <w:rPr>
          <w:rFonts w:ascii="Times New Roman" w:hAnsi="Times New Roman" w:cs="Times New Roman"/>
          <w:color w:val="auto"/>
        </w:rPr>
        <w:t>）《关于做好畜禽规模养殖项目环境影响评价管理工作的通知》（环办环评〔2018〕31号）；</w:t>
      </w:r>
    </w:p>
    <w:p w14:paraId="2EA47D01">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13</w:t>
      </w:r>
      <w:r>
        <w:rPr>
          <w:rFonts w:ascii="Times New Roman" w:hAnsi="Times New Roman" w:cs="Times New Roman"/>
          <w:color w:val="auto"/>
        </w:rPr>
        <w:t>）《企业事业单位突发环境事件应急预案备案管理办法》（环发〔2015〕4号）；</w:t>
      </w:r>
    </w:p>
    <w:p w14:paraId="2BEFDF1D">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14</w:t>
      </w:r>
      <w:r>
        <w:rPr>
          <w:rFonts w:ascii="Times New Roman" w:hAnsi="Times New Roman" w:cs="Times New Roman"/>
          <w:color w:val="auto"/>
        </w:rPr>
        <w:t>）《</w:t>
      </w:r>
      <w:r>
        <w:rPr>
          <w:rFonts w:hint="eastAsia" w:cs="Times New Roman"/>
          <w:color w:val="auto"/>
          <w:lang w:eastAsia="zh-CN"/>
        </w:rPr>
        <w:t>中共中央、国务院</w:t>
      </w:r>
      <w:r>
        <w:rPr>
          <w:rFonts w:ascii="Times New Roman" w:hAnsi="Times New Roman" w:cs="Times New Roman"/>
          <w:color w:val="auto"/>
        </w:rPr>
        <w:t>关于全面加强生态环境保护坚决打好污染防治攻坚战的意见》（2020年2月26日）；</w:t>
      </w:r>
    </w:p>
    <w:p w14:paraId="5CC0359F">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15</w:t>
      </w:r>
      <w:r>
        <w:rPr>
          <w:rFonts w:ascii="Times New Roman" w:hAnsi="Times New Roman" w:cs="Times New Roman"/>
          <w:color w:val="auto"/>
        </w:rPr>
        <w:t>）《关于做好环境影响评价制度与排污许可制衔接相关工作的通知》（环办环评〔2017〕84号）；</w:t>
      </w:r>
    </w:p>
    <w:p w14:paraId="4AF99AA7">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16</w:t>
      </w:r>
      <w:r>
        <w:rPr>
          <w:rFonts w:ascii="Times New Roman" w:hAnsi="Times New Roman" w:cs="Times New Roman"/>
          <w:color w:val="auto"/>
        </w:rPr>
        <w:t>）《关于进一步明确畜禽粪污还田利用要求强化养殖污染监管的通知》（农牧办〔2020〕23号，</w:t>
      </w:r>
      <w:r>
        <w:rPr>
          <w:rFonts w:hint="eastAsia" w:cs="Times New Roman"/>
          <w:color w:val="auto"/>
          <w:lang w:eastAsia="zh-CN"/>
        </w:rPr>
        <w:t>2020年6月4日</w:t>
      </w:r>
      <w:r>
        <w:rPr>
          <w:rFonts w:ascii="Times New Roman" w:hAnsi="Times New Roman" w:cs="Times New Roman"/>
          <w:color w:val="auto"/>
        </w:rPr>
        <w:t>）；</w:t>
      </w:r>
    </w:p>
    <w:p w14:paraId="1CA425A9">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17</w:t>
      </w:r>
      <w:r>
        <w:rPr>
          <w:rFonts w:ascii="Times New Roman" w:hAnsi="Times New Roman" w:cs="Times New Roman"/>
          <w:color w:val="auto"/>
        </w:rPr>
        <w:t>）《畜禽规模养殖污染防治条例》，中华人民共和国国务院令第643号，2014年1月1日起施行）；</w:t>
      </w:r>
    </w:p>
    <w:p w14:paraId="6DA099A4">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18</w:t>
      </w:r>
      <w:r>
        <w:rPr>
          <w:rFonts w:ascii="Times New Roman" w:hAnsi="Times New Roman" w:cs="Times New Roman"/>
          <w:color w:val="auto"/>
        </w:rPr>
        <w:t>）《排污许可管理条例》，中华人民共和国国务院令第736号，2021年3月1日起施行；</w:t>
      </w:r>
    </w:p>
    <w:p w14:paraId="0F9761CF">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19</w:t>
      </w:r>
      <w:r>
        <w:rPr>
          <w:rFonts w:ascii="Times New Roman" w:hAnsi="Times New Roman" w:cs="Times New Roman"/>
          <w:color w:val="auto"/>
        </w:rPr>
        <w:t>）《关于促进规模化养殖有关用地政策的通知》，国土资源部、</w:t>
      </w:r>
      <w:r>
        <w:rPr>
          <w:rFonts w:hint="eastAsia" w:cs="Times New Roman"/>
          <w:color w:val="auto"/>
          <w:lang w:eastAsia="zh-CN"/>
        </w:rPr>
        <w:t>农业农村部</w:t>
      </w:r>
      <w:r>
        <w:rPr>
          <w:rFonts w:ascii="Times New Roman" w:hAnsi="Times New Roman" w:cs="Times New Roman"/>
          <w:color w:val="auto"/>
        </w:rPr>
        <w:t>，国土资发</w:t>
      </w:r>
      <w:r>
        <w:rPr>
          <w:rFonts w:hint="eastAsia" w:ascii="Times New Roman" w:hAnsi="Times New Roman" w:cs="Times New Roman"/>
          <w:color w:val="auto"/>
          <w:lang w:eastAsia="zh-CN"/>
        </w:rPr>
        <w:t>〔2007〕220号</w:t>
      </w:r>
      <w:r>
        <w:rPr>
          <w:rFonts w:ascii="Times New Roman" w:hAnsi="Times New Roman" w:cs="Times New Roman"/>
          <w:color w:val="auto"/>
        </w:rPr>
        <w:t>；</w:t>
      </w:r>
    </w:p>
    <w:p w14:paraId="2849154A">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20</w:t>
      </w:r>
      <w:r>
        <w:rPr>
          <w:rFonts w:ascii="Times New Roman" w:hAnsi="Times New Roman" w:cs="Times New Roman"/>
          <w:color w:val="auto"/>
        </w:rPr>
        <w:t>）《动物防疫条件审查办法》，中华人民共和国农业农村部令2022年第7号；</w:t>
      </w:r>
    </w:p>
    <w:p w14:paraId="2BE2BE21">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21</w:t>
      </w:r>
      <w:r>
        <w:rPr>
          <w:rFonts w:ascii="Times New Roman" w:hAnsi="Times New Roman" w:cs="Times New Roman"/>
          <w:color w:val="auto"/>
        </w:rPr>
        <w:t>）《关于做好畜禽规模养殖项目环境影响评价管理工作的通知》（环办 环评</w:t>
      </w:r>
      <w:r>
        <w:rPr>
          <w:rFonts w:hint="eastAsia" w:ascii="Times New Roman" w:hAnsi="Times New Roman" w:cs="Times New Roman"/>
          <w:color w:val="auto"/>
          <w:lang w:eastAsia="zh-CN"/>
        </w:rPr>
        <w:t>〔2018〕31号</w:t>
      </w:r>
      <w:r>
        <w:rPr>
          <w:rFonts w:ascii="Times New Roman" w:hAnsi="Times New Roman" w:cs="Times New Roman"/>
          <w:color w:val="auto"/>
        </w:rPr>
        <w:t>）；</w:t>
      </w:r>
    </w:p>
    <w:p w14:paraId="751BFEE7">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22</w:t>
      </w:r>
      <w:r>
        <w:rPr>
          <w:rFonts w:ascii="Times New Roman" w:hAnsi="Times New Roman" w:cs="Times New Roman"/>
          <w:color w:val="auto"/>
        </w:rPr>
        <w:t>）《畜禽粪污资源化利用行动方案（2017</w:t>
      </w:r>
      <w:r>
        <w:rPr>
          <w:rFonts w:hint="eastAsia" w:cs="Times New Roman"/>
          <w:color w:val="auto"/>
          <w:lang w:eastAsia="zh-CN"/>
        </w:rPr>
        <w:t>—</w:t>
      </w:r>
      <w:r>
        <w:rPr>
          <w:rFonts w:ascii="Times New Roman" w:hAnsi="Times New Roman" w:cs="Times New Roman"/>
          <w:color w:val="auto"/>
        </w:rPr>
        <w:t>2020年）》（农牧发</w:t>
      </w:r>
      <w:r>
        <w:rPr>
          <w:rFonts w:hint="eastAsia" w:ascii="Times New Roman" w:hAnsi="Times New Roman" w:cs="Times New Roman"/>
          <w:color w:val="auto"/>
          <w:lang w:eastAsia="zh-CN"/>
        </w:rPr>
        <w:t>〔2017〕11号</w:t>
      </w:r>
      <w:r>
        <w:rPr>
          <w:rFonts w:ascii="Times New Roman" w:hAnsi="Times New Roman" w:cs="Times New Roman"/>
          <w:color w:val="auto"/>
        </w:rPr>
        <w:t>）；</w:t>
      </w:r>
    </w:p>
    <w:p w14:paraId="61B8E561">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23</w:t>
      </w:r>
      <w:r>
        <w:rPr>
          <w:rFonts w:ascii="Times New Roman" w:hAnsi="Times New Roman" w:cs="Times New Roman"/>
          <w:color w:val="auto"/>
        </w:rPr>
        <w:t>）《中华人民共和国土地管理法实施条例》，中华人民共和国国务院令第743号，2021年9月1日起施行；</w:t>
      </w:r>
    </w:p>
    <w:p w14:paraId="1D460EF5">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24</w:t>
      </w:r>
      <w:r>
        <w:rPr>
          <w:rFonts w:ascii="Times New Roman" w:hAnsi="Times New Roman" w:cs="Times New Roman"/>
          <w:color w:val="auto"/>
        </w:rPr>
        <w:t>）《危险废物转移管理办法》（生态环境部公安部交通运输部令第23号）</w:t>
      </w:r>
      <w:r>
        <w:rPr>
          <w:rFonts w:hint="eastAsia" w:ascii="Times New Roman" w:hAnsi="Times New Roman" w:cs="Times New Roman"/>
          <w:color w:val="auto"/>
          <w:lang w:eastAsia="zh-CN"/>
        </w:rPr>
        <w:t>，</w:t>
      </w:r>
      <w:r>
        <w:rPr>
          <w:rFonts w:ascii="Times New Roman" w:hAnsi="Times New Roman" w:cs="Times New Roman"/>
          <w:color w:val="auto"/>
        </w:rPr>
        <w:t>（2022年1月1日施行）；</w:t>
      </w:r>
    </w:p>
    <w:p w14:paraId="62BAA58C">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25</w:t>
      </w:r>
      <w:r>
        <w:rPr>
          <w:rFonts w:ascii="Times New Roman" w:hAnsi="Times New Roman" w:cs="Times New Roman"/>
          <w:color w:val="auto"/>
        </w:rPr>
        <w:t>）《企业事业单位环境信息公开办法》（2015年1月1日施行）；</w:t>
      </w:r>
    </w:p>
    <w:p w14:paraId="59C36A9F">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26</w:t>
      </w:r>
      <w:r>
        <w:rPr>
          <w:rFonts w:ascii="Times New Roman" w:hAnsi="Times New Roman" w:cs="Times New Roman"/>
          <w:color w:val="auto"/>
        </w:rPr>
        <w:t>）《关于做好环境影响评价制度与排污许可</w:t>
      </w:r>
      <w:r>
        <w:rPr>
          <w:rFonts w:hint="eastAsia" w:cs="Times New Roman"/>
          <w:color w:val="auto"/>
          <w:lang w:eastAsia="zh-CN"/>
        </w:rPr>
        <w:t>制度</w:t>
      </w:r>
      <w:r>
        <w:rPr>
          <w:rFonts w:ascii="Times New Roman" w:hAnsi="Times New Roman" w:cs="Times New Roman"/>
          <w:color w:val="auto"/>
        </w:rPr>
        <w:t>衔接相关工作的通知》（2017年11月15日印发）；</w:t>
      </w:r>
    </w:p>
    <w:p w14:paraId="43E6BD33">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27</w:t>
      </w:r>
      <w:r>
        <w:rPr>
          <w:rFonts w:ascii="Times New Roman" w:hAnsi="Times New Roman" w:cs="Times New Roman"/>
          <w:color w:val="auto"/>
        </w:rPr>
        <w:t>）《国务院办公厅关于印发控制污染物排放许可制实施方案的通知》（2016年11月10日发布并实施）；</w:t>
      </w:r>
    </w:p>
    <w:p w14:paraId="71468D7B">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28</w:t>
      </w:r>
      <w:r>
        <w:rPr>
          <w:rFonts w:ascii="Times New Roman" w:hAnsi="Times New Roman" w:cs="Times New Roman"/>
          <w:color w:val="auto"/>
        </w:rPr>
        <w:t>）</w:t>
      </w:r>
      <w:r>
        <w:rPr>
          <w:rFonts w:hint="eastAsia" w:cs="Times New Roman"/>
          <w:color w:val="auto"/>
          <w:lang w:eastAsia="zh-CN"/>
        </w:rPr>
        <w:t>农业农村部</w:t>
      </w:r>
      <w:r>
        <w:rPr>
          <w:rFonts w:ascii="Times New Roman" w:hAnsi="Times New Roman" w:cs="Times New Roman"/>
          <w:color w:val="auto"/>
        </w:rPr>
        <w:t>关于印发《病死及病害动物无害化处理技术规范》的通知（2017年7月3日发布）；</w:t>
      </w:r>
    </w:p>
    <w:p w14:paraId="7BC4ECD4">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29</w:t>
      </w:r>
      <w:r>
        <w:rPr>
          <w:rFonts w:ascii="Times New Roman" w:hAnsi="Times New Roman" w:cs="Times New Roman"/>
          <w:color w:val="auto"/>
        </w:rPr>
        <w:t>）《环境保护部</w:t>
      </w:r>
      <w:r>
        <w:rPr>
          <w:rFonts w:hint="eastAsia" w:cs="Times New Roman"/>
          <w:color w:val="auto"/>
          <w:lang w:eastAsia="zh-CN"/>
        </w:rPr>
        <w:t>农业农村部</w:t>
      </w:r>
      <w:r>
        <w:rPr>
          <w:rFonts w:ascii="Times New Roman" w:hAnsi="Times New Roman" w:cs="Times New Roman"/>
          <w:color w:val="auto"/>
        </w:rPr>
        <w:t>关于进一步加强畜禽养殖污染防治工作的通知》（2016年10月19日）；</w:t>
      </w:r>
    </w:p>
    <w:p w14:paraId="35E131B9">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30</w:t>
      </w:r>
      <w:r>
        <w:rPr>
          <w:rFonts w:ascii="Times New Roman" w:hAnsi="Times New Roman" w:cs="Times New Roman"/>
          <w:color w:val="auto"/>
        </w:rPr>
        <w:t>）《畜禽养殖场规模标准和备案管理办法（试行）（征求意见稿）》（</w:t>
      </w:r>
      <w:r>
        <w:rPr>
          <w:rFonts w:hint="eastAsia" w:ascii="Times New Roman" w:hAnsi="Times New Roman" w:cs="Times New Roman"/>
          <w:color w:val="auto"/>
          <w:lang w:val="en-US" w:eastAsia="zh-CN"/>
        </w:rPr>
        <w:t>2023</w:t>
      </w:r>
      <w:r>
        <w:rPr>
          <w:rFonts w:ascii="Times New Roman" w:hAnsi="Times New Roman" w:cs="Times New Roman"/>
          <w:color w:val="auto"/>
        </w:rPr>
        <w:t>年）；</w:t>
      </w:r>
    </w:p>
    <w:p w14:paraId="0FC96366">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31</w:t>
      </w:r>
      <w:r>
        <w:rPr>
          <w:rFonts w:ascii="Times New Roman" w:hAnsi="Times New Roman" w:cs="Times New Roman"/>
          <w:color w:val="auto"/>
        </w:rPr>
        <w:t>）《关于做好畜禽规模养殖项目环境影响评价管理工作的通知》（环办环评</w:t>
      </w:r>
      <w:r>
        <w:rPr>
          <w:rFonts w:hint="eastAsia" w:ascii="Times New Roman" w:hAnsi="Times New Roman" w:cs="Times New Roman"/>
          <w:color w:val="auto"/>
          <w:lang w:eastAsia="zh-CN"/>
        </w:rPr>
        <w:t>〔2018〕31号</w:t>
      </w:r>
      <w:r>
        <w:rPr>
          <w:rFonts w:ascii="Times New Roman" w:hAnsi="Times New Roman" w:cs="Times New Roman"/>
          <w:color w:val="auto"/>
        </w:rPr>
        <w:t>文</w:t>
      </w:r>
      <w:r>
        <w:rPr>
          <w:rFonts w:hint="eastAsia" w:cs="Times New Roman"/>
          <w:color w:val="auto"/>
          <w:lang w:eastAsia="zh-CN"/>
        </w:rPr>
        <w:t>）</w:t>
      </w:r>
      <w:r>
        <w:rPr>
          <w:rFonts w:ascii="Times New Roman" w:hAnsi="Times New Roman" w:cs="Times New Roman"/>
          <w:color w:val="auto"/>
        </w:rPr>
        <w:t>；</w:t>
      </w:r>
    </w:p>
    <w:p w14:paraId="20C1191D">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32</w:t>
      </w:r>
      <w:r>
        <w:rPr>
          <w:rFonts w:ascii="Times New Roman" w:hAnsi="Times New Roman" w:cs="Times New Roman"/>
          <w:color w:val="auto"/>
        </w:rPr>
        <w:t>）《国务院办公厅关于加快推进畜禽养殖废弃物资源化利用的意见》</w:t>
      </w:r>
      <w:r>
        <w:rPr>
          <w:rFonts w:hint="eastAsia" w:ascii="Times New Roman" w:hAnsi="Times New Roman" w:cs="Times New Roman"/>
          <w:color w:val="auto"/>
          <w:lang w:eastAsia="zh-CN"/>
        </w:rPr>
        <w:t>（</w:t>
      </w:r>
      <w:r>
        <w:rPr>
          <w:rFonts w:ascii="Times New Roman" w:hAnsi="Times New Roman" w:cs="Times New Roman"/>
          <w:color w:val="auto"/>
        </w:rPr>
        <w:t>国办发</w:t>
      </w:r>
      <w:r>
        <w:rPr>
          <w:rFonts w:hint="eastAsia" w:ascii="Times New Roman" w:hAnsi="Times New Roman" w:cs="Times New Roman"/>
          <w:color w:val="auto"/>
          <w:lang w:eastAsia="zh-CN"/>
        </w:rPr>
        <w:t>〔2017〕48号）</w:t>
      </w:r>
      <w:r>
        <w:rPr>
          <w:rFonts w:ascii="Times New Roman" w:hAnsi="Times New Roman" w:cs="Times New Roman"/>
          <w:color w:val="auto"/>
        </w:rPr>
        <w:t>；</w:t>
      </w:r>
    </w:p>
    <w:p w14:paraId="1311519D">
      <w:pPr>
        <w:ind w:left="480" w:leftChars="200" w:firstLine="0" w:firstLineChars="0"/>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33</w:t>
      </w:r>
      <w:r>
        <w:rPr>
          <w:rFonts w:ascii="Times New Roman" w:hAnsi="Times New Roman" w:cs="Times New Roman"/>
          <w:color w:val="auto"/>
        </w:rPr>
        <w:t>）《畜禽养殖业污染防治技术政策》（环发〔2010〕151号）；</w:t>
      </w:r>
    </w:p>
    <w:p w14:paraId="27EED124">
      <w:pPr>
        <w:ind w:left="480" w:leftChars="200" w:firstLine="0" w:firstLineChars="0"/>
        <w:rPr>
          <w:rFonts w:hint="eastAsia" w:ascii="Times New Roman" w:hAnsi="Times New Roman" w:cs="Times New Roman"/>
          <w:color w:val="auto"/>
          <w:lang w:eastAsia="zh-CN"/>
        </w:rPr>
      </w:pPr>
      <w:r>
        <w:rPr>
          <w:rFonts w:ascii="Times New Roman" w:hAnsi="Times New Roman" w:cs="Times New Roman"/>
          <w:color w:val="auto"/>
        </w:rPr>
        <w:t>（</w:t>
      </w:r>
      <w:r>
        <w:rPr>
          <w:rFonts w:hint="eastAsia" w:ascii="Times New Roman" w:hAnsi="Times New Roman" w:cs="Times New Roman"/>
          <w:color w:val="auto"/>
          <w:lang w:val="en-US" w:eastAsia="zh-CN"/>
        </w:rPr>
        <w:t>34</w:t>
      </w:r>
      <w:r>
        <w:rPr>
          <w:rFonts w:ascii="Times New Roman" w:hAnsi="Times New Roman" w:cs="Times New Roman"/>
          <w:color w:val="auto"/>
        </w:rPr>
        <w:t>）《</w:t>
      </w:r>
      <w:r>
        <w:rPr>
          <w:rFonts w:hint="eastAsia" w:ascii="Times New Roman" w:hAnsi="Times New Roman" w:cs="Times New Roman"/>
          <w:color w:val="auto"/>
          <w:lang w:eastAsia="zh-CN"/>
        </w:rPr>
        <w:t>畜禽规模养殖污染防治条例</w:t>
      </w:r>
      <w:r>
        <w:rPr>
          <w:rFonts w:ascii="Times New Roman" w:hAnsi="Times New Roman" w:cs="Times New Roman"/>
          <w:color w:val="auto"/>
        </w:rPr>
        <w:t>》（中华人民共和国国务院令第643号，2013年11月11日）</w:t>
      </w:r>
      <w:r>
        <w:rPr>
          <w:rFonts w:hint="eastAsia" w:ascii="Times New Roman" w:hAnsi="Times New Roman" w:cs="Times New Roman"/>
          <w:color w:val="auto"/>
          <w:lang w:eastAsia="zh-CN"/>
        </w:rPr>
        <w:t>；</w:t>
      </w:r>
    </w:p>
    <w:p w14:paraId="244992AD">
      <w:pPr>
        <w:ind w:left="480" w:leftChars="200"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35</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《“十四五”全国畜牧兽医行业发展规划》（农牧</w:t>
      </w:r>
      <w:r>
        <w:rPr>
          <w:rFonts w:ascii="Times New Roman" w:hAnsi="Times New Roman" w:cs="Times New Roman"/>
          <w:color w:val="auto"/>
        </w:rPr>
        <w:t>发</w:t>
      </w:r>
      <w:r>
        <w:rPr>
          <w:rFonts w:hint="eastAsia" w:ascii="Times New Roman" w:hAnsi="Times New Roman" w:cs="Times New Roman"/>
          <w:color w:val="auto"/>
          <w:lang w:eastAsia="zh-CN"/>
        </w:rPr>
        <w:t>〔20</w:t>
      </w:r>
      <w:r>
        <w:rPr>
          <w:rFonts w:hint="eastAsia" w:ascii="Times New Roman" w:hAnsi="Times New Roman" w:cs="Times New Roman"/>
          <w:color w:val="auto"/>
          <w:lang w:val="en-US" w:eastAsia="zh-CN"/>
        </w:rPr>
        <w:t>21</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37</w:t>
      </w:r>
      <w:r>
        <w:rPr>
          <w:rFonts w:hint="eastAsia" w:ascii="Times New Roman" w:hAnsi="Times New Roman" w:cs="Times New Roman"/>
          <w:color w:val="auto"/>
          <w:lang w:eastAsia="zh-CN"/>
        </w:rPr>
        <w:t>号</w:t>
      </w:r>
      <w:r>
        <w:rPr>
          <w:rFonts w:hint="eastAsia" w:ascii="Times New Roman" w:hAnsi="Times New Roman" w:cs="Times New Roman"/>
          <w:color w:val="auto"/>
          <w:lang w:val="en-US" w:eastAsia="zh-CN"/>
        </w:rPr>
        <w:t>）；</w:t>
      </w:r>
    </w:p>
    <w:p w14:paraId="2208E23B">
      <w:pPr>
        <w:ind w:left="480" w:leftChars="200"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（36）《畜禽养殖业</w:t>
      </w:r>
      <w:r>
        <w:rPr>
          <w:rFonts w:hint="eastAsia" w:cs="Times New Roman"/>
          <w:color w:val="auto"/>
          <w:lang w:val="en-US" w:eastAsia="zh-CN"/>
        </w:rPr>
        <w:t>（</w:t>
      </w:r>
      <w:r>
        <w:rPr>
          <w:rFonts w:hint="eastAsia" w:ascii="Times New Roman" w:hAnsi="Times New Roman" w:cs="Times New Roman"/>
          <w:color w:val="auto"/>
          <w:lang w:val="en-US" w:eastAsia="zh-CN"/>
        </w:rPr>
        <w:t>小区</w:t>
      </w:r>
      <w:r>
        <w:rPr>
          <w:rFonts w:hint="eastAsia" w:cs="Times New Roman"/>
          <w:color w:val="auto"/>
          <w:lang w:val="en-US" w:eastAsia="zh-CN"/>
        </w:rPr>
        <w:t>）</w:t>
      </w:r>
      <w:r>
        <w:rPr>
          <w:rFonts w:hint="eastAsia" w:ascii="Times New Roman" w:hAnsi="Times New Roman" w:cs="Times New Roman"/>
          <w:color w:val="auto"/>
          <w:lang w:val="en-US" w:eastAsia="zh-CN"/>
        </w:rPr>
        <w:t>环境守法导则》（环境保护部）；</w:t>
      </w:r>
    </w:p>
    <w:p w14:paraId="59A3A32F">
      <w:pPr>
        <w:ind w:left="480" w:leftChars="200" w:firstLine="0" w:firstLineChars="0"/>
        <w:rPr>
          <w:rFonts w:hint="eastAsia" w:ascii="Times New Roman" w:hAnsi="Times New Roman" w:cs="Times New Roman"/>
          <w:color w:val="auto"/>
          <w:lang w:val="en-US" w:eastAsia="zh-CN"/>
        </w:rPr>
      </w:pPr>
      <w:r>
        <w:rPr>
          <w:rFonts w:hint="eastAsia" w:ascii="Times New Roman" w:hAnsi="Times New Roman" w:eastAsia="仿宋_GB2312" w:cs="Times New Roman"/>
          <w:b w:val="0"/>
          <w:bCs w:val="0"/>
          <w:color w:val="auto"/>
          <w:sz w:val="24"/>
          <w:szCs w:val="24"/>
          <w:lang w:val="en-US" w:eastAsia="zh-CN"/>
        </w:rPr>
        <w:t>（37）</w:t>
      </w:r>
      <w:r>
        <w:rPr>
          <w:rFonts w:hint="eastAsia" w:ascii="Times New Roman" w:hAnsi="Times New Roman" w:cs="Times New Roman"/>
          <w:color w:val="auto"/>
          <w:lang w:val="en-US" w:eastAsia="zh-CN"/>
        </w:rPr>
        <w:t>《规模畜禽养殖场污染防治最佳可行技术指南（试行）》（2013年）。</w:t>
      </w:r>
    </w:p>
    <w:p w14:paraId="4E4BCC7B">
      <w:pPr>
        <w:pStyle w:val="5"/>
        <w:ind w:left="120"/>
        <w:rPr>
          <w:rFonts w:ascii="Times New Roman" w:hAnsi="Times New Roman" w:cs="Times New Roman"/>
          <w:color w:val="auto"/>
        </w:rPr>
      </w:pPr>
      <w:r>
        <w:rPr>
          <w:rFonts w:ascii="Times New Roman" w:hAnsi="Times New Roman" w:cs="Times New Roman"/>
          <w:color w:val="auto"/>
        </w:rPr>
        <w:t>地方</w:t>
      </w:r>
      <w:r>
        <w:rPr>
          <w:rFonts w:hint="eastAsia" w:ascii="Times New Roman" w:hAnsi="Times New Roman" w:cs="Times New Roman"/>
          <w:color w:val="auto"/>
          <w:lang w:eastAsia="zh-CN"/>
        </w:rPr>
        <w:t>法律法规</w:t>
      </w:r>
      <w:r>
        <w:rPr>
          <w:rFonts w:ascii="Times New Roman" w:hAnsi="Times New Roman" w:cs="Times New Roman"/>
          <w:color w:val="auto"/>
        </w:rPr>
        <w:t>、政策</w:t>
      </w:r>
    </w:p>
    <w:p w14:paraId="416D0BD1">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（1）《新疆维吾尔自治区环境保护条例》（2018年</w:t>
      </w:r>
      <w:r>
        <w:rPr>
          <w:rFonts w:hint="eastAsia" w:ascii="Times New Roman" w:hAnsi="Times New Roman" w:cs="Times New Roman"/>
          <w:color w:val="000000" w:themeColor="text1"/>
          <w:lang w:eastAsia="zh-CN"/>
          <w14:textFill>
            <w14:solidFill>
              <w14:schemeClr w14:val="tx1"/>
            </w14:solidFill>
          </w14:textFill>
        </w:rPr>
        <w:t>9月21日</w:t>
      </w:r>
      <w:r>
        <w:rPr>
          <w:rFonts w:ascii="Times New Roman" w:hAnsi="Times New Roman" w:cs="Times New Roman"/>
          <w:color w:val="000000" w:themeColor="text1"/>
          <w14:textFill>
            <w14:solidFill>
              <w14:schemeClr w14:val="tx1"/>
            </w14:solidFill>
          </w14:textFill>
        </w:rPr>
        <w:t>修正）；</w:t>
      </w:r>
    </w:p>
    <w:p w14:paraId="43AB6143">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（2）《新疆维吾尔自治区大气污染防治条例》（2019年1月1日施行）；</w:t>
      </w:r>
    </w:p>
    <w:p w14:paraId="1F1B048E">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（3）《新疆维吾尔自治区危险废物污染环境防治办法》（新疆维吾尔自治区人民政府令第163号，自2010年5月1日）；</w:t>
      </w:r>
    </w:p>
    <w:p w14:paraId="73FDC075">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（4）《关于印发新疆维吾尔自治区水污染防治工作方案的通知》（新政发〔2016〕21号，2016年1月29日）；</w:t>
      </w:r>
    </w:p>
    <w:p w14:paraId="547BFD3F">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（5）《关于印发新疆维吾尔自治区土壤污染防治工作方案的通知》（新政发〔2017〕25号，2017年3月1日）；</w:t>
      </w:r>
    </w:p>
    <w:p w14:paraId="1AFC41BD">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（6）《新疆维吾尔自治区重点行业</w:t>
      </w:r>
      <w:r>
        <w:rPr>
          <w:rFonts w:hint="eastAsia" w:ascii="Times New Roman" w:hAnsi="Times New Roman" w:cs="Times New Roman"/>
          <w:color w:val="000000" w:themeColor="text1"/>
          <w:lang w:val="en-US" w:eastAsia="zh-CN"/>
          <w14:textFill>
            <w14:solidFill>
              <w14:schemeClr w14:val="tx1"/>
            </w14:solidFill>
          </w14:textFill>
        </w:rPr>
        <w:t>生态</w:t>
      </w:r>
      <w:r>
        <w:rPr>
          <w:rFonts w:ascii="Times New Roman" w:hAnsi="Times New Roman" w:cs="Times New Roman"/>
          <w:color w:val="000000" w:themeColor="text1"/>
          <w14:textFill>
            <w14:solidFill>
              <w14:schemeClr w14:val="tx1"/>
            </w14:solidFill>
          </w14:textFill>
        </w:rPr>
        <w:t>环境准入条件</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2024年</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新环环评</w:t>
      </w:r>
      <w:r>
        <w:rPr>
          <w:rFonts w:ascii="Times New Roman" w:hAnsi="Times New Roman" w:cs="Times New Roman"/>
          <w:color w:val="000000" w:themeColor="text1"/>
          <w14:textFill>
            <w14:solidFill>
              <w14:schemeClr w14:val="tx1"/>
            </w14:solidFill>
          </w14:textFill>
        </w:rPr>
        <w:t>发〔20</w:t>
      </w:r>
      <w:r>
        <w:rPr>
          <w:rFonts w:hint="eastAsia" w:ascii="Times New Roman" w:hAnsi="Times New Roman" w:cs="Times New Roman"/>
          <w:color w:val="000000" w:themeColor="text1"/>
          <w:lang w:val="en-US" w:eastAsia="zh-CN"/>
          <w14:textFill>
            <w14:solidFill>
              <w14:schemeClr w14:val="tx1"/>
            </w14:solidFill>
          </w14:textFill>
        </w:rPr>
        <w:t>24</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93</w:t>
      </w:r>
      <w:r>
        <w:rPr>
          <w:rFonts w:ascii="Times New Roman" w:hAnsi="Times New Roman" w:cs="Times New Roman"/>
          <w:color w:val="000000" w:themeColor="text1"/>
          <w14:textFill>
            <w14:solidFill>
              <w14:schemeClr w14:val="tx1"/>
            </w14:solidFill>
          </w14:textFill>
        </w:rPr>
        <w:t>号</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2024</w:t>
      </w:r>
      <w:r>
        <w:rPr>
          <w:rFonts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9日</w:t>
      </w:r>
      <w:r>
        <w:rPr>
          <w:rFonts w:ascii="Times New Roman" w:hAnsi="Times New Roman" w:cs="Times New Roman"/>
          <w:color w:val="000000" w:themeColor="text1"/>
          <w14:textFill>
            <w14:solidFill>
              <w14:schemeClr w14:val="tx1"/>
            </w14:solidFill>
          </w14:textFill>
        </w:rPr>
        <w:t>）；</w:t>
      </w:r>
    </w:p>
    <w:p w14:paraId="182C3EBF">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（7）《新疆维吾尔自治区28个国家重点生态功能区县（市）产业准入负面清单（试行）》（自治区发展和改革委员会2017年6月）；</w:t>
      </w:r>
    </w:p>
    <w:p w14:paraId="4DA78A73">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兵团党委兵团印发《关于深入打好污染防治攻坚战的实施方案》的通知，新兵党发〔</w:t>
      </w:r>
      <w:r>
        <w:rPr>
          <w:rFonts w:hint="default" w:ascii="Times New Roman" w:hAnsi="Times New Roman" w:cs="Times New Roman"/>
          <w:color w:val="000000" w:themeColor="text1"/>
          <w:lang w:val="en-US" w:eastAsia="zh-CN"/>
          <w14:textFill>
            <w14:solidFill>
              <w14:schemeClr w14:val="tx1"/>
            </w14:solidFill>
          </w14:textFill>
        </w:rPr>
        <w:t>2022</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lang w:val="en-US" w:eastAsia="zh-CN"/>
          <w14:textFill>
            <w14:solidFill>
              <w14:schemeClr w14:val="tx1"/>
            </w14:solidFill>
          </w14:textFill>
        </w:rPr>
        <w:t>号，</w:t>
      </w:r>
      <w:r>
        <w:rPr>
          <w:rFonts w:hint="default" w:ascii="Times New Roman" w:hAnsi="Times New Roman" w:cs="Times New Roman"/>
          <w:color w:val="000000" w:themeColor="text1"/>
          <w:lang w:val="en-US" w:eastAsia="zh-CN"/>
          <w14:textFill>
            <w14:solidFill>
              <w14:schemeClr w14:val="tx1"/>
            </w14:solidFill>
          </w14:textFill>
        </w:rPr>
        <w:t>2022</w:t>
      </w:r>
      <w:r>
        <w:rPr>
          <w:rFonts w:hint="eastAsia" w:ascii="Times New Roman" w:hAnsi="Times New Roman" w:cs="Times New Roman"/>
          <w:color w:val="000000" w:themeColor="text1"/>
          <w:lang w:val="en-US"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9</w:t>
      </w:r>
      <w:r>
        <w:rPr>
          <w:rFonts w:hint="eastAsia" w:ascii="Times New Roman" w:hAnsi="Times New Roman" w:cs="Times New Roman"/>
          <w:color w:val="000000" w:themeColor="text1"/>
          <w:lang w:val="en-US" w:eastAsia="zh-CN"/>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lang w:val="en-US" w:eastAsia="zh-CN"/>
          <w14:textFill>
            <w14:solidFill>
              <w14:schemeClr w14:val="tx1"/>
            </w14:solidFill>
          </w14:textFill>
        </w:rPr>
        <w:t>日</w:t>
      </w:r>
      <w:r>
        <w:rPr>
          <w:rFonts w:ascii="Times New Roman" w:hAnsi="Times New Roman" w:cs="Times New Roman"/>
          <w:color w:val="000000" w:themeColor="text1"/>
          <w14:textFill>
            <w14:solidFill>
              <w14:schemeClr w14:val="tx1"/>
            </w14:solidFill>
          </w14:textFill>
        </w:rPr>
        <w:t>；</w:t>
      </w:r>
    </w:p>
    <w:p w14:paraId="22BD3326">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关于印发《新疆生产建设兵团</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三线一单</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生态环境分区管控方案》的通知</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（新兵发〔</w:t>
      </w:r>
      <w:r>
        <w:rPr>
          <w:rFonts w:hint="default" w:ascii="Times New Roman" w:hAnsi="Times New Roman" w:eastAsia="宋体" w:cs="Times New Roman"/>
          <w:color w:val="000000"/>
          <w:kern w:val="0"/>
          <w:sz w:val="24"/>
          <w:szCs w:val="24"/>
          <w:lang w:val="en-US" w:eastAsia="zh-CN" w:bidi="ar"/>
        </w:rPr>
        <w:t>2021</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16</w:t>
      </w:r>
      <w:r>
        <w:rPr>
          <w:rFonts w:hint="eastAsia" w:ascii="Times New Roman" w:hAnsi="Times New Roman"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2021</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14</w:t>
      </w:r>
      <w:r>
        <w:rPr>
          <w:rFonts w:hint="eastAsia" w:ascii="Times New Roman" w:hAnsi="Times New Roman" w:eastAsia="宋体" w:cs="宋体"/>
          <w:color w:val="000000"/>
          <w:kern w:val="0"/>
          <w:sz w:val="24"/>
          <w:szCs w:val="24"/>
          <w:lang w:val="en-US" w:eastAsia="zh-CN" w:bidi="ar"/>
        </w:rPr>
        <w:t>日）</w:t>
      </w:r>
      <w:r>
        <w:rPr>
          <w:rFonts w:ascii="Times New Roman" w:hAnsi="Times New Roman" w:cs="Times New Roman"/>
          <w:color w:val="000000" w:themeColor="text1"/>
          <w14:textFill>
            <w14:solidFill>
              <w14:schemeClr w14:val="tx1"/>
            </w14:solidFill>
          </w14:textFill>
        </w:rPr>
        <w:t>；</w:t>
      </w:r>
    </w:p>
    <w:p w14:paraId="698E9726">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r>
        <w:rPr>
          <w:rFonts w:hint="eastAsia" w:ascii="Times New Roman" w:hAnsi="Times New Roman" w:cs="Times New Roman"/>
          <w:color w:val="000000" w:themeColor="text1"/>
          <w:lang w:val="en-US" w:eastAsia="zh-CN"/>
          <w14:textFill>
            <w14:solidFill>
              <w14:schemeClr w14:val="tx1"/>
            </w14:solidFill>
          </w14:textFill>
        </w:rPr>
        <w:t>《第四师可克达拉市生态环境分区管控更新成果》（2023年版）</w:t>
      </w:r>
      <w:r>
        <w:rPr>
          <w:rFonts w:ascii="Times New Roman" w:hAnsi="Times New Roman" w:cs="Times New Roman"/>
          <w:color w:val="000000" w:themeColor="text1"/>
          <w14:textFill>
            <w14:solidFill>
              <w14:schemeClr w14:val="tx1"/>
            </w14:solidFill>
          </w14:textFill>
        </w:rPr>
        <w:t>；</w:t>
      </w:r>
    </w:p>
    <w:p w14:paraId="24120CF1">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（11）《中国新疆水环境功能区划》（</w:t>
      </w:r>
      <w:r>
        <w:rPr>
          <w:rFonts w:hint="eastAsia" w:cs="Times New Roman"/>
          <w:color w:val="000000" w:themeColor="text1"/>
          <w:lang w:eastAsia="zh-CN"/>
          <w14:textFill>
            <w14:solidFill>
              <w14:schemeClr w14:val="tx1"/>
            </w14:solidFill>
          </w14:textFill>
        </w:rPr>
        <w:t>新疆维吾尔自治区</w:t>
      </w:r>
      <w:r>
        <w:rPr>
          <w:rFonts w:ascii="Times New Roman" w:hAnsi="Times New Roman" w:cs="Times New Roman"/>
          <w:color w:val="000000" w:themeColor="text1"/>
          <w14:textFill>
            <w14:solidFill>
              <w14:schemeClr w14:val="tx1"/>
            </w14:solidFill>
          </w14:textFill>
        </w:rPr>
        <w:t>人民政府，新政函〔2002〕194号文，2002年11月16日）；</w:t>
      </w:r>
    </w:p>
    <w:p w14:paraId="31AD2570">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（12）《伊犁河谷生态环境保护条例》（2019年4月1日施行）；</w:t>
      </w:r>
    </w:p>
    <w:p w14:paraId="08509B18">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w:t>
      </w:r>
      <w:r>
        <w:rPr>
          <w:rFonts w:hint="eastAsia" w:ascii="Times New Roman" w:hAnsi="Times New Roman" w:eastAsia="宋体" w:cs="宋体"/>
          <w:color w:val="000000"/>
          <w:kern w:val="0"/>
          <w:sz w:val="24"/>
          <w:szCs w:val="24"/>
          <w:lang w:val="en-US" w:eastAsia="zh-CN" w:bidi="ar"/>
        </w:rPr>
        <w:t>新疆生产建设兵团国民经济和社会发展第十四个五年规划和</w:t>
      </w:r>
      <w:r>
        <w:rPr>
          <w:rFonts w:hint="eastAsia" w:eastAsia="宋体" w:cs="宋体"/>
          <w:color w:val="000000"/>
          <w:kern w:val="0"/>
          <w:sz w:val="24"/>
          <w:szCs w:val="24"/>
          <w:lang w:val="en-US" w:eastAsia="zh-CN" w:bidi="ar"/>
        </w:rPr>
        <w:t>二〇三五</w:t>
      </w:r>
      <w:r>
        <w:rPr>
          <w:rFonts w:hint="eastAsia" w:ascii="Times New Roman" w:hAnsi="Times New Roman" w:eastAsia="宋体" w:cs="宋体"/>
          <w:color w:val="000000"/>
          <w:kern w:val="0"/>
          <w:sz w:val="24"/>
          <w:szCs w:val="24"/>
          <w:lang w:val="en-US" w:eastAsia="zh-CN" w:bidi="ar"/>
        </w:rPr>
        <w:t>年远景目标纲要</w:t>
      </w:r>
      <w:r>
        <w:rPr>
          <w:rFonts w:ascii="Times New Roman" w:hAnsi="Times New Roman" w:cs="Times New Roman"/>
          <w:color w:val="000000" w:themeColor="text1"/>
          <w14:textFill>
            <w14:solidFill>
              <w14:schemeClr w14:val="tx1"/>
            </w14:solidFill>
          </w14:textFill>
        </w:rPr>
        <w:t>》；</w:t>
      </w:r>
    </w:p>
    <w:p w14:paraId="36A5A703">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（14）《新疆生态功能区划》，新疆环境监测中心站，2002年10月20日）；</w:t>
      </w:r>
    </w:p>
    <w:p w14:paraId="4DB382EC">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r>
        <w:rPr>
          <w:rFonts w:hint="eastAsia" w:ascii="Times New Roman" w:hAnsi="Times New Roman" w:eastAsia="宋体" w:cs="宋体"/>
          <w:color w:val="000000"/>
          <w:kern w:val="0"/>
          <w:sz w:val="24"/>
          <w:szCs w:val="24"/>
          <w:lang w:val="en-US" w:eastAsia="zh-CN" w:bidi="ar"/>
        </w:rPr>
        <w:t>《第四师可克达拉市国民经济和社会发展第十四个五年规划和</w:t>
      </w:r>
      <w:r>
        <w:rPr>
          <w:rFonts w:hint="default" w:ascii="Times New Roman" w:hAnsi="Times New Roman" w:eastAsia="宋体" w:cs="Times New Roman"/>
          <w:color w:val="000000"/>
          <w:kern w:val="0"/>
          <w:sz w:val="24"/>
          <w:szCs w:val="24"/>
          <w:lang w:val="en-US" w:eastAsia="zh-CN" w:bidi="ar"/>
        </w:rPr>
        <w:t>2035</w:t>
      </w:r>
      <w:r>
        <w:rPr>
          <w:rFonts w:hint="eastAsia" w:ascii="Times New Roman" w:hAnsi="Times New Roman" w:eastAsia="宋体" w:cs="宋体"/>
          <w:color w:val="000000"/>
          <w:kern w:val="0"/>
          <w:sz w:val="24"/>
          <w:szCs w:val="24"/>
          <w:lang w:val="en-US" w:eastAsia="zh-CN" w:bidi="ar"/>
        </w:rPr>
        <w:t>年远景目标纲要》</w:t>
      </w:r>
      <w:r>
        <w:rPr>
          <w:rFonts w:ascii="Times New Roman" w:hAnsi="Times New Roman" w:cs="Times New Roman"/>
          <w:color w:val="000000" w:themeColor="text1"/>
          <w14:textFill>
            <w14:solidFill>
              <w14:schemeClr w14:val="tx1"/>
            </w14:solidFill>
          </w14:textFill>
        </w:rPr>
        <w:t>；</w:t>
      </w:r>
    </w:p>
    <w:p w14:paraId="6FE0A107">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16</w:t>
      </w:r>
      <w:r>
        <w:rPr>
          <w:rFonts w:ascii="Times New Roman" w:hAnsi="Times New Roman" w:cs="Times New Roman"/>
          <w:color w:val="000000" w:themeColor="text1"/>
          <w14:textFill>
            <w14:solidFill>
              <w14:schemeClr w14:val="tx1"/>
            </w14:solidFill>
          </w14:textFill>
        </w:rPr>
        <w:t>）《自治区打赢蓝天保卫战三年行动计划（2018</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2020年）》新政发〔2018〕66号；</w:t>
      </w:r>
    </w:p>
    <w:p w14:paraId="7F223FFD">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17</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eastAsia="宋体" w:cs="宋体"/>
          <w:color w:val="000000"/>
          <w:kern w:val="0"/>
          <w:sz w:val="24"/>
          <w:szCs w:val="24"/>
          <w:lang w:val="en-US" w:eastAsia="zh-CN" w:bidi="ar"/>
        </w:rPr>
        <w:t>《新疆生产建设兵团</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生态环境保护规划》</w:t>
      </w:r>
      <w:r>
        <w:rPr>
          <w:rFonts w:ascii="Times New Roman" w:hAnsi="Times New Roman" w:cs="Times New Roman"/>
          <w:color w:val="000000" w:themeColor="text1"/>
          <w14:textFill>
            <w14:solidFill>
              <w14:schemeClr w14:val="tx1"/>
            </w14:solidFill>
          </w14:textFill>
        </w:rPr>
        <w:t>；</w:t>
      </w:r>
    </w:p>
    <w:p w14:paraId="510F624F">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18</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eastAsia="宋体" w:cs="宋体"/>
          <w:color w:val="000000"/>
          <w:kern w:val="0"/>
          <w:sz w:val="24"/>
          <w:szCs w:val="24"/>
          <w:lang w:val="en-US" w:eastAsia="zh-CN" w:bidi="ar"/>
        </w:rPr>
        <w:t>《第四师可克达拉市</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生态环境保护规划》；</w:t>
      </w:r>
    </w:p>
    <w:p w14:paraId="5D5D7282">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cs="Times New Roman"/>
          <w:color w:val="000000" w:themeColor="text1"/>
          <w:lang w:val="en-US" w:eastAsia="zh-CN"/>
          <w14:textFill>
            <w14:solidFill>
              <w14:schemeClr w14:val="tx1"/>
            </w14:solidFill>
          </w14:textFill>
        </w:rPr>
        <w:t>（19）</w:t>
      </w:r>
      <w:r>
        <w:rPr>
          <w:rFonts w:hint="eastAsia" w:ascii="Times New Roman" w:hAnsi="Times New Roman" w:eastAsia="宋体" w:cs="宋体"/>
          <w:color w:val="000000"/>
          <w:kern w:val="0"/>
          <w:sz w:val="24"/>
          <w:szCs w:val="24"/>
          <w:lang w:val="en-US" w:eastAsia="zh-CN" w:bidi="ar"/>
        </w:rPr>
        <w:t>《新疆维吾尔自治区畜牧业“十四五”发展规划》；</w:t>
      </w:r>
    </w:p>
    <w:p w14:paraId="4CE8B102">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cs="Times New Roman"/>
          <w:color w:val="000000" w:themeColor="text1"/>
          <w:lang w:val="en-US" w:eastAsia="zh-CN"/>
          <w14:textFill>
            <w14:solidFill>
              <w14:schemeClr w14:val="tx1"/>
            </w14:solidFill>
          </w14:textFill>
        </w:rPr>
        <w:t>（20）</w:t>
      </w:r>
      <w:r>
        <w:rPr>
          <w:rFonts w:hint="eastAsia" w:ascii="Times New Roman" w:hAnsi="Times New Roman" w:eastAsia="宋体" w:cs="宋体"/>
          <w:color w:val="000000"/>
          <w:kern w:val="0"/>
          <w:sz w:val="24"/>
          <w:szCs w:val="24"/>
          <w:lang w:val="en-US" w:eastAsia="zh-CN" w:bidi="ar"/>
        </w:rPr>
        <w:t>《关于促进新疆畜牧业高质量发展的意见》</w:t>
      </w:r>
      <w:r>
        <w:rPr>
          <w:rFonts w:hint="eastAsia"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新党办发</w:t>
      </w:r>
      <w:r>
        <w:rPr>
          <w:rFonts w:hint="eastAsia" w:ascii="Times New Roman" w:hAnsi="Times New Roman" w:cs="Times New Roman"/>
          <w:color w:val="000000" w:themeColor="text1"/>
          <w:lang w:val="en-US" w:eastAsia="zh-CN"/>
          <w14:textFill>
            <w14:solidFill>
              <w14:schemeClr w14:val="tx1"/>
            </w14:solidFill>
          </w14:textFill>
        </w:rPr>
        <w:t>〔2020〕7号</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宋体"/>
          <w:color w:val="000000"/>
          <w:kern w:val="0"/>
          <w:sz w:val="24"/>
          <w:szCs w:val="24"/>
          <w:lang w:val="en-US" w:eastAsia="zh-CN" w:bidi="ar"/>
        </w:rPr>
        <w:t>；</w:t>
      </w:r>
    </w:p>
    <w:p w14:paraId="6E415DCE">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cs="Times New Roman"/>
          <w:color w:val="000000" w:themeColor="text1"/>
          <w:lang w:val="en-US" w:eastAsia="zh-CN"/>
          <w14:textFill>
            <w14:solidFill>
              <w14:schemeClr w14:val="tx1"/>
            </w14:solidFill>
          </w14:textFill>
        </w:rPr>
        <w:t>（21）</w:t>
      </w:r>
      <w:r>
        <w:rPr>
          <w:rFonts w:hint="eastAsia" w:ascii="Times New Roman" w:hAnsi="Times New Roman" w:eastAsia="宋体" w:cs="宋体"/>
          <w:color w:val="000000"/>
          <w:kern w:val="0"/>
          <w:sz w:val="24"/>
          <w:szCs w:val="24"/>
          <w:lang w:val="en-US" w:eastAsia="zh-CN" w:bidi="ar"/>
        </w:rPr>
        <w:t>《关于印发新疆维吾尔自治区大气污染防治行动计划实施方案的通知》（新政发</w:t>
      </w:r>
      <w:r>
        <w:rPr>
          <w:rFonts w:hint="eastAsia" w:ascii="Times New Roman" w:hAnsi="Times New Roman" w:cs="Times New Roman"/>
          <w:color w:val="000000" w:themeColor="text1"/>
          <w:lang w:val="en-US" w:eastAsia="zh-CN"/>
          <w14:textFill>
            <w14:solidFill>
              <w14:schemeClr w14:val="tx1"/>
            </w14:solidFill>
          </w14:textFill>
        </w:rPr>
        <w:t>〔2014〕35号）</w:t>
      </w:r>
      <w:r>
        <w:rPr>
          <w:rFonts w:hint="eastAsia" w:ascii="Times New Roman" w:hAnsi="Times New Roman" w:eastAsia="宋体" w:cs="宋体"/>
          <w:color w:val="000000"/>
          <w:kern w:val="0"/>
          <w:sz w:val="24"/>
          <w:szCs w:val="24"/>
          <w:lang w:val="en-US" w:eastAsia="zh-CN" w:bidi="ar"/>
        </w:rPr>
        <w:t>。</w:t>
      </w:r>
    </w:p>
    <w:p w14:paraId="1061A1A2">
      <w:pPr>
        <w:pStyle w:val="5"/>
        <w:ind w:left="120"/>
        <w:rPr>
          <w:rFonts w:ascii="Times New Roman" w:hAnsi="Times New Roman" w:cs="Times New Roman"/>
          <w:color w:val="auto"/>
        </w:rPr>
      </w:pPr>
      <w:r>
        <w:rPr>
          <w:rFonts w:ascii="Times New Roman" w:hAnsi="Times New Roman" w:cs="Times New Roman"/>
          <w:color w:val="auto"/>
        </w:rPr>
        <w:t>环境保护技术导则</w:t>
      </w:r>
      <w:bookmarkEnd w:id="41"/>
      <w:bookmarkEnd w:id="42"/>
    </w:p>
    <w:p w14:paraId="47A40DC7">
      <w:pPr>
        <w:ind w:left="480" w:leftChars="200" w:firstLine="0" w:firstLineChars="0"/>
        <w:rPr>
          <w:rFonts w:ascii="Times New Roman" w:hAnsi="Times New Roman" w:cs="Times New Roman"/>
          <w:color w:val="auto"/>
        </w:rPr>
      </w:pPr>
      <w:bookmarkStart w:id="43" w:name="_Toc483491980"/>
      <w:bookmarkStart w:id="44" w:name="_Toc490417063"/>
      <w:r>
        <w:rPr>
          <w:rFonts w:ascii="Times New Roman" w:hAnsi="Times New Roman" w:cs="Times New Roman"/>
          <w:color w:val="auto"/>
        </w:rPr>
        <w:t>（1）《建设项目环境影响评价技术导则—总纲》（HJ2.1—2016）；</w:t>
      </w:r>
    </w:p>
    <w:p w14:paraId="3574F451">
      <w:pPr>
        <w:ind w:left="480" w:leftChars="200" w:firstLine="0" w:firstLineChars="0"/>
        <w:rPr>
          <w:rFonts w:ascii="Times New Roman" w:hAnsi="Times New Roman" w:cs="Times New Roman"/>
          <w:color w:val="auto"/>
        </w:rPr>
      </w:pPr>
      <w:r>
        <w:rPr>
          <w:rFonts w:ascii="Times New Roman" w:hAnsi="Times New Roman" w:cs="Times New Roman"/>
          <w:color w:val="auto"/>
        </w:rPr>
        <w:t>（2）《环境影响评价技术导则—大气环境》（HJ2.2—2018）；</w:t>
      </w:r>
    </w:p>
    <w:p w14:paraId="21135D92">
      <w:pPr>
        <w:ind w:left="480" w:leftChars="200" w:firstLine="0" w:firstLineChars="0"/>
        <w:rPr>
          <w:rFonts w:ascii="Times New Roman" w:hAnsi="Times New Roman" w:cs="Times New Roman"/>
          <w:color w:val="auto"/>
        </w:rPr>
      </w:pPr>
      <w:r>
        <w:rPr>
          <w:rFonts w:ascii="Times New Roman" w:hAnsi="Times New Roman" w:cs="Times New Roman"/>
          <w:color w:val="auto"/>
        </w:rPr>
        <w:t>（3）《环境影响评价技术导则—地表水环境》（HJ2.3—2018）；</w:t>
      </w:r>
    </w:p>
    <w:p w14:paraId="73992C42">
      <w:pPr>
        <w:ind w:left="480" w:leftChars="200" w:firstLine="0" w:firstLineChars="0"/>
        <w:rPr>
          <w:rFonts w:ascii="Times New Roman" w:hAnsi="Times New Roman" w:cs="Times New Roman"/>
          <w:color w:val="auto"/>
        </w:rPr>
      </w:pPr>
      <w:r>
        <w:rPr>
          <w:rFonts w:ascii="Times New Roman" w:hAnsi="Times New Roman" w:cs="Times New Roman"/>
          <w:color w:val="auto"/>
        </w:rPr>
        <w:t>（4）《环境影响评价技术导则—声环境》（HJ2.4—2021）；</w:t>
      </w:r>
    </w:p>
    <w:p w14:paraId="74D87582">
      <w:pPr>
        <w:ind w:left="480" w:leftChars="200" w:firstLine="0" w:firstLineChars="0"/>
        <w:rPr>
          <w:rFonts w:ascii="Times New Roman" w:hAnsi="Times New Roman" w:cs="Times New Roman"/>
          <w:color w:val="auto"/>
        </w:rPr>
      </w:pPr>
      <w:r>
        <w:rPr>
          <w:rFonts w:ascii="Times New Roman" w:hAnsi="Times New Roman" w:cs="Times New Roman"/>
          <w:color w:val="auto"/>
        </w:rPr>
        <w:t>（5）《环境影响评价技术导则—地下水环境》（HJ610—2016）；</w:t>
      </w:r>
    </w:p>
    <w:p w14:paraId="780D8257">
      <w:pPr>
        <w:ind w:left="480" w:leftChars="200" w:firstLine="0" w:firstLineChars="0"/>
        <w:rPr>
          <w:rFonts w:ascii="Times New Roman" w:hAnsi="Times New Roman" w:cs="Times New Roman"/>
          <w:color w:val="auto"/>
        </w:rPr>
      </w:pPr>
      <w:r>
        <w:rPr>
          <w:rFonts w:ascii="Times New Roman" w:hAnsi="Times New Roman" w:cs="Times New Roman"/>
          <w:color w:val="auto"/>
        </w:rPr>
        <w:t>（6）《环境影响评价技术导则—生态影响》（HJ19—2022）；</w:t>
      </w:r>
    </w:p>
    <w:p w14:paraId="62725FB0">
      <w:pPr>
        <w:ind w:left="480" w:leftChars="200" w:firstLine="0" w:firstLineChars="0"/>
        <w:rPr>
          <w:rFonts w:ascii="Times New Roman" w:hAnsi="Times New Roman" w:cs="Times New Roman"/>
          <w:color w:val="auto"/>
        </w:rPr>
      </w:pPr>
      <w:r>
        <w:rPr>
          <w:rFonts w:ascii="Times New Roman" w:hAnsi="Times New Roman" w:cs="Times New Roman"/>
          <w:color w:val="auto"/>
        </w:rPr>
        <w:t>（7）《环境影响评价技术导则—土壤环境（试行）》（HJ964—2018）；</w:t>
      </w:r>
    </w:p>
    <w:p w14:paraId="0840674F">
      <w:pPr>
        <w:ind w:left="480" w:leftChars="200" w:firstLine="0" w:firstLineChars="0"/>
        <w:rPr>
          <w:rFonts w:ascii="Times New Roman" w:hAnsi="Times New Roman" w:cs="Times New Roman"/>
          <w:color w:val="auto"/>
        </w:rPr>
      </w:pPr>
      <w:r>
        <w:rPr>
          <w:rFonts w:ascii="Times New Roman" w:hAnsi="Times New Roman" w:cs="Times New Roman"/>
          <w:color w:val="auto"/>
        </w:rPr>
        <w:t>（8）《建设项目环境风险评价技术导则》（HJ169—2018）；</w:t>
      </w:r>
    </w:p>
    <w:p w14:paraId="7F2A6258">
      <w:pPr>
        <w:ind w:left="480" w:leftChars="200" w:firstLine="0" w:firstLineChars="0"/>
        <w:rPr>
          <w:rFonts w:ascii="Times New Roman" w:hAnsi="Times New Roman" w:cs="Times New Roman"/>
          <w:color w:val="auto"/>
        </w:rPr>
      </w:pPr>
      <w:r>
        <w:rPr>
          <w:rFonts w:ascii="Times New Roman" w:hAnsi="Times New Roman" w:cs="Times New Roman"/>
          <w:color w:val="auto"/>
        </w:rPr>
        <w:t>（9）《农业固体废物污染控制技术导则》（HJ588—2010）；</w:t>
      </w:r>
    </w:p>
    <w:p w14:paraId="4FEAA36B">
      <w:pPr>
        <w:ind w:left="480" w:leftChars="200" w:firstLine="0" w:firstLineChars="0"/>
        <w:rPr>
          <w:rFonts w:ascii="Times New Roman" w:hAnsi="Times New Roman" w:cs="Times New Roman"/>
          <w:color w:val="auto"/>
        </w:rPr>
      </w:pPr>
      <w:r>
        <w:rPr>
          <w:rFonts w:ascii="Times New Roman" w:hAnsi="Times New Roman" w:cs="Times New Roman"/>
          <w:color w:val="auto"/>
        </w:rPr>
        <w:t>（10）《危险废物处置工程技术导则》（HJ2042—2014）；</w:t>
      </w:r>
    </w:p>
    <w:p w14:paraId="24D7A496">
      <w:pPr>
        <w:ind w:left="480" w:leftChars="200" w:firstLine="0" w:firstLineChars="0"/>
        <w:rPr>
          <w:rFonts w:ascii="Times New Roman" w:hAnsi="Times New Roman" w:cs="Times New Roman"/>
          <w:color w:val="auto"/>
        </w:rPr>
      </w:pPr>
      <w:r>
        <w:rPr>
          <w:rFonts w:ascii="Times New Roman" w:hAnsi="Times New Roman" w:cs="Times New Roman"/>
          <w:color w:val="auto"/>
        </w:rPr>
        <w:t>（11）《畜禽养殖场（小区）环境守法导则》（环办〔2011〕89号，2011年7月）。</w:t>
      </w:r>
    </w:p>
    <w:bookmarkEnd w:id="43"/>
    <w:bookmarkEnd w:id="44"/>
    <w:p w14:paraId="5232C749">
      <w:pPr>
        <w:pStyle w:val="5"/>
        <w:ind w:left="120"/>
        <w:rPr>
          <w:rFonts w:ascii="Times New Roman" w:hAnsi="Times New Roman" w:cs="Times New Roman"/>
          <w:color w:val="auto"/>
        </w:rPr>
      </w:pPr>
      <w:r>
        <w:rPr>
          <w:rFonts w:ascii="Times New Roman" w:hAnsi="Times New Roman" w:cs="Times New Roman"/>
          <w:color w:val="auto"/>
        </w:rPr>
        <w:t>相关技术规范</w:t>
      </w:r>
    </w:p>
    <w:p w14:paraId="4866C6EE">
      <w:pPr>
        <w:ind w:left="480" w:leftChars="200" w:firstLine="0" w:firstLineChars="0"/>
        <w:rPr>
          <w:rFonts w:ascii="Times New Roman" w:hAnsi="Times New Roman" w:cs="Times New Roman"/>
          <w:color w:val="auto"/>
        </w:rPr>
      </w:pPr>
      <w:r>
        <w:rPr>
          <w:rFonts w:ascii="Times New Roman" w:hAnsi="Times New Roman" w:cs="Times New Roman"/>
          <w:color w:val="auto"/>
        </w:rPr>
        <w:t>（1）《</w:t>
      </w:r>
      <w:bookmarkStart w:id="45" w:name="OLE_LINK4"/>
      <w:r>
        <w:rPr>
          <w:rFonts w:ascii="Times New Roman" w:hAnsi="Times New Roman" w:cs="Times New Roman"/>
          <w:color w:val="auto"/>
        </w:rPr>
        <w:t>畜禽养殖业污染防治技术规范</w:t>
      </w:r>
      <w:bookmarkEnd w:id="45"/>
      <w:r>
        <w:rPr>
          <w:rFonts w:ascii="Times New Roman" w:hAnsi="Times New Roman" w:cs="Times New Roman"/>
          <w:color w:val="auto"/>
        </w:rPr>
        <w:t>》（HJ/T81—2001）；</w:t>
      </w:r>
    </w:p>
    <w:p w14:paraId="5CED7671">
      <w:pPr>
        <w:ind w:left="480" w:leftChars="200" w:firstLine="0" w:firstLineChars="0"/>
        <w:rPr>
          <w:rFonts w:ascii="Times New Roman" w:hAnsi="Times New Roman" w:cs="Times New Roman"/>
          <w:color w:val="auto"/>
        </w:rPr>
      </w:pPr>
      <w:r>
        <w:rPr>
          <w:rFonts w:ascii="Times New Roman" w:hAnsi="Times New Roman" w:cs="Times New Roman"/>
          <w:color w:val="auto"/>
        </w:rPr>
        <w:t>（2）《畜禽养殖业污染治理工程技术规范》（HJ/497—2009）；</w:t>
      </w:r>
    </w:p>
    <w:p w14:paraId="7260361E">
      <w:pPr>
        <w:ind w:left="480" w:leftChars="200" w:firstLine="0" w:firstLineChars="0"/>
        <w:rPr>
          <w:rFonts w:ascii="Times New Roman" w:hAnsi="Times New Roman" w:cs="Times New Roman"/>
          <w:color w:val="auto"/>
        </w:rPr>
      </w:pPr>
      <w:r>
        <w:rPr>
          <w:rFonts w:ascii="Times New Roman" w:hAnsi="Times New Roman" w:cs="Times New Roman"/>
          <w:color w:val="auto"/>
        </w:rPr>
        <w:t>（3）《</w:t>
      </w:r>
      <w:bookmarkStart w:id="46" w:name="OLE_LINK3"/>
      <w:r>
        <w:rPr>
          <w:rFonts w:ascii="Times New Roman" w:hAnsi="Times New Roman" w:cs="Times New Roman"/>
          <w:color w:val="auto"/>
        </w:rPr>
        <w:t>畜禽养殖业污染物排放标准</w:t>
      </w:r>
      <w:bookmarkEnd w:id="46"/>
      <w:r>
        <w:rPr>
          <w:rFonts w:ascii="Times New Roman" w:hAnsi="Times New Roman" w:cs="Times New Roman"/>
          <w:color w:val="auto"/>
        </w:rPr>
        <w:t>》（GB18596—2001）；</w:t>
      </w:r>
    </w:p>
    <w:p w14:paraId="07202830">
      <w:pPr>
        <w:ind w:left="480" w:leftChars="200" w:firstLine="0" w:firstLineChars="0"/>
        <w:rPr>
          <w:rFonts w:ascii="Times New Roman" w:hAnsi="Times New Roman" w:cs="Times New Roman"/>
          <w:color w:val="auto"/>
        </w:rPr>
      </w:pPr>
      <w:r>
        <w:rPr>
          <w:rFonts w:ascii="Times New Roman" w:hAnsi="Times New Roman" w:cs="Times New Roman"/>
          <w:color w:val="auto"/>
        </w:rPr>
        <w:t>（4）《畜禽病害肉尸及其产品无害化处理规程》（GB16548—2006）；</w:t>
      </w:r>
    </w:p>
    <w:p w14:paraId="53C53FCF">
      <w:pPr>
        <w:ind w:left="480" w:leftChars="200" w:firstLine="0" w:firstLineChars="0"/>
        <w:rPr>
          <w:rFonts w:ascii="Times New Roman" w:hAnsi="Times New Roman" w:cs="Times New Roman"/>
          <w:color w:val="auto"/>
        </w:rPr>
      </w:pPr>
      <w:r>
        <w:rPr>
          <w:rFonts w:ascii="Times New Roman" w:hAnsi="Times New Roman" w:cs="Times New Roman"/>
          <w:color w:val="auto"/>
        </w:rPr>
        <w:t>（5）《生产建设项目水土保持技术</w:t>
      </w:r>
      <w:r>
        <w:rPr>
          <w:rFonts w:hint="eastAsia" w:ascii="Times New Roman" w:hAnsi="Times New Roman" w:cs="Times New Roman"/>
          <w:color w:val="auto"/>
          <w:lang w:val="en-US" w:eastAsia="zh-CN"/>
        </w:rPr>
        <w:t>标准</w:t>
      </w:r>
      <w:r>
        <w:rPr>
          <w:rFonts w:ascii="Times New Roman" w:hAnsi="Times New Roman" w:cs="Times New Roman"/>
          <w:color w:val="auto"/>
        </w:rPr>
        <w:t>》（GB50433—2018）；</w:t>
      </w:r>
    </w:p>
    <w:p w14:paraId="73930D44">
      <w:pPr>
        <w:ind w:left="480" w:leftChars="200" w:firstLine="0" w:firstLineChars="0"/>
        <w:rPr>
          <w:rFonts w:ascii="Times New Roman" w:hAnsi="Times New Roman" w:cs="Times New Roman"/>
          <w:color w:val="auto"/>
        </w:rPr>
      </w:pPr>
      <w:r>
        <w:rPr>
          <w:rFonts w:ascii="Times New Roman" w:hAnsi="Times New Roman" w:cs="Times New Roman"/>
          <w:color w:val="auto"/>
        </w:rPr>
        <w:t>（6）《畜禽粪便无害化处理技术规范》（GB/T36195—2018）；</w:t>
      </w:r>
    </w:p>
    <w:p w14:paraId="69597278">
      <w:pPr>
        <w:ind w:left="480" w:leftChars="200" w:firstLine="0" w:firstLineChars="0"/>
        <w:rPr>
          <w:rFonts w:ascii="Times New Roman" w:hAnsi="Times New Roman" w:cs="Times New Roman"/>
          <w:color w:val="auto"/>
        </w:rPr>
      </w:pPr>
      <w:r>
        <w:rPr>
          <w:rFonts w:ascii="Times New Roman" w:hAnsi="Times New Roman" w:cs="Times New Roman"/>
          <w:color w:val="auto"/>
        </w:rPr>
        <w:t>（7）《病死及病害动物无害化处理技术规范》（农医发〔2017〕25号）；</w:t>
      </w:r>
    </w:p>
    <w:p w14:paraId="4ADE9F8B">
      <w:pPr>
        <w:ind w:left="480" w:leftChars="200" w:firstLine="0" w:firstLineChars="0"/>
        <w:rPr>
          <w:rFonts w:ascii="Times New Roman" w:hAnsi="Times New Roman" w:cs="Times New Roman"/>
          <w:color w:val="auto"/>
        </w:rPr>
      </w:pPr>
      <w:r>
        <w:rPr>
          <w:rFonts w:ascii="Times New Roman" w:hAnsi="Times New Roman" w:cs="Times New Roman"/>
          <w:color w:val="auto"/>
        </w:rPr>
        <w:t>（8）《畜禽规模养殖场粪污资源化利用设施建设规范（施行）》（农办牧〔2018〕2号）；</w:t>
      </w:r>
    </w:p>
    <w:p w14:paraId="440CAFAC">
      <w:pPr>
        <w:ind w:left="480" w:leftChars="200" w:firstLine="0" w:firstLineChars="0"/>
        <w:rPr>
          <w:rFonts w:ascii="Times New Roman" w:hAnsi="Times New Roman" w:cs="Times New Roman"/>
          <w:color w:val="auto"/>
        </w:rPr>
      </w:pPr>
      <w:r>
        <w:rPr>
          <w:rFonts w:ascii="Times New Roman" w:hAnsi="Times New Roman" w:cs="Times New Roman"/>
          <w:color w:val="auto"/>
        </w:rPr>
        <w:t>（9）《规模畜禽养殖场污染防治最佳可行技术指南（试行）》（2013年7月17日发布）；</w:t>
      </w:r>
    </w:p>
    <w:p w14:paraId="14B0FE90">
      <w:pPr>
        <w:ind w:left="480" w:leftChars="200" w:firstLine="0" w:firstLineChars="0"/>
        <w:rPr>
          <w:rFonts w:ascii="Times New Roman" w:hAnsi="Times New Roman" w:cs="Times New Roman"/>
          <w:color w:val="auto"/>
        </w:rPr>
      </w:pPr>
      <w:r>
        <w:rPr>
          <w:rFonts w:ascii="Times New Roman" w:hAnsi="Times New Roman" w:cs="Times New Roman"/>
          <w:color w:val="auto"/>
        </w:rPr>
        <w:t>（10）《排污许可证申请与核发技术规范 畜禽养殖行业》（HJ1029—2019）；</w:t>
      </w:r>
    </w:p>
    <w:p w14:paraId="55053413">
      <w:pPr>
        <w:ind w:left="480" w:leftChars="200" w:firstLine="0" w:firstLineChars="0"/>
        <w:rPr>
          <w:rFonts w:ascii="Times New Roman" w:hAnsi="Times New Roman" w:cs="Times New Roman"/>
          <w:color w:val="auto"/>
        </w:rPr>
      </w:pPr>
      <w:r>
        <w:rPr>
          <w:rFonts w:ascii="Times New Roman" w:hAnsi="Times New Roman" w:cs="Times New Roman"/>
          <w:color w:val="auto"/>
        </w:rPr>
        <w:t>（11）</w:t>
      </w:r>
      <w:r>
        <w:rPr>
          <w:rFonts w:ascii="Times New Roman" w:hAnsi="Times New Roman"/>
          <w:color w:val="000000" w:themeColor="text1"/>
          <w:szCs w:val="21"/>
          <w14:textFill>
            <w14:solidFill>
              <w14:schemeClr w14:val="tx1"/>
            </w14:solidFill>
          </w14:textFill>
        </w:rPr>
        <w:t xml:space="preserve">《排污许可证申请与核发技术规范 </w:t>
      </w:r>
      <w:r>
        <w:rPr>
          <w:rFonts w:hint="eastAsia"/>
          <w:color w:val="000000" w:themeColor="text1"/>
          <w:szCs w:val="21"/>
          <w:lang w:val="en-US" w:eastAsia="zh-CN"/>
          <w14:textFill>
            <w14:solidFill>
              <w14:schemeClr w14:val="tx1"/>
            </w14:solidFill>
          </w14:textFill>
        </w:rPr>
        <w:t>锅炉</w:t>
      </w:r>
      <w:r>
        <w:rPr>
          <w:rFonts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lang w:val="en-US"/>
          <w14:textFill>
            <w14:solidFill>
              <w14:schemeClr w14:val="tx1"/>
            </w14:solidFill>
          </w14:textFill>
        </w:rPr>
        <w:t>HJ</w:t>
      </w:r>
      <w:r>
        <w:rPr>
          <w:rFonts w:hint="eastAsia"/>
          <w:color w:val="000000" w:themeColor="text1"/>
          <w:szCs w:val="21"/>
          <w:lang w:val="en-US" w:eastAsia="zh-CN"/>
          <w14:textFill>
            <w14:solidFill>
              <w14:schemeClr w14:val="tx1"/>
            </w14:solidFill>
          </w14:textFill>
        </w:rPr>
        <w:t>953</w:t>
      </w:r>
      <w:r>
        <w:rPr>
          <w:rFonts w:ascii="Times New Roman" w:hAnsi="Times New Roman"/>
          <w:color w:val="000000" w:themeColor="text1"/>
          <w:szCs w:val="21"/>
          <w:lang w:val="en-US"/>
          <w14:textFill>
            <w14:solidFill>
              <w14:schemeClr w14:val="tx1"/>
            </w14:solidFill>
          </w14:textFill>
        </w:rPr>
        <w:t>-201</w:t>
      </w:r>
      <w:r>
        <w:rPr>
          <w:rFonts w:hint="eastAsia"/>
          <w:color w:val="000000" w:themeColor="text1"/>
          <w:szCs w:val="21"/>
          <w:lang w:val="en-US" w:eastAsia="zh-CN"/>
          <w14:textFill>
            <w14:solidFill>
              <w14:schemeClr w14:val="tx1"/>
            </w14:solidFill>
          </w14:textFill>
        </w:rPr>
        <w:t>8</w:t>
      </w:r>
      <w:r>
        <w:rPr>
          <w:rFonts w:ascii="Times New Roman" w:hAnsi="Times New Roman"/>
          <w:color w:val="000000" w:themeColor="text1"/>
          <w:szCs w:val="21"/>
          <w14:textFill>
            <w14:solidFill>
              <w14:schemeClr w14:val="tx1"/>
            </w14:solidFill>
          </w14:textFill>
        </w:rPr>
        <w:t>）</w:t>
      </w:r>
      <w:r>
        <w:rPr>
          <w:rFonts w:ascii="Times New Roman" w:hAnsi="Times New Roman" w:cs="Times New Roman"/>
          <w:color w:val="auto"/>
        </w:rPr>
        <w:t>；</w:t>
      </w:r>
    </w:p>
    <w:p w14:paraId="6D4A66F7">
      <w:pPr>
        <w:ind w:left="480" w:leftChars="200" w:firstLine="0" w:firstLineChars="0"/>
        <w:rPr>
          <w:rFonts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12</w:t>
      </w:r>
      <w:r>
        <w:rPr>
          <w:rFonts w:hint="eastAsia" w:cs="Times New Roman"/>
          <w:color w:val="auto"/>
          <w:lang w:eastAsia="zh-CN"/>
        </w:rPr>
        <w:t>）</w:t>
      </w:r>
      <w:r>
        <w:rPr>
          <w:rFonts w:ascii="Times New Roman" w:hAnsi="Times New Roman" w:cs="Times New Roman"/>
          <w:color w:val="auto"/>
        </w:rPr>
        <w:t>《排污单位自行监测技术指南总则》（HJ819—2017）；</w:t>
      </w:r>
    </w:p>
    <w:p w14:paraId="4D882611">
      <w:pPr>
        <w:ind w:left="480" w:leftChars="200" w:firstLine="0" w:firstLineChars="0"/>
        <w:rPr>
          <w:rFonts w:hint="eastAsia" w:ascii="Times New Roman" w:hAnsi="Times New Roman" w:cs="Times New Roman"/>
          <w:color w:val="auto"/>
          <w:lang w:eastAsia="zh-CN"/>
        </w:rPr>
      </w:pPr>
      <w:r>
        <w:rPr>
          <w:rFonts w:ascii="Times New Roman" w:hAnsi="Times New Roman" w:cs="Times New Roman"/>
          <w:color w:val="auto"/>
        </w:rPr>
        <w:t>（12）《排污许可证申请与核发技术规范 总则》（HJ942—2018）</w:t>
      </w:r>
      <w:r>
        <w:rPr>
          <w:rFonts w:hint="eastAsia" w:ascii="Times New Roman" w:hAnsi="Times New Roman" w:cs="Times New Roman"/>
          <w:color w:val="auto"/>
          <w:lang w:eastAsia="zh-CN"/>
        </w:rPr>
        <w:t>；</w:t>
      </w:r>
    </w:p>
    <w:p w14:paraId="15539EFD">
      <w:pPr>
        <w:ind w:left="480" w:leftChars="200" w:firstLine="0" w:firstLineChars="0"/>
        <w:rPr>
          <w:rFonts w:hint="eastAsia"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13</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《畜禽养殖产地环境评价规范》（</w:t>
      </w:r>
      <w:r>
        <w:rPr>
          <w:rFonts w:hint="default" w:ascii="Times New Roman" w:hAnsi="Times New Roman" w:cs="Times New Roman"/>
          <w:color w:val="auto"/>
          <w:lang w:val="en-US" w:eastAsia="zh-CN"/>
        </w:rPr>
        <w:t>HJ568—2010</w:t>
      </w:r>
      <w:r>
        <w:rPr>
          <w:rFonts w:hint="eastAsia" w:ascii="Times New Roman" w:hAnsi="Times New Roman" w:cs="Times New Roman"/>
          <w:color w:val="auto"/>
          <w:lang w:val="en-US" w:eastAsia="zh-CN"/>
        </w:rPr>
        <w:t>）</w:t>
      </w:r>
      <w:r>
        <w:rPr>
          <w:rFonts w:hint="eastAsia" w:cs="Times New Roman"/>
          <w:color w:val="auto"/>
          <w:lang w:eastAsia="zh-CN"/>
        </w:rPr>
        <w:t>；</w:t>
      </w:r>
    </w:p>
    <w:p w14:paraId="4BDA0177">
      <w:pPr>
        <w:ind w:left="480" w:leftChars="20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（14）《生物质成型燃料锅炉》（NB/T47062-2017）；</w:t>
      </w:r>
    </w:p>
    <w:p w14:paraId="1EB0321F">
      <w:pPr>
        <w:ind w:left="480" w:leftChars="200" w:firstLine="0" w:firstLineChars="0"/>
        <w:rPr>
          <w:rFonts w:hint="eastAsia" w:ascii="宋体" w:hAnsi="宋体" w:cs="宋体" w:eastAsiaTheme="minorEastAsia"/>
          <w:color w:val="auto"/>
          <w:sz w:val="24"/>
          <w:lang w:val="en-US" w:eastAsia="zh-CN"/>
        </w:rPr>
      </w:pPr>
      <w:r>
        <w:rPr>
          <w:rFonts w:hint="eastAsia" w:ascii="宋体" w:hAnsi="宋体" w:eastAsia="宋体" w:cs="宋体"/>
          <w:color w:val="auto"/>
          <w:sz w:val="24"/>
          <w:lang w:val="en-US" w:eastAsia="zh-CN"/>
        </w:rPr>
        <w:t>（15）</w:t>
      </w:r>
      <w:r>
        <w:rPr>
          <w:rFonts w:hint="eastAsia" w:ascii="Times New Roman" w:hAnsi="Times New Roman"/>
          <w:color w:val="000000" w:themeColor="text1"/>
          <w:szCs w:val="21"/>
          <w:lang w:eastAsia="zh-CN"/>
          <w14:textFill>
            <w14:solidFill>
              <w14:schemeClr w14:val="tx1"/>
            </w14:solidFill>
          </w14:textFill>
        </w:rPr>
        <w:t>《排污单位自行监测技术指南火力发电及锅炉》（HJ 820-2017）</w:t>
      </w:r>
      <w:r>
        <w:rPr>
          <w:rFonts w:hint="eastAsia" w:cs="Times New Roman"/>
          <w:color w:val="auto"/>
          <w:lang w:eastAsia="zh-CN"/>
        </w:rPr>
        <w:t>。</w:t>
      </w:r>
    </w:p>
    <w:p w14:paraId="1FC9D82C">
      <w:pPr>
        <w:pStyle w:val="5"/>
        <w:ind w:left="120"/>
        <w:rPr>
          <w:rFonts w:ascii="Times New Roman" w:hAnsi="Times New Roman" w:cs="Times New Roman"/>
          <w:color w:val="auto"/>
        </w:rPr>
      </w:pPr>
      <w:bookmarkStart w:id="47" w:name="_Toc490417064"/>
      <w:bookmarkStart w:id="48" w:name="_Toc483491981"/>
      <w:r>
        <w:rPr>
          <w:rFonts w:ascii="Times New Roman" w:hAnsi="Times New Roman" w:cs="Times New Roman"/>
          <w:color w:val="auto"/>
        </w:rPr>
        <w:t>相关文件</w:t>
      </w:r>
      <w:bookmarkEnd w:id="47"/>
      <w:bookmarkEnd w:id="48"/>
    </w:p>
    <w:p w14:paraId="5CAA3B25">
      <w:pPr>
        <w:ind w:firstLine="480"/>
        <w:rPr>
          <w:rFonts w:ascii="Times New Roman" w:hAnsi="Times New Roman" w:cs="Times New Roman"/>
          <w:color w:val="auto"/>
        </w:rPr>
      </w:pPr>
      <w:r>
        <w:rPr>
          <w:rFonts w:ascii="Times New Roman" w:hAnsi="Times New Roman" w:cs="Times New Roman"/>
          <w:color w:val="auto"/>
        </w:rPr>
        <w:t>（1）建设项目</w:t>
      </w:r>
      <w:r>
        <w:rPr>
          <w:rFonts w:hint="eastAsia" w:cs="Times New Roman"/>
          <w:color w:val="auto"/>
          <w:lang w:val="en-US" w:eastAsia="zh-CN"/>
        </w:rPr>
        <w:t>初步设计方案</w:t>
      </w:r>
      <w:r>
        <w:rPr>
          <w:rFonts w:ascii="Times New Roman" w:hAnsi="Times New Roman" w:cs="Times New Roman"/>
          <w:color w:val="auto"/>
        </w:rPr>
        <w:t>；</w:t>
      </w:r>
    </w:p>
    <w:p w14:paraId="4E4836B0">
      <w:pPr>
        <w:ind w:firstLine="480"/>
        <w:rPr>
          <w:rFonts w:ascii="Times New Roman" w:hAnsi="Times New Roman" w:cs="Times New Roman"/>
          <w:color w:val="auto"/>
        </w:rPr>
      </w:pPr>
      <w:r>
        <w:rPr>
          <w:rFonts w:ascii="Times New Roman" w:hAnsi="Times New Roman" w:cs="Times New Roman"/>
          <w:color w:val="auto"/>
        </w:rPr>
        <w:t>（2）</w:t>
      </w:r>
      <w:r>
        <w:rPr>
          <w:rFonts w:hint="eastAsia" w:cs="Times New Roman"/>
          <w:color w:val="auto"/>
          <w:lang w:val="en-US" w:eastAsia="zh-CN"/>
        </w:rPr>
        <w:t>项目投资备案证</w:t>
      </w:r>
      <w:r>
        <w:rPr>
          <w:rFonts w:ascii="Times New Roman" w:hAnsi="Times New Roman" w:cs="Times New Roman"/>
          <w:color w:val="auto"/>
        </w:rPr>
        <w:t>；</w:t>
      </w:r>
    </w:p>
    <w:p w14:paraId="529FB5EC">
      <w:pPr>
        <w:ind w:firstLine="480"/>
        <w:rPr>
          <w:rFonts w:ascii="Times New Roman" w:hAnsi="Times New Roman" w:cs="Times New Roman"/>
          <w:color w:val="auto"/>
        </w:rPr>
      </w:pPr>
      <w:r>
        <w:rPr>
          <w:rFonts w:ascii="Times New Roman" w:hAnsi="Times New Roman" w:cs="Times New Roman"/>
          <w:color w:val="auto"/>
        </w:rPr>
        <w:t>（</w:t>
      </w:r>
      <w:r>
        <w:rPr>
          <w:rFonts w:hint="eastAsia" w:cs="Times New Roman"/>
          <w:color w:val="auto"/>
          <w:lang w:val="en-US" w:eastAsia="zh-CN"/>
        </w:rPr>
        <w:t>3</w:t>
      </w:r>
      <w:r>
        <w:rPr>
          <w:rFonts w:ascii="Times New Roman" w:hAnsi="Times New Roman" w:cs="Times New Roman"/>
          <w:color w:val="auto"/>
        </w:rPr>
        <w:t>）环境影响评价委托书；</w:t>
      </w:r>
    </w:p>
    <w:p w14:paraId="0BF92E12">
      <w:pPr>
        <w:ind w:firstLine="480"/>
        <w:rPr>
          <w:rFonts w:ascii="Times New Roman" w:hAnsi="Times New Roman" w:cs="Times New Roman"/>
          <w:color w:val="auto"/>
        </w:rPr>
      </w:pPr>
      <w:r>
        <w:rPr>
          <w:rFonts w:ascii="Times New Roman" w:hAnsi="Times New Roman" w:cs="Times New Roman"/>
          <w:color w:val="auto"/>
        </w:rPr>
        <w:t>（</w:t>
      </w:r>
      <w:r>
        <w:rPr>
          <w:rFonts w:hint="eastAsia" w:cs="Times New Roman"/>
          <w:color w:val="auto"/>
          <w:lang w:val="en-US" w:eastAsia="zh-CN"/>
        </w:rPr>
        <w:t>4</w:t>
      </w:r>
      <w:r>
        <w:rPr>
          <w:rFonts w:ascii="Times New Roman" w:hAnsi="Times New Roman" w:cs="Times New Roman"/>
          <w:color w:val="auto"/>
        </w:rPr>
        <w:t>）建设单位提供项目有关的</w:t>
      </w:r>
      <w:r>
        <w:rPr>
          <w:rFonts w:hint="eastAsia" w:ascii="Times New Roman" w:hAnsi="Times New Roman" w:cs="Times New Roman"/>
          <w:color w:val="auto"/>
          <w:lang w:eastAsia="zh-CN"/>
        </w:rPr>
        <w:t>其他</w:t>
      </w:r>
      <w:r>
        <w:rPr>
          <w:rFonts w:ascii="Times New Roman" w:hAnsi="Times New Roman" w:cs="Times New Roman"/>
          <w:color w:val="auto"/>
        </w:rPr>
        <w:t>技术资料。</w:t>
      </w:r>
    </w:p>
    <w:p w14:paraId="1600CB5C">
      <w:pPr>
        <w:pStyle w:val="4"/>
        <w:ind w:left="120"/>
        <w:rPr>
          <w:rFonts w:ascii="Times New Roman" w:hAnsi="Times New Roman" w:cs="Times New Roman"/>
          <w:color w:val="auto"/>
          <w:lang w:val="en-GB"/>
        </w:rPr>
      </w:pPr>
      <w:bookmarkStart w:id="49" w:name="_Toc7602"/>
      <w:bookmarkStart w:id="50" w:name="_Toc490417065"/>
      <w:bookmarkStart w:id="51" w:name="_Toc483491982"/>
      <w:r>
        <w:rPr>
          <w:rFonts w:ascii="Times New Roman" w:hAnsi="Times New Roman" w:cs="Times New Roman"/>
          <w:color w:val="auto"/>
          <w:lang w:val="en-GB"/>
        </w:rPr>
        <w:t>环境影响因素识别</w:t>
      </w:r>
      <w:bookmarkEnd w:id="49"/>
    </w:p>
    <w:p w14:paraId="5183368A">
      <w:pPr>
        <w:pStyle w:val="5"/>
        <w:ind w:left="120"/>
        <w:rPr>
          <w:rFonts w:ascii="Times New Roman" w:hAnsi="Times New Roman" w:cs="Times New Roman"/>
          <w:color w:val="auto"/>
        </w:rPr>
      </w:pPr>
      <w:r>
        <w:rPr>
          <w:rFonts w:ascii="Times New Roman" w:hAnsi="Times New Roman" w:cs="Times New Roman"/>
          <w:color w:val="auto"/>
        </w:rPr>
        <w:t>环境影响</w:t>
      </w:r>
      <w:r>
        <w:rPr>
          <w:rFonts w:hint="eastAsia" w:ascii="Times New Roman" w:hAnsi="Times New Roman" w:cs="Times New Roman"/>
          <w:color w:val="auto"/>
          <w:lang w:val="en-US" w:eastAsia="zh-CN"/>
        </w:rPr>
        <w:t>因素</w:t>
      </w:r>
      <w:r>
        <w:rPr>
          <w:rFonts w:ascii="Times New Roman" w:hAnsi="Times New Roman" w:cs="Times New Roman"/>
          <w:color w:val="auto"/>
        </w:rPr>
        <w:t>识别</w:t>
      </w:r>
    </w:p>
    <w:p w14:paraId="0B4A2736">
      <w:pPr>
        <w:ind w:firstLine="48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结合项目特点和项目所处地域特征，就本项目对环境的影响进行识别，采用矩阵法识别工程的环境影响因素及受其影响的环境要素和污染因子，工程施工阶段和项目运营阶段的环境影响因素识别见表2.2-1。</w:t>
      </w:r>
    </w:p>
    <w:p w14:paraId="7ED568EB">
      <w:pPr>
        <w:pStyle w:val="61"/>
        <w:spacing w:before="32" w:after="32"/>
        <w:ind w:firstLine="480"/>
        <w:rPr>
          <w:rFonts w:ascii="Times New Roman" w:hAnsi="Times New Roman" w:cs="Times New Roman"/>
          <w:color w:val="auto"/>
        </w:rPr>
      </w:pPr>
      <w:r>
        <w:rPr>
          <w:rFonts w:ascii="Times New Roman" w:hAnsi="Times New Roman" w:eastAsia="宋体" w:cs="Times New Roman"/>
          <w:b/>
          <w:bCs/>
          <w:color w:val="000000" w:themeColor="text1"/>
          <w14:textFill>
            <w14:solidFill>
              <w14:schemeClr w14:val="tx1"/>
            </w14:solidFill>
          </w14:textFill>
        </w:rPr>
        <w:t xml:space="preserve">表2.2-1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 xml:space="preserve"> 环境影响</w:t>
      </w:r>
      <w:r>
        <w:rPr>
          <w:rFonts w:ascii="Times New Roman" w:hAnsi="Times New Roman" w:eastAsia="宋体" w:cs="Times New Roman"/>
          <w:b/>
          <w:bCs/>
          <w:color w:val="auto"/>
        </w:rPr>
        <w:t>因素识别表</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7"/>
        <w:gridCol w:w="1205"/>
        <w:gridCol w:w="725"/>
        <w:gridCol w:w="725"/>
        <w:gridCol w:w="724"/>
        <w:gridCol w:w="724"/>
        <w:gridCol w:w="724"/>
        <w:gridCol w:w="724"/>
        <w:gridCol w:w="724"/>
        <w:gridCol w:w="724"/>
        <w:gridCol w:w="724"/>
        <w:gridCol w:w="724"/>
      </w:tblGrid>
      <w:tr w14:paraId="143126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restart"/>
            <w:tcBorders>
              <w:tl2br w:val="nil"/>
              <w:tr2bl w:val="nil"/>
            </w:tcBorders>
            <w:vAlign w:val="center"/>
          </w:tcPr>
          <w:p w14:paraId="05E3EE51">
            <w:pPr>
              <w:pStyle w:val="56"/>
              <w:rPr>
                <w:rFonts w:ascii="Times New Roman" w:hAnsi="Times New Roman"/>
                <w:color w:val="auto"/>
                <w:szCs w:val="21"/>
              </w:rPr>
            </w:pPr>
            <w:r>
              <w:rPr>
                <w:rFonts w:ascii="Times New Roman" w:hAnsi="Times New Roman"/>
                <w:color w:val="auto"/>
                <w:szCs w:val="21"/>
              </w:rPr>
              <w:t>评价时段</w:t>
            </w:r>
          </w:p>
        </w:tc>
        <w:tc>
          <w:tcPr>
            <w:tcW w:w="1205" w:type="dxa"/>
            <w:vMerge w:val="restart"/>
            <w:tcBorders>
              <w:tl2br w:val="nil"/>
              <w:tr2bl w:val="nil"/>
            </w:tcBorders>
            <w:vAlign w:val="center"/>
          </w:tcPr>
          <w:p w14:paraId="47AA6174">
            <w:pPr>
              <w:pStyle w:val="56"/>
              <w:rPr>
                <w:rFonts w:ascii="Times New Roman" w:hAnsi="Times New Roman"/>
                <w:color w:val="auto"/>
                <w:szCs w:val="21"/>
              </w:rPr>
            </w:pPr>
            <w:r>
              <w:rPr>
                <w:rFonts w:ascii="Times New Roman" w:hAnsi="Times New Roman"/>
                <w:color w:val="auto"/>
                <w:szCs w:val="21"/>
              </w:rPr>
              <w:t>污染因素</w:t>
            </w:r>
          </w:p>
        </w:tc>
        <w:tc>
          <w:tcPr>
            <w:tcW w:w="7242" w:type="dxa"/>
            <w:gridSpan w:val="10"/>
            <w:tcBorders>
              <w:tl2br w:val="nil"/>
              <w:tr2bl w:val="nil"/>
            </w:tcBorders>
            <w:vAlign w:val="center"/>
          </w:tcPr>
          <w:p w14:paraId="3A17A4A3">
            <w:pPr>
              <w:pStyle w:val="56"/>
              <w:rPr>
                <w:rFonts w:ascii="Times New Roman" w:hAnsi="Times New Roman"/>
                <w:color w:val="auto"/>
                <w:szCs w:val="21"/>
              </w:rPr>
            </w:pPr>
            <w:r>
              <w:rPr>
                <w:rFonts w:ascii="Times New Roman" w:hAnsi="Times New Roman"/>
                <w:color w:val="auto"/>
                <w:szCs w:val="21"/>
              </w:rPr>
              <w:t>环境要素</w:t>
            </w:r>
          </w:p>
        </w:tc>
      </w:tr>
      <w:tr w14:paraId="6189D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69C28EB1">
            <w:pPr>
              <w:pStyle w:val="56"/>
              <w:rPr>
                <w:rFonts w:ascii="Times New Roman" w:hAnsi="Times New Roman"/>
                <w:color w:val="auto"/>
                <w:szCs w:val="21"/>
              </w:rPr>
            </w:pPr>
          </w:p>
        </w:tc>
        <w:tc>
          <w:tcPr>
            <w:tcW w:w="1205" w:type="dxa"/>
            <w:vMerge w:val="continue"/>
            <w:tcBorders>
              <w:tl2br w:val="nil"/>
              <w:tr2bl w:val="nil"/>
            </w:tcBorders>
            <w:vAlign w:val="center"/>
          </w:tcPr>
          <w:p w14:paraId="468720ED">
            <w:pPr>
              <w:pStyle w:val="56"/>
              <w:rPr>
                <w:rFonts w:ascii="Times New Roman" w:hAnsi="Times New Roman"/>
                <w:color w:val="auto"/>
                <w:szCs w:val="21"/>
              </w:rPr>
            </w:pPr>
          </w:p>
        </w:tc>
        <w:tc>
          <w:tcPr>
            <w:tcW w:w="725" w:type="dxa"/>
            <w:vMerge w:val="restart"/>
            <w:tcBorders>
              <w:tl2br w:val="nil"/>
              <w:tr2bl w:val="nil"/>
            </w:tcBorders>
            <w:vAlign w:val="center"/>
          </w:tcPr>
          <w:p w14:paraId="5F442C62">
            <w:pPr>
              <w:pStyle w:val="56"/>
              <w:rPr>
                <w:rFonts w:ascii="Times New Roman" w:hAnsi="Times New Roman"/>
                <w:color w:val="auto"/>
                <w:szCs w:val="21"/>
                <w:lang w:val="en-US"/>
              </w:rPr>
            </w:pPr>
            <w:r>
              <w:rPr>
                <w:rFonts w:ascii="Times New Roman" w:hAnsi="Times New Roman"/>
                <w:color w:val="auto"/>
                <w:szCs w:val="21"/>
                <w:lang w:val="en-US"/>
              </w:rPr>
              <w:t>环境空气</w:t>
            </w:r>
          </w:p>
        </w:tc>
        <w:tc>
          <w:tcPr>
            <w:tcW w:w="725" w:type="dxa"/>
            <w:vMerge w:val="restart"/>
            <w:tcBorders>
              <w:tl2br w:val="nil"/>
              <w:tr2bl w:val="nil"/>
            </w:tcBorders>
            <w:vAlign w:val="center"/>
          </w:tcPr>
          <w:p w14:paraId="589C8193">
            <w:pPr>
              <w:pStyle w:val="56"/>
              <w:rPr>
                <w:rFonts w:ascii="Times New Roman" w:hAnsi="Times New Roman"/>
                <w:color w:val="auto"/>
                <w:szCs w:val="21"/>
              </w:rPr>
            </w:pPr>
            <w:r>
              <w:rPr>
                <w:rFonts w:ascii="Times New Roman" w:hAnsi="Times New Roman"/>
                <w:color w:val="auto"/>
                <w:szCs w:val="21"/>
              </w:rPr>
              <w:t>地表水</w:t>
            </w:r>
          </w:p>
        </w:tc>
        <w:tc>
          <w:tcPr>
            <w:tcW w:w="724" w:type="dxa"/>
            <w:vMerge w:val="restart"/>
            <w:tcBorders>
              <w:tl2br w:val="nil"/>
              <w:tr2bl w:val="nil"/>
            </w:tcBorders>
            <w:vAlign w:val="center"/>
          </w:tcPr>
          <w:p w14:paraId="0311839C">
            <w:pPr>
              <w:pStyle w:val="56"/>
              <w:rPr>
                <w:rFonts w:ascii="Times New Roman" w:hAnsi="Times New Roman"/>
                <w:color w:val="auto"/>
                <w:szCs w:val="21"/>
              </w:rPr>
            </w:pPr>
            <w:r>
              <w:rPr>
                <w:rFonts w:ascii="Times New Roman" w:hAnsi="Times New Roman"/>
                <w:color w:val="auto"/>
                <w:szCs w:val="21"/>
              </w:rPr>
              <w:t>地下水</w:t>
            </w:r>
          </w:p>
        </w:tc>
        <w:tc>
          <w:tcPr>
            <w:tcW w:w="724" w:type="dxa"/>
            <w:vMerge w:val="restart"/>
            <w:tcBorders>
              <w:tl2br w:val="nil"/>
              <w:tr2bl w:val="nil"/>
            </w:tcBorders>
            <w:vAlign w:val="center"/>
          </w:tcPr>
          <w:p w14:paraId="282EDA37">
            <w:pPr>
              <w:pStyle w:val="56"/>
              <w:rPr>
                <w:rFonts w:ascii="Times New Roman" w:hAnsi="Times New Roman"/>
                <w:color w:val="auto"/>
                <w:szCs w:val="21"/>
              </w:rPr>
            </w:pPr>
            <w:r>
              <w:rPr>
                <w:rFonts w:ascii="Times New Roman" w:hAnsi="Times New Roman"/>
                <w:color w:val="auto"/>
                <w:szCs w:val="21"/>
              </w:rPr>
              <w:t>土壤环境</w:t>
            </w:r>
          </w:p>
        </w:tc>
        <w:tc>
          <w:tcPr>
            <w:tcW w:w="724" w:type="dxa"/>
            <w:vMerge w:val="restart"/>
            <w:tcBorders>
              <w:tl2br w:val="nil"/>
              <w:tr2bl w:val="nil"/>
            </w:tcBorders>
            <w:vAlign w:val="center"/>
          </w:tcPr>
          <w:p w14:paraId="016BC20B">
            <w:pPr>
              <w:pStyle w:val="56"/>
              <w:rPr>
                <w:rFonts w:ascii="Times New Roman" w:hAnsi="Times New Roman"/>
                <w:color w:val="auto"/>
                <w:szCs w:val="21"/>
              </w:rPr>
            </w:pPr>
            <w:r>
              <w:rPr>
                <w:rFonts w:ascii="Times New Roman" w:hAnsi="Times New Roman"/>
                <w:color w:val="auto"/>
                <w:szCs w:val="21"/>
              </w:rPr>
              <w:t>声环境</w:t>
            </w:r>
          </w:p>
        </w:tc>
        <w:tc>
          <w:tcPr>
            <w:tcW w:w="3620" w:type="dxa"/>
            <w:gridSpan w:val="5"/>
            <w:tcBorders>
              <w:tl2br w:val="nil"/>
              <w:tr2bl w:val="nil"/>
            </w:tcBorders>
            <w:vAlign w:val="center"/>
          </w:tcPr>
          <w:p w14:paraId="1CBD756D">
            <w:pPr>
              <w:pStyle w:val="56"/>
              <w:rPr>
                <w:rFonts w:ascii="Times New Roman" w:hAnsi="Times New Roman"/>
                <w:color w:val="auto"/>
                <w:szCs w:val="21"/>
              </w:rPr>
            </w:pPr>
            <w:r>
              <w:rPr>
                <w:rFonts w:ascii="Times New Roman" w:hAnsi="Times New Roman"/>
                <w:color w:val="auto"/>
                <w:szCs w:val="21"/>
              </w:rPr>
              <w:t>生态</w:t>
            </w:r>
          </w:p>
        </w:tc>
      </w:tr>
      <w:tr w14:paraId="514BD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309361D5">
            <w:pPr>
              <w:pStyle w:val="56"/>
              <w:rPr>
                <w:rFonts w:ascii="Times New Roman" w:hAnsi="Times New Roman"/>
                <w:color w:val="auto"/>
                <w:szCs w:val="21"/>
              </w:rPr>
            </w:pPr>
          </w:p>
        </w:tc>
        <w:tc>
          <w:tcPr>
            <w:tcW w:w="1205" w:type="dxa"/>
            <w:vMerge w:val="continue"/>
            <w:tcBorders>
              <w:tl2br w:val="nil"/>
              <w:tr2bl w:val="nil"/>
            </w:tcBorders>
            <w:vAlign w:val="center"/>
          </w:tcPr>
          <w:p w14:paraId="4B1357AF">
            <w:pPr>
              <w:pStyle w:val="56"/>
              <w:rPr>
                <w:rFonts w:ascii="Times New Roman" w:hAnsi="Times New Roman"/>
                <w:color w:val="auto"/>
                <w:szCs w:val="21"/>
              </w:rPr>
            </w:pPr>
          </w:p>
        </w:tc>
        <w:tc>
          <w:tcPr>
            <w:tcW w:w="725" w:type="dxa"/>
            <w:vMerge w:val="continue"/>
            <w:tcBorders>
              <w:tl2br w:val="nil"/>
              <w:tr2bl w:val="nil"/>
            </w:tcBorders>
            <w:vAlign w:val="center"/>
          </w:tcPr>
          <w:p w14:paraId="7C1B00AC">
            <w:pPr>
              <w:pStyle w:val="56"/>
              <w:rPr>
                <w:rFonts w:ascii="Times New Roman" w:hAnsi="Times New Roman"/>
                <w:color w:val="auto"/>
                <w:szCs w:val="21"/>
              </w:rPr>
            </w:pPr>
          </w:p>
        </w:tc>
        <w:tc>
          <w:tcPr>
            <w:tcW w:w="725" w:type="dxa"/>
            <w:vMerge w:val="continue"/>
            <w:tcBorders>
              <w:tl2br w:val="nil"/>
              <w:tr2bl w:val="nil"/>
            </w:tcBorders>
            <w:vAlign w:val="center"/>
          </w:tcPr>
          <w:p w14:paraId="4418658E">
            <w:pPr>
              <w:pStyle w:val="56"/>
              <w:rPr>
                <w:rFonts w:ascii="Times New Roman" w:hAnsi="Times New Roman"/>
                <w:color w:val="auto"/>
                <w:szCs w:val="21"/>
              </w:rPr>
            </w:pPr>
          </w:p>
        </w:tc>
        <w:tc>
          <w:tcPr>
            <w:tcW w:w="724" w:type="dxa"/>
            <w:vMerge w:val="continue"/>
            <w:tcBorders>
              <w:tl2br w:val="nil"/>
              <w:tr2bl w:val="nil"/>
            </w:tcBorders>
            <w:vAlign w:val="center"/>
          </w:tcPr>
          <w:p w14:paraId="3751F600">
            <w:pPr>
              <w:pStyle w:val="56"/>
              <w:rPr>
                <w:rFonts w:ascii="Times New Roman" w:hAnsi="Times New Roman"/>
                <w:color w:val="auto"/>
                <w:szCs w:val="21"/>
              </w:rPr>
            </w:pPr>
          </w:p>
        </w:tc>
        <w:tc>
          <w:tcPr>
            <w:tcW w:w="724" w:type="dxa"/>
            <w:vMerge w:val="continue"/>
            <w:tcBorders>
              <w:tl2br w:val="nil"/>
              <w:tr2bl w:val="nil"/>
            </w:tcBorders>
            <w:vAlign w:val="center"/>
          </w:tcPr>
          <w:p w14:paraId="4B3129F1">
            <w:pPr>
              <w:pStyle w:val="56"/>
              <w:rPr>
                <w:rFonts w:ascii="Times New Roman" w:hAnsi="Times New Roman"/>
                <w:color w:val="auto"/>
                <w:szCs w:val="21"/>
              </w:rPr>
            </w:pPr>
          </w:p>
        </w:tc>
        <w:tc>
          <w:tcPr>
            <w:tcW w:w="724" w:type="dxa"/>
            <w:vMerge w:val="continue"/>
            <w:tcBorders>
              <w:tl2br w:val="nil"/>
              <w:tr2bl w:val="nil"/>
            </w:tcBorders>
            <w:vAlign w:val="center"/>
          </w:tcPr>
          <w:p w14:paraId="7C0629D5">
            <w:pPr>
              <w:pStyle w:val="56"/>
              <w:rPr>
                <w:rFonts w:ascii="Times New Roman" w:hAnsi="Times New Roman"/>
                <w:color w:val="auto"/>
                <w:szCs w:val="21"/>
              </w:rPr>
            </w:pPr>
          </w:p>
        </w:tc>
        <w:tc>
          <w:tcPr>
            <w:tcW w:w="724" w:type="dxa"/>
            <w:tcBorders>
              <w:tl2br w:val="nil"/>
              <w:tr2bl w:val="nil"/>
            </w:tcBorders>
            <w:vAlign w:val="center"/>
          </w:tcPr>
          <w:p w14:paraId="78C517B5">
            <w:pPr>
              <w:pStyle w:val="56"/>
              <w:rPr>
                <w:rFonts w:ascii="Times New Roman" w:hAnsi="Times New Roman"/>
                <w:color w:val="auto"/>
                <w:szCs w:val="21"/>
              </w:rPr>
            </w:pPr>
            <w:r>
              <w:rPr>
                <w:rFonts w:ascii="Times New Roman" w:hAnsi="Times New Roman"/>
                <w:color w:val="auto"/>
                <w:szCs w:val="21"/>
              </w:rPr>
              <w:t>植被</w:t>
            </w:r>
          </w:p>
        </w:tc>
        <w:tc>
          <w:tcPr>
            <w:tcW w:w="724" w:type="dxa"/>
            <w:tcBorders>
              <w:tl2br w:val="nil"/>
              <w:tr2bl w:val="nil"/>
            </w:tcBorders>
            <w:vAlign w:val="center"/>
          </w:tcPr>
          <w:p w14:paraId="11CA4887">
            <w:pPr>
              <w:pStyle w:val="56"/>
              <w:rPr>
                <w:rFonts w:ascii="Times New Roman" w:hAnsi="Times New Roman"/>
                <w:color w:val="auto"/>
                <w:szCs w:val="21"/>
              </w:rPr>
            </w:pPr>
            <w:r>
              <w:rPr>
                <w:rFonts w:ascii="Times New Roman" w:hAnsi="Times New Roman"/>
                <w:color w:val="auto"/>
                <w:szCs w:val="21"/>
              </w:rPr>
              <w:t>土地利用</w:t>
            </w:r>
          </w:p>
        </w:tc>
        <w:tc>
          <w:tcPr>
            <w:tcW w:w="724" w:type="dxa"/>
            <w:tcBorders>
              <w:tl2br w:val="nil"/>
              <w:tr2bl w:val="nil"/>
            </w:tcBorders>
            <w:vAlign w:val="center"/>
          </w:tcPr>
          <w:p w14:paraId="5FDED6F7">
            <w:pPr>
              <w:pStyle w:val="56"/>
              <w:rPr>
                <w:rFonts w:ascii="Times New Roman" w:hAnsi="Times New Roman"/>
                <w:color w:val="auto"/>
                <w:szCs w:val="21"/>
              </w:rPr>
            </w:pPr>
            <w:r>
              <w:rPr>
                <w:rFonts w:ascii="Times New Roman" w:hAnsi="Times New Roman"/>
                <w:color w:val="auto"/>
                <w:szCs w:val="21"/>
              </w:rPr>
              <w:t>水土流失</w:t>
            </w:r>
          </w:p>
        </w:tc>
        <w:tc>
          <w:tcPr>
            <w:tcW w:w="724" w:type="dxa"/>
            <w:tcBorders>
              <w:tl2br w:val="nil"/>
              <w:tr2bl w:val="nil"/>
            </w:tcBorders>
            <w:vAlign w:val="center"/>
          </w:tcPr>
          <w:p w14:paraId="27369540">
            <w:pPr>
              <w:pStyle w:val="56"/>
              <w:rPr>
                <w:rFonts w:ascii="Times New Roman" w:hAnsi="Times New Roman"/>
                <w:color w:val="auto"/>
                <w:szCs w:val="21"/>
              </w:rPr>
            </w:pPr>
            <w:r>
              <w:rPr>
                <w:rFonts w:ascii="Times New Roman" w:hAnsi="Times New Roman"/>
                <w:color w:val="auto"/>
                <w:szCs w:val="21"/>
              </w:rPr>
              <w:t>自然景观</w:t>
            </w:r>
          </w:p>
        </w:tc>
        <w:tc>
          <w:tcPr>
            <w:tcW w:w="724" w:type="dxa"/>
            <w:tcBorders>
              <w:tl2br w:val="nil"/>
              <w:tr2bl w:val="nil"/>
            </w:tcBorders>
            <w:vAlign w:val="center"/>
          </w:tcPr>
          <w:p w14:paraId="726A7498">
            <w:pPr>
              <w:pStyle w:val="56"/>
              <w:rPr>
                <w:rFonts w:ascii="Times New Roman" w:hAnsi="Times New Roman"/>
                <w:color w:val="auto"/>
                <w:szCs w:val="21"/>
              </w:rPr>
            </w:pPr>
            <w:r>
              <w:rPr>
                <w:rFonts w:ascii="Times New Roman" w:hAnsi="Times New Roman"/>
                <w:color w:val="auto"/>
                <w:szCs w:val="21"/>
              </w:rPr>
              <w:t>野生</w:t>
            </w:r>
            <w:r>
              <w:rPr>
                <w:rFonts w:ascii="Times New Roman" w:hAnsi="Times New Roman"/>
                <w:color w:val="auto"/>
                <w:szCs w:val="21"/>
                <w:lang w:val="en-US"/>
              </w:rPr>
              <w:t>动物</w:t>
            </w:r>
          </w:p>
        </w:tc>
      </w:tr>
      <w:tr w14:paraId="13FAA8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restart"/>
            <w:tcBorders>
              <w:tl2br w:val="nil"/>
              <w:tr2bl w:val="nil"/>
            </w:tcBorders>
            <w:vAlign w:val="center"/>
          </w:tcPr>
          <w:p w14:paraId="7B2B195E">
            <w:pPr>
              <w:pStyle w:val="56"/>
              <w:rPr>
                <w:rFonts w:ascii="Times New Roman" w:hAnsi="Times New Roman"/>
                <w:color w:val="auto"/>
                <w:szCs w:val="21"/>
              </w:rPr>
            </w:pPr>
            <w:r>
              <w:rPr>
                <w:rFonts w:ascii="Times New Roman" w:hAnsi="Times New Roman"/>
                <w:color w:val="auto"/>
                <w:szCs w:val="21"/>
              </w:rPr>
              <w:t>施</w:t>
            </w:r>
          </w:p>
          <w:p w14:paraId="3575B68A">
            <w:pPr>
              <w:pStyle w:val="56"/>
              <w:rPr>
                <w:rFonts w:ascii="Times New Roman" w:hAnsi="Times New Roman"/>
                <w:color w:val="auto"/>
                <w:szCs w:val="21"/>
              </w:rPr>
            </w:pPr>
            <w:r>
              <w:rPr>
                <w:rFonts w:ascii="Times New Roman" w:hAnsi="Times New Roman"/>
                <w:color w:val="auto"/>
                <w:szCs w:val="21"/>
              </w:rPr>
              <w:t>工</w:t>
            </w:r>
          </w:p>
          <w:p w14:paraId="1BA12A0D">
            <w:pPr>
              <w:pStyle w:val="56"/>
              <w:rPr>
                <w:rFonts w:ascii="Times New Roman" w:hAnsi="Times New Roman"/>
                <w:color w:val="auto"/>
                <w:szCs w:val="21"/>
              </w:rPr>
            </w:pPr>
            <w:r>
              <w:rPr>
                <w:rFonts w:ascii="Times New Roman" w:hAnsi="Times New Roman"/>
                <w:color w:val="auto"/>
                <w:szCs w:val="21"/>
              </w:rPr>
              <w:t>期</w:t>
            </w:r>
          </w:p>
        </w:tc>
        <w:tc>
          <w:tcPr>
            <w:tcW w:w="1205" w:type="dxa"/>
            <w:tcBorders>
              <w:tl2br w:val="nil"/>
              <w:tr2bl w:val="nil"/>
            </w:tcBorders>
            <w:vAlign w:val="center"/>
          </w:tcPr>
          <w:p w14:paraId="21A84251">
            <w:pPr>
              <w:pStyle w:val="56"/>
              <w:rPr>
                <w:rFonts w:ascii="Times New Roman" w:hAnsi="Times New Roman"/>
                <w:color w:val="auto"/>
                <w:szCs w:val="21"/>
              </w:rPr>
            </w:pPr>
            <w:r>
              <w:rPr>
                <w:rFonts w:ascii="Times New Roman" w:hAnsi="Times New Roman"/>
                <w:color w:val="auto"/>
                <w:szCs w:val="21"/>
              </w:rPr>
              <w:t>工程占地</w:t>
            </w:r>
          </w:p>
        </w:tc>
        <w:tc>
          <w:tcPr>
            <w:tcW w:w="725" w:type="dxa"/>
            <w:tcBorders>
              <w:tl2br w:val="nil"/>
              <w:tr2bl w:val="nil"/>
            </w:tcBorders>
            <w:vAlign w:val="center"/>
          </w:tcPr>
          <w:p w14:paraId="0C5F65B7">
            <w:pPr>
              <w:pStyle w:val="56"/>
              <w:rPr>
                <w:rFonts w:ascii="Times New Roman" w:hAnsi="Times New Roman"/>
                <w:color w:val="auto"/>
                <w:szCs w:val="21"/>
              </w:rPr>
            </w:pPr>
          </w:p>
        </w:tc>
        <w:tc>
          <w:tcPr>
            <w:tcW w:w="725" w:type="dxa"/>
            <w:tcBorders>
              <w:tl2br w:val="nil"/>
              <w:tr2bl w:val="nil"/>
            </w:tcBorders>
            <w:vAlign w:val="center"/>
          </w:tcPr>
          <w:p w14:paraId="6B613B9E">
            <w:pPr>
              <w:pStyle w:val="56"/>
              <w:rPr>
                <w:rFonts w:ascii="Times New Roman" w:hAnsi="Times New Roman"/>
                <w:color w:val="auto"/>
                <w:szCs w:val="21"/>
              </w:rPr>
            </w:pPr>
          </w:p>
        </w:tc>
        <w:tc>
          <w:tcPr>
            <w:tcW w:w="724" w:type="dxa"/>
            <w:tcBorders>
              <w:tl2br w:val="nil"/>
              <w:tr2bl w:val="nil"/>
            </w:tcBorders>
            <w:vAlign w:val="center"/>
          </w:tcPr>
          <w:p w14:paraId="1D49D12B">
            <w:pPr>
              <w:pStyle w:val="56"/>
              <w:rPr>
                <w:rFonts w:ascii="Times New Roman" w:hAnsi="Times New Roman"/>
                <w:color w:val="auto"/>
                <w:szCs w:val="21"/>
              </w:rPr>
            </w:pPr>
          </w:p>
        </w:tc>
        <w:tc>
          <w:tcPr>
            <w:tcW w:w="724" w:type="dxa"/>
            <w:tcBorders>
              <w:tl2br w:val="nil"/>
              <w:tr2bl w:val="nil"/>
            </w:tcBorders>
            <w:vAlign w:val="center"/>
          </w:tcPr>
          <w:p w14:paraId="3844463D">
            <w:pPr>
              <w:pStyle w:val="56"/>
              <w:rPr>
                <w:rFonts w:ascii="Times New Roman" w:hAnsi="Times New Roman"/>
                <w:color w:val="auto"/>
                <w:szCs w:val="21"/>
              </w:rPr>
            </w:pPr>
          </w:p>
        </w:tc>
        <w:tc>
          <w:tcPr>
            <w:tcW w:w="724" w:type="dxa"/>
            <w:tcBorders>
              <w:tl2br w:val="nil"/>
              <w:tr2bl w:val="nil"/>
            </w:tcBorders>
            <w:vAlign w:val="center"/>
          </w:tcPr>
          <w:p w14:paraId="73278517">
            <w:pPr>
              <w:pStyle w:val="56"/>
              <w:rPr>
                <w:rFonts w:ascii="Times New Roman" w:hAnsi="Times New Roman"/>
                <w:color w:val="auto"/>
                <w:szCs w:val="21"/>
              </w:rPr>
            </w:pPr>
          </w:p>
        </w:tc>
        <w:tc>
          <w:tcPr>
            <w:tcW w:w="724" w:type="dxa"/>
            <w:tcBorders>
              <w:tl2br w:val="nil"/>
              <w:tr2bl w:val="nil"/>
            </w:tcBorders>
            <w:vAlign w:val="center"/>
          </w:tcPr>
          <w:p w14:paraId="70277CB5">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1F43092E">
            <w:pPr>
              <w:pStyle w:val="56"/>
              <w:rPr>
                <w:rFonts w:ascii="Times New Roman" w:hAnsi="Times New Roman"/>
                <w:color w:val="auto"/>
                <w:szCs w:val="21"/>
              </w:rPr>
            </w:pPr>
            <w:r>
              <w:rPr>
                <w:rFonts w:ascii="Times New Roman" w:hAnsi="Times New Roman"/>
                <w:color w:val="auto"/>
                <w:szCs w:val="21"/>
              </w:rPr>
              <w:t>-2C</w:t>
            </w:r>
          </w:p>
        </w:tc>
        <w:tc>
          <w:tcPr>
            <w:tcW w:w="724" w:type="dxa"/>
            <w:tcBorders>
              <w:tl2br w:val="nil"/>
              <w:tr2bl w:val="nil"/>
            </w:tcBorders>
            <w:vAlign w:val="center"/>
          </w:tcPr>
          <w:p w14:paraId="3B06B245">
            <w:pPr>
              <w:pStyle w:val="56"/>
              <w:rPr>
                <w:rFonts w:ascii="Times New Roman" w:hAnsi="Times New Roman"/>
                <w:color w:val="auto"/>
                <w:szCs w:val="21"/>
              </w:rPr>
            </w:pPr>
            <w:r>
              <w:rPr>
                <w:rFonts w:ascii="Times New Roman" w:hAnsi="Times New Roman"/>
                <w:color w:val="auto"/>
                <w:szCs w:val="21"/>
              </w:rPr>
              <w:t>-2D</w:t>
            </w:r>
          </w:p>
        </w:tc>
        <w:tc>
          <w:tcPr>
            <w:tcW w:w="724" w:type="dxa"/>
            <w:tcBorders>
              <w:tl2br w:val="nil"/>
              <w:tr2bl w:val="nil"/>
            </w:tcBorders>
            <w:vAlign w:val="center"/>
          </w:tcPr>
          <w:p w14:paraId="30E7D911">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2B17797F">
            <w:pPr>
              <w:pStyle w:val="56"/>
              <w:rPr>
                <w:rFonts w:ascii="Times New Roman" w:hAnsi="Times New Roman"/>
                <w:color w:val="auto"/>
                <w:szCs w:val="21"/>
              </w:rPr>
            </w:pPr>
            <w:r>
              <w:rPr>
                <w:rFonts w:ascii="Times New Roman" w:hAnsi="Times New Roman"/>
                <w:color w:val="auto"/>
                <w:szCs w:val="21"/>
              </w:rPr>
              <w:t>-1D</w:t>
            </w:r>
          </w:p>
        </w:tc>
      </w:tr>
      <w:tr w14:paraId="34A2FC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4E493D25">
            <w:pPr>
              <w:pStyle w:val="56"/>
              <w:rPr>
                <w:rFonts w:ascii="Times New Roman" w:hAnsi="Times New Roman"/>
                <w:color w:val="auto"/>
                <w:szCs w:val="21"/>
              </w:rPr>
            </w:pPr>
          </w:p>
        </w:tc>
        <w:tc>
          <w:tcPr>
            <w:tcW w:w="1205" w:type="dxa"/>
            <w:tcBorders>
              <w:tl2br w:val="nil"/>
              <w:tr2bl w:val="nil"/>
            </w:tcBorders>
            <w:vAlign w:val="center"/>
          </w:tcPr>
          <w:p w14:paraId="155170BA">
            <w:pPr>
              <w:pStyle w:val="56"/>
              <w:rPr>
                <w:rFonts w:ascii="Times New Roman" w:hAnsi="Times New Roman"/>
                <w:color w:val="auto"/>
                <w:szCs w:val="21"/>
              </w:rPr>
            </w:pPr>
            <w:r>
              <w:rPr>
                <w:rFonts w:ascii="Times New Roman" w:hAnsi="Times New Roman"/>
                <w:color w:val="auto"/>
                <w:szCs w:val="21"/>
              </w:rPr>
              <w:t>废气排放</w:t>
            </w:r>
          </w:p>
        </w:tc>
        <w:tc>
          <w:tcPr>
            <w:tcW w:w="725" w:type="dxa"/>
            <w:tcBorders>
              <w:tl2br w:val="nil"/>
              <w:tr2bl w:val="nil"/>
            </w:tcBorders>
            <w:vAlign w:val="center"/>
          </w:tcPr>
          <w:p w14:paraId="7FE3DE96">
            <w:pPr>
              <w:pStyle w:val="56"/>
              <w:rPr>
                <w:rFonts w:ascii="Times New Roman" w:hAnsi="Times New Roman"/>
                <w:color w:val="auto"/>
                <w:szCs w:val="21"/>
              </w:rPr>
            </w:pPr>
            <w:r>
              <w:rPr>
                <w:rFonts w:ascii="Times New Roman" w:hAnsi="Times New Roman"/>
                <w:color w:val="auto"/>
                <w:szCs w:val="21"/>
              </w:rPr>
              <w:t>-1D</w:t>
            </w:r>
          </w:p>
        </w:tc>
        <w:tc>
          <w:tcPr>
            <w:tcW w:w="725" w:type="dxa"/>
            <w:tcBorders>
              <w:tl2br w:val="nil"/>
              <w:tr2bl w:val="nil"/>
            </w:tcBorders>
            <w:vAlign w:val="center"/>
          </w:tcPr>
          <w:p w14:paraId="63683921">
            <w:pPr>
              <w:pStyle w:val="56"/>
              <w:rPr>
                <w:rFonts w:ascii="Times New Roman" w:hAnsi="Times New Roman"/>
                <w:color w:val="auto"/>
                <w:szCs w:val="21"/>
              </w:rPr>
            </w:pPr>
          </w:p>
        </w:tc>
        <w:tc>
          <w:tcPr>
            <w:tcW w:w="724" w:type="dxa"/>
            <w:tcBorders>
              <w:tl2br w:val="nil"/>
              <w:tr2bl w:val="nil"/>
            </w:tcBorders>
            <w:vAlign w:val="center"/>
          </w:tcPr>
          <w:p w14:paraId="00BC723A">
            <w:pPr>
              <w:pStyle w:val="56"/>
              <w:rPr>
                <w:rFonts w:ascii="Times New Roman" w:hAnsi="Times New Roman"/>
                <w:color w:val="auto"/>
                <w:szCs w:val="21"/>
              </w:rPr>
            </w:pPr>
          </w:p>
        </w:tc>
        <w:tc>
          <w:tcPr>
            <w:tcW w:w="724" w:type="dxa"/>
            <w:tcBorders>
              <w:tl2br w:val="nil"/>
              <w:tr2bl w:val="nil"/>
            </w:tcBorders>
            <w:vAlign w:val="center"/>
          </w:tcPr>
          <w:p w14:paraId="21B1E4BF">
            <w:pPr>
              <w:pStyle w:val="56"/>
              <w:rPr>
                <w:rFonts w:ascii="Times New Roman" w:hAnsi="Times New Roman"/>
                <w:color w:val="auto"/>
                <w:szCs w:val="21"/>
              </w:rPr>
            </w:pPr>
          </w:p>
        </w:tc>
        <w:tc>
          <w:tcPr>
            <w:tcW w:w="724" w:type="dxa"/>
            <w:tcBorders>
              <w:tl2br w:val="nil"/>
              <w:tr2bl w:val="nil"/>
            </w:tcBorders>
            <w:vAlign w:val="center"/>
          </w:tcPr>
          <w:p w14:paraId="56A3E279">
            <w:pPr>
              <w:pStyle w:val="56"/>
              <w:rPr>
                <w:rFonts w:ascii="Times New Roman" w:hAnsi="Times New Roman"/>
                <w:color w:val="auto"/>
                <w:szCs w:val="21"/>
              </w:rPr>
            </w:pPr>
          </w:p>
        </w:tc>
        <w:tc>
          <w:tcPr>
            <w:tcW w:w="724" w:type="dxa"/>
            <w:tcBorders>
              <w:tl2br w:val="nil"/>
              <w:tr2bl w:val="nil"/>
            </w:tcBorders>
            <w:vAlign w:val="center"/>
          </w:tcPr>
          <w:p w14:paraId="5BD60780">
            <w:pPr>
              <w:pStyle w:val="56"/>
              <w:rPr>
                <w:rFonts w:ascii="Times New Roman" w:hAnsi="Times New Roman"/>
                <w:color w:val="auto"/>
                <w:szCs w:val="21"/>
              </w:rPr>
            </w:pPr>
          </w:p>
        </w:tc>
        <w:tc>
          <w:tcPr>
            <w:tcW w:w="724" w:type="dxa"/>
            <w:tcBorders>
              <w:tl2br w:val="nil"/>
              <w:tr2bl w:val="nil"/>
            </w:tcBorders>
            <w:vAlign w:val="center"/>
          </w:tcPr>
          <w:p w14:paraId="2602A53B">
            <w:pPr>
              <w:pStyle w:val="56"/>
              <w:rPr>
                <w:rFonts w:ascii="Times New Roman" w:hAnsi="Times New Roman"/>
                <w:color w:val="auto"/>
                <w:szCs w:val="21"/>
              </w:rPr>
            </w:pPr>
          </w:p>
        </w:tc>
        <w:tc>
          <w:tcPr>
            <w:tcW w:w="724" w:type="dxa"/>
            <w:tcBorders>
              <w:tl2br w:val="nil"/>
              <w:tr2bl w:val="nil"/>
            </w:tcBorders>
            <w:vAlign w:val="center"/>
          </w:tcPr>
          <w:p w14:paraId="02B5FB56">
            <w:pPr>
              <w:pStyle w:val="56"/>
              <w:rPr>
                <w:rFonts w:ascii="Times New Roman" w:hAnsi="Times New Roman"/>
                <w:color w:val="auto"/>
                <w:szCs w:val="21"/>
              </w:rPr>
            </w:pPr>
          </w:p>
        </w:tc>
        <w:tc>
          <w:tcPr>
            <w:tcW w:w="724" w:type="dxa"/>
            <w:tcBorders>
              <w:tl2br w:val="nil"/>
              <w:tr2bl w:val="nil"/>
            </w:tcBorders>
            <w:vAlign w:val="center"/>
          </w:tcPr>
          <w:p w14:paraId="6832647A">
            <w:pPr>
              <w:pStyle w:val="56"/>
              <w:rPr>
                <w:rFonts w:ascii="Times New Roman" w:hAnsi="Times New Roman"/>
                <w:color w:val="auto"/>
                <w:szCs w:val="21"/>
              </w:rPr>
            </w:pPr>
          </w:p>
        </w:tc>
        <w:tc>
          <w:tcPr>
            <w:tcW w:w="724" w:type="dxa"/>
            <w:tcBorders>
              <w:tl2br w:val="nil"/>
              <w:tr2bl w:val="nil"/>
            </w:tcBorders>
            <w:vAlign w:val="center"/>
          </w:tcPr>
          <w:p w14:paraId="53779886">
            <w:pPr>
              <w:pStyle w:val="56"/>
              <w:rPr>
                <w:rFonts w:ascii="Times New Roman" w:hAnsi="Times New Roman"/>
                <w:color w:val="auto"/>
                <w:szCs w:val="21"/>
              </w:rPr>
            </w:pPr>
            <w:r>
              <w:rPr>
                <w:rFonts w:ascii="Times New Roman" w:hAnsi="Times New Roman"/>
                <w:color w:val="auto"/>
                <w:szCs w:val="21"/>
              </w:rPr>
              <w:t>-1D</w:t>
            </w:r>
          </w:p>
        </w:tc>
      </w:tr>
      <w:tr w14:paraId="6F8CB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28462046">
            <w:pPr>
              <w:pStyle w:val="56"/>
              <w:rPr>
                <w:rFonts w:ascii="Times New Roman" w:hAnsi="Times New Roman"/>
                <w:color w:val="auto"/>
                <w:szCs w:val="21"/>
              </w:rPr>
            </w:pPr>
          </w:p>
        </w:tc>
        <w:tc>
          <w:tcPr>
            <w:tcW w:w="1205" w:type="dxa"/>
            <w:tcBorders>
              <w:tl2br w:val="nil"/>
              <w:tr2bl w:val="nil"/>
            </w:tcBorders>
            <w:vAlign w:val="center"/>
          </w:tcPr>
          <w:p w14:paraId="0C5C895D">
            <w:pPr>
              <w:pStyle w:val="56"/>
              <w:rPr>
                <w:rFonts w:ascii="Times New Roman" w:hAnsi="Times New Roman"/>
                <w:color w:val="auto"/>
                <w:szCs w:val="21"/>
              </w:rPr>
            </w:pPr>
            <w:r>
              <w:rPr>
                <w:rFonts w:ascii="Times New Roman" w:hAnsi="Times New Roman"/>
                <w:color w:val="auto"/>
                <w:szCs w:val="21"/>
              </w:rPr>
              <w:t>废水排放</w:t>
            </w:r>
          </w:p>
        </w:tc>
        <w:tc>
          <w:tcPr>
            <w:tcW w:w="725" w:type="dxa"/>
            <w:tcBorders>
              <w:tl2br w:val="nil"/>
              <w:tr2bl w:val="nil"/>
            </w:tcBorders>
            <w:vAlign w:val="center"/>
          </w:tcPr>
          <w:p w14:paraId="5589F707">
            <w:pPr>
              <w:pStyle w:val="56"/>
              <w:rPr>
                <w:rFonts w:ascii="Times New Roman" w:hAnsi="Times New Roman"/>
                <w:color w:val="auto"/>
                <w:szCs w:val="21"/>
              </w:rPr>
            </w:pPr>
          </w:p>
        </w:tc>
        <w:tc>
          <w:tcPr>
            <w:tcW w:w="725" w:type="dxa"/>
            <w:tcBorders>
              <w:tl2br w:val="nil"/>
              <w:tr2bl w:val="nil"/>
            </w:tcBorders>
            <w:vAlign w:val="center"/>
          </w:tcPr>
          <w:p w14:paraId="55C51BC9">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24C57EE0">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76E750B2">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013E609F">
            <w:pPr>
              <w:pStyle w:val="56"/>
              <w:rPr>
                <w:rFonts w:ascii="Times New Roman" w:hAnsi="Times New Roman"/>
                <w:color w:val="auto"/>
                <w:szCs w:val="21"/>
              </w:rPr>
            </w:pPr>
          </w:p>
        </w:tc>
        <w:tc>
          <w:tcPr>
            <w:tcW w:w="724" w:type="dxa"/>
            <w:tcBorders>
              <w:tl2br w:val="nil"/>
              <w:tr2bl w:val="nil"/>
            </w:tcBorders>
            <w:vAlign w:val="center"/>
          </w:tcPr>
          <w:p w14:paraId="1921006C">
            <w:pPr>
              <w:pStyle w:val="56"/>
              <w:rPr>
                <w:rFonts w:ascii="Times New Roman" w:hAnsi="Times New Roman"/>
                <w:color w:val="auto"/>
                <w:szCs w:val="21"/>
              </w:rPr>
            </w:pPr>
          </w:p>
        </w:tc>
        <w:tc>
          <w:tcPr>
            <w:tcW w:w="724" w:type="dxa"/>
            <w:tcBorders>
              <w:tl2br w:val="nil"/>
              <w:tr2bl w:val="nil"/>
            </w:tcBorders>
            <w:vAlign w:val="center"/>
          </w:tcPr>
          <w:p w14:paraId="477DB6FB">
            <w:pPr>
              <w:pStyle w:val="56"/>
              <w:rPr>
                <w:rFonts w:ascii="Times New Roman" w:hAnsi="Times New Roman"/>
                <w:color w:val="auto"/>
                <w:szCs w:val="21"/>
              </w:rPr>
            </w:pPr>
          </w:p>
        </w:tc>
        <w:tc>
          <w:tcPr>
            <w:tcW w:w="724" w:type="dxa"/>
            <w:tcBorders>
              <w:tl2br w:val="nil"/>
              <w:tr2bl w:val="nil"/>
            </w:tcBorders>
            <w:vAlign w:val="center"/>
          </w:tcPr>
          <w:p w14:paraId="297DB4AA">
            <w:pPr>
              <w:pStyle w:val="56"/>
              <w:rPr>
                <w:rFonts w:ascii="Times New Roman" w:hAnsi="Times New Roman"/>
                <w:color w:val="auto"/>
                <w:szCs w:val="21"/>
              </w:rPr>
            </w:pPr>
          </w:p>
        </w:tc>
        <w:tc>
          <w:tcPr>
            <w:tcW w:w="724" w:type="dxa"/>
            <w:tcBorders>
              <w:tl2br w:val="nil"/>
              <w:tr2bl w:val="nil"/>
            </w:tcBorders>
            <w:vAlign w:val="center"/>
          </w:tcPr>
          <w:p w14:paraId="4823AE85">
            <w:pPr>
              <w:pStyle w:val="56"/>
              <w:rPr>
                <w:rFonts w:ascii="Times New Roman" w:hAnsi="Times New Roman"/>
                <w:color w:val="auto"/>
                <w:szCs w:val="21"/>
              </w:rPr>
            </w:pPr>
          </w:p>
        </w:tc>
        <w:tc>
          <w:tcPr>
            <w:tcW w:w="724" w:type="dxa"/>
            <w:tcBorders>
              <w:tl2br w:val="nil"/>
              <w:tr2bl w:val="nil"/>
            </w:tcBorders>
            <w:vAlign w:val="center"/>
          </w:tcPr>
          <w:p w14:paraId="416773FC">
            <w:pPr>
              <w:pStyle w:val="56"/>
              <w:rPr>
                <w:rFonts w:ascii="Times New Roman" w:hAnsi="Times New Roman"/>
                <w:color w:val="auto"/>
                <w:szCs w:val="21"/>
              </w:rPr>
            </w:pPr>
          </w:p>
        </w:tc>
      </w:tr>
      <w:tr w14:paraId="0A201F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5097B0B0">
            <w:pPr>
              <w:pStyle w:val="56"/>
              <w:rPr>
                <w:rFonts w:ascii="Times New Roman" w:hAnsi="Times New Roman"/>
                <w:color w:val="auto"/>
                <w:szCs w:val="21"/>
              </w:rPr>
            </w:pPr>
          </w:p>
        </w:tc>
        <w:tc>
          <w:tcPr>
            <w:tcW w:w="1205" w:type="dxa"/>
            <w:tcBorders>
              <w:tl2br w:val="nil"/>
              <w:tr2bl w:val="nil"/>
            </w:tcBorders>
            <w:vAlign w:val="center"/>
          </w:tcPr>
          <w:p w14:paraId="0C9FD53C">
            <w:pPr>
              <w:pStyle w:val="56"/>
              <w:rPr>
                <w:rFonts w:ascii="Times New Roman" w:hAnsi="Times New Roman"/>
                <w:color w:val="auto"/>
                <w:szCs w:val="21"/>
              </w:rPr>
            </w:pPr>
            <w:r>
              <w:rPr>
                <w:rFonts w:ascii="Times New Roman" w:hAnsi="Times New Roman"/>
                <w:color w:val="auto"/>
                <w:szCs w:val="21"/>
              </w:rPr>
              <w:t>噪声排放</w:t>
            </w:r>
          </w:p>
        </w:tc>
        <w:tc>
          <w:tcPr>
            <w:tcW w:w="725" w:type="dxa"/>
            <w:tcBorders>
              <w:tl2br w:val="nil"/>
              <w:tr2bl w:val="nil"/>
            </w:tcBorders>
            <w:vAlign w:val="center"/>
          </w:tcPr>
          <w:p w14:paraId="0309BD72">
            <w:pPr>
              <w:pStyle w:val="56"/>
              <w:rPr>
                <w:rFonts w:ascii="Times New Roman" w:hAnsi="Times New Roman"/>
                <w:color w:val="auto"/>
                <w:szCs w:val="21"/>
              </w:rPr>
            </w:pPr>
          </w:p>
        </w:tc>
        <w:tc>
          <w:tcPr>
            <w:tcW w:w="725" w:type="dxa"/>
            <w:tcBorders>
              <w:tl2br w:val="nil"/>
              <w:tr2bl w:val="nil"/>
            </w:tcBorders>
            <w:vAlign w:val="center"/>
          </w:tcPr>
          <w:p w14:paraId="4B9C99B3">
            <w:pPr>
              <w:pStyle w:val="56"/>
              <w:rPr>
                <w:rFonts w:ascii="Times New Roman" w:hAnsi="Times New Roman"/>
                <w:color w:val="auto"/>
                <w:szCs w:val="21"/>
              </w:rPr>
            </w:pPr>
          </w:p>
        </w:tc>
        <w:tc>
          <w:tcPr>
            <w:tcW w:w="724" w:type="dxa"/>
            <w:tcBorders>
              <w:tl2br w:val="nil"/>
              <w:tr2bl w:val="nil"/>
            </w:tcBorders>
            <w:vAlign w:val="center"/>
          </w:tcPr>
          <w:p w14:paraId="1121D5AD">
            <w:pPr>
              <w:pStyle w:val="56"/>
              <w:rPr>
                <w:rFonts w:ascii="Times New Roman" w:hAnsi="Times New Roman"/>
                <w:color w:val="auto"/>
                <w:szCs w:val="21"/>
              </w:rPr>
            </w:pPr>
          </w:p>
        </w:tc>
        <w:tc>
          <w:tcPr>
            <w:tcW w:w="724" w:type="dxa"/>
            <w:tcBorders>
              <w:tl2br w:val="nil"/>
              <w:tr2bl w:val="nil"/>
            </w:tcBorders>
            <w:vAlign w:val="center"/>
          </w:tcPr>
          <w:p w14:paraId="25C4127D">
            <w:pPr>
              <w:pStyle w:val="56"/>
              <w:rPr>
                <w:rFonts w:ascii="Times New Roman" w:hAnsi="Times New Roman"/>
                <w:color w:val="auto"/>
                <w:szCs w:val="21"/>
              </w:rPr>
            </w:pPr>
          </w:p>
        </w:tc>
        <w:tc>
          <w:tcPr>
            <w:tcW w:w="724" w:type="dxa"/>
            <w:tcBorders>
              <w:tl2br w:val="nil"/>
              <w:tr2bl w:val="nil"/>
            </w:tcBorders>
            <w:vAlign w:val="center"/>
          </w:tcPr>
          <w:p w14:paraId="6042A669">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5C9770D5">
            <w:pPr>
              <w:pStyle w:val="56"/>
              <w:rPr>
                <w:rFonts w:ascii="Times New Roman" w:hAnsi="Times New Roman"/>
                <w:color w:val="auto"/>
                <w:szCs w:val="21"/>
              </w:rPr>
            </w:pPr>
          </w:p>
        </w:tc>
        <w:tc>
          <w:tcPr>
            <w:tcW w:w="724" w:type="dxa"/>
            <w:tcBorders>
              <w:tl2br w:val="nil"/>
              <w:tr2bl w:val="nil"/>
            </w:tcBorders>
            <w:vAlign w:val="center"/>
          </w:tcPr>
          <w:p w14:paraId="186610D9">
            <w:pPr>
              <w:pStyle w:val="56"/>
              <w:rPr>
                <w:rFonts w:ascii="Times New Roman" w:hAnsi="Times New Roman"/>
                <w:color w:val="auto"/>
                <w:szCs w:val="21"/>
              </w:rPr>
            </w:pPr>
          </w:p>
        </w:tc>
        <w:tc>
          <w:tcPr>
            <w:tcW w:w="724" w:type="dxa"/>
            <w:tcBorders>
              <w:tl2br w:val="nil"/>
              <w:tr2bl w:val="nil"/>
            </w:tcBorders>
            <w:vAlign w:val="center"/>
          </w:tcPr>
          <w:p w14:paraId="15EBA186">
            <w:pPr>
              <w:pStyle w:val="56"/>
              <w:rPr>
                <w:rFonts w:ascii="Times New Roman" w:hAnsi="Times New Roman"/>
                <w:color w:val="auto"/>
                <w:szCs w:val="21"/>
              </w:rPr>
            </w:pPr>
          </w:p>
        </w:tc>
        <w:tc>
          <w:tcPr>
            <w:tcW w:w="724" w:type="dxa"/>
            <w:tcBorders>
              <w:tl2br w:val="nil"/>
              <w:tr2bl w:val="nil"/>
            </w:tcBorders>
            <w:vAlign w:val="center"/>
          </w:tcPr>
          <w:p w14:paraId="57465124">
            <w:pPr>
              <w:pStyle w:val="56"/>
              <w:rPr>
                <w:rFonts w:ascii="Times New Roman" w:hAnsi="Times New Roman"/>
                <w:color w:val="auto"/>
                <w:szCs w:val="21"/>
              </w:rPr>
            </w:pPr>
          </w:p>
        </w:tc>
        <w:tc>
          <w:tcPr>
            <w:tcW w:w="724" w:type="dxa"/>
            <w:tcBorders>
              <w:tl2br w:val="nil"/>
              <w:tr2bl w:val="nil"/>
            </w:tcBorders>
            <w:vAlign w:val="center"/>
          </w:tcPr>
          <w:p w14:paraId="7B8EE8DB">
            <w:pPr>
              <w:pStyle w:val="56"/>
              <w:rPr>
                <w:rFonts w:ascii="Times New Roman" w:hAnsi="Times New Roman"/>
                <w:color w:val="auto"/>
                <w:szCs w:val="21"/>
              </w:rPr>
            </w:pPr>
            <w:r>
              <w:rPr>
                <w:rFonts w:ascii="Times New Roman" w:hAnsi="Times New Roman"/>
                <w:color w:val="auto"/>
                <w:szCs w:val="21"/>
              </w:rPr>
              <w:t>-1D</w:t>
            </w:r>
          </w:p>
        </w:tc>
      </w:tr>
      <w:tr w14:paraId="5589A1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10323E63">
            <w:pPr>
              <w:pStyle w:val="56"/>
              <w:rPr>
                <w:rFonts w:ascii="Times New Roman" w:hAnsi="Times New Roman"/>
                <w:color w:val="auto"/>
                <w:szCs w:val="21"/>
              </w:rPr>
            </w:pPr>
          </w:p>
        </w:tc>
        <w:tc>
          <w:tcPr>
            <w:tcW w:w="1205" w:type="dxa"/>
            <w:tcBorders>
              <w:tl2br w:val="nil"/>
              <w:tr2bl w:val="nil"/>
            </w:tcBorders>
            <w:vAlign w:val="center"/>
          </w:tcPr>
          <w:p w14:paraId="3B424F46">
            <w:pPr>
              <w:pStyle w:val="56"/>
              <w:rPr>
                <w:rFonts w:ascii="Times New Roman" w:hAnsi="Times New Roman"/>
                <w:color w:val="auto"/>
                <w:szCs w:val="21"/>
              </w:rPr>
            </w:pPr>
            <w:r>
              <w:rPr>
                <w:rFonts w:ascii="Times New Roman" w:hAnsi="Times New Roman"/>
                <w:color w:val="auto"/>
                <w:szCs w:val="21"/>
              </w:rPr>
              <w:t>固废排放</w:t>
            </w:r>
          </w:p>
        </w:tc>
        <w:tc>
          <w:tcPr>
            <w:tcW w:w="725" w:type="dxa"/>
            <w:tcBorders>
              <w:tl2br w:val="nil"/>
              <w:tr2bl w:val="nil"/>
            </w:tcBorders>
            <w:vAlign w:val="center"/>
          </w:tcPr>
          <w:p w14:paraId="16AB47C0">
            <w:pPr>
              <w:pStyle w:val="56"/>
              <w:rPr>
                <w:rFonts w:ascii="Times New Roman" w:hAnsi="Times New Roman"/>
                <w:color w:val="auto"/>
                <w:szCs w:val="21"/>
              </w:rPr>
            </w:pPr>
            <w:r>
              <w:rPr>
                <w:rFonts w:ascii="Times New Roman" w:hAnsi="Times New Roman"/>
                <w:color w:val="auto"/>
                <w:szCs w:val="21"/>
              </w:rPr>
              <w:t>-1D</w:t>
            </w:r>
          </w:p>
        </w:tc>
        <w:tc>
          <w:tcPr>
            <w:tcW w:w="725" w:type="dxa"/>
            <w:tcBorders>
              <w:tl2br w:val="nil"/>
              <w:tr2bl w:val="nil"/>
            </w:tcBorders>
            <w:vAlign w:val="center"/>
          </w:tcPr>
          <w:p w14:paraId="08C8E7E7">
            <w:pPr>
              <w:pStyle w:val="56"/>
              <w:rPr>
                <w:rFonts w:ascii="Times New Roman" w:hAnsi="Times New Roman"/>
                <w:color w:val="auto"/>
                <w:szCs w:val="21"/>
              </w:rPr>
            </w:pPr>
          </w:p>
        </w:tc>
        <w:tc>
          <w:tcPr>
            <w:tcW w:w="724" w:type="dxa"/>
            <w:tcBorders>
              <w:tl2br w:val="nil"/>
              <w:tr2bl w:val="nil"/>
            </w:tcBorders>
            <w:vAlign w:val="center"/>
          </w:tcPr>
          <w:p w14:paraId="002DC887">
            <w:pPr>
              <w:pStyle w:val="56"/>
              <w:rPr>
                <w:rFonts w:ascii="Times New Roman" w:hAnsi="Times New Roman"/>
                <w:color w:val="auto"/>
                <w:szCs w:val="21"/>
              </w:rPr>
            </w:pPr>
          </w:p>
        </w:tc>
        <w:tc>
          <w:tcPr>
            <w:tcW w:w="724" w:type="dxa"/>
            <w:tcBorders>
              <w:tl2br w:val="nil"/>
              <w:tr2bl w:val="nil"/>
            </w:tcBorders>
            <w:vAlign w:val="center"/>
          </w:tcPr>
          <w:p w14:paraId="19DA3C2B">
            <w:pPr>
              <w:pStyle w:val="56"/>
              <w:rPr>
                <w:rFonts w:ascii="Times New Roman" w:hAnsi="Times New Roman"/>
                <w:color w:val="auto"/>
                <w:szCs w:val="21"/>
              </w:rPr>
            </w:pPr>
          </w:p>
        </w:tc>
        <w:tc>
          <w:tcPr>
            <w:tcW w:w="724" w:type="dxa"/>
            <w:tcBorders>
              <w:tl2br w:val="nil"/>
              <w:tr2bl w:val="nil"/>
            </w:tcBorders>
            <w:vAlign w:val="center"/>
          </w:tcPr>
          <w:p w14:paraId="389B81AD">
            <w:pPr>
              <w:pStyle w:val="56"/>
              <w:rPr>
                <w:rFonts w:ascii="Times New Roman" w:hAnsi="Times New Roman"/>
                <w:color w:val="auto"/>
                <w:szCs w:val="21"/>
              </w:rPr>
            </w:pPr>
          </w:p>
        </w:tc>
        <w:tc>
          <w:tcPr>
            <w:tcW w:w="724" w:type="dxa"/>
            <w:tcBorders>
              <w:tl2br w:val="nil"/>
              <w:tr2bl w:val="nil"/>
            </w:tcBorders>
            <w:vAlign w:val="center"/>
          </w:tcPr>
          <w:p w14:paraId="7D137245">
            <w:pPr>
              <w:pStyle w:val="56"/>
              <w:rPr>
                <w:rFonts w:ascii="Times New Roman" w:hAnsi="Times New Roman"/>
                <w:color w:val="auto"/>
                <w:szCs w:val="21"/>
              </w:rPr>
            </w:pPr>
          </w:p>
        </w:tc>
        <w:tc>
          <w:tcPr>
            <w:tcW w:w="724" w:type="dxa"/>
            <w:tcBorders>
              <w:tl2br w:val="nil"/>
              <w:tr2bl w:val="nil"/>
            </w:tcBorders>
            <w:vAlign w:val="center"/>
          </w:tcPr>
          <w:p w14:paraId="5184518A">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36CB376A">
            <w:pPr>
              <w:pStyle w:val="56"/>
              <w:rPr>
                <w:rFonts w:ascii="Times New Roman" w:hAnsi="Times New Roman"/>
                <w:color w:val="auto"/>
                <w:szCs w:val="21"/>
              </w:rPr>
            </w:pPr>
            <w:r>
              <w:rPr>
                <w:rFonts w:ascii="Times New Roman" w:hAnsi="Times New Roman"/>
                <w:color w:val="auto"/>
                <w:szCs w:val="21"/>
              </w:rPr>
              <w:t>-1D</w:t>
            </w:r>
          </w:p>
        </w:tc>
        <w:tc>
          <w:tcPr>
            <w:tcW w:w="724" w:type="dxa"/>
            <w:tcBorders>
              <w:tl2br w:val="nil"/>
              <w:tr2bl w:val="nil"/>
            </w:tcBorders>
            <w:vAlign w:val="center"/>
          </w:tcPr>
          <w:p w14:paraId="304F92FF">
            <w:pPr>
              <w:pStyle w:val="56"/>
              <w:rPr>
                <w:rFonts w:ascii="Times New Roman" w:hAnsi="Times New Roman"/>
                <w:color w:val="auto"/>
                <w:szCs w:val="21"/>
              </w:rPr>
            </w:pPr>
          </w:p>
        </w:tc>
        <w:tc>
          <w:tcPr>
            <w:tcW w:w="724" w:type="dxa"/>
            <w:tcBorders>
              <w:tl2br w:val="nil"/>
              <w:tr2bl w:val="nil"/>
            </w:tcBorders>
            <w:vAlign w:val="center"/>
          </w:tcPr>
          <w:p w14:paraId="40EC8A09">
            <w:pPr>
              <w:pStyle w:val="56"/>
              <w:rPr>
                <w:rFonts w:ascii="Times New Roman" w:hAnsi="Times New Roman"/>
                <w:color w:val="auto"/>
                <w:szCs w:val="21"/>
              </w:rPr>
            </w:pPr>
          </w:p>
        </w:tc>
      </w:tr>
      <w:tr w14:paraId="244127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restart"/>
            <w:tcBorders>
              <w:tl2br w:val="nil"/>
              <w:tr2bl w:val="nil"/>
            </w:tcBorders>
            <w:vAlign w:val="center"/>
          </w:tcPr>
          <w:p w14:paraId="602E0AEE">
            <w:pPr>
              <w:pStyle w:val="56"/>
              <w:rPr>
                <w:rFonts w:ascii="Times New Roman" w:hAnsi="Times New Roman"/>
                <w:color w:val="auto"/>
                <w:szCs w:val="21"/>
              </w:rPr>
            </w:pPr>
            <w:r>
              <w:rPr>
                <w:rFonts w:ascii="Times New Roman" w:hAnsi="Times New Roman"/>
                <w:color w:val="auto"/>
                <w:szCs w:val="21"/>
              </w:rPr>
              <w:t>运</w:t>
            </w:r>
          </w:p>
          <w:p w14:paraId="25FAE984">
            <w:pPr>
              <w:pStyle w:val="56"/>
              <w:rPr>
                <w:rFonts w:ascii="Times New Roman" w:hAnsi="Times New Roman"/>
                <w:color w:val="auto"/>
                <w:szCs w:val="21"/>
              </w:rPr>
            </w:pPr>
            <w:r>
              <w:rPr>
                <w:rFonts w:ascii="Times New Roman" w:hAnsi="Times New Roman"/>
                <w:color w:val="auto"/>
                <w:szCs w:val="21"/>
              </w:rPr>
              <w:t>营</w:t>
            </w:r>
          </w:p>
          <w:p w14:paraId="462AC751">
            <w:pPr>
              <w:pStyle w:val="56"/>
              <w:rPr>
                <w:rFonts w:ascii="Times New Roman" w:hAnsi="Times New Roman"/>
                <w:color w:val="auto"/>
                <w:szCs w:val="21"/>
              </w:rPr>
            </w:pPr>
            <w:r>
              <w:rPr>
                <w:rFonts w:ascii="Times New Roman" w:hAnsi="Times New Roman"/>
                <w:color w:val="auto"/>
                <w:szCs w:val="21"/>
              </w:rPr>
              <w:t>期</w:t>
            </w:r>
          </w:p>
        </w:tc>
        <w:tc>
          <w:tcPr>
            <w:tcW w:w="1205" w:type="dxa"/>
            <w:tcBorders>
              <w:tl2br w:val="nil"/>
              <w:tr2bl w:val="nil"/>
            </w:tcBorders>
            <w:vAlign w:val="center"/>
          </w:tcPr>
          <w:p w14:paraId="685C4CC8">
            <w:pPr>
              <w:pStyle w:val="56"/>
              <w:rPr>
                <w:rFonts w:ascii="Times New Roman" w:hAnsi="Times New Roman"/>
                <w:color w:val="auto"/>
                <w:szCs w:val="21"/>
              </w:rPr>
            </w:pPr>
            <w:r>
              <w:rPr>
                <w:rFonts w:ascii="Times New Roman" w:hAnsi="Times New Roman"/>
                <w:color w:val="auto"/>
                <w:szCs w:val="21"/>
              </w:rPr>
              <w:t>废气排放</w:t>
            </w:r>
          </w:p>
        </w:tc>
        <w:tc>
          <w:tcPr>
            <w:tcW w:w="725" w:type="dxa"/>
            <w:tcBorders>
              <w:tl2br w:val="nil"/>
              <w:tr2bl w:val="nil"/>
            </w:tcBorders>
            <w:vAlign w:val="center"/>
          </w:tcPr>
          <w:p w14:paraId="1EABC371">
            <w:pPr>
              <w:pStyle w:val="56"/>
              <w:rPr>
                <w:rFonts w:ascii="Times New Roman" w:hAnsi="Times New Roman"/>
                <w:color w:val="auto"/>
                <w:szCs w:val="21"/>
              </w:rPr>
            </w:pPr>
            <w:r>
              <w:rPr>
                <w:rFonts w:ascii="Times New Roman" w:hAnsi="Times New Roman"/>
                <w:color w:val="auto"/>
                <w:szCs w:val="21"/>
              </w:rPr>
              <w:t>-</w:t>
            </w:r>
            <w:r>
              <w:rPr>
                <w:rFonts w:hint="eastAsia"/>
                <w:color w:val="auto"/>
                <w:szCs w:val="21"/>
                <w:lang w:val="en-US" w:eastAsia="zh-CN"/>
              </w:rPr>
              <w:t>2</w:t>
            </w:r>
            <w:r>
              <w:rPr>
                <w:rFonts w:ascii="Times New Roman" w:hAnsi="Times New Roman"/>
                <w:color w:val="auto"/>
                <w:szCs w:val="21"/>
              </w:rPr>
              <w:t>C</w:t>
            </w:r>
          </w:p>
        </w:tc>
        <w:tc>
          <w:tcPr>
            <w:tcW w:w="725" w:type="dxa"/>
            <w:tcBorders>
              <w:tl2br w:val="nil"/>
              <w:tr2bl w:val="nil"/>
            </w:tcBorders>
            <w:vAlign w:val="center"/>
          </w:tcPr>
          <w:p w14:paraId="6483AE56">
            <w:pPr>
              <w:pStyle w:val="56"/>
              <w:rPr>
                <w:rFonts w:ascii="Times New Roman" w:hAnsi="Times New Roman"/>
                <w:color w:val="auto"/>
                <w:szCs w:val="21"/>
              </w:rPr>
            </w:pPr>
          </w:p>
        </w:tc>
        <w:tc>
          <w:tcPr>
            <w:tcW w:w="724" w:type="dxa"/>
            <w:tcBorders>
              <w:tl2br w:val="nil"/>
              <w:tr2bl w:val="nil"/>
            </w:tcBorders>
            <w:vAlign w:val="center"/>
          </w:tcPr>
          <w:p w14:paraId="7BD3BF4D">
            <w:pPr>
              <w:pStyle w:val="56"/>
              <w:rPr>
                <w:rFonts w:ascii="Times New Roman" w:hAnsi="Times New Roman"/>
                <w:color w:val="auto"/>
                <w:szCs w:val="21"/>
              </w:rPr>
            </w:pPr>
          </w:p>
        </w:tc>
        <w:tc>
          <w:tcPr>
            <w:tcW w:w="724" w:type="dxa"/>
            <w:tcBorders>
              <w:tl2br w:val="nil"/>
              <w:tr2bl w:val="nil"/>
            </w:tcBorders>
            <w:vAlign w:val="center"/>
          </w:tcPr>
          <w:p w14:paraId="62E07220">
            <w:pPr>
              <w:pStyle w:val="56"/>
              <w:rPr>
                <w:rFonts w:ascii="Times New Roman" w:hAnsi="Times New Roman"/>
                <w:color w:val="auto"/>
                <w:szCs w:val="21"/>
              </w:rPr>
            </w:pPr>
          </w:p>
        </w:tc>
        <w:tc>
          <w:tcPr>
            <w:tcW w:w="724" w:type="dxa"/>
            <w:tcBorders>
              <w:tl2br w:val="nil"/>
              <w:tr2bl w:val="nil"/>
            </w:tcBorders>
            <w:vAlign w:val="center"/>
          </w:tcPr>
          <w:p w14:paraId="0FEF9BC3">
            <w:pPr>
              <w:pStyle w:val="56"/>
              <w:rPr>
                <w:rFonts w:ascii="Times New Roman" w:hAnsi="Times New Roman"/>
                <w:color w:val="auto"/>
                <w:szCs w:val="21"/>
              </w:rPr>
            </w:pPr>
          </w:p>
        </w:tc>
        <w:tc>
          <w:tcPr>
            <w:tcW w:w="724" w:type="dxa"/>
            <w:tcBorders>
              <w:tl2br w:val="nil"/>
              <w:tr2bl w:val="nil"/>
            </w:tcBorders>
            <w:vAlign w:val="center"/>
          </w:tcPr>
          <w:p w14:paraId="396C72FA">
            <w:pPr>
              <w:pStyle w:val="56"/>
              <w:rPr>
                <w:rFonts w:ascii="Times New Roman" w:hAnsi="Times New Roman"/>
                <w:color w:val="auto"/>
                <w:szCs w:val="21"/>
              </w:rPr>
            </w:pPr>
          </w:p>
        </w:tc>
        <w:tc>
          <w:tcPr>
            <w:tcW w:w="724" w:type="dxa"/>
            <w:tcBorders>
              <w:tl2br w:val="nil"/>
              <w:tr2bl w:val="nil"/>
            </w:tcBorders>
            <w:vAlign w:val="center"/>
          </w:tcPr>
          <w:p w14:paraId="7B5C1260">
            <w:pPr>
              <w:pStyle w:val="56"/>
              <w:rPr>
                <w:rFonts w:ascii="Times New Roman" w:hAnsi="Times New Roman"/>
                <w:color w:val="auto"/>
                <w:szCs w:val="21"/>
              </w:rPr>
            </w:pPr>
          </w:p>
        </w:tc>
        <w:tc>
          <w:tcPr>
            <w:tcW w:w="724" w:type="dxa"/>
            <w:tcBorders>
              <w:tl2br w:val="nil"/>
              <w:tr2bl w:val="nil"/>
            </w:tcBorders>
            <w:vAlign w:val="center"/>
          </w:tcPr>
          <w:p w14:paraId="41A42336">
            <w:pPr>
              <w:pStyle w:val="56"/>
              <w:rPr>
                <w:rFonts w:ascii="Times New Roman" w:hAnsi="Times New Roman"/>
                <w:color w:val="auto"/>
                <w:szCs w:val="21"/>
              </w:rPr>
            </w:pPr>
          </w:p>
        </w:tc>
        <w:tc>
          <w:tcPr>
            <w:tcW w:w="724" w:type="dxa"/>
            <w:tcBorders>
              <w:tl2br w:val="nil"/>
              <w:tr2bl w:val="nil"/>
            </w:tcBorders>
            <w:vAlign w:val="center"/>
          </w:tcPr>
          <w:p w14:paraId="6CB8BC6C">
            <w:pPr>
              <w:pStyle w:val="56"/>
              <w:rPr>
                <w:rFonts w:ascii="Times New Roman" w:hAnsi="Times New Roman"/>
                <w:color w:val="auto"/>
                <w:szCs w:val="21"/>
              </w:rPr>
            </w:pPr>
          </w:p>
        </w:tc>
        <w:tc>
          <w:tcPr>
            <w:tcW w:w="724" w:type="dxa"/>
            <w:tcBorders>
              <w:tl2br w:val="nil"/>
              <w:tr2bl w:val="nil"/>
            </w:tcBorders>
            <w:vAlign w:val="center"/>
          </w:tcPr>
          <w:p w14:paraId="7071E745">
            <w:pPr>
              <w:pStyle w:val="56"/>
              <w:rPr>
                <w:rFonts w:ascii="Times New Roman" w:hAnsi="Times New Roman"/>
                <w:color w:val="auto"/>
                <w:szCs w:val="21"/>
              </w:rPr>
            </w:pPr>
            <w:r>
              <w:rPr>
                <w:rFonts w:ascii="Times New Roman" w:hAnsi="Times New Roman"/>
                <w:color w:val="auto"/>
                <w:szCs w:val="21"/>
              </w:rPr>
              <w:t>-1C</w:t>
            </w:r>
          </w:p>
        </w:tc>
      </w:tr>
      <w:tr w14:paraId="6CBE55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7C995F9E">
            <w:pPr>
              <w:pStyle w:val="56"/>
              <w:rPr>
                <w:rFonts w:ascii="Times New Roman" w:hAnsi="Times New Roman"/>
                <w:color w:val="auto"/>
                <w:szCs w:val="21"/>
              </w:rPr>
            </w:pPr>
          </w:p>
        </w:tc>
        <w:tc>
          <w:tcPr>
            <w:tcW w:w="1205" w:type="dxa"/>
            <w:tcBorders>
              <w:tl2br w:val="nil"/>
              <w:tr2bl w:val="nil"/>
            </w:tcBorders>
            <w:vAlign w:val="center"/>
          </w:tcPr>
          <w:p w14:paraId="1FE0E17F">
            <w:pPr>
              <w:pStyle w:val="56"/>
              <w:rPr>
                <w:rFonts w:ascii="Times New Roman" w:hAnsi="Times New Roman"/>
                <w:color w:val="auto"/>
                <w:szCs w:val="21"/>
              </w:rPr>
            </w:pPr>
            <w:r>
              <w:rPr>
                <w:rFonts w:ascii="Times New Roman" w:hAnsi="Times New Roman"/>
                <w:color w:val="auto"/>
                <w:szCs w:val="21"/>
              </w:rPr>
              <w:t>废水排放</w:t>
            </w:r>
          </w:p>
        </w:tc>
        <w:tc>
          <w:tcPr>
            <w:tcW w:w="725" w:type="dxa"/>
            <w:tcBorders>
              <w:tl2br w:val="nil"/>
              <w:tr2bl w:val="nil"/>
            </w:tcBorders>
            <w:vAlign w:val="center"/>
          </w:tcPr>
          <w:p w14:paraId="65938CE4">
            <w:pPr>
              <w:pStyle w:val="56"/>
              <w:rPr>
                <w:rFonts w:ascii="Times New Roman" w:hAnsi="Times New Roman"/>
                <w:color w:val="auto"/>
                <w:szCs w:val="21"/>
              </w:rPr>
            </w:pPr>
          </w:p>
        </w:tc>
        <w:tc>
          <w:tcPr>
            <w:tcW w:w="725" w:type="dxa"/>
            <w:tcBorders>
              <w:tl2br w:val="nil"/>
              <w:tr2bl w:val="nil"/>
            </w:tcBorders>
            <w:vAlign w:val="center"/>
          </w:tcPr>
          <w:p w14:paraId="55E457CF">
            <w:pPr>
              <w:pStyle w:val="56"/>
              <w:rPr>
                <w:rFonts w:ascii="Times New Roman" w:hAnsi="Times New Roman"/>
                <w:color w:val="auto"/>
                <w:szCs w:val="21"/>
              </w:rPr>
            </w:pPr>
            <w:r>
              <w:rPr>
                <w:rFonts w:ascii="Times New Roman" w:hAnsi="Times New Roman"/>
                <w:color w:val="auto"/>
                <w:szCs w:val="21"/>
              </w:rPr>
              <w:t>-1C</w:t>
            </w:r>
          </w:p>
        </w:tc>
        <w:tc>
          <w:tcPr>
            <w:tcW w:w="724" w:type="dxa"/>
            <w:tcBorders>
              <w:tl2br w:val="nil"/>
              <w:tr2bl w:val="nil"/>
            </w:tcBorders>
            <w:vAlign w:val="center"/>
          </w:tcPr>
          <w:p w14:paraId="1FD6FC7F">
            <w:pPr>
              <w:pStyle w:val="56"/>
              <w:rPr>
                <w:rFonts w:ascii="Times New Roman" w:hAnsi="Times New Roman"/>
                <w:color w:val="auto"/>
                <w:szCs w:val="21"/>
              </w:rPr>
            </w:pPr>
            <w:r>
              <w:rPr>
                <w:rFonts w:ascii="Times New Roman" w:hAnsi="Times New Roman"/>
                <w:color w:val="auto"/>
                <w:szCs w:val="21"/>
              </w:rPr>
              <w:t>-1C</w:t>
            </w:r>
          </w:p>
        </w:tc>
        <w:tc>
          <w:tcPr>
            <w:tcW w:w="724" w:type="dxa"/>
            <w:tcBorders>
              <w:tl2br w:val="nil"/>
              <w:tr2bl w:val="nil"/>
            </w:tcBorders>
            <w:vAlign w:val="center"/>
          </w:tcPr>
          <w:p w14:paraId="55A775C9">
            <w:pPr>
              <w:pStyle w:val="56"/>
              <w:rPr>
                <w:rFonts w:ascii="Times New Roman" w:hAnsi="Times New Roman"/>
                <w:color w:val="auto"/>
                <w:szCs w:val="21"/>
              </w:rPr>
            </w:pPr>
            <w:r>
              <w:rPr>
                <w:rFonts w:ascii="Times New Roman" w:hAnsi="Times New Roman"/>
                <w:color w:val="auto"/>
                <w:szCs w:val="21"/>
              </w:rPr>
              <w:t>-1C</w:t>
            </w:r>
          </w:p>
        </w:tc>
        <w:tc>
          <w:tcPr>
            <w:tcW w:w="724" w:type="dxa"/>
            <w:tcBorders>
              <w:tl2br w:val="nil"/>
              <w:tr2bl w:val="nil"/>
            </w:tcBorders>
            <w:vAlign w:val="center"/>
          </w:tcPr>
          <w:p w14:paraId="64446BFE">
            <w:pPr>
              <w:pStyle w:val="56"/>
              <w:rPr>
                <w:rFonts w:ascii="Times New Roman" w:hAnsi="Times New Roman"/>
                <w:color w:val="auto"/>
                <w:szCs w:val="21"/>
              </w:rPr>
            </w:pPr>
          </w:p>
        </w:tc>
        <w:tc>
          <w:tcPr>
            <w:tcW w:w="724" w:type="dxa"/>
            <w:tcBorders>
              <w:tl2br w:val="nil"/>
              <w:tr2bl w:val="nil"/>
            </w:tcBorders>
            <w:vAlign w:val="center"/>
          </w:tcPr>
          <w:p w14:paraId="7CD0A984">
            <w:pPr>
              <w:pStyle w:val="56"/>
              <w:rPr>
                <w:rFonts w:ascii="Times New Roman" w:hAnsi="Times New Roman"/>
                <w:color w:val="auto"/>
                <w:szCs w:val="21"/>
              </w:rPr>
            </w:pPr>
          </w:p>
        </w:tc>
        <w:tc>
          <w:tcPr>
            <w:tcW w:w="724" w:type="dxa"/>
            <w:tcBorders>
              <w:tl2br w:val="nil"/>
              <w:tr2bl w:val="nil"/>
            </w:tcBorders>
            <w:vAlign w:val="center"/>
          </w:tcPr>
          <w:p w14:paraId="05FD33D4">
            <w:pPr>
              <w:pStyle w:val="56"/>
              <w:rPr>
                <w:rFonts w:ascii="Times New Roman" w:hAnsi="Times New Roman"/>
                <w:color w:val="auto"/>
                <w:szCs w:val="21"/>
              </w:rPr>
            </w:pPr>
          </w:p>
        </w:tc>
        <w:tc>
          <w:tcPr>
            <w:tcW w:w="724" w:type="dxa"/>
            <w:tcBorders>
              <w:tl2br w:val="nil"/>
              <w:tr2bl w:val="nil"/>
            </w:tcBorders>
            <w:vAlign w:val="center"/>
          </w:tcPr>
          <w:p w14:paraId="036C1973">
            <w:pPr>
              <w:pStyle w:val="56"/>
              <w:rPr>
                <w:rFonts w:ascii="Times New Roman" w:hAnsi="Times New Roman"/>
                <w:color w:val="auto"/>
                <w:szCs w:val="21"/>
              </w:rPr>
            </w:pPr>
          </w:p>
        </w:tc>
        <w:tc>
          <w:tcPr>
            <w:tcW w:w="724" w:type="dxa"/>
            <w:tcBorders>
              <w:tl2br w:val="nil"/>
              <w:tr2bl w:val="nil"/>
            </w:tcBorders>
            <w:vAlign w:val="center"/>
          </w:tcPr>
          <w:p w14:paraId="0BDB379B">
            <w:pPr>
              <w:pStyle w:val="56"/>
              <w:rPr>
                <w:rFonts w:ascii="Times New Roman" w:hAnsi="Times New Roman"/>
                <w:color w:val="auto"/>
                <w:szCs w:val="21"/>
              </w:rPr>
            </w:pPr>
          </w:p>
        </w:tc>
        <w:tc>
          <w:tcPr>
            <w:tcW w:w="724" w:type="dxa"/>
            <w:tcBorders>
              <w:tl2br w:val="nil"/>
              <w:tr2bl w:val="nil"/>
            </w:tcBorders>
            <w:vAlign w:val="center"/>
          </w:tcPr>
          <w:p w14:paraId="38741C12">
            <w:pPr>
              <w:pStyle w:val="56"/>
              <w:rPr>
                <w:rFonts w:ascii="Times New Roman" w:hAnsi="Times New Roman"/>
                <w:color w:val="auto"/>
                <w:szCs w:val="21"/>
              </w:rPr>
            </w:pPr>
          </w:p>
        </w:tc>
      </w:tr>
      <w:tr w14:paraId="2ABBB2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10338926">
            <w:pPr>
              <w:pStyle w:val="56"/>
              <w:rPr>
                <w:rFonts w:ascii="Times New Roman" w:hAnsi="Times New Roman"/>
                <w:color w:val="auto"/>
                <w:szCs w:val="21"/>
              </w:rPr>
            </w:pPr>
          </w:p>
        </w:tc>
        <w:tc>
          <w:tcPr>
            <w:tcW w:w="1205" w:type="dxa"/>
            <w:tcBorders>
              <w:tl2br w:val="nil"/>
              <w:tr2bl w:val="nil"/>
            </w:tcBorders>
            <w:vAlign w:val="center"/>
          </w:tcPr>
          <w:p w14:paraId="709D19EF">
            <w:pPr>
              <w:pStyle w:val="56"/>
              <w:rPr>
                <w:rFonts w:ascii="Times New Roman" w:hAnsi="Times New Roman"/>
                <w:color w:val="auto"/>
                <w:szCs w:val="21"/>
              </w:rPr>
            </w:pPr>
            <w:r>
              <w:rPr>
                <w:rFonts w:ascii="Times New Roman" w:hAnsi="Times New Roman"/>
                <w:color w:val="auto"/>
                <w:szCs w:val="21"/>
              </w:rPr>
              <w:t>噪声排放</w:t>
            </w:r>
          </w:p>
        </w:tc>
        <w:tc>
          <w:tcPr>
            <w:tcW w:w="725" w:type="dxa"/>
            <w:tcBorders>
              <w:tl2br w:val="nil"/>
              <w:tr2bl w:val="nil"/>
            </w:tcBorders>
            <w:vAlign w:val="center"/>
          </w:tcPr>
          <w:p w14:paraId="2BDE4087">
            <w:pPr>
              <w:pStyle w:val="56"/>
              <w:rPr>
                <w:rFonts w:ascii="Times New Roman" w:hAnsi="Times New Roman"/>
                <w:color w:val="auto"/>
                <w:szCs w:val="21"/>
              </w:rPr>
            </w:pPr>
          </w:p>
        </w:tc>
        <w:tc>
          <w:tcPr>
            <w:tcW w:w="725" w:type="dxa"/>
            <w:tcBorders>
              <w:tl2br w:val="nil"/>
              <w:tr2bl w:val="nil"/>
            </w:tcBorders>
            <w:vAlign w:val="center"/>
          </w:tcPr>
          <w:p w14:paraId="23CBDD07">
            <w:pPr>
              <w:pStyle w:val="56"/>
              <w:rPr>
                <w:rFonts w:ascii="Times New Roman" w:hAnsi="Times New Roman"/>
                <w:color w:val="auto"/>
                <w:szCs w:val="21"/>
              </w:rPr>
            </w:pPr>
          </w:p>
        </w:tc>
        <w:tc>
          <w:tcPr>
            <w:tcW w:w="724" w:type="dxa"/>
            <w:tcBorders>
              <w:tl2br w:val="nil"/>
              <w:tr2bl w:val="nil"/>
            </w:tcBorders>
            <w:vAlign w:val="center"/>
          </w:tcPr>
          <w:p w14:paraId="50ECB2D3">
            <w:pPr>
              <w:pStyle w:val="56"/>
              <w:rPr>
                <w:rFonts w:ascii="Times New Roman" w:hAnsi="Times New Roman"/>
                <w:color w:val="auto"/>
                <w:szCs w:val="21"/>
              </w:rPr>
            </w:pPr>
          </w:p>
        </w:tc>
        <w:tc>
          <w:tcPr>
            <w:tcW w:w="724" w:type="dxa"/>
            <w:tcBorders>
              <w:tl2br w:val="nil"/>
              <w:tr2bl w:val="nil"/>
            </w:tcBorders>
            <w:vAlign w:val="center"/>
          </w:tcPr>
          <w:p w14:paraId="12A08692">
            <w:pPr>
              <w:pStyle w:val="56"/>
              <w:rPr>
                <w:rFonts w:ascii="Times New Roman" w:hAnsi="Times New Roman"/>
                <w:color w:val="auto"/>
                <w:szCs w:val="21"/>
              </w:rPr>
            </w:pPr>
          </w:p>
        </w:tc>
        <w:tc>
          <w:tcPr>
            <w:tcW w:w="724" w:type="dxa"/>
            <w:tcBorders>
              <w:tl2br w:val="nil"/>
              <w:tr2bl w:val="nil"/>
            </w:tcBorders>
            <w:vAlign w:val="center"/>
          </w:tcPr>
          <w:p w14:paraId="239C551C">
            <w:pPr>
              <w:pStyle w:val="56"/>
              <w:rPr>
                <w:rFonts w:ascii="Times New Roman" w:hAnsi="Times New Roman"/>
                <w:color w:val="auto"/>
                <w:szCs w:val="21"/>
              </w:rPr>
            </w:pPr>
            <w:r>
              <w:rPr>
                <w:rFonts w:ascii="Times New Roman" w:hAnsi="Times New Roman"/>
                <w:color w:val="auto"/>
                <w:szCs w:val="21"/>
              </w:rPr>
              <w:t>-1C</w:t>
            </w:r>
          </w:p>
        </w:tc>
        <w:tc>
          <w:tcPr>
            <w:tcW w:w="724" w:type="dxa"/>
            <w:tcBorders>
              <w:tl2br w:val="nil"/>
              <w:tr2bl w:val="nil"/>
            </w:tcBorders>
            <w:vAlign w:val="center"/>
          </w:tcPr>
          <w:p w14:paraId="753D7B26">
            <w:pPr>
              <w:pStyle w:val="56"/>
              <w:rPr>
                <w:rFonts w:ascii="Times New Roman" w:hAnsi="Times New Roman"/>
                <w:color w:val="auto"/>
                <w:szCs w:val="21"/>
              </w:rPr>
            </w:pPr>
          </w:p>
        </w:tc>
        <w:tc>
          <w:tcPr>
            <w:tcW w:w="724" w:type="dxa"/>
            <w:tcBorders>
              <w:tl2br w:val="nil"/>
              <w:tr2bl w:val="nil"/>
            </w:tcBorders>
            <w:vAlign w:val="center"/>
          </w:tcPr>
          <w:p w14:paraId="64447467">
            <w:pPr>
              <w:pStyle w:val="56"/>
              <w:rPr>
                <w:rFonts w:ascii="Times New Roman" w:hAnsi="Times New Roman"/>
                <w:color w:val="auto"/>
                <w:szCs w:val="21"/>
              </w:rPr>
            </w:pPr>
          </w:p>
        </w:tc>
        <w:tc>
          <w:tcPr>
            <w:tcW w:w="724" w:type="dxa"/>
            <w:tcBorders>
              <w:tl2br w:val="nil"/>
              <w:tr2bl w:val="nil"/>
            </w:tcBorders>
            <w:vAlign w:val="center"/>
          </w:tcPr>
          <w:p w14:paraId="75734DD3">
            <w:pPr>
              <w:pStyle w:val="56"/>
              <w:rPr>
                <w:rFonts w:ascii="Times New Roman" w:hAnsi="Times New Roman"/>
                <w:color w:val="auto"/>
                <w:szCs w:val="21"/>
              </w:rPr>
            </w:pPr>
          </w:p>
        </w:tc>
        <w:tc>
          <w:tcPr>
            <w:tcW w:w="724" w:type="dxa"/>
            <w:tcBorders>
              <w:tl2br w:val="nil"/>
              <w:tr2bl w:val="nil"/>
            </w:tcBorders>
            <w:vAlign w:val="center"/>
          </w:tcPr>
          <w:p w14:paraId="24184C0C">
            <w:pPr>
              <w:pStyle w:val="56"/>
              <w:rPr>
                <w:rFonts w:ascii="Times New Roman" w:hAnsi="Times New Roman"/>
                <w:color w:val="auto"/>
                <w:szCs w:val="21"/>
              </w:rPr>
            </w:pPr>
          </w:p>
        </w:tc>
        <w:tc>
          <w:tcPr>
            <w:tcW w:w="724" w:type="dxa"/>
            <w:tcBorders>
              <w:tl2br w:val="nil"/>
              <w:tr2bl w:val="nil"/>
            </w:tcBorders>
            <w:vAlign w:val="center"/>
          </w:tcPr>
          <w:p w14:paraId="18896893">
            <w:pPr>
              <w:pStyle w:val="56"/>
              <w:rPr>
                <w:rFonts w:ascii="Times New Roman" w:hAnsi="Times New Roman"/>
                <w:color w:val="auto"/>
                <w:szCs w:val="21"/>
              </w:rPr>
            </w:pPr>
            <w:r>
              <w:rPr>
                <w:rFonts w:ascii="Times New Roman" w:hAnsi="Times New Roman"/>
                <w:color w:val="auto"/>
                <w:szCs w:val="21"/>
              </w:rPr>
              <w:t>-1C</w:t>
            </w:r>
          </w:p>
        </w:tc>
      </w:tr>
      <w:tr w14:paraId="4A97C4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397" w:type="dxa"/>
            <w:vMerge w:val="continue"/>
            <w:tcBorders>
              <w:tl2br w:val="nil"/>
              <w:tr2bl w:val="nil"/>
            </w:tcBorders>
            <w:vAlign w:val="center"/>
          </w:tcPr>
          <w:p w14:paraId="5C1CF243">
            <w:pPr>
              <w:pStyle w:val="56"/>
              <w:rPr>
                <w:rFonts w:ascii="Times New Roman" w:hAnsi="Times New Roman"/>
                <w:color w:val="auto"/>
                <w:szCs w:val="21"/>
              </w:rPr>
            </w:pPr>
          </w:p>
        </w:tc>
        <w:tc>
          <w:tcPr>
            <w:tcW w:w="1205" w:type="dxa"/>
            <w:tcBorders>
              <w:tl2br w:val="nil"/>
              <w:tr2bl w:val="nil"/>
            </w:tcBorders>
            <w:vAlign w:val="center"/>
          </w:tcPr>
          <w:p w14:paraId="6883D20F">
            <w:pPr>
              <w:pStyle w:val="56"/>
              <w:rPr>
                <w:rFonts w:ascii="Times New Roman" w:hAnsi="Times New Roman"/>
                <w:color w:val="auto"/>
                <w:szCs w:val="21"/>
              </w:rPr>
            </w:pPr>
            <w:r>
              <w:rPr>
                <w:rFonts w:ascii="Times New Roman" w:hAnsi="Times New Roman"/>
                <w:color w:val="auto"/>
                <w:szCs w:val="21"/>
              </w:rPr>
              <w:t>固废处置</w:t>
            </w:r>
          </w:p>
        </w:tc>
        <w:tc>
          <w:tcPr>
            <w:tcW w:w="725" w:type="dxa"/>
            <w:tcBorders>
              <w:tl2br w:val="nil"/>
              <w:tr2bl w:val="nil"/>
            </w:tcBorders>
            <w:vAlign w:val="center"/>
          </w:tcPr>
          <w:p w14:paraId="1D3B74B1">
            <w:pPr>
              <w:pStyle w:val="56"/>
              <w:rPr>
                <w:rFonts w:ascii="Times New Roman" w:hAnsi="Times New Roman"/>
                <w:color w:val="auto"/>
                <w:szCs w:val="21"/>
              </w:rPr>
            </w:pPr>
            <w:r>
              <w:rPr>
                <w:rFonts w:ascii="Times New Roman" w:hAnsi="Times New Roman"/>
                <w:color w:val="auto"/>
                <w:szCs w:val="21"/>
              </w:rPr>
              <w:t>-1C</w:t>
            </w:r>
          </w:p>
        </w:tc>
        <w:tc>
          <w:tcPr>
            <w:tcW w:w="725" w:type="dxa"/>
            <w:tcBorders>
              <w:tl2br w:val="nil"/>
              <w:tr2bl w:val="nil"/>
            </w:tcBorders>
            <w:vAlign w:val="center"/>
          </w:tcPr>
          <w:p w14:paraId="74752D07">
            <w:pPr>
              <w:pStyle w:val="56"/>
              <w:rPr>
                <w:rFonts w:ascii="Times New Roman" w:hAnsi="Times New Roman"/>
                <w:color w:val="auto"/>
                <w:szCs w:val="21"/>
              </w:rPr>
            </w:pPr>
          </w:p>
        </w:tc>
        <w:tc>
          <w:tcPr>
            <w:tcW w:w="724" w:type="dxa"/>
            <w:tcBorders>
              <w:tl2br w:val="nil"/>
              <w:tr2bl w:val="nil"/>
            </w:tcBorders>
            <w:vAlign w:val="center"/>
          </w:tcPr>
          <w:p w14:paraId="7CF80484">
            <w:pPr>
              <w:pStyle w:val="56"/>
              <w:rPr>
                <w:rFonts w:ascii="Times New Roman" w:hAnsi="Times New Roman"/>
                <w:color w:val="auto"/>
                <w:szCs w:val="21"/>
              </w:rPr>
            </w:pPr>
            <w:r>
              <w:rPr>
                <w:rFonts w:ascii="Times New Roman" w:hAnsi="Times New Roman"/>
                <w:color w:val="auto"/>
                <w:szCs w:val="21"/>
              </w:rPr>
              <w:t>-1C</w:t>
            </w:r>
          </w:p>
        </w:tc>
        <w:tc>
          <w:tcPr>
            <w:tcW w:w="724" w:type="dxa"/>
            <w:tcBorders>
              <w:tl2br w:val="nil"/>
              <w:tr2bl w:val="nil"/>
            </w:tcBorders>
            <w:vAlign w:val="center"/>
          </w:tcPr>
          <w:p w14:paraId="217974A9">
            <w:pPr>
              <w:pStyle w:val="56"/>
              <w:rPr>
                <w:rFonts w:ascii="Times New Roman" w:hAnsi="Times New Roman"/>
                <w:color w:val="auto"/>
                <w:szCs w:val="21"/>
              </w:rPr>
            </w:pPr>
            <w:r>
              <w:rPr>
                <w:rFonts w:ascii="Times New Roman" w:hAnsi="Times New Roman"/>
                <w:color w:val="auto"/>
                <w:szCs w:val="21"/>
              </w:rPr>
              <w:t>-1C</w:t>
            </w:r>
          </w:p>
        </w:tc>
        <w:tc>
          <w:tcPr>
            <w:tcW w:w="724" w:type="dxa"/>
            <w:tcBorders>
              <w:tl2br w:val="nil"/>
              <w:tr2bl w:val="nil"/>
            </w:tcBorders>
            <w:vAlign w:val="center"/>
          </w:tcPr>
          <w:p w14:paraId="27972845">
            <w:pPr>
              <w:pStyle w:val="56"/>
              <w:rPr>
                <w:rFonts w:ascii="Times New Roman" w:hAnsi="Times New Roman"/>
                <w:color w:val="auto"/>
                <w:szCs w:val="21"/>
              </w:rPr>
            </w:pPr>
          </w:p>
        </w:tc>
        <w:tc>
          <w:tcPr>
            <w:tcW w:w="724" w:type="dxa"/>
            <w:tcBorders>
              <w:tl2br w:val="nil"/>
              <w:tr2bl w:val="nil"/>
            </w:tcBorders>
            <w:vAlign w:val="center"/>
          </w:tcPr>
          <w:p w14:paraId="075B2315">
            <w:pPr>
              <w:pStyle w:val="56"/>
              <w:rPr>
                <w:rFonts w:ascii="Times New Roman" w:hAnsi="Times New Roman"/>
                <w:color w:val="auto"/>
                <w:szCs w:val="21"/>
              </w:rPr>
            </w:pPr>
          </w:p>
        </w:tc>
        <w:tc>
          <w:tcPr>
            <w:tcW w:w="724" w:type="dxa"/>
            <w:tcBorders>
              <w:tl2br w:val="nil"/>
              <w:tr2bl w:val="nil"/>
            </w:tcBorders>
            <w:vAlign w:val="center"/>
          </w:tcPr>
          <w:p w14:paraId="63456369">
            <w:pPr>
              <w:pStyle w:val="56"/>
              <w:rPr>
                <w:rFonts w:ascii="Times New Roman" w:hAnsi="Times New Roman"/>
                <w:color w:val="auto"/>
                <w:szCs w:val="21"/>
              </w:rPr>
            </w:pPr>
          </w:p>
        </w:tc>
        <w:tc>
          <w:tcPr>
            <w:tcW w:w="724" w:type="dxa"/>
            <w:tcBorders>
              <w:tl2br w:val="nil"/>
              <w:tr2bl w:val="nil"/>
            </w:tcBorders>
            <w:vAlign w:val="center"/>
          </w:tcPr>
          <w:p w14:paraId="6C52A8E6">
            <w:pPr>
              <w:pStyle w:val="56"/>
              <w:rPr>
                <w:rFonts w:ascii="Times New Roman" w:hAnsi="Times New Roman"/>
                <w:color w:val="auto"/>
                <w:szCs w:val="21"/>
              </w:rPr>
            </w:pPr>
          </w:p>
        </w:tc>
        <w:tc>
          <w:tcPr>
            <w:tcW w:w="724" w:type="dxa"/>
            <w:tcBorders>
              <w:tl2br w:val="nil"/>
              <w:tr2bl w:val="nil"/>
            </w:tcBorders>
            <w:vAlign w:val="center"/>
          </w:tcPr>
          <w:p w14:paraId="720313DB">
            <w:pPr>
              <w:pStyle w:val="56"/>
              <w:rPr>
                <w:rFonts w:ascii="Times New Roman" w:hAnsi="Times New Roman"/>
                <w:color w:val="auto"/>
                <w:szCs w:val="21"/>
              </w:rPr>
            </w:pPr>
          </w:p>
        </w:tc>
        <w:tc>
          <w:tcPr>
            <w:tcW w:w="724" w:type="dxa"/>
            <w:tcBorders>
              <w:tl2br w:val="nil"/>
              <w:tr2bl w:val="nil"/>
            </w:tcBorders>
            <w:vAlign w:val="center"/>
          </w:tcPr>
          <w:p w14:paraId="6355ADB3">
            <w:pPr>
              <w:pStyle w:val="56"/>
              <w:rPr>
                <w:rFonts w:ascii="Times New Roman" w:hAnsi="Times New Roman"/>
                <w:color w:val="auto"/>
                <w:szCs w:val="21"/>
              </w:rPr>
            </w:pPr>
          </w:p>
        </w:tc>
      </w:tr>
      <w:tr w14:paraId="20E84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8844" w:type="dxa"/>
            <w:gridSpan w:val="12"/>
            <w:tcBorders>
              <w:tl2br w:val="nil"/>
              <w:tr2bl w:val="nil"/>
            </w:tcBorders>
            <w:vAlign w:val="center"/>
          </w:tcPr>
          <w:p w14:paraId="20D68AE9">
            <w:pPr>
              <w:pStyle w:val="56"/>
              <w:jc w:val="both"/>
              <w:rPr>
                <w:rFonts w:ascii="Times New Roman" w:hAnsi="Times New Roman"/>
                <w:color w:val="auto"/>
                <w:szCs w:val="21"/>
              </w:rPr>
            </w:pPr>
            <w:r>
              <w:rPr>
                <w:rFonts w:ascii="Times New Roman" w:hAnsi="Times New Roman"/>
                <w:color w:val="auto"/>
                <w:sz w:val="20"/>
                <w:szCs w:val="20"/>
              </w:rPr>
              <w:t>备注：1、表中“＋”表示有利影响，“－”表示不利影响；2、表中数字表示影响的相对程度，“1”表示影响较小，“2”表示影响中等，“3”表示影响较大；3、表中“D”表示短期影响，“C”表示长期影响。</w:t>
            </w:r>
          </w:p>
        </w:tc>
      </w:tr>
    </w:tbl>
    <w:p w14:paraId="10EB392A">
      <w:pPr>
        <w:ind w:firstLine="480"/>
        <w:rPr>
          <w:rFonts w:ascii="Times New Roman" w:hAnsi="Times New Roman" w:cs="Times New Roman"/>
          <w:color w:val="auto"/>
        </w:rPr>
      </w:pPr>
      <w:r>
        <w:rPr>
          <w:rFonts w:ascii="Times New Roman" w:hAnsi="Times New Roman" w:cs="Times New Roman"/>
          <w:color w:val="auto"/>
        </w:rPr>
        <w:t>从表2.2-1中可以看出，建设期土建项目会造成不同程度的地表破坏，施工中还产生噪声、扬尘、废水、弃土、弃渣等对环境的影响，但建设期的环境影响受建设期时段控制，影响是暂时的、局部的，当施工结束后，影响将随之消失或减缓。</w:t>
      </w:r>
    </w:p>
    <w:p w14:paraId="2DC3EF35">
      <w:pPr>
        <w:ind w:firstLine="480"/>
        <w:rPr>
          <w:rFonts w:ascii="Times New Roman" w:hAnsi="Times New Roman" w:cs="Times New Roman"/>
          <w:color w:val="auto"/>
        </w:rPr>
      </w:pPr>
      <w:r>
        <w:rPr>
          <w:rFonts w:ascii="Times New Roman" w:hAnsi="Times New Roman" w:cs="Times New Roman"/>
          <w:color w:val="auto"/>
        </w:rPr>
        <w:t>运营期养殖区产生的恶臭气体对大气环境影</w:t>
      </w:r>
      <w:r>
        <w:rPr>
          <w:rFonts w:ascii="Times New Roman" w:hAnsi="Times New Roman" w:cs="Times New Roman"/>
          <w:color w:val="000000" w:themeColor="text1"/>
          <w14:textFill>
            <w14:solidFill>
              <w14:schemeClr w14:val="tx1"/>
            </w14:solidFill>
          </w14:textFill>
        </w:rPr>
        <w:t>响</w:t>
      </w:r>
      <w:r>
        <w:rPr>
          <w:rFonts w:hint="eastAsia" w:cs="Times New Roman"/>
          <w:color w:val="000000" w:themeColor="text1"/>
          <w:lang w:val="en-US" w:eastAsia="zh-CN"/>
          <w14:textFill>
            <w14:solidFill>
              <w14:schemeClr w14:val="tx1"/>
            </w14:solidFill>
          </w14:textFill>
        </w:rPr>
        <w:t>最为突出</w:t>
      </w:r>
      <w:r>
        <w:rPr>
          <w:rFonts w:ascii="Times New Roman" w:hAnsi="Times New Roman" w:cs="Times New Roman"/>
          <w:color w:val="000000" w:themeColor="text1"/>
          <w14:textFill>
            <w14:solidFill>
              <w14:schemeClr w14:val="tx1"/>
            </w14:solidFill>
          </w14:textFill>
        </w:rPr>
        <w:t>；项目无生产</w:t>
      </w:r>
      <w:r>
        <w:rPr>
          <w:rFonts w:hint="eastAsia" w:ascii="Times New Roman" w:hAnsi="Times New Roman" w:cs="Times New Roman"/>
          <w:color w:val="000000" w:themeColor="text1"/>
          <w:lang w:val="en-US" w:eastAsia="zh-CN"/>
          <w14:textFill>
            <w14:solidFill>
              <w14:schemeClr w14:val="tx1"/>
            </w14:solidFill>
          </w14:textFill>
        </w:rPr>
        <w:t>废水</w:t>
      </w:r>
      <w:r>
        <w:rPr>
          <w:rFonts w:ascii="Times New Roman" w:hAnsi="Times New Roman" w:cs="Times New Roman"/>
          <w:color w:val="000000" w:themeColor="text1"/>
          <w14:textFill>
            <w14:solidFill>
              <w14:schemeClr w14:val="tx1"/>
            </w14:solidFill>
          </w14:textFill>
        </w:rPr>
        <w:t>和</w:t>
      </w:r>
      <w:r>
        <w:rPr>
          <w:rFonts w:hint="eastAsia" w:ascii="Times New Roman" w:hAnsi="Times New Roman" w:cs="Times New Roman"/>
          <w:color w:val="000000" w:themeColor="text1"/>
          <w:lang w:eastAsia="zh-CN"/>
          <w14:textFill>
            <w14:solidFill>
              <w14:schemeClr w14:val="tx1"/>
            </w14:solidFill>
          </w14:textFill>
        </w:rPr>
        <w:t>生活污水</w:t>
      </w:r>
      <w:r>
        <w:rPr>
          <w:rFonts w:hint="eastAsia" w:ascii="Times New Roman" w:hAnsi="Times New Roman" w:cs="Times New Roman"/>
          <w:color w:val="000000" w:themeColor="text1"/>
          <w:lang w:val="en-US" w:eastAsia="zh-CN"/>
          <w14:textFill>
            <w14:solidFill>
              <w14:schemeClr w14:val="tx1"/>
            </w14:solidFill>
          </w14:textFill>
        </w:rPr>
        <w:t>直接外排</w:t>
      </w:r>
      <w:r>
        <w:rPr>
          <w:rFonts w:ascii="Times New Roman" w:hAnsi="Times New Roman" w:cs="Times New Roman"/>
          <w:color w:val="000000" w:themeColor="text1"/>
          <w14:textFill>
            <w14:solidFill>
              <w14:schemeClr w14:val="tx1"/>
            </w14:solidFill>
          </w14:textFill>
        </w:rPr>
        <w:t>；噪声污染主要</w:t>
      </w:r>
      <w:r>
        <w:rPr>
          <w:rFonts w:hint="eastAsia" w:ascii="Times New Roman" w:hAnsi="Times New Roman" w:cs="Times New Roman"/>
          <w:color w:val="000000" w:themeColor="text1"/>
          <w:lang w:eastAsia="zh-CN"/>
          <w14:textFill>
            <w14:solidFill>
              <w14:schemeClr w14:val="tx1"/>
            </w14:solidFill>
          </w14:textFill>
        </w:rPr>
        <w:t>来自</w:t>
      </w:r>
      <w:r>
        <w:rPr>
          <w:rFonts w:ascii="Times New Roman" w:hAnsi="Times New Roman" w:cs="Times New Roman"/>
          <w:color w:val="000000" w:themeColor="text1"/>
          <w14:textFill>
            <w14:solidFill>
              <w14:schemeClr w14:val="tx1"/>
            </w14:solidFill>
          </w14:textFill>
        </w:rPr>
        <w:t>机械设备运行噪声和车辆噪声以及</w:t>
      </w:r>
      <w:r>
        <w:rPr>
          <w:rFonts w:hint="eastAsia" w:ascii="Times New Roman" w:hAnsi="Times New Roman" w:cs="Times New Roman"/>
          <w:color w:val="auto"/>
          <w:lang w:val="en-US" w:eastAsia="zh-CN"/>
        </w:rPr>
        <w:t>家禽</w:t>
      </w:r>
      <w:r>
        <w:rPr>
          <w:rFonts w:ascii="Times New Roman" w:hAnsi="Times New Roman" w:cs="Times New Roman"/>
          <w:color w:val="auto"/>
        </w:rPr>
        <w:t>的叫声等，其源强小，对外环境影</w:t>
      </w:r>
      <w:r>
        <w:rPr>
          <w:rFonts w:ascii="Times New Roman" w:hAnsi="Times New Roman" w:cs="Times New Roman"/>
          <w:color w:val="000000" w:themeColor="text1"/>
          <w14:textFill>
            <w14:solidFill>
              <w14:schemeClr w14:val="tx1"/>
            </w14:solidFill>
          </w14:textFill>
        </w:rPr>
        <w:t>响很小。固体废物主要为粪污</w:t>
      </w:r>
      <w:r>
        <w:rPr>
          <w:rFonts w:hint="eastAsia"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病死禽、</w:t>
      </w:r>
      <w:r>
        <w:rPr>
          <w:rFonts w:ascii="Times New Roman" w:hAnsi="Times New Roman" w:cs="Times New Roman"/>
          <w:color w:val="000000" w:themeColor="text1"/>
          <w14:textFill>
            <w14:solidFill>
              <w14:schemeClr w14:val="tx1"/>
            </w14:solidFill>
          </w14:textFill>
        </w:rPr>
        <w:t>生活垃圾</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医疗废物</w:t>
      </w:r>
      <w:r>
        <w:rPr>
          <w:rFonts w:ascii="Times New Roman" w:hAnsi="Times New Roman" w:cs="Times New Roman"/>
          <w:color w:val="000000" w:themeColor="text1"/>
          <w14:textFill>
            <w14:solidFill>
              <w14:schemeClr w14:val="tx1"/>
            </w14:solidFill>
          </w14:textFill>
        </w:rPr>
        <w:t>等，项目采用干清粪养殖工艺，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w:t>
      </w:r>
      <w:r>
        <w:rPr>
          <w:rFonts w:hint="eastAsia" w:cs="Times New Roman"/>
          <w:color w:val="000000" w:themeColor="text1"/>
          <w:lang w:val="en-US" w:eastAsia="zh-CN"/>
          <w14:textFill>
            <w14:solidFill>
              <w14:schemeClr w14:val="tx1"/>
            </w14:solidFill>
          </w14:textFill>
        </w:rPr>
        <w:t>长期</w:t>
      </w:r>
      <w:r>
        <w:rPr>
          <w:rFonts w:ascii="Times New Roman" w:hAnsi="Times New Roman" w:cs="Times New Roman"/>
          <w:color w:val="000000" w:themeColor="text1"/>
          <w14:textFill>
            <w14:solidFill>
              <w14:schemeClr w14:val="tx1"/>
            </w14:solidFill>
          </w14:textFill>
        </w:rPr>
        <w:t>贮存，</w:t>
      </w:r>
      <w:r>
        <w:rPr>
          <w:rFonts w:hint="eastAsia" w:cs="Times New Roman"/>
          <w:color w:val="000000" w:themeColor="text1"/>
          <w:lang w:val="en-US" w:eastAsia="zh-CN"/>
          <w14:textFill>
            <w14:solidFill>
              <w14:schemeClr w14:val="tx1"/>
            </w14:solidFill>
          </w14:textFill>
        </w:rPr>
        <w:t>及时</w:t>
      </w:r>
      <w:r>
        <w:rPr>
          <w:rFonts w:ascii="Times New Roman" w:hAnsi="Times New Roman" w:cs="Times New Roman"/>
          <w:color w:val="000000" w:themeColor="text1"/>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外售。生活垃圾在场区内设置垃圾收集箱集中收集后，定期由环卫部门统一清运至生活垃圾填埋场。兽用医疗废物暂存于危险废物暂存间，由有危险废物处理资质单位处理。从影响时段上来看，运营期的影响与</w:t>
      </w:r>
      <w:r>
        <w:rPr>
          <w:rFonts w:hint="eastAsia" w:cs="Times New Roman"/>
          <w:color w:val="000000" w:themeColor="text1"/>
          <w:lang w:eastAsia="zh-CN"/>
          <w14:textFill>
            <w14:solidFill>
              <w14:schemeClr w14:val="tx1"/>
            </w14:solidFill>
          </w14:textFill>
        </w:rPr>
        <w:t>施工期</w:t>
      </w:r>
      <w:r>
        <w:rPr>
          <w:rFonts w:ascii="Times New Roman" w:hAnsi="Times New Roman" w:cs="Times New Roman"/>
          <w:color w:val="000000" w:themeColor="text1"/>
          <w14:textFill>
            <w14:solidFill>
              <w14:schemeClr w14:val="tx1"/>
            </w14:solidFill>
          </w14:textFill>
        </w:rPr>
        <w:t>相比是长期、广泛的。</w:t>
      </w:r>
    </w:p>
    <w:p w14:paraId="793A4CB3">
      <w:pPr>
        <w:pStyle w:val="5"/>
        <w:ind w:left="120"/>
        <w:rPr>
          <w:rFonts w:ascii="Times New Roman" w:hAnsi="Times New Roman" w:cs="Times New Roman"/>
          <w:color w:val="auto"/>
        </w:rPr>
      </w:pPr>
      <w:r>
        <w:rPr>
          <w:rFonts w:ascii="Times New Roman" w:hAnsi="Times New Roman" w:cs="Times New Roman"/>
          <w:color w:val="auto"/>
        </w:rPr>
        <w:t>评价因子筛选</w:t>
      </w:r>
    </w:p>
    <w:p w14:paraId="29616308">
      <w:pPr>
        <w:autoSpaceDE w:val="0"/>
        <w:autoSpaceDN w:val="0"/>
        <w:ind w:firstLine="480"/>
        <w:jc w:val="left"/>
        <w:rPr>
          <w:rFonts w:ascii="Times New Roman" w:hAnsi="Times New Roman" w:eastAsia="宋体" w:cs="Times New Roman"/>
          <w:color w:val="auto"/>
          <w:szCs w:val="24"/>
          <w:lang w:val="zh-CN" w:bidi="zh-CN"/>
        </w:rPr>
      </w:pPr>
      <w:r>
        <w:rPr>
          <w:rFonts w:ascii="Times New Roman" w:hAnsi="Times New Roman" w:eastAsia="宋体" w:cs="Times New Roman"/>
          <w:color w:val="auto"/>
          <w:szCs w:val="24"/>
          <w:lang w:val="zh-CN" w:bidi="zh-CN"/>
        </w:rPr>
        <w:t>根据建设项目环境影响因素识别结果，结合本区环境状况</w:t>
      </w:r>
      <w:r>
        <w:rPr>
          <w:rFonts w:hint="eastAsia" w:eastAsia="宋体" w:cs="Times New Roman"/>
          <w:color w:val="auto"/>
          <w:szCs w:val="24"/>
          <w:lang w:val="zh-CN" w:bidi="zh-CN"/>
        </w:rPr>
        <w:t>，选</w:t>
      </w:r>
      <w:r>
        <w:rPr>
          <w:rFonts w:ascii="Times New Roman" w:hAnsi="Times New Roman" w:eastAsia="宋体" w:cs="Times New Roman"/>
          <w:color w:val="auto"/>
          <w:szCs w:val="24"/>
          <w:lang w:val="zh-CN" w:bidi="zh-CN"/>
        </w:rPr>
        <w:t>择其对环境影响较大的或本项目的特征污染因子确定为评价因子。</w:t>
      </w:r>
    </w:p>
    <w:p w14:paraId="10FEC02D">
      <w:pPr>
        <w:ind w:firstLine="480"/>
        <w:rPr>
          <w:rFonts w:ascii="Times New Roman" w:hAnsi="Times New Roman" w:cs="Times New Roman"/>
          <w:color w:val="auto"/>
          <w:lang w:val="zh-CN"/>
        </w:rPr>
      </w:pPr>
      <w:r>
        <w:rPr>
          <w:rFonts w:ascii="Times New Roman" w:hAnsi="Times New Roman" w:cs="Times New Roman"/>
          <w:color w:val="auto"/>
          <w:lang w:val="zh-CN"/>
        </w:rPr>
        <w:t>（</w:t>
      </w:r>
      <w:r>
        <w:rPr>
          <w:rFonts w:ascii="Times New Roman" w:hAnsi="Times New Roman" w:cs="Times New Roman"/>
          <w:color w:val="auto"/>
        </w:rPr>
        <w:t>1</w:t>
      </w:r>
      <w:r>
        <w:rPr>
          <w:rFonts w:ascii="Times New Roman" w:hAnsi="Times New Roman" w:cs="Times New Roman"/>
          <w:color w:val="auto"/>
          <w:lang w:val="zh-CN"/>
        </w:rPr>
        <w:t>）环境现状评价因子</w:t>
      </w:r>
    </w:p>
    <w:p w14:paraId="1D341858">
      <w:pPr>
        <w:autoSpaceDE w:val="0"/>
        <w:autoSpaceDN w:val="0"/>
        <w:ind w:firstLine="480"/>
        <w:jc w:val="left"/>
        <w:rPr>
          <w:rFonts w:ascii="Times New Roman" w:hAnsi="Times New Roman" w:eastAsia="宋体" w:cs="Times New Roman"/>
          <w:color w:val="auto"/>
          <w:szCs w:val="24"/>
          <w:lang w:val="zh-CN" w:bidi="zh-CN"/>
        </w:rPr>
      </w:pPr>
      <w:r>
        <w:rPr>
          <w:rFonts w:ascii="Times New Roman" w:hAnsi="Times New Roman" w:eastAsia="宋体" w:cs="Times New Roman"/>
          <w:color w:val="auto"/>
          <w:position w:val="2"/>
          <w:szCs w:val="24"/>
          <w:lang w:val="zh-CN" w:bidi="zh-CN"/>
        </w:rPr>
        <w:t>环境空气：</w:t>
      </w:r>
      <w:r>
        <w:rPr>
          <w:rFonts w:ascii="Times New Roman" w:hAnsi="Times New Roman" w:eastAsia="Times New Roman" w:cs="Times New Roman"/>
          <w:color w:val="auto"/>
          <w:position w:val="2"/>
          <w:szCs w:val="24"/>
          <w:lang w:val="zh-CN" w:bidi="zh-CN"/>
        </w:rPr>
        <w:t>SO</w:t>
      </w:r>
      <w:r>
        <w:rPr>
          <w:rFonts w:ascii="Times New Roman" w:hAnsi="Times New Roman" w:eastAsia="Times New Roman" w:cs="Times New Roman"/>
          <w:color w:val="auto"/>
          <w:position w:val="2"/>
          <w:szCs w:val="24"/>
          <w:vertAlign w:val="subscript"/>
          <w:lang w:val="zh-CN" w:bidi="zh-CN"/>
        </w:rPr>
        <w:t>2</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NO</w:t>
      </w:r>
      <w:r>
        <w:rPr>
          <w:rFonts w:ascii="Times New Roman" w:hAnsi="Times New Roman" w:eastAsia="Times New Roman" w:cs="Times New Roman"/>
          <w:color w:val="auto"/>
          <w:position w:val="2"/>
          <w:szCs w:val="24"/>
          <w:vertAlign w:val="subscript"/>
          <w:lang w:val="zh-CN" w:bidi="zh-CN"/>
        </w:rPr>
        <w:t>2</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PM</w:t>
      </w:r>
      <w:r>
        <w:rPr>
          <w:rFonts w:ascii="Times New Roman" w:hAnsi="Times New Roman" w:eastAsia="Times New Roman" w:cs="Times New Roman"/>
          <w:color w:val="auto"/>
          <w:position w:val="2"/>
          <w:szCs w:val="24"/>
          <w:vertAlign w:val="subscript"/>
          <w:lang w:val="zh-CN" w:bidi="zh-CN"/>
        </w:rPr>
        <w:t>10</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P</w:t>
      </w:r>
      <w:r>
        <w:rPr>
          <w:rFonts w:ascii="Times New Roman" w:hAnsi="Times New Roman" w:cs="Times New Roman"/>
          <w:color w:val="auto"/>
          <w:position w:val="2"/>
          <w:szCs w:val="24"/>
          <w:lang w:val="zh-CN" w:bidi="zh-CN"/>
        </w:rPr>
        <w:t>M</w:t>
      </w:r>
      <w:r>
        <w:rPr>
          <w:rFonts w:ascii="Times New Roman" w:hAnsi="Times New Roman" w:cs="Times New Roman"/>
          <w:color w:val="auto"/>
          <w:position w:val="2"/>
          <w:szCs w:val="24"/>
          <w:vertAlign w:val="subscript"/>
          <w:lang w:val="zh-CN" w:bidi="zh-CN"/>
        </w:rPr>
        <w:t>2.5</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CO</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O</w:t>
      </w:r>
      <w:r>
        <w:rPr>
          <w:rFonts w:ascii="Times New Roman" w:hAnsi="Times New Roman" w:eastAsia="Times New Roman" w:cs="Times New Roman"/>
          <w:color w:val="auto"/>
          <w:position w:val="2"/>
          <w:szCs w:val="24"/>
          <w:vertAlign w:val="subscript"/>
          <w:lang w:val="zh-CN" w:bidi="zh-CN"/>
        </w:rPr>
        <w:t>3</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TSP</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NH</w:t>
      </w:r>
      <w:r>
        <w:rPr>
          <w:rFonts w:ascii="Times New Roman" w:hAnsi="Times New Roman" w:eastAsia="Times New Roman" w:cs="Times New Roman"/>
          <w:color w:val="auto"/>
          <w:position w:val="2"/>
          <w:szCs w:val="24"/>
          <w:vertAlign w:val="subscript"/>
          <w:lang w:val="zh-CN" w:bidi="zh-CN"/>
        </w:rPr>
        <w:t>3</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H</w:t>
      </w:r>
      <w:r>
        <w:rPr>
          <w:rFonts w:ascii="Times New Roman" w:hAnsi="Times New Roman" w:eastAsia="Times New Roman" w:cs="Times New Roman"/>
          <w:color w:val="auto"/>
          <w:position w:val="2"/>
          <w:szCs w:val="24"/>
          <w:vertAlign w:val="subscript"/>
          <w:lang w:val="zh-CN" w:bidi="zh-CN"/>
        </w:rPr>
        <w:t>2</w:t>
      </w:r>
      <w:r>
        <w:rPr>
          <w:rFonts w:ascii="Times New Roman" w:hAnsi="Times New Roman" w:eastAsia="Times New Roman" w:cs="Times New Roman"/>
          <w:color w:val="auto"/>
          <w:position w:val="2"/>
          <w:szCs w:val="24"/>
          <w:lang w:val="zh-CN" w:bidi="zh-CN"/>
        </w:rPr>
        <w:t>S</w:t>
      </w:r>
      <w:r>
        <w:rPr>
          <w:rFonts w:ascii="Times New Roman" w:hAnsi="Times New Roman" w:eastAsia="宋体" w:cs="Times New Roman"/>
          <w:color w:val="auto"/>
          <w:position w:val="2"/>
          <w:szCs w:val="24"/>
          <w:lang w:val="zh-CN" w:bidi="zh-CN"/>
        </w:rPr>
        <w:t>、</w:t>
      </w:r>
      <w:r>
        <w:rPr>
          <w:rFonts w:ascii="Times New Roman" w:hAnsi="Times New Roman" w:eastAsia="宋体" w:cs="Times New Roman"/>
          <w:color w:val="auto"/>
          <w:position w:val="2"/>
          <w:szCs w:val="24"/>
          <w:lang w:bidi="zh-CN"/>
        </w:rPr>
        <w:t>臭气浓度</w:t>
      </w:r>
      <w:r>
        <w:rPr>
          <w:rFonts w:ascii="Times New Roman" w:hAnsi="Times New Roman" w:eastAsia="宋体" w:cs="Times New Roman"/>
          <w:color w:val="auto"/>
          <w:position w:val="2"/>
          <w:szCs w:val="24"/>
          <w:lang w:val="zh-CN" w:bidi="zh-CN"/>
        </w:rPr>
        <w:t>。</w:t>
      </w:r>
    </w:p>
    <w:p w14:paraId="609CB23D">
      <w:pPr>
        <w:autoSpaceDE w:val="0"/>
        <w:autoSpaceDN w:val="0"/>
        <w:ind w:firstLine="456"/>
        <w:jc w:val="left"/>
        <w:rPr>
          <w:rFonts w:ascii="Times New Roman" w:hAnsi="Times New Roman" w:eastAsia="宋体" w:cs="Times New Roman"/>
          <w:color w:val="auto"/>
          <w:szCs w:val="24"/>
          <w:lang w:bidi="zh-CN"/>
        </w:rPr>
      </w:pPr>
      <w:r>
        <w:rPr>
          <w:rFonts w:ascii="Times New Roman" w:hAnsi="Times New Roman" w:eastAsia="宋体" w:cs="Times New Roman"/>
          <w:color w:val="auto"/>
          <w:spacing w:val="-6"/>
          <w:szCs w:val="24"/>
          <w:lang w:val="zh-CN" w:bidi="zh-CN"/>
        </w:rPr>
        <w:t>地表水：</w:t>
      </w:r>
      <w:r>
        <w:rPr>
          <w:rFonts w:hint="eastAsia" w:eastAsia="宋体" w:cs="Times New Roman"/>
          <w:color w:val="auto"/>
          <w:spacing w:val="-6"/>
          <w:szCs w:val="24"/>
          <w:lang w:val="en-US" w:bidi="zh-CN"/>
        </w:rPr>
        <w:t>主要为</w:t>
      </w:r>
      <w:r>
        <w:rPr>
          <w:rFonts w:ascii="Times New Roman" w:hAnsi="Times New Roman" w:cs="Times New Roman"/>
          <w:color w:val="auto"/>
        </w:rPr>
        <w:t>氨氮、化学需氧量</w:t>
      </w:r>
      <w:r>
        <w:rPr>
          <w:rFonts w:hint="eastAsia" w:cs="Times New Roman"/>
          <w:color w:val="auto"/>
          <w:lang w:eastAsia="zh-CN"/>
        </w:rPr>
        <w:t>，</w:t>
      </w:r>
      <w:r>
        <w:rPr>
          <w:rFonts w:hint="eastAsia" w:cs="Times New Roman"/>
          <w:color w:val="auto"/>
          <w:lang w:val="en-US" w:eastAsia="zh-CN"/>
        </w:rPr>
        <w:t>其次</w:t>
      </w:r>
      <w:r>
        <w:rPr>
          <w:rFonts w:ascii="Times New Roman" w:hAnsi="Times New Roman" w:cs="Times New Roman"/>
          <w:color w:val="auto"/>
        </w:rPr>
        <w:t>pH值、总氮、总磷、溶解氧、五日生化需氧量、高锰酸盐指数、</w:t>
      </w:r>
      <w:r>
        <w:rPr>
          <w:rFonts w:hint="eastAsia" w:ascii="Times New Roman" w:hAnsi="Times New Roman" w:cs="Times New Roman"/>
          <w:color w:val="auto"/>
          <w:lang w:val="en-US" w:eastAsia="zh-CN"/>
        </w:rPr>
        <w:t>氟化物</w:t>
      </w:r>
      <w:r>
        <w:rPr>
          <w:rFonts w:ascii="Times New Roman" w:hAnsi="Times New Roman" w:cs="Times New Roman"/>
          <w:color w:val="auto"/>
        </w:rPr>
        <w:t>、砷、硒、铜、锌、</w:t>
      </w:r>
      <w:r>
        <w:rPr>
          <w:rFonts w:hint="eastAsia" w:ascii="Times New Roman" w:hAnsi="Times New Roman" w:cs="Times New Roman"/>
          <w:color w:val="auto"/>
          <w:lang w:val="en-US" w:eastAsia="zh-CN"/>
        </w:rPr>
        <w:t>汞、</w:t>
      </w:r>
      <w:r>
        <w:rPr>
          <w:rFonts w:ascii="Times New Roman" w:hAnsi="Times New Roman" w:cs="Times New Roman"/>
          <w:color w:val="auto"/>
        </w:rPr>
        <w:t>铅、镉、</w:t>
      </w:r>
      <w:r>
        <w:rPr>
          <w:rFonts w:hint="eastAsia" w:ascii="Times New Roman" w:hAnsi="Times New Roman" w:cs="Times New Roman"/>
          <w:color w:val="auto"/>
          <w:lang w:val="en-US" w:eastAsia="zh-CN"/>
        </w:rPr>
        <w:t>铬（六价）、</w:t>
      </w:r>
      <w:r>
        <w:rPr>
          <w:rFonts w:ascii="Times New Roman" w:hAnsi="Times New Roman" w:cs="Times New Roman"/>
          <w:color w:val="auto"/>
        </w:rPr>
        <w:t>挥发酚、氰化物、六价铬、阴离子表面活性剂、硫化物、石油类、粪大肠菌群</w:t>
      </w:r>
      <w:r>
        <w:rPr>
          <w:rFonts w:hint="eastAsia" w:ascii="Times New Roman" w:hAnsi="Times New Roman" w:eastAsia="宋体" w:cs="Times New Roman"/>
          <w:color w:val="auto"/>
          <w:spacing w:val="-6"/>
          <w:szCs w:val="24"/>
          <w:lang w:val="en-US" w:bidi="zh-CN"/>
        </w:rPr>
        <w:t>等</w:t>
      </w:r>
      <w:r>
        <w:rPr>
          <w:rFonts w:ascii="Times New Roman" w:hAnsi="Times New Roman" w:eastAsia="宋体" w:cs="Times New Roman"/>
          <w:color w:val="auto"/>
          <w:spacing w:val="-6"/>
          <w:szCs w:val="24"/>
          <w:lang w:val="zh-CN" w:bidi="zh-CN"/>
        </w:rPr>
        <w:t>。</w:t>
      </w:r>
    </w:p>
    <w:p w14:paraId="2C9F43BF">
      <w:pPr>
        <w:autoSpaceDE w:val="0"/>
        <w:autoSpaceDN w:val="0"/>
        <w:ind w:firstLine="480"/>
        <w:jc w:val="left"/>
        <w:rPr>
          <w:rFonts w:ascii="Times New Roman" w:hAnsi="Times New Roman" w:eastAsia="宋体" w:cs="Times New Roman"/>
          <w:color w:val="auto"/>
          <w:szCs w:val="24"/>
          <w:lang w:bidi="zh-CN"/>
        </w:rPr>
      </w:pPr>
      <w:r>
        <w:rPr>
          <w:rFonts w:ascii="Times New Roman" w:hAnsi="Times New Roman" w:eastAsia="宋体" w:cs="Times New Roman"/>
          <w:color w:val="auto"/>
          <w:position w:val="2"/>
          <w:szCs w:val="24"/>
          <w:lang w:val="zh-CN" w:bidi="zh-CN"/>
        </w:rPr>
        <w:t>地下水：</w:t>
      </w:r>
      <w:r>
        <w:rPr>
          <w:rFonts w:hint="default" w:ascii="Times New Roman" w:hAnsi="Times New Roman" w:cs="Times New Roman"/>
          <w:color w:val="auto"/>
          <w:lang w:val="en-US" w:eastAsia="zh-CN"/>
        </w:rPr>
        <w:t>pH值、</w:t>
      </w:r>
      <w:r>
        <w:rPr>
          <w:rFonts w:hint="eastAsia" w:ascii="Times New Roman" w:hAnsi="Times New Roman" w:cs="Times New Roman"/>
          <w:color w:val="auto"/>
          <w:lang w:val="en-US" w:eastAsia="zh-CN"/>
        </w:rPr>
        <w:t>水温、</w:t>
      </w:r>
      <w:r>
        <w:rPr>
          <w:rFonts w:hint="default" w:ascii="Times New Roman" w:hAnsi="Times New Roman" w:cs="Times New Roman"/>
          <w:color w:val="auto"/>
          <w:lang w:val="en-US" w:eastAsia="zh-CN"/>
        </w:rPr>
        <w:t>氨氮、硝酸盐氮、亚硝酸盐氮、挥发酚、氰化物、砷、汞、六价铬、总硬度、铅、氟、镉、铁、锰、溶解性总固体、高锰酸盐指数、硫酸盐、氯化物、总大肠菌群、细菌总数、</w:t>
      </w:r>
      <w:r>
        <w:rPr>
          <w:rFonts w:hint="eastAsia" w:ascii="Times New Roman" w:hAnsi="Times New Roman" w:cs="Times New Roman"/>
          <w:color w:val="auto"/>
          <w:lang w:val="en-US" w:eastAsia="zh-CN"/>
        </w:rPr>
        <w:t>重碳酸根、碳酸根等</w:t>
      </w:r>
      <w:r>
        <w:rPr>
          <w:rFonts w:ascii="Times New Roman" w:hAnsi="Times New Roman" w:eastAsia="宋体" w:cs="Times New Roman"/>
          <w:color w:val="auto"/>
          <w:position w:val="2"/>
          <w:szCs w:val="24"/>
          <w:lang w:bidi="zh-CN"/>
        </w:rPr>
        <w:t>。</w:t>
      </w:r>
    </w:p>
    <w:p w14:paraId="21706CC8">
      <w:pPr>
        <w:autoSpaceDE w:val="0"/>
        <w:autoSpaceDN w:val="0"/>
        <w:ind w:firstLine="480"/>
        <w:jc w:val="left"/>
        <w:rPr>
          <w:rFonts w:ascii="Times New Roman" w:hAnsi="Times New Roman" w:eastAsia="宋体" w:cs="Times New Roman"/>
          <w:color w:val="auto"/>
          <w:sz w:val="20"/>
          <w:szCs w:val="24"/>
          <w:lang w:val="zh-CN" w:bidi="zh-CN"/>
        </w:rPr>
      </w:pPr>
      <w:r>
        <w:rPr>
          <w:rFonts w:ascii="Times New Roman" w:hAnsi="Times New Roman" w:eastAsia="宋体" w:cs="Times New Roman"/>
          <w:color w:val="auto"/>
          <w:szCs w:val="24"/>
          <w:lang w:val="zh-CN" w:bidi="zh-CN"/>
        </w:rPr>
        <w:t>声环境：等效连续</w:t>
      </w:r>
      <w:r>
        <w:rPr>
          <w:rFonts w:ascii="Times New Roman" w:hAnsi="Times New Roman" w:eastAsia="Times New Roman" w:cs="Times New Roman"/>
          <w:color w:val="auto"/>
          <w:szCs w:val="24"/>
          <w:lang w:val="zh-CN" w:bidi="zh-CN"/>
        </w:rPr>
        <w:t>A</w:t>
      </w:r>
      <w:r>
        <w:rPr>
          <w:rFonts w:ascii="Times New Roman" w:hAnsi="Times New Roman" w:eastAsia="宋体" w:cs="Times New Roman"/>
          <w:color w:val="auto"/>
          <w:szCs w:val="24"/>
          <w:lang w:val="zh-CN" w:bidi="zh-CN"/>
        </w:rPr>
        <w:t>声级。</w:t>
      </w:r>
    </w:p>
    <w:p w14:paraId="6D20F7EF">
      <w:pPr>
        <w:autoSpaceDE w:val="0"/>
        <w:autoSpaceDN w:val="0"/>
        <w:ind w:firstLine="480"/>
        <w:jc w:val="left"/>
        <w:rPr>
          <w:rFonts w:ascii="Times New Roman" w:hAnsi="Times New Roman" w:eastAsia="宋体" w:cs="Times New Roman"/>
          <w:color w:val="auto"/>
          <w:szCs w:val="24"/>
          <w:lang w:val="zh-CN" w:bidi="zh-CN"/>
        </w:rPr>
      </w:pPr>
      <w:r>
        <w:rPr>
          <w:rFonts w:ascii="Times New Roman" w:hAnsi="Times New Roman" w:eastAsia="宋体" w:cs="Times New Roman"/>
          <w:color w:val="auto"/>
          <w:szCs w:val="24"/>
          <w:lang w:val="zh-CN" w:bidi="zh-CN"/>
        </w:rPr>
        <w:t>土壤环境：</w:t>
      </w:r>
      <w:r>
        <w:rPr>
          <w:rFonts w:ascii="Times New Roman" w:hAnsi="Times New Roman" w:eastAsia="Times New Roman" w:cs="Times New Roman"/>
          <w:color w:val="auto"/>
          <w:szCs w:val="24"/>
          <w:lang w:val="zh-CN" w:bidi="zh-CN"/>
        </w:rPr>
        <w:t>pH</w:t>
      </w:r>
      <w:r>
        <w:rPr>
          <w:rFonts w:ascii="Times New Roman" w:hAnsi="Times New Roman" w:eastAsia="宋体" w:cs="Times New Roman"/>
          <w:color w:val="auto"/>
          <w:szCs w:val="24"/>
          <w:lang w:val="zh-CN" w:bidi="zh-CN"/>
        </w:rPr>
        <w:t>、镉、汞、砷、铜、铅、铬、锌、镍、六六六、滴滴涕</w:t>
      </w:r>
      <w:r>
        <w:rPr>
          <w:rFonts w:hint="eastAsia" w:ascii="Times New Roman" w:hAnsi="Times New Roman" w:eastAsia="宋体" w:cs="Times New Roman"/>
          <w:color w:val="auto"/>
          <w:szCs w:val="24"/>
          <w:lang w:val="zh-CN" w:bidi="zh-CN"/>
        </w:rPr>
        <w:t>。</w:t>
      </w:r>
    </w:p>
    <w:p w14:paraId="3A458F8C">
      <w:pPr>
        <w:ind w:firstLine="480"/>
        <w:rPr>
          <w:rFonts w:ascii="Times New Roman" w:hAnsi="Times New Roman" w:cs="Times New Roman"/>
          <w:color w:val="auto"/>
          <w:lang w:val="zh-CN"/>
        </w:rPr>
      </w:pPr>
      <w:r>
        <w:rPr>
          <w:rFonts w:ascii="Times New Roman" w:hAnsi="Times New Roman" w:cs="Times New Roman"/>
          <w:color w:val="auto"/>
          <w:lang w:val="zh-CN"/>
        </w:rPr>
        <w:t>（</w:t>
      </w:r>
      <w:r>
        <w:rPr>
          <w:rFonts w:ascii="Times New Roman" w:hAnsi="Times New Roman" w:cs="Times New Roman"/>
          <w:color w:val="auto"/>
        </w:rPr>
        <w:t>2</w:t>
      </w:r>
      <w:r>
        <w:rPr>
          <w:rFonts w:ascii="Times New Roman" w:hAnsi="Times New Roman" w:cs="Times New Roman"/>
          <w:color w:val="auto"/>
          <w:lang w:val="zh-CN"/>
        </w:rPr>
        <w:t>）环境影响预测因子</w:t>
      </w:r>
    </w:p>
    <w:p w14:paraId="585D97DC">
      <w:pPr>
        <w:autoSpaceDE w:val="0"/>
        <w:autoSpaceDN w:val="0"/>
        <w:ind w:firstLine="480"/>
        <w:jc w:val="left"/>
        <w:rPr>
          <w:rFonts w:ascii="Times New Roman" w:hAnsi="Times New Roman" w:eastAsia="宋体" w:cs="Times New Roman"/>
          <w:color w:val="auto"/>
          <w:position w:val="2"/>
          <w:szCs w:val="24"/>
          <w:lang w:val="zh-CN" w:bidi="zh-CN"/>
        </w:rPr>
      </w:pPr>
      <w:r>
        <w:rPr>
          <w:rFonts w:ascii="Times New Roman" w:hAnsi="Times New Roman" w:eastAsia="宋体" w:cs="Times New Roman"/>
          <w:color w:val="auto"/>
          <w:position w:val="2"/>
          <w:szCs w:val="24"/>
          <w:lang w:val="zh-CN" w:bidi="zh-CN"/>
        </w:rPr>
        <w:t>环境空气：</w:t>
      </w:r>
      <w:r>
        <w:rPr>
          <w:rFonts w:ascii="Times New Roman" w:hAnsi="Times New Roman" w:eastAsia="Times New Roman" w:cs="Times New Roman"/>
          <w:color w:val="auto"/>
          <w:position w:val="2"/>
          <w:szCs w:val="24"/>
          <w:lang w:val="zh-CN" w:bidi="zh-CN"/>
        </w:rPr>
        <w:t>NH</w:t>
      </w:r>
      <w:r>
        <w:rPr>
          <w:rFonts w:ascii="Times New Roman" w:hAnsi="Times New Roman" w:eastAsia="Times New Roman" w:cs="Times New Roman"/>
          <w:color w:val="auto"/>
          <w:position w:val="2"/>
          <w:szCs w:val="24"/>
          <w:vertAlign w:val="subscript"/>
          <w:lang w:val="zh-CN" w:bidi="zh-CN"/>
        </w:rPr>
        <w:t>3</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H</w:t>
      </w:r>
      <w:r>
        <w:rPr>
          <w:rFonts w:ascii="Times New Roman" w:hAnsi="Times New Roman" w:eastAsia="Times New Roman" w:cs="Times New Roman"/>
          <w:color w:val="auto"/>
          <w:position w:val="2"/>
          <w:szCs w:val="24"/>
          <w:vertAlign w:val="subscript"/>
          <w:lang w:val="zh-CN" w:bidi="zh-CN"/>
        </w:rPr>
        <w:t>2</w:t>
      </w:r>
      <w:r>
        <w:rPr>
          <w:rFonts w:ascii="Times New Roman" w:hAnsi="Times New Roman" w:eastAsia="Times New Roman" w:cs="Times New Roman"/>
          <w:color w:val="auto"/>
          <w:position w:val="2"/>
          <w:szCs w:val="24"/>
          <w:lang w:val="zh-CN" w:bidi="zh-CN"/>
        </w:rPr>
        <w:t>S</w:t>
      </w:r>
    </w:p>
    <w:p w14:paraId="66EBD43B">
      <w:pPr>
        <w:autoSpaceDE w:val="0"/>
        <w:autoSpaceDN w:val="0"/>
        <w:ind w:firstLine="480"/>
        <w:jc w:val="left"/>
        <w:rPr>
          <w:rFonts w:ascii="Times New Roman" w:hAnsi="Times New Roman" w:eastAsia="宋体" w:cs="Times New Roman"/>
          <w:color w:val="auto"/>
          <w:szCs w:val="24"/>
          <w:lang w:val="zh-CN" w:bidi="zh-CN"/>
        </w:rPr>
      </w:pPr>
      <w:r>
        <w:rPr>
          <w:rFonts w:ascii="Times New Roman" w:hAnsi="Times New Roman" w:eastAsia="宋体" w:cs="Times New Roman"/>
          <w:color w:val="auto"/>
          <w:position w:val="2"/>
          <w:szCs w:val="24"/>
          <w:lang w:val="zh-CN" w:bidi="zh-CN"/>
        </w:rPr>
        <w:t>水：</w:t>
      </w:r>
      <w:r>
        <w:rPr>
          <w:rFonts w:ascii="Times New Roman" w:hAnsi="Times New Roman" w:eastAsia="Times New Roman" w:cs="Times New Roman"/>
          <w:color w:val="auto"/>
          <w:position w:val="2"/>
          <w:szCs w:val="24"/>
          <w:lang w:val="zh-CN" w:bidi="zh-CN"/>
        </w:rPr>
        <w:t>CODcr</w:t>
      </w:r>
      <w:r>
        <w:rPr>
          <w:rFonts w:ascii="Times New Roman" w:hAnsi="Times New Roman" w:eastAsia="宋体" w:cs="Times New Roman"/>
          <w:color w:val="auto"/>
          <w:position w:val="2"/>
          <w:szCs w:val="24"/>
          <w:lang w:val="zh-CN" w:bidi="zh-CN"/>
        </w:rPr>
        <w:t>、</w:t>
      </w:r>
      <w:r>
        <w:rPr>
          <w:rFonts w:ascii="Times New Roman" w:hAnsi="Times New Roman" w:eastAsia="Times New Roman" w:cs="Times New Roman"/>
          <w:color w:val="auto"/>
          <w:position w:val="2"/>
          <w:szCs w:val="24"/>
          <w:lang w:val="zh-CN" w:bidi="zh-CN"/>
        </w:rPr>
        <w:t>NH</w:t>
      </w:r>
      <w:r>
        <w:rPr>
          <w:rFonts w:ascii="Times New Roman" w:hAnsi="Times New Roman" w:eastAsia="Times New Roman" w:cs="Times New Roman"/>
          <w:color w:val="auto"/>
          <w:position w:val="2"/>
          <w:szCs w:val="24"/>
          <w:vertAlign w:val="subscript"/>
          <w:lang w:val="zh-CN" w:bidi="zh-CN"/>
        </w:rPr>
        <w:t>3</w:t>
      </w:r>
      <w:r>
        <w:rPr>
          <w:rFonts w:ascii="Times New Roman" w:hAnsi="Times New Roman" w:eastAsia="Times New Roman" w:cs="Times New Roman"/>
          <w:color w:val="auto"/>
          <w:position w:val="2"/>
          <w:szCs w:val="24"/>
          <w:lang w:val="zh-CN" w:bidi="zh-CN"/>
        </w:rPr>
        <w:t>-N</w:t>
      </w:r>
      <w:r>
        <w:rPr>
          <w:rFonts w:ascii="Times New Roman" w:hAnsi="Times New Roman" w:eastAsia="宋体" w:cs="Times New Roman"/>
          <w:color w:val="auto"/>
          <w:position w:val="2"/>
          <w:szCs w:val="24"/>
          <w:lang w:val="zh-CN" w:bidi="zh-CN"/>
        </w:rPr>
        <w:t>。</w:t>
      </w:r>
    </w:p>
    <w:p w14:paraId="48FD8867">
      <w:pPr>
        <w:autoSpaceDE w:val="0"/>
        <w:autoSpaceDN w:val="0"/>
        <w:ind w:firstLine="480"/>
        <w:jc w:val="left"/>
        <w:rPr>
          <w:rFonts w:ascii="Times New Roman" w:hAnsi="Times New Roman" w:eastAsia="宋体" w:cs="Times New Roman"/>
          <w:color w:val="auto"/>
          <w:szCs w:val="24"/>
          <w:lang w:val="zh-CN" w:bidi="zh-CN"/>
        </w:rPr>
      </w:pPr>
      <w:r>
        <w:rPr>
          <w:rFonts w:ascii="Times New Roman" w:hAnsi="Times New Roman" w:eastAsia="宋体" w:cs="Times New Roman"/>
          <w:color w:val="auto"/>
          <w:szCs w:val="24"/>
          <w:lang w:val="zh-CN" w:bidi="zh-CN"/>
        </w:rPr>
        <w:t>声环境：等效连续</w:t>
      </w:r>
      <w:r>
        <w:rPr>
          <w:rFonts w:ascii="Times New Roman" w:hAnsi="Times New Roman" w:eastAsia="Times New Roman" w:cs="Times New Roman"/>
          <w:color w:val="auto"/>
          <w:szCs w:val="24"/>
          <w:lang w:val="zh-CN" w:bidi="zh-CN"/>
        </w:rPr>
        <w:t>A</w:t>
      </w:r>
      <w:r>
        <w:rPr>
          <w:rFonts w:ascii="Times New Roman" w:hAnsi="Times New Roman" w:eastAsia="宋体" w:cs="Times New Roman"/>
          <w:color w:val="auto"/>
          <w:szCs w:val="24"/>
          <w:lang w:val="zh-CN" w:bidi="zh-CN"/>
        </w:rPr>
        <w:t>声级。</w:t>
      </w:r>
    </w:p>
    <w:p w14:paraId="60C2002B">
      <w:pPr>
        <w:autoSpaceDE w:val="0"/>
        <w:autoSpaceDN w:val="0"/>
        <w:ind w:firstLine="480"/>
        <w:jc w:val="left"/>
        <w:rPr>
          <w:rFonts w:ascii="Times New Roman" w:hAnsi="Times New Roman" w:eastAsia="宋体" w:cs="Times New Roman"/>
          <w:color w:val="auto"/>
          <w:szCs w:val="24"/>
          <w:lang w:val="zh-CN" w:bidi="zh-CN"/>
        </w:rPr>
      </w:pPr>
      <w:r>
        <w:rPr>
          <w:rFonts w:ascii="Times New Roman" w:hAnsi="Times New Roman" w:eastAsia="宋体" w:cs="Times New Roman"/>
          <w:color w:val="auto"/>
          <w:szCs w:val="24"/>
          <w:lang w:val="zh-CN" w:bidi="zh-CN"/>
        </w:rPr>
        <w:t>固体废物：</w:t>
      </w:r>
      <w:r>
        <w:rPr>
          <w:rFonts w:hint="eastAsia" w:ascii="Times New Roman" w:hAnsi="Times New Roman" w:eastAsia="宋体" w:cs="Times New Roman"/>
          <w:color w:val="auto"/>
          <w:szCs w:val="24"/>
          <w:lang w:val="en-US" w:bidi="zh-CN"/>
        </w:rPr>
        <w:t>家禽</w:t>
      </w:r>
      <w:r>
        <w:rPr>
          <w:rFonts w:hint="eastAsia" w:ascii="Times New Roman" w:hAnsi="Times New Roman" w:eastAsia="宋体" w:cs="Times New Roman"/>
          <w:color w:val="auto"/>
          <w:szCs w:val="24"/>
          <w:lang w:val="zh-CN" w:bidi="zh-CN"/>
        </w:rPr>
        <w:t>粪</w:t>
      </w:r>
      <w:r>
        <w:rPr>
          <w:rFonts w:ascii="Times New Roman" w:hAnsi="Times New Roman" w:eastAsia="宋体" w:cs="Times New Roman"/>
          <w:color w:val="auto"/>
          <w:szCs w:val="24"/>
          <w:lang w:val="zh-CN" w:bidi="zh-CN"/>
        </w:rPr>
        <w:t>及垫</w:t>
      </w:r>
      <w:r>
        <w:rPr>
          <w:rFonts w:ascii="Times New Roman" w:hAnsi="Times New Roman" w:eastAsia="宋体" w:cs="Times New Roman"/>
          <w:color w:val="auto"/>
          <w:szCs w:val="24"/>
          <w:lang w:bidi="zh-CN"/>
        </w:rPr>
        <w:t>草</w:t>
      </w:r>
      <w:r>
        <w:rPr>
          <w:rFonts w:ascii="Times New Roman" w:hAnsi="Times New Roman" w:eastAsia="宋体" w:cs="Times New Roman"/>
          <w:color w:val="auto"/>
          <w:szCs w:val="24"/>
          <w:lang w:val="zh-CN" w:bidi="zh-CN"/>
        </w:rPr>
        <w:t>料、病死</w:t>
      </w:r>
      <w:r>
        <w:rPr>
          <w:rFonts w:hint="eastAsia" w:ascii="Times New Roman" w:hAnsi="Times New Roman" w:eastAsia="宋体" w:cs="Times New Roman"/>
          <w:color w:val="auto"/>
          <w:szCs w:val="24"/>
          <w:lang w:val="en-US" w:bidi="zh-CN"/>
        </w:rPr>
        <w:t>家禽</w:t>
      </w:r>
      <w:r>
        <w:rPr>
          <w:rFonts w:ascii="Times New Roman" w:hAnsi="Times New Roman" w:eastAsia="宋体" w:cs="Times New Roman"/>
          <w:color w:val="auto"/>
          <w:szCs w:val="24"/>
          <w:lang w:val="zh-CN" w:bidi="zh-CN"/>
        </w:rPr>
        <w:t>尸体、生活垃圾、</w:t>
      </w:r>
      <w:r>
        <w:rPr>
          <w:rFonts w:ascii="Times New Roman" w:hAnsi="Times New Roman" w:eastAsia="宋体" w:cs="Times New Roman"/>
          <w:color w:val="auto"/>
          <w:szCs w:val="24"/>
          <w:lang w:bidi="zh-CN"/>
        </w:rPr>
        <w:t>兽用医疗废物</w:t>
      </w:r>
      <w:r>
        <w:rPr>
          <w:rFonts w:ascii="Times New Roman" w:hAnsi="Times New Roman" w:eastAsia="宋体" w:cs="Times New Roman"/>
          <w:color w:val="auto"/>
          <w:szCs w:val="24"/>
          <w:lang w:val="zh-CN" w:bidi="zh-CN"/>
        </w:rPr>
        <w:t>等。</w:t>
      </w:r>
    </w:p>
    <w:p w14:paraId="7A121E7C">
      <w:pPr>
        <w:pStyle w:val="11"/>
        <w:rPr>
          <w:rFonts w:ascii="Times New Roman" w:hAnsi="Times New Roman" w:cs="Times New Roman"/>
          <w:color w:val="auto"/>
          <w:szCs w:val="24"/>
          <w:lang w:val="zh-CN" w:bidi="zh-CN"/>
        </w:rPr>
      </w:pPr>
      <w:r>
        <w:rPr>
          <w:rFonts w:ascii="Times New Roman" w:hAnsi="Times New Roman" w:cs="Times New Roman"/>
          <w:color w:val="auto"/>
          <w:szCs w:val="24"/>
          <w:lang w:val="zh-CN" w:bidi="zh-CN"/>
        </w:rPr>
        <w:t>生态环境：土地利用、水土流失、土壤景观生态。</w:t>
      </w:r>
    </w:p>
    <w:p w14:paraId="38DD9A57">
      <w:pPr>
        <w:pStyle w:val="11"/>
        <w:rPr>
          <w:rFonts w:hint="default" w:ascii="Times New Roman" w:hAnsi="Times New Roman" w:cs="Times New Roman"/>
          <w:color w:val="auto"/>
          <w:szCs w:val="24"/>
          <w:lang w:val="en-US" w:bidi="zh-CN"/>
        </w:rPr>
      </w:pPr>
      <w:r>
        <w:rPr>
          <w:rFonts w:hint="eastAsia" w:ascii="Times New Roman" w:hAnsi="Times New Roman" w:cs="Times New Roman"/>
          <w:color w:val="auto"/>
          <w:szCs w:val="24"/>
          <w:lang w:val="en-US" w:bidi="zh-CN"/>
        </w:rPr>
        <w:t>环境风险：</w:t>
      </w:r>
      <w:r>
        <w:rPr>
          <w:rFonts w:hint="default" w:ascii="Times New Roman" w:hAnsi="Times New Roman" w:eastAsia="宋体" w:cs="Times New Roman"/>
          <w:color w:val="000000"/>
          <w:kern w:val="0"/>
          <w:highlight w:val="none"/>
          <w:lang w:val="en-US" w:eastAsia="zh-CN"/>
        </w:rPr>
        <w:t>医疗废物风险，畜禽疫情风险</w:t>
      </w:r>
      <w:r>
        <w:rPr>
          <w:rFonts w:hint="eastAsia" w:ascii="Times New Roman" w:hAnsi="Times New Roman" w:eastAsia="宋体" w:cs="Times New Roman"/>
          <w:color w:val="000000"/>
          <w:kern w:val="0"/>
          <w:highlight w:val="none"/>
          <w:lang w:val="en-US" w:eastAsia="zh-CN"/>
        </w:rPr>
        <w:t>。</w:t>
      </w:r>
    </w:p>
    <w:p w14:paraId="1F3247D7">
      <w:pPr>
        <w:pStyle w:val="11"/>
        <w:rPr>
          <w:rFonts w:ascii="Times New Roman" w:hAnsi="Times New Roman" w:cs="Times New Roman"/>
          <w:color w:val="auto"/>
          <w:szCs w:val="24"/>
        </w:rPr>
      </w:pPr>
      <w:r>
        <w:rPr>
          <w:rFonts w:ascii="Times New Roman" w:hAnsi="Times New Roman" w:cs="Times New Roman"/>
          <w:color w:val="auto"/>
          <w:szCs w:val="24"/>
        </w:rPr>
        <w:t>通过对选址区域环境现状调查和建设项目的工程特征分析，筛选并确定如下主要评价因子见表2.2-2。</w:t>
      </w:r>
    </w:p>
    <w:p w14:paraId="475E4C78">
      <w:pPr>
        <w:pStyle w:val="61"/>
        <w:spacing w:before="32" w:after="32"/>
        <w:ind w:firstLine="480"/>
        <w:rPr>
          <w:rFonts w:ascii="Times New Roman" w:hAnsi="Times New Roman" w:cs="Times New Roman"/>
          <w:color w:val="auto"/>
        </w:rPr>
      </w:pPr>
      <w:r>
        <w:rPr>
          <w:rFonts w:ascii="Times New Roman" w:hAnsi="Times New Roman" w:eastAsia="宋体" w:cs="Times New Roman"/>
          <w:b/>
          <w:bCs/>
          <w:color w:val="auto"/>
        </w:rPr>
        <w:t xml:space="preserve">表2.2-2  </w:t>
      </w:r>
      <w:r>
        <w:rPr>
          <w:rFonts w:hint="eastAsia" w:ascii="Times New Roman" w:hAnsi="Times New Roman" w:eastAsia="宋体" w:cs="Times New Roman"/>
          <w:b/>
          <w:bCs/>
          <w:color w:val="auto"/>
          <w:lang w:val="en-US" w:eastAsia="zh-CN"/>
        </w:rPr>
        <w:t xml:space="preserve">    </w:t>
      </w:r>
      <w:r>
        <w:rPr>
          <w:rFonts w:ascii="Times New Roman" w:hAnsi="Times New Roman" w:eastAsia="宋体" w:cs="Times New Roman"/>
          <w:b/>
          <w:bCs/>
          <w:color w:val="auto"/>
        </w:rPr>
        <w:t>环境影响评价因子筛选结果表</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4593"/>
        <w:gridCol w:w="3066"/>
      </w:tblGrid>
      <w:tr w14:paraId="04FFD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346DE89F">
            <w:pPr>
              <w:pStyle w:val="56"/>
              <w:rPr>
                <w:rFonts w:ascii="Times New Roman" w:hAnsi="Times New Roman"/>
                <w:color w:val="auto"/>
                <w:szCs w:val="21"/>
              </w:rPr>
            </w:pPr>
            <w:r>
              <w:rPr>
                <w:rFonts w:ascii="Times New Roman" w:hAnsi="Times New Roman"/>
                <w:color w:val="auto"/>
                <w:szCs w:val="21"/>
              </w:rPr>
              <w:t>类别</w:t>
            </w:r>
          </w:p>
        </w:tc>
        <w:tc>
          <w:tcPr>
            <w:tcW w:w="4593" w:type="dxa"/>
            <w:tcBorders>
              <w:tl2br w:val="nil"/>
              <w:tr2bl w:val="nil"/>
            </w:tcBorders>
            <w:vAlign w:val="center"/>
          </w:tcPr>
          <w:p w14:paraId="42CCD5D2">
            <w:pPr>
              <w:pStyle w:val="56"/>
              <w:rPr>
                <w:rFonts w:ascii="Times New Roman" w:hAnsi="Times New Roman"/>
                <w:color w:val="auto"/>
                <w:szCs w:val="21"/>
              </w:rPr>
            </w:pPr>
            <w:r>
              <w:rPr>
                <w:rFonts w:ascii="Times New Roman" w:hAnsi="Times New Roman"/>
                <w:color w:val="auto"/>
                <w:szCs w:val="21"/>
              </w:rPr>
              <w:t>现状监测因子</w:t>
            </w:r>
          </w:p>
        </w:tc>
        <w:tc>
          <w:tcPr>
            <w:tcW w:w="3066" w:type="dxa"/>
            <w:tcBorders>
              <w:tl2br w:val="nil"/>
              <w:tr2bl w:val="nil"/>
            </w:tcBorders>
            <w:vAlign w:val="center"/>
          </w:tcPr>
          <w:p w14:paraId="535D969C">
            <w:pPr>
              <w:pStyle w:val="56"/>
              <w:rPr>
                <w:rFonts w:ascii="Times New Roman" w:hAnsi="Times New Roman"/>
                <w:color w:val="auto"/>
                <w:szCs w:val="21"/>
              </w:rPr>
            </w:pPr>
            <w:r>
              <w:rPr>
                <w:rFonts w:ascii="Times New Roman" w:hAnsi="Times New Roman"/>
                <w:color w:val="auto"/>
                <w:szCs w:val="21"/>
              </w:rPr>
              <w:t>预测评价因子</w:t>
            </w:r>
          </w:p>
        </w:tc>
      </w:tr>
      <w:tr w14:paraId="58EEF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3B38EC3A">
            <w:pPr>
              <w:pStyle w:val="56"/>
              <w:rPr>
                <w:rFonts w:ascii="Times New Roman" w:hAnsi="Times New Roman"/>
                <w:color w:val="auto"/>
                <w:szCs w:val="21"/>
              </w:rPr>
            </w:pPr>
            <w:r>
              <w:rPr>
                <w:rFonts w:ascii="Times New Roman" w:hAnsi="Times New Roman"/>
                <w:color w:val="auto"/>
                <w:szCs w:val="21"/>
              </w:rPr>
              <w:t>环境空气</w:t>
            </w:r>
          </w:p>
        </w:tc>
        <w:tc>
          <w:tcPr>
            <w:tcW w:w="4593" w:type="dxa"/>
            <w:tcBorders>
              <w:tl2br w:val="nil"/>
              <w:tr2bl w:val="nil"/>
            </w:tcBorders>
            <w:vAlign w:val="center"/>
          </w:tcPr>
          <w:p w14:paraId="52691143">
            <w:pPr>
              <w:pStyle w:val="56"/>
              <w:rPr>
                <w:rFonts w:ascii="Times New Roman" w:hAnsi="Times New Roman"/>
                <w:color w:val="auto"/>
                <w:szCs w:val="21"/>
              </w:rPr>
            </w:pPr>
            <w:r>
              <w:rPr>
                <w:rFonts w:ascii="Times New Roman" w:hAnsi="Times New Roman"/>
                <w:color w:val="auto"/>
                <w:szCs w:val="21"/>
              </w:rPr>
              <w:t>CO、O</w:t>
            </w:r>
            <w:r>
              <w:rPr>
                <w:rFonts w:ascii="Times New Roman" w:hAnsi="Times New Roman"/>
                <w:color w:val="auto"/>
                <w:szCs w:val="21"/>
                <w:vertAlign w:val="subscript"/>
              </w:rPr>
              <w:t>3</w:t>
            </w:r>
            <w:r>
              <w:rPr>
                <w:rFonts w:ascii="Times New Roman" w:hAnsi="Times New Roman"/>
                <w:color w:val="auto"/>
                <w:szCs w:val="21"/>
              </w:rPr>
              <w:t>、SO</w:t>
            </w:r>
            <w:r>
              <w:rPr>
                <w:rFonts w:ascii="Times New Roman" w:hAnsi="Times New Roman"/>
                <w:color w:val="auto"/>
                <w:szCs w:val="21"/>
                <w:vertAlign w:val="subscript"/>
              </w:rPr>
              <w:t>2</w:t>
            </w:r>
            <w:r>
              <w:rPr>
                <w:rFonts w:ascii="Times New Roman" w:hAnsi="Times New Roman"/>
                <w:color w:val="auto"/>
                <w:szCs w:val="21"/>
              </w:rPr>
              <w:t>、NO</w:t>
            </w:r>
            <w:r>
              <w:rPr>
                <w:rFonts w:ascii="Times New Roman" w:hAnsi="Times New Roman"/>
                <w:color w:val="auto"/>
                <w:szCs w:val="21"/>
                <w:vertAlign w:val="subscript"/>
              </w:rPr>
              <w:t>2</w:t>
            </w:r>
            <w:r>
              <w:rPr>
                <w:rFonts w:ascii="Times New Roman" w:hAnsi="Times New Roman"/>
                <w:color w:val="auto"/>
                <w:szCs w:val="21"/>
              </w:rPr>
              <w:t>、PM</w:t>
            </w:r>
            <w:r>
              <w:rPr>
                <w:rFonts w:ascii="Times New Roman" w:hAnsi="Times New Roman"/>
                <w:color w:val="auto"/>
                <w:szCs w:val="21"/>
                <w:vertAlign w:val="subscript"/>
              </w:rPr>
              <w:t>10</w:t>
            </w:r>
            <w:r>
              <w:rPr>
                <w:rFonts w:ascii="Times New Roman" w:hAnsi="Times New Roman"/>
                <w:color w:val="auto"/>
                <w:szCs w:val="21"/>
              </w:rPr>
              <w:t>、PM</w:t>
            </w:r>
            <w:r>
              <w:rPr>
                <w:rFonts w:ascii="Times New Roman" w:hAnsi="Times New Roman"/>
                <w:color w:val="auto"/>
                <w:szCs w:val="21"/>
                <w:vertAlign w:val="subscript"/>
              </w:rPr>
              <w:t>2.5</w:t>
            </w: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S、TSP、臭气浓度</w:t>
            </w:r>
          </w:p>
        </w:tc>
        <w:tc>
          <w:tcPr>
            <w:tcW w:w="3066" w:type="dxa"/>
            <w:tcBorders>
              <w:tl2br w:val="nil"/>
              <w:tr2bl w:val="nil"/>
            </w:tcBorders>
            <w:vAlign w:val="center"/>
          </w:tcPr>
          <w:p w14:paraId="112AB714">
            <w:pPr>
              <w:pStyle w:val="56"/>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r>
      <w:tr w14:paraId="5644E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6D18E9F3">
            <w:pPr>
              <w:pStyle w:val="56"/>
              <w:rPr>
                <w:rFonts w:ascii="Times New Roman" w:hAnsi="Times New Roman"/>
                <w:color w:val="auto"/>
                <w:szCs w:val="21"/>
              </w:rPr>
            </w:pPr>
            <w:r>
              <w:rPr>
                <w:rFonts w:ascii="Times New Roman" w:hAnsi="Times New Roman"/>
                <w:color w:val="auto"/>
                <w:szCs w:val="21"/>
              </w:rPr>
              <w:t>地表水</w:t>
            </w:r>
          </w:p>
        </w:tc>
        <w:tc>
          <w:tcPr>
            <w:tcW w:w="4593" w:type="dxa"/>
            <w:tcBorders>
              <w:tl2br w:val="nil"/>
              <w:tr2bl w:val="nil"/>
            </w:tcBorders>
            <w:vAlign w:val="center"/>
          </w:tcPr>
          <w:p w14:paraId="1BC12E1C">
            <w:pPr>
              <w:pStyle w:val="56"/>
              <w:rPr>
                <w:rFonts w:ascii="Times New Roman" w:hAnsi="Times New Roman"/>
                <w:color w:val="auto"/>
                <w:szCs w:val="21"/>
              </w:rPr>
            </w:pPr>
            <w:r>
              <w:rPr>
                <w:rFonts w:ascii="Times New Roman" w:hAnsi="Times New Roman" w:cs="Times New Roman"/>
                <w:color w:val="000000" w:themeColor="text1"/>
                <w14:textFill>
                  <w14:solidFill>
                    <w14:schemeClr w14:val="tx1"/>
                  </w14:solidFill>
                </w14:textFill>
              </w:rPr>
              <w:t>pH值、氨氮、总氮、总磷、溶解氧、化学需氧量、五日生化需氧量、高锰酸盐指数、</w:t>
            </w:r>
            <w:r>
              <w:rPr>
                <w:rFonts w:hint="eastAsia" w:ascii="Times New Roman" w:hAnsi="Times New Roman" w:cs="Times New Roman"/>
                <w:color w:val="000000" w:themeColor="text1"/>
                <w:lang w:val="en-US" w:eastAsia="zh-CN"/>
                <w14:textFill>
                  <w14:solidFill>
                    <w14:schemeClr w14:val="tx1"/>
                  </w14:solidFill>
                </w14:textFill>
              </w:rPr>
              <w:t>氟化物</w:t>
            </w:r>
            <w:r>
              <w:rPr>
                <w:rFonts w:ascii="Times New Roman" w:hAnsi="Times New Roman" w:cs="Times New Roman"/>
                <w:color w:val="000000" w:themeColor="text1"/>
                <w14:textFill>
                  <w14:solidFill>
                    <w14:schemeClr w14:val="tx1"/>
                  </w14:solidFill>
                </w14:textFill>
              </w:rPr>
              <w:t>、砷、硒、铜、锌、</w:t>
            </w:r>
            <w:r>
              <w:rPr>
                <w:rFonts w:hint="eastAsia" w:ascii="Times New Roman" w:hAnsi="Times New Roman" w:cs="Times New Roman"/>
                <w:color w:val="000000" w:themeColor="text1"/>
                <w:lang w:val="en-US" w:eastAsia="zh-CN"/>
                <w14:textFill>
                  <w14:solidFill>
                    <w14:schemeClr w14:val="tx1"/>
                  </w14:solidFill>
                </w14:textFill>
              </w:rPr>
              <w:t>汞、</w:t>
            </w:r>
            <w:r>
              <w:rPr>
                <w:rFonts w:ascii="Times New Roman" w:hAnsi="Times New Roman" w:cs="Times New Roman"/>
                <w:color w:val="000000" w:themeColor="text1"/>
                <w14:textFill>
                  <w14:solidFill>
                    <w14:schemeClr w14:val="tx1"/>
                  </w14:solidFill>
                </w14:textFill>
              </w:rPr>
              <w:t>铅、镉、</w:t>
            </w:r>
            <w:r>
              <w:rPr>
                <w:rFonts w:hint="eastAsia" w:ascii="Times New Roman" w:hAnsi="Times New Roman" w:cs="Times New Roman"/>
                <w:color w:val="000000" w:themeColor="text1"/>
                <w:lang w:val="en-US" w:eastAsia="zh-CN"/>
                <w14:textFill>
                  <w14:solidFill>
                    <w14:schemeClr w14:val="tx1"/>
                  </w14:solidFill>
                </w14:textFill>
              </w:rPr>
              <w:t>铬（六价）、</w:t>
            </w:r>
            <w:r>
              <w:rPr>
                <w:rFonts w:ascii="Times New Roman" w:hAnsi="Times New Roman" w:cs="Times New Roman"/>
                <w:color w:val="000000" w:themeColor="text1"/>
                <w14:textFill>
                  <w14:solidFill>
                    <w14:schemeClr w14:val="tx1"/>
                  </w14:solidFill>
                </w14:textFill>
              </w:rPr>
              <w:t>挥发酚、氰化物、六价铬、阴离子表面活性剂、硫化物、石油类、粪大肠菌群</w:t>
            </w:r>
            <w:r>
              <w:rPr>
                <w:rFonts w:hint="eastAsia" w:ascii="Times New Roman" w:hAnsi="Times New Roman" w:eastAsia="宋体" w:cs="Times New Roman"/>
                <w:color w:val="auto"/>
                <w:spacing w:val="-6"/>
                <w:szCs w:val="24"/>
                <w:lang w:val="en-US" w:bidi="zh-CN"/>
              </w:rPr>
              <w:t>等</w:t>
            </w:r>
          </w:p>
        </w:tc>
        <w:tc>
          <w:tcPr>
            <w:tcW w:w="3066" w:type="dxa"/>
            <w:tcBorders>
              <w:tl2br w:val="nil"/>
              <w:tr2bl w:val="nil"/>
            </w:tcBorders>
            <w:vAlign w:val="center"/>
          </w:tcPr>
          <w:p w14:paraId="1DBC9575">
            <w:pPr>
              <w:pStyle w:val="56"/>
              <w:rPr>
                <w:rFonts w:ascii="Times New Roman" w:hAnsi="Times New Roman"/>
                <w:color w:val="auto"/>
                <w:szCs w:val="21"/>
              </w:rPr>
            </w:pPr>
            <w:r>
              <w:rPr>
                <w:rFonts w:ascii="Times New Roman" w:hAnsi="Times New Roman"/>
                <w:color w:val="auto"/>
                <w:szCs w:val="21"/>
              </w:rPr>
              <w:t>/</w:t>
            </w:r>
          </w:p>
        </w:tc>
      </w:tr>
      <w:tr w14:paraId="5B1F2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6BDE037A">
            <w:pPr>
              <w:pStyle w:val="56"/>
              <w:rPr>
                <w:rFonts w:ascii="Times New Roman" w:hAnsi="Times New Roman"/>
                <w:color w:val="auto"/>
                <w:szCs w:val="21"/>
              </w:rPr>
            </w:pPr>
            <w:r>
              <w:rPr>
                <w:rFonts w:ascii="Times New Roman" w:hAnsi="Times New Roman"/>
                <w:color w:val="auto"/>
                <w:szCs w:val="21"/>
              </w:rPr>
              <w:t>地下水</w:t>
            </w:r>
          </w:p>
        </w:tc>
        <w:tc>
          <w:tcPr>
            <w:tcW w:w="4593" w:type="dxa"/>
            <w:tcBorders>
              <w:tl2br w:val="nil"/>
              <w:tr2bl w:val="nil"/>
            </w:tcBorders>
            <w:vAlign w:val="center"/>
          </w:tcPr>
          <w:p w14:paraId="6BF632C6">
            <w:pPr>
              <w:pStyle w:val="56"/>
              <w:rPr>
                <w:rFonts w:ascii="Times New Roman" w:hAnsi="Times New Roman"/>
                <w:color w:val="auto"/>
                <w:szCs w:val="21"/>
              </w:rPr>
            </w:pPr>
            <w:r>
              <w:rPr>
                <w:rFonts w:hint="default" w:ascii="Times New Roman" w:hAnsi="Times New Roman" w:cs="Times New Roman"/>
                <w:color w:val="auto"/>
                <w:lang w:val="en-US" w:eastAsia="zh-CN"/>
              </w:rPr>
              <w:t>pH值、</w:t>
            </w:r>
            <w:r>
              <w:rPr>
                <w:rFonts w:hint="eastAsia" w:ascii="Times New Roman" w:hAnsi="Times New Roman" w:cs="Times New Roman"/>
                <w:color w:val="auto"/>
                <w:lang w:val="en-US" w:eastAsia="zh-CN"/>
              </w:rPr>
              <w:t>水温、</w:t>
            </w:r>
            <w:r>
              <w:rPr>
                <w:rFonts w:hint="default" w:ascii="Times New Roman" w:hAnsi="Times New Roman" w:cs="Times New Roman"/>
                <w:color w:val="auto"/>
                <w:lang w:val="en-US" w:eastAsia="zh-CN"/>
              </w:rPr>
              <w:t>氨氮、硝酸盐氮、亚硝酸盐氮、挥发酚、氰化物、砷、汞、六价铬、总硬度、铅、氟、镉、铁、锰、溶解性总固体、高锰酸盐指数、硫酸盐、氯化物、总大肠菌群、细菌总数、</w:t>
            </w:r>
            <w:r>
              <w:rPr>
                <w:rFonts w:hint="eastAsia" w:ascii="Times New Roman" w:hAnsi="Times New Roman" w:cs="Times New Roman"/>
                <w:color w:val="auto"/>
                <w:lang w:val="en-US" w:eastAsia="zh-CN"/>
              </w:rPr>
              <w:t>重碳酸根、碳酸根等</w:t>
            </w:r>
          </w:p>
        </w:tc>
        <w:tc>
          <w:tcPr>
            <w:tcW w:w="3066" w:type="dxa"/>
            <w:tcBorders>
              <w:tl2br w:val="nil"/>
              <w:tr2bl w:val="nil"/>
            </w:tcBorders>
            <w:vAlign w:val="center"/>
          </w:tcPr>
          <w:p w14:paraId="33E94459">
            <w:pPr>
              <w:pStyle w:val="56"/>
              <w:rPr>
                <w:rFonts w:ascii="Times New Roman" w:hAnsi="Times New Roman"/>
                <w:color w:val="auto"/>
                <w:szCs w:val="21"/>
              </w:rPr>
            </w:pPr>
            <w:r>
              <w:rPr>
                <w:rFonts w:ascii="Times New Roman" w:hAnsi="Times New Roman"/>
                <w:color w:val="auto"/>
                <w:szCs w:val="21"/>
              </w:rPr>
              <w:t>CODcr、</w:t>
            </w:r>
            <w:r>
              <w:rPr>
                <w:rFonts w:ascii="Times New Roman" w:hAnsi="Times New Roman" w:eastAsia="Times New Roman"/>
                <w:color w:val="auto"/>
                <w:position w:val="2"/>
                <w:szCs w:val="24"/>
              </w:rPr>
              <w:t>NH</w:t>
            </w:r>
            <w:r>
              <w:rPr>
                <w:rFonts w:ascii="Times New Roman" w:hAnsi="Times New Roman" w:eastAsia="Times New Roman"/>
                <w:color w:val="auto"/>
                <w:position w:val="2"/>
                <w:szCs w:val="24"/>
                <w:vertAlign w:val="subscript"/>
              </w:rPr>
              <w:t>3</w:t>
            </w:r>
            <w:r>
              <w:rPr>
                <w:rFonts w:ascii="Times New Roman" w:hAnsi="Times New Roman" w:eastAsia="Times New Roman"/>
                <w:color w:val="auto"/>
                <w:position w:val="2"/>
                <w:szCs w:val="24"/>
              </w:rPr>
              <w:t>-N</w:t>
            </w:r>
          </w:p>
        </w:tc>
      </w:tr>
      <w:tr w14:paraId="5457C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39409D1F">
            <w:pPr>
              <w:pStyle w:val="56"/>
              <w:rPr>
                <w:rFonts w:ascii="Times New Roman" w:hAnsi="Times New Roman"/>
                <w:color w:val="auto"/>
                <w:szCs w:val="21"/>
              </w:rPr>
            </w:pPr>
            <w:r>
              <w:rPr>
                <w:rFonts w:ascii="Times New Roman" w:hAnsi="Times New Roman"/>
                <w:color w:val="auto"/>
                <w:szCs w:val="21"/>
              </w:rPr>
              <w:t>声环境</w:t>
            </w:r>
          </w:p>
        </w:tc>
        <w:tc>
          <w:tcPr>
            <w:tcW w:w="7659" w:type="dxa"/>
            <w:gridSpan w:val="2"/>
            <w:tcBorders>
              <w:tl2br w:val="nil"/>
              <w:tr2bl w:val="nil"/>
            </w:tcBorders>
            <w:vAlign w:val="center"/>
          </w:tcPr>
          <w:p w14:paraId="17C17712">
            <w:pPr>
              <w:pStyle w:val="56"/>
              <w:rPr>
                <w:rFonts w:ascii="Times New Roman" w:hAnsi="Times New Roman"/>
                <w:color w:val="auto"/>
                <w:szCs w:val="21"/>
              </w:rPr>
            </w:pPr>
            <w:r>
              <w:rPr>
                <w:rFonts w:ascii="Times New Roman" w:hAnsi="Times New Roman"/>
                <w:color w:val="auto"/>
                <w:szCs w:val="21"/>
              </w:rPr>
              <w:t>等效A声级</w:t>
            </w:r>
          </w:p>
        </w:tc>
      </w:tr>
      <w:tr w14:paraId="6A445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3F5CA1BE">
            <w:pPr>
              <w:pStyle w:val="56"/>
              <w:rPr>
                <w:rFonts w:ascii="Times New Roman" w:hAnsi="Times New Roman"/>
                <w:color w:val="auto"/>
                <w:szCs w:val="21"/>
              </w:rPr>
            </w:pPr>
            <w:r>
              <w:rPr>
                <w:rFonts w:ascii="Times New Roman" w:hAnsi="Times New Roman"/>
                <w:color w:val="auto"/>
                <w:szCs w:val="21"/>
              </w:rPr>
              <w:t>生态</w:t>
            </w:r>
          </w:p>
        </w:tc>
        <w:tc>
          <w:tcPr>
            <w:tcW w:w="4593" w:type="dxa"/>
            <w:tcBorders>
              <w:tl2br w:val="nil"/>
              <w:tr2bl w:val="nil"/>
            </w:tcBorders>
            <w:vAlign w:val="center"/>
          </w:tcPr>
          <w:p w14:paraId="1F097D27">
            <w:pPr>
              <w:pStyle w:val="56"/>
              <w:rPr>
                <w:rFonts w:ascii="Times New Roman" w:hAnsi="Times New Roman"/>
                <w:color w:val="auto"/>
                <w:szCs w:val="21"/>
              </w:rPr>
            </w:pPr>
            <w:r>
              <w:rPr>
                <w:rFonts w:ascii="Times New Roman" w:hAnsi="Times New Roman"/>
                <w:color w:val="auto"/>
                <w:szCs w:val="21"/>
              </w:rPr>
              <w:t>土地利用、植被、土壤、野生动物</w:t>
            </w:r>
          </w:p>
        </w:tc>
        <w:tc>
          <w:tcPr>
            <w:tcW w:w="3066" w:type="dxa"/>
            <w:tcBorders>
              <w:tl2br w:val="nil"/>
              <w:tr2bl w:val="nil"/>
            </w:tcBorders>
            <w:vAlign w:val="center"/>
          </w:tcPr>
          <w:p w14:paraId="1390AB6B">
            <w:pPr>
              <w:pStyle w:val="56"/>
              <w:rPr>
                <w:rFonts w:ascii="Times New Roman" w:hAnsi="Times New Roman"/>
                <w:color w:val="auto"/>
                <w:szCs w:val="21"/>
              </w:rPr>
            </w:pPr>
            <w:r>
              <w:rPr>
                <w:rFonts w:ascii="Times New Roman" w:hAnsi="Times New Roman"/>
                <w:color w:val="auto"/>
                <w:szCs w:val="21"/>
              </w:rPr>
              <w:t>动植物、土壤</w:t>
            </w:r>
          </w:p>
        </w:tc>
      </w:tr>
      <w:tr w14:paraId="3F06C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7862068F">
            <w:pPr>
              <w:pStyle w:val="56"/>
              <w:rPr>
                <w:rFonts w:ascii="Times New Roman" w:hAnsi="Times New Roman"/>
                <w:color w:val="auto"/>
                <w:szCs w:val="21"/>
              </w:rPr>
            </w:pPr>
            <w:r>
              <w:rPr>
                <w:rFonts w:ascii="Times New Roman" w:hAnsi="Times New Roman"/>
                <w:color w:val="auto"/>
                <w:szCs w:val="21"/>
              </w:rPr>
              <w:t>固体废物</w:t>
            </w:r>
          </w:p>
        </w:tc>
        <w:tc>
          <w:tcPr>
            <w:tcW w:w="4593" w:type="dxa"/>
            <w:tcBorders>
              <w:tl2br w:val="nil"/>
              <w:tr2bl w:val="nil"/>
            </w:tcBorders>
            <w:vAlign w:val="center"/>
          </w:tcPr>
          <w:p w14:paraId="34C0FD19">
            <w:pPr>
              <w:pStyle w:val="56"/>
              <w:rPr>
                <w:rFonts w:ascii="Times New Roman" w:hAnsi="Times New Roman"/>
                <w:color w:val="auto"/>
                <w:szCs w:val="21"/>
              </w:rPr>
            </w:pPr>
            <w:r>
              <w:rPr>
                <w:rFonts w:ascii="Times New Roman" w:hAnsi="Times New Roman"/>
                <w:color w:val="auto"/>
                <w:szCs w:val="21"/>
              </w:rPr>
              <w:t>/</w:t>
            </w:r>
          </w:p>
        </w:tc>
        <w:tc>
          <w:tcPr>
            <w:tcW w:w="3066" w:type="dxa"/>
            <w:tcBorders>
              <w:tl2br w:val="nil"/>
              <w:tr2bl w:val="nil"/>
            </w:tcBorders>
            <w:vAlign w:val="center"/>
          </w:tcPr>
          <w:p w14:paraId="70DB7462">
            <w:pPr>
              <w:pStyle w:val="56"/>
              <w:rPr>
                <w:rFonts w:ascii="Times New Roman" w:hAnsi="Times New Roman"/>
                <w:color w:val="auto"/>
                <w:szCs w:val="21"/>
                <w:lang w:val="en-US"/>
              </w:rPr>
            </w:pPr>
            <w:r>
              <w:rPr>
                <w:rFonts w:hint="eastAsia" w:ascii="Times New Roman" w:hAnsi="Times New Roman"/>
                <w:color w:val="auto"/>
                <w:szCs w:val="21"/>
                <w:lang w:val="en-US" w:eastAsia="zh-CN"/>
              </w:rPr>
              <w:t>家禽</w:t>
            </w:r>
            <w:r>
              <w:rPr>
                <w:rFonts w:hint="eastAsia" w:ascii="Times New Roman" w:hAnsi="Times New Roman"/>
                <w:color w:val="auto"/>
                <w:szCs w:val="21"/>
                <w:lang w:eastAsia="zh-CN"/>
              </w:rPr>
              <w:t>粪</w:t>
            </w:r>
            <w:r>
              <w:rPr>
                <w:rFonts w:ascii="Times New Roman" w:hAnsi="Times New Roman"/>
                <w:color w:val="auto"/>
                <w:szCs w:val="21"/>
              </w:rPr>
              <w:t>及垫</w:t>
            </w:r>
            <w:r>
              <w:rPr>
                <w:rFonts w:ascii="Times New Roman" w:hAnsi="Times New Roman"/>
                <w:color w:val="auto"/>
                <w:szCs w:val="21"/>
                <w:lang w:val="en-US"/>
              </w:rPr>
              <w:t>草</w:t>
            </w:r>
            <w:r>
              <w:rPr>
                <w:rFonts w:ascii="Times New Roman" w:hAnsi="Times New Roman"/>
                <w:color w:val="auto"/>
                <w:szCs w:val="21"/>
              </w:rPr>
              <w:t>料、病死</w:t>
            </w:r>
            <w:r>
              <w:rPr>
                <w:rFonts w:hint="eastAsia" w:ascii="Times New Roman" w:hAnsi="Times New Roman"/>
                <w:color w:val="auto"/>
                <w:szCs w:val="21"/>
                <w:lang w:val="en-US" w:eastAsia="zh-CN"/>
              </w:rPr>
              <w:t>家禽</w:t>
            </w:r>
            <w:r>
              <w:rPr>
                <w:rFonts w:ascii="Times New Roman" w:hAnsi="Times New Roman"/>
                <w:color w:val="auto"/>
                <w:szCs w:val="21"/>
              </w:rPr>
              <w:t>尸体、生活垃圾、</w:t>
            </w:r>
            <w:r>
              <w:rPr>
                <w:rFonts w:ascii="Times New Roman" w:hAnsi="Times New Roman"/>
                <w:color w:val="auto"/>
                <w:szCs w:val="21"/>
                <w:lang w:val="en-US"/>
              </w:rPr>
              <w:t>兽用医疗废物</w:t>
            </w:r>
          </w:p>
        </w:tc>
      </w:tr>
      <w:tr w14:paraId="3C556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401" w:type="dxa"/>
            <w:tcBorders>
              <w:tl2br w:val="nil"/>
              <w:tr2bl w:val="nil"/>
            </w:tcBorders>
            <w:vAlign w:val="center"/>
          </w:tcPr>
          <w:p w14:paraId="2AEEADDC">
            <w:pPr>
              <w:pStyle w:val="56"/>
              <w:rPr>
                <w:rFonts w:hint="default" w:ascii="Times New Roman" w:hAnsi="Times New Roman" w:eastAsia="宋体"/>
                <w:color w:val="auto"/>
                <w:szCs w:val="21"/>
                <w:lang w:val="en-US" w:eastAsia="zh-CN"/>
              </w:rPr>
            </w:pPr>
            <w:bookmarkStart w:id="52" w:name="_Toc483491983"/>
            <w:bookmarkStart w:id="53" w:name="_Toc490417066"/>
            <w:r>
              <w:rPr>
                <w:rFonts w:hint="eastAsia" w:ascii="Times New Roman" w:hAnsi="Times New Roman"/>
                <w:color w:val="auto"/>
                <w:szCs w:val="21"/>
                <w:lang w:val="en-US" w:eastAsia="zh-CN"/>
              </w:rPr>
              <w:t>环境风险</w:t>
            </w:r>
          </w:p>
        </w:tc>
        <w:tc>
          <w:tcPr>
            <w:tcW w:w="4593" w:type="dxa"/>
            <w:tcBorders>
              <w:tl2br w:val="nil"/>
              <w:tr2bl w:val="nil"/>
            </w:tcBorders>
            <w:vAlign w:val="center"/>
          </w:tcPr>
          <w:p w14:paraId="6FDD72DA">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066" w:type="dxa"/>
            <w:tcBorders>
              <w:tl2br w:val="nil"/>
              <w:tr2bl w:val="nil"/>
            </w:tcBorders>
            <w:vAlign w:val="center"/>
          </w:tcPr>
          <w:p w14:paraId="76833B7D">
            <w:pPr>
              <w:pStyle w:val="56"/>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医疗废物风险，畜禽疫情风险</w:t>
            </w:r>
          </w:p>
        </w:tc>
      </w:tr>
      <w:bookmarkEnd w:id="50"/>
      <w:bookmarkEnd w:id="51"/>
    </w:tbl>
    <w:p w14:paraId="78147742">
      <w:pPr>
        <w:pStyle w:val="4"/>
        <w:ind w:left="120"/>
        <w:rPr>
          <w:rFonts w:ascii="Times New Roman" w:hAnsi="Times New Roman" w:cs="Times New Roman"/>
          <w:color w:val="auto"/>
          <w:lang w:val="en-GB"/>
        </w:rPr>
      </w:pPr>
      <w:bookmarkStart w:id="54" w:name="_Toc12977"/>
      <w:r>
        <w:rPr>
          <w:rFonts w:ascii="Times New Roman" w:hAnsi="Times New Roman" w:cs="Times New Roman"/>
          <w:color w:val="auto"/>
          <w:lang w:val="en-GB"/>
        </w:rPr>
        <w:t>环境功能区划</w:t>
      </w:r>
      <w:bookmarkEnd w:id="52"/>
      <w:bookmarkEnd w:id="53"/>
      <w:bookmarkEnd w:id="54"/>
    </w:p>
    <w:p w14:paraId="3B6D6405">
      <w:pPr>
        <w:pStyle w:val="5"/>
        <w:ind w:left="120"/>
        <w:rPr>
          <w:rFonts w:ascii="Times New Roman" w:hAnsi="Times New Roman" w:cs="Times New Roman"/>
          <w:color w:val="auto"/>
        </w:rPr>
      </w:pPr>
      <w:r>
        <w:rPr>
          <w:rFonts w:ascii="Times New Roman" w:hAnsi="Times New Roman" w:cs="Times New Roman"/>
          <w:color w:val="auto"/>
        </w:rPr>
        <w:t>环境空气功能区划</w:t>
      </w:r>
    </w:p>
    <w:p w14:paraId="5E8B8837">
      <w:pPr>
        <w:ind w:firstLine="480"/>
        <w:rPr>
          <w:rFonts w:ascii="Times New Roman" w:hAnsi="Times New Roman" w:cs="Times New Roman"/>
          <w:color w:val="auto"/>
        </w:rPr>
      </w:pPr>
      <w:r>
        <w:rPr>
          <w:rFonts w:ascii="Times New Roman" w:hAnsi="Times New Roman" w:cs="Times New Roman"/>
          <w:color w:val="auto"/>
        </w:rPr>
        <w:t>根据《环境空气质量标准》（GB3095-2012）中的环境空气质量功能区的分类和标准分级要求，本项目属于环境空气二类功能区。</w:t>
      </w:r>
    </w:p>
    <w:p w14:paraId="48C57EC1">
      <w:pPr>
        <w:pStyle w:val="5"/>
        <w:ind w:left="120"/>
        <w:rPr>
          <w:rFonts w:ascii="Times New Roman" w:hAnsi="Times New Roman" w:cs="Times New Roman"/>
          <w:color w:val="auto"/>
        </w:rPr>
      </w:pPr>
      <w:r>
        <w:rPr>
          <w:rFonts w:ascii="Times New Roman" w:hAnsi="Times New Roman" w:cs="Times New Roman"/>
          <w:color w:val="auto"/>
        </w:rPr>
        <w:t>水环境功能区划</w:t>
      </w:r>
    </w:p>
    <w:p w14:paraId="49BACA95">
      <w:pPr>
        <w:ind w:firstLine="480"/>
        <w:rPr>
          <w:rFonts w:ascii="Times New Roman" w:hAnsi="Times New Roman" w:cs="Times New Roman"/>
          <w:color w:val="auto"/>
        </w:rPr>
      </w:pPr>
      <w:r>
        <w:rPr>
          <w:rFonts w:ascii="Times New Roman" w:hAnsi="Times New Roman" w:cs="Times New Roman"/>
          <w:color w:val="auto"/>
        </w:rPr>
        <w:t>根据区域</w:t>
      </w:r>
      <w:r>
        <w:rPr>
          <w:rFonts w:hint="eastAsia" w:ascii="Times New Roman" w:hAnsi="Times New Roman" w:cs="Times New Roman"/>
          <w:color w:val="auto"/>
          <w:lang w:val="en-US" w:eastAsia="zh-CN"/>
        </w:rPr>
        <w:t>地表水及</w:t>
      </w:r>
      <w:r>
        <w:rPr>
          <w:rFonts w:ascii="Times New Roman" w:hAnsi="Times New Roman" w:cs="Times New Roman"/>
          <w:color w:val="auto"/>
        </w:rPr>
        <w:t>地下水的使用功能，项目区</w:t>
      </w:r>
      <w:r>
        <w:rPr>
          <w:rFonts w:hint="eastAsia" w:ascii="Times New Roman" w:hAnsi="Times New Roman" w:cs="Times New Roman"/>
          <w:color w:val="auto"/>
          <w:lang w:val="en-US" w:eastAsia="zh-CN"/>
        </w:rPr>
        <w:t>地表水属于</w:t>
      </w:r>
      <w:r>
        <w:rPr>
          <w:rFonts w:ascii="Times New Roman" w:hAnsi="Times New Roman" w:cs="Times New Roman"/>
          <w:color w:val="auto"/>
        </w:rPr>
        <w:t>Ⅲ</w:t>
      </w:r>
      <w:r>
        <w:rPr>
          <w:rFonts w:hint="eastAsia" w:ascii="Times New Roman" w:hAnsi="Times New Roman" w:cs="Times New Roman"/>
          <w:color w:val="auto"/>
          <w:lang w:val="en-US" w:eastAsia="zh-CN"/>
        </w:rPr>
        <w:t>类功能区，</w:t>
      </w:r>
      <w:r>
        <w:rPr>
          <w:rFonts w:ascii="Times New Roman" w:hAnsi="Times New Roman" w:cs="Times New Roman"/>
          <w:color w:val="auto"/>
        </w:rPr>
        <w:t>地下水属于Ⅲ类功能区。</w:t>
      </w:r>
    </w:p>
    <w:p w14:paraId="7827C083">
      <w:pPr>
        <w:pStyle w:val="5"/>
        <w:ind w:left="120"/>
        <w:rPr>
          <w:rFonts w:ascii="Times New Roman" w:hAnsi="Times New Roman" w:cs="Times New Roman"/>
          <w:color w:val="auto"/>
        </w:rPr>
      </w:pPr>
      <w:r>
        <w:rPr>
          <w:rFonts w:ascii="Times New Roman" w:hAnsi="Times New Roman" w:cs="Times New Roman"/>
          <w:color w:val="auto"/>
        </w:rPr>
        <w:t>声环境功能区划</w:t>
      </w:r>
    </w:p>
    <w:p w14:paraId="65A3B69E">
      <w:pPr>
        <w:ind w:firstLine="480"/>
        <w:rPr>
          <w:rFonts w:ascii="Times New Roman" w:hAnsi="Times New Roman" w:cs="Times New Roman"/>
          <w:color w:val="auto"/>
        </w:rPr>
      </w:pPr>
      <w:r>
        <w:rPr>
          <w:rFonts w:ascii="Times New Roman" w:hAnsi="Times New Roman" w:cs="Times New Roman"/>
          <w:color w:val="auto"/>
        </w:rPr>
        <w:t>项目区目前没有划分声环境功能区划。依据《声环境功能区划分技术规范》（GB/T15190-2014）中声环境功能区划分原则和《声环境质量标准》（GB3096-2008）中声环境功能区分类要求，判断项目区属于</w:t>
      </w:r>
      <w:r>
        <w:rPr>
          <w:rFonts w:hint="eastAsia" w:cs="Times New Roman"/>
          <w:color w:val="auto"/>
          <w:lang w:val="en-US" w:eastAsia="zh-CN"/>
        </w:rPr>
        <w:t>3</w:t>
      </w:r>
      <w:r>
        <w:rPr>
          <w:rFonts w:ascii="Times New Roman" w:hAnsi="Times New Roman" w:cs="Times New Roman"/>
          <w:color w:val="auto"/>
        </w:rPr>
        <w:t>类声功能区。</w:t>
      </w:r>
    </w:p>
    <w:p w14:paraId="2338E853">
      <w:pPr>
        <w:pStyle w:val="5"/>
        <w:ind w:left="120"/>
        <w:rPr>
          <w:rFonts w:ascii="Times New Roman" w:hAnsi="Times New Roman" w:cs="Times New Roman"/>
          <w:color w:val="auto"/>
        </w:rPr>
      </w:pPr>
      <w:r>
        <w:rPr>
          <w:rFonts w:ascii="Times New Roman" w:hAnsi="Times New Roman" w:cs="Times New Roman"/>
          <w:color w:val="auto"/>
        </w:rPr>
        <w:t>生态功能区划</w:t>
      </w:r>
    </w:p>
    <w:p w14:paraId="2751E03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auto"/>
          <w:lang w:val="zh-CN"/>
        </w:rPr>
        <w:t>根据《新疆生态功能区划》，项目区属于Ⅲ天山山地温性草原、森林生态区Ⅲ</w:t>
      </w:r>
      <w:r>
        <w:rPr>
          <w:rFonts w:ascii="Times New Roman" w:hAnsi="Times New Roman" w:cs="Times New Roman"/>
          <w:color w:val="auto"/>
          <w:vertAlign w:val="subscript"/>
          <w:lang w:val="zh-CN"/>
        </w:rPr>
        <w:t>2</w:t>
      </w:r>
      <w:r>
        <w:rPr>
          <w:rFonts w:ascii="Times New Roman" w:hAnsi="Times New Roman" w:cs="Times New Roman"/>
          <w:color w:val="auto"/>
          <w:lang w:val="zh-CN"/>
        </w:rPr>
        <w:t>西部天山草原牧业、针叶林水源涵养及河谷绿洲农业生态亚区</w:t>
      </w:r>
      <w:r>
        <w:rPr>
          <w:rFonts w:hint="eastAsia" w:ascii="Times New Roman" w:hAnsi="Times New Roman" w:cs="Times New Roman"/>
          <w:color w:val="auto"/>
          <w:lang w:val="en-US" w:eastAsia="zh-CN"/>
        </w:rPr>
        <w:t>36</w:t>
      </w:r>
      <w:r>
        <w:rPr>
          <w:rFonts w:ascii="Times New Roman" w:hAnsi="Times New Roman" w:cs="Times New Roman"/>
          <w:color w:val="auto"/>
          <w:lang w:val="zh-CN"/>
        </w:rPr>
        <w:t>.</w:t>
      </w:r>
      <w:r>
        <w:rPr>
          <w:rFonts w:hint="eastAsia" w:ascii="Times New Roman" w:hAnsi="Times New Roman" w:cs="Times New Roman"/>
          <w:color w:val="auto"/>
          <w:lang w:val="en-US" w:eastAsia="zh-CN"/>
        </w:rPr>
        <w:t>伊犁河谷平原绿洲农业生态功能区</w:t>
      </w:r>
      <w:r>
        <w:rPr>
          <w:rFonts w:ascii="Times New Roman" w:hAnsi="Times New Roman" w:cs="Times New Roman"/>
          <w:color w:val="auto"/>
          <w:lang w:val="zh-CN"/>
        </w:rPr>
        <w:t>。</w:t>
      </w:r>
      <w:r>
        <w:rPr>
          <w:rFonts w:ascii="Times New Roman" w:hAnsi="Times New Roman" w:cs="Times New Roman"/>
          <w:color w:val="000000" w:themeColor="text1"/>
          <w14:textFill>
            <w14:solidFill>
              <w14:schemeClr w14:val="tx1"/>
            </w14:solidFill>
          </w14:textFill>
        </w:rPr>
        <w:t>项目区生态功能区划图见</w:t>
      </w:r>
      <w:r>
        <w:rPr>
          <w:rFonts w:hint="eastAsia" w:ascii="Times New Roman" w:hAnsi="Times New Roman" w:cs="Times New Roman"/>
          <w:color w:val="000000" w:themeColor="text1"/>
          <w:lang w:val="en-US" w:eastAsia="zh-CN"/>
          <w14:textFill>
            <w14:solidFill>
              <w14:schemeClr w14:val="tx1"/>
            </w14:solidFill>
          </w14:textFill>
        </w:rPr>
        <w:t>附图</w:t>
      </w:r>
      <w:r>
        <w:rPr>
          <w:rFonts w:ascii="Times New Roman" w:hAnsi="Times New Roman" w:cs="Times New Roman"/>
          <w:color w:val="000000" w:themeColor="text1"/>
          <w14:textFill>
            <w14:solidFill>
              <w14:schemeClr w14:val="tx1"/>
            </w14:solidFill>
          </w14:textFill>
        </w:rPr>
        <w:t>。</w:t>
      </w:r>
    </w:p>
    <w:p w14:paraId="01BFBC4D">
      <w:pPr>
        <w:pStyle w:val="4"/>
        <w:ind w:left="120"/>
        <w:rPr>
          <w:rFonts w:ascii="Times New Roman" w:hAnsi="Times New Roman" w:cs="Times New Roman"/>
          <w:color w:val="000000" w:themeColor="text1"/>
          <w:lang w:val="en-GB"/>
          <w14:textFill>
            <w14:solidFill>
              <w14:schemeClr w14:val="tx1"/>
            </w14:solidFill>
          </w14:textFill>
        </w:rPr>
      </w:pPr>
      <w:bookmarkStart w:id="55" w:name="_Toc483491984"/>
      <w:bookmarkStart w:id="56" w:name="_Toc20879"/>
      <w:bookmarkStart w:id="57" w:name="_Toc490417067"/>
      <w:r>
        <w:rPr>
          <w:rFonts w:ascii="Times New Roman" w:hAnsi="Times New Roman" w:cs="Times New Roman"/>
          <w:color w:val="000000" w:themeColor="text1"/>
          <w:lang w:val="en-GB"/>
          <w14:textFill>
            <w14:solidFill>
              <w14:schemeClr w14:val="tx1"/>
            </w14:solidFill>
          </w14:textFill>
        </w:rPr>
        <w:t>评价标准</w:t>
      </w:r>
      <w:bookmarkEnd w:id="55"/>
      <w:bookmarkEnd w:id="56"/>
      <w:bookmarkEnd w:id="57"/>
    </w:p>
    <w:p w14:paraId="1205761C">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环境质量标准</w:t>
      </w:r>
    </w:p>
    <w:p w14:paraId="047FCEB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（1）环境空气质量标准</w:t>
      </w:r>
    </w:p>
    <w:p w14:paraId="0BCBAA7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项目所在区域空气环境属二类区，CO、O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、TSP执行《环境空气质量标准》（GB3095-20</w:t>
      </w:r>
      <w:r>
        <w:rPr>
          <w:rFonts w:hint="eastAsia" w:cs="Times New Roman"/>
          <w:color w:val="000000" w:themeColor="text1"/>
          <w:lang w:val="en-US" w:eastAsia="zh-CN"/>
          <w14:textFill>
            <w14:solidFill>
              <w14:schemeClr w14:val="tx1"/>
            </w14:solidFill>
          </w14:textFill>
        </w:rPr>
        <w:t>26</w:t>
      </w:r>
      <w:r>
        <w:rPr>
          <w:rFonts w:ascii="Times New Roman" w:hAnsi="Times New Roman" w:cs="Times New Roman"/>
          <w:color w:val="000000" w:themeColor="text1"/>
          <w14:textFill>
            <w14:solidFill>
              <w14:schemeClr w14:val="tx1"/>
            </w14:solidFill>
          </w14:textFill>
        </w:rPr>
        <w:t>）中的</w:t>
      </w:r>
      <w:r>
        <w:rPr>
          <w:rFonts w:hint="eastAsia" w:cs="Times New Roman"/>
          <w:color w:val="000000" w:themeColor="text1"/>
          <w:lang w:val="en-US" w:eastAsia="zh-CN"/>
          <w14:textFill>
            <w14:solidFill>
              <w14:schemeClr w14:val="tx1"/>
            </w14:solidFill>
          </w14:textFill>
        </w:rPr>
        <w:t>过渡阶段</w:t>
      </w:r>
      <w:r>
        <w:rPr>
          <w:rFonts w:ascii="Times New Roman" w:hAnsi="Times New Roman" w:cs="Times New Roman"/>
          <w:color w:val="000000" w:themeColor="text1"/>
          <w14:textFill>
            <w14:solidFill>
              <w14:schemeClr w14:val="tx1"/>
            </w14:solidFill>
          </w14:textFill>
        </w:rPr>
        <w:t>二级标准；H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lang w:val="zh-CN"/>
          <w14:textFill>
            <w14:solidFill>
              <w14:schemeClr w14:val="tx1"/>
            </w14:solidFill>
          </w14:textFill>
        </w:rPr>
        <w:t>和</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lang w:val="zh-CN"/>
          <w14:textFill>
            <w14:solidFill>
              <w14:schemeClr w14:val="tx1"/>
            </w14:solidFill>
          </w14:textFill>
        </w:rPr>
        <w:t>执行</w:t>
      </w:r>
      <w:r>
        <w:rPr>
          <w:rFonts w:ascii="Times New Roman" w:hAnsi="Times New Roman" w:cs="Times New Roman"/>
          <w:color w:val="000000" w:themeColor="text1"/>
          <w14:textFill>
            <w14:solidFill>
              <w14:schemeClr w14:val="tx1"/>
            </w14:solidFill>
          </w14:textFill>
        </w:rPr>
        <w:t>《环境影响评价技术导则大气环境》（HJ2.2-2018）附录D“其他污染物空气质量浓度参考限值”中1h平均浓度。</w:t>
      </w:r>
    </w:p>
    <w:p w14:paraId="33CEA12A">
      <w:pPr>
        <w:ind w:firstLine="0" w:firstLineChars="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 2.4-1</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t xml:space="preserve">    环境空气质量标准     单位：µg/m</w:t>
      </w:r>
      <w:r>
        <w:rPr>
          <w:rFonts w:ascii="Times New Roman" w:hAnsi="Times New Roman" w:cs="Times New Roman"/>
          <w:b/>
          <w:bCs/>
          <w:color w:val="000000" w:themeColor="text1"/>
          <w:vertAlign w:val="superscript"/>
          <w14:textFill>
            <w14:solidFill>
              <w14:schemeClr w14:val="tx1"/>
            </w14:solidFill>
          </w14:textFill>
        </w:rPr>
        <w:t>3</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061"/>
        <w:gridCol w:w="1662"/>
        <w:gridCol w:w="3528"/>
      </w:tblGrid>
      <w:tr w14:paraId="711BD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blHeader/>
          <w:jc w:val="center"/>
        </w:trPr>
        <w:tc>
          <w:tcPr>
            <w:tcW w:w="1809" w:type="dxa"/>
            <w:vAlign w:val="center"/>
          </w:tcPr>
          <w:p w14:paraId="093A7BC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污染物项目</w:t>
            </w:r>
          </w:p>
        </w:tc>
        <w:tc>
          <w:tcPr>
            <w:tcW w:w="2061" w:type="dxa"/>
            <w:vAlign w:val="center"/>
          </w:tcPr>
          <w:p w14:paraId="10D045F8">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平均时间</w:t>
            </w:r>
          </w:p>
        </w:tc>
        <w:tc>
          <w:tcPr>
            <w:tcW w:w="1662" w:type="dxa"/>
            <w:vAlign w:val="center"/>
          </w:tcPr>
          <w:p w14:paraId="1DC590D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浓度限值</w:t>
            </w:r>
          </w:p>
        </w:tc>
        <w:tc>
          <w:tcPr>
            <w:tcW w:w="3528" w:type="dxa"/>
            <w:vAlign w:val="center"/>
          </w:tcPr>
          <w:p w14:paraId="7385581A">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标准来源</w:t>
            </w:r>
          </w:p>
        </w:tc>
      </w:tr>
      <w:tr w14:paraId="68FD0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restart"/>
            <w:vAlign w:val="center"/>
          </w:tcPr>
          <w:p w14:paraId="44881B7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二氧化硫（SO</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p>
        </w:tc>
        <w:tc>
          <w:tcPr>
            <w:tcW w:w="2061" w:type="dxa"/>
            <w:vAlign w:val="center"/>
          </w:tcPr>
          <w:p w14:paraId="67473A4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年平均</w:t>
            </w:r>
          </w:p>
        </w:tc>
        <w:tc>
          <w:tcPr>
            <w:tcW w:w="1662" w:type="dxa"/>
            <w:vAlign w:val="center"/>
          </w:tcPr>
          <w:p w14:paraId="5B6060A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restart"/>
            <w:vAlign w:val="center"/>
          </w:tcPr>
          <w:p w14:paraId="64CB91D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《环境空气质量标准》（GB3095-20</w:t>
            </w:r>
            <w:r>
              <w:rPr>
                <w:rFonts w:hint="eastAsia" w:eastAsia="宋体" w:cs="Times New Roman"/>
                <w:color w:val="000000" w:themeColor="text1"/>
                <w:lang w:val="en-US" w:eastAsia="zh-CN"/>
                <w14:textFill>
                  <w14:solidFill>
                    <w14:schemeClr w14:val="tx1"/>
                  </w14:solidFill>
                </w14:textFill>
              </w:rPr>
              <w:t>26</w:t>
            </w:r>
            <w:r>
              <w:rPr>
                <w:rFonts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过渡阶段</w:t>
            </w:r>
            <w:r>
              <w:rPr>
                <w:rFonts w:ascii="Times New Roman" w:hAnsi="Times New Roman" w:eastAsia="宋体" w:cs="Times New Roman"/>
                <w:color w:val="000000" w:themeColor="text1"/>
                <w14:textFill>
                  <w14:solidFill>
                    <w14:schemeClr w14:val="tx1"/>
                  </w14:solidFill>
                </w14:textFill>
              </w:rPr>
              <w:t>二级标准</w:t>
            </w:r>
          </w:p>
        </w:tc>
      </w:tr>
      <w:tr w14:paraId="5B8D6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42C89A16">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5FE9F67C">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24小时平均</w:t>
            </w:r>
          </w:p>
        </w:tc>
        <w:tc>
          <w:tcPr>
            <w:tcW w:w="1662" w:type="dxa"/>
            <w:vAlign w:val="center"/>
          </w:tcPr>
          <w:p w14:paraId="6DF9B04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4F96B58B">
            <w:pPr>
              <w:pStyle w:val="60"/>
              <w:rPr>
                <w:rFonts w:ascii="Times New Roman" w:hAnsi="Times New Roman" w:eastAsia="宋体" w:cs="Times New Roman"/>
                <w:color w:val="000000" w:themeColor="text1"/>
                <w14:textFill>
                  <w14:solidFill>
                    <w14:schemeClr w14:val="tx1"/>
                  </w14:solidFill>
                </w14:textFill>
              </w:rPr>
            </w:pPr>
          </w:p>
        </w:tc>
      </w:tr>
      <w:tr w14:paraId="10D34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2A5DFD33">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17A3AF5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1小时平均</w:t>
            </w:r>
          </w:p>
        </w:tc>
        <w:tc>
          <w:tcPr>
            <w:tcW w:w="1662" w:type="dxa"/>
            <w:vAlign w:val="center"/>
          </w:tcPr>
          <w:p w14:paraId="726C8A56">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500μg/m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15C10A06">
            <w:pPr>
              <w:pStyle w:val="60"/>
              <w:rPr>
                <w:rFonts w:ascii="Times New Roman" w:hAnsi="Times New Roman" w:eastAsia="宋体" w:cs="Times New Roman"/>
                <w:color w:val="000000" w:themeColor="text1"/>
                <w14:textFill>
                  <w14:solidFill>
                    <w14:schemeClr w14:val="tx1"/>
                  </w14:solidFill>
                </w14:textFill>
              </w:rPr>
            </w:pPr>
          </w:p>
        </w:tc>
      </w:tr>
      <w:tr w14:paraId="1F9C0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restart"/>
            <w:vAlign w:val="center"/>
          </w:tcPr>
          <w:p w14:paraId="40A7B59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二氧化氮（NO</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p>
        </w:tc>
        <w:tc>
          <w:tcPr>
            <w:tcW w:w="2061" w:type="dxa"/>
            <w:vAlign w:val="center"/>
          </w:tcPr>
          <w:p w14:paraId="14F1704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年平均</w:t>
            </w:r>
          </w:p>
        </w:tc>
        <w:tc>
          <w:tcPr>
            <w:tcW w:w="1662" w:type="dxa"/>
            <w:vAlign w:val="center"/>
          </w:tcPr>
          <w:p w14:paraId="1A1EB91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1E640F71">
            <w:pPr>
              <w:pStyle w:val="60"/>
              <w:rPr>
                <w:rFonts w:ascii="Times New Roman" w:hAnsi="Times New Roman" w:eastAsia="宋体" w:cs="Times New Roman"/>
                <w:color w:val="000000" w:themeColor="text1"/>
                <w14:textFill>
                  <w14:solidFill>
                    <w14:schemeClr w14:val="tx1"/>
                  </w14:solidFill>
                </w14:textFill>
              </w:rPr>
            </w:pPr>
          </w:p>
        </w:tc>
      </w:tr>
      <w:tr w14:paraId="12BFC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011661E3">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1E671E31">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24小时平均</w:t>
            </w:r>
          </w:p>
        </w:tc>
        <w:tc>
          <w:tcPr>
            <w:tcW w:w="1662" w:type="dxa"/>
            <w:vAlign w:val="center"/>
          </w:tcPr>
          <w:p w14:paraId="15703DB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029586F6">
            <w:pPr>
              <w:pStyle w:val="60"/>
              <w:rPr>
                <w:rFonts w:ascii="Times New Roman" w:hAnsi="Times New Roman" w:eastAsia="宋体" w:cs="Times New Roman"/>
                <w:color w:val="000000" w:themeColor="text1"/>
                <w14:textFill>
                  <w14:solidFill>
                    <w14:schemeClr w14:val="tx1"/>
                  </w14:solidFill>
                </w14:textFill>
              </w:rPr>
            </w:pPr>
          </w:p>
        </w:tc>
      </w:tr>
      <w:tr w14:paraId="1A078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65C3BFC1">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7799821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1小时平均</w:t>
            </w:r>
          </w:p>
        </w:tc>
        <w:tc>
          <w:tcPr>
            <w:tcW w:w="1662" w:type="dxa"/>
            <w:vAlign w:val="center"/>
          </w:tcPr>
          <w:p w14:paraId="2A942DC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1BCD5B96">
            <w:pPr>
              <w:pStyle w:val="60"/>
              <w:rPr>
                <w:rFonts w:ascii="Times New Roman" w:hAnsi="Times New Roman" w:eastAsia="宋体" w:cs="Times New Roman"/>
                <w:color w:val="000000" w:themeColor="text1"/>
                <w14:textFill>
                  <w14:solidFill>
                    <w14:schemeClr w14:val="tx1"/>
                  </w14:solidFill>
                </w14:textFill>
              </w:rPr>
            </w:pPr>
          </w:p>
        </w:tc>
      </w:tr>
      <w:tr w14:paraId="094E0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restart"/>
            <w:vAlign w:val="center"/>
          </w:tcPr>
          <w:p w14:paraId="2839AB7B">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颗粒物（PM</w:t>
            </w:r>
            <w:r>
              <w:rPr>
                <w:rFonts w:ascii="Times New Roman" w:hAnsi="Times New Roman" w:eastAsia="宋体" w:cs="Times New Roman"/>
                <w:color w:val="000000" w:themeColor="text1"/>
                <w:vertAlign w:val="subscript"/>
                <w14:textFill>
                  <w14:solidFill>
                    <w14:schemeClr w14:val="tx1"/>
                  </w14:solidFill>
                </w14:textFill>
              </w:rPr>
              <w:t>10</w:t>
            </w:r>
            <w:r>
              <w:rPr>
                <w:rFonts w:ascii="Times New Roman" w:hAnsi="Times New Roman" w:eastAsia="宋体" w:cs="Times New Roman"/>
                <w:color w:val="000000" w:themeColor="text1"/>
                <w14:textFill>
                  <w14:solidFill>
                    <w14:schemeClr w14:val="tx1"/>
                  </w14:solidFill>
                </w14:textFill>
              </w:rPr>
              <w:t>）</w:t>
            </w:r>
          </w:p>
        </w:tc>
        <w:tc>
          <w:tcPr>
            <w:tcW w:w="2061" w:type="dxa"/>
            <w:vAlign w:val="center"/>
          </w:tcPr>
          <w:p w14:paraId="644C45D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年平均</w:t>
            </w:r>
          </w:p>
        </w:tc>
        <w:tc>
          <w:tcPr>
            <w:tcW w:w="1662" w:type="dxa"/>
            <w:vAlign w:val="center"/>
          </w:tcPr>
          <w:p w14:paraId="0B3183E2">
            <w:pPr>
              <w:pStyle w:val="60"/>
              <w:rPr>
                <w:rFonts w:ascii="Times New Roman" w:hAnsi="Times New Roman" w:eastAsia="宋体" w:cs="Times New Roman"/>
                <w:color w:val="000000" w:themeColor="text1"/>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60</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49B837D8">
            <w:pPr>
              <w:pStyle w:val="60"/>
              <w:rPr>
                <w:rFonts w:ascii="Times New Roman" w:hAnsi="Times New Roman" w:eastAsia="宋体" w:cs="Times New Roman"/>
                <w:color w:val="000000" w:themeColor="text1"/>
                <w14:textFill>
                  <w14:solidFill>
                    <w14:schemeClr w14:val="tx1"/>
                  </w14:solidFill>
                </w14:textFill>
              </w:rPr>
            </w:pPr>
          </w:p>
        </w:tc>
      </w:tr>
      <w:tr w14:paraId="59993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7180A9DE">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4C2F8DB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24小时平均</w:t>
            </w:r>
          </w:p>
        </w:tc>
        <w:tc>
          <w:tcPr>
            <w:tcW w:w="1662" w:type="dxa"/>
            <w:vAlign w:val="center"/>
          </w:tcPr>
          <w:p w14:paraId="6124334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eastAsia="宋体" w:cs="Times New Roman"/>
                <w:color w:val="000000" w:themeColor="text1"/>
                <w:lang w:val="en-US" w:eastAsia="zh-CN"/>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0A03399E">
            <w:pPr>
              <w:pStyle w:val="60"/>
              <w:rPr>
                <w:rFonts w:ascii="Times New Roman" w:hAnsi="Times New Roman" w:eastAsia="宋体" w:cs="Times New Roman"/>
                <w:color w:val="000000" w:themeColor="text1"/>
                <w14:textFill>
                  <w14:solidFill>
                    <w14:schemeClr w14:val="tx1"/>
                  </w14:solidFill>
                </w14:textFill>
              </w:rPr>
            </w:pPr>
          </w:p>
        </w:tc>
      </w:tr>
      <w:tr w14:paraId="15A28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restart"/>
            <w:vAlign w:val="center"/>
          </w:tcPr>
          <w:p w14:paraId="277EDF4B">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颗粒物（PM</w:t>
            </w:r>
            <w:r>
              <w:rPr>
                <w:rFonts w:ascii="Times New Roman" w:hAnsi="Times New Roman" w:eastAsia="宋体" w:cs="Times New Roman"/>
                <w:color w:val="000000" w:themeColor="text1"/>
                <w:vertAlign w:val="subscript"/>
                <w14:textFill>
                  <w14:solidFill>
                    <w14:schemeClr w14:val="tx1"/>
                  </w14:solidFill>
                </w14:textFill>
              </w:rPr>
              <w:t>2.5</w:t>
            </w:r>
            <w:r>
              <w:rPr>
                <w:rFonts w:ascii="Times New Roman" w:hAnsi="Times New Roman" w:eastAsia="宋体" w:cs="Times New Roman"/>
                <w:color w:val="000000" w:themeColor="text1"/>
                <w14:textFill>
                  <w14:solidFill>
                    <w14:schemeClr w14:val="tx1"/>
                  </w14:solidFill>
                </w14:textFill>
              </w:rPr>
              <w:t>）</w:t>
            </w:r>
          </w:p>
        </w:tc>
        <w:tc>
          <w:tcPr>
            <w:tcW w:w="2061" w:type="dxa"/>
            <w:vAlign w:val="center"/>
          </w:tcPr>
          <w:p w14:paraId="255B453C">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年平均</w:t>
            </w:r>
          </w:p>
        </w:tc>
        <w:tc>
          <w:tcPr>
            <w:tcW w:w="1662" w:type="dxa"/>
            <w:vAlign w:val="center"/>
          </w:tcPr>
          <w:p w14:paraId="2D1F000B">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r>
              <w:rPr>
                <w:rFonts w:hint="eastAsia" w:eastAsia="宋体" w:cs="Times New Roman"/>
                <w:color w:val="000000" w:themeColor="text1"/>
                <w:lang w:val="en-US" w:eastAsia="zh-CN"/>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119F78F3">
            <w:pPr>
              <w:pStyle w:val="60"/>
              <w:rPr>
                <w:rFonts w:ascii="Times New Roman" w:hAnsi="Times New Roman" w:eastAsia="宋体" w:cs="Times New Roman"/>
                <w:color w:val="000000" w:themeColor="text1"/>
                <w14:textFill>
                  <w14:solidFill>
                    <w14:schemeClr w14:val="tx1"/>
                  </w14:solidFill>
                </w14:textFill>
              </w:rPr>
            </w:pPr>
          </w:p>
        </w:tc>
      </w:tr>
      <w:tr w14:paraId="158DF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7BFBE72C">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1CAE1FE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24小时平均</w:t>
            </w:r>
          </w:p>
        </w:tc>
        <w:tc>
          <w:tcPr>
            <w:tcW w:w="1662" w:type="dxa"/>
            <w:vAlign w:val="center"/>
          </w:tcPr>
          <w:p w14:paraId="4551C16F">
            <w:pPr>
              <w:pStyle w:val="60"/>
              <w:rPr>
                <w:rFonts w:ascii="Times New Roman" w:hAnsi="Times New Roman" w:eastAsia="宋体" w:cs="Times New Roman"/>
                <w:color w:val="000000" w:themeColor="text1"/>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60</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17CBBFFC">
            <w:pPr>
              <w:pStyle w:val="60"/>
              <w:rPr>
                <w:rFonts w:ascii="Times New Roman" w:hAnsi="Times New Roman" w:eastAsia="宋体" w:cs="Times New Roman"/>
                <w:color w:val="000000" w:themeColor="text1"/>
                <w14:textFill>
                  <w14:solidFill>
                    <w14:schemeClr w14:val="tx1"/>
                  </w14:solidFill>
                </w14:textFill>
              </w:rPr>
            </w:pPr>
          </w:p>
        </w:tc>
      </w:tr>
      <w:tr w14:paraId="38856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restart"/>
            <w:vAlign w:val="center"/>
          </w:tcPr>
          <w:p w14:paraId="7927D365">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一氧化碳（CO）</w:t>
            </w:r>
          </w:p>
        </w:tc>
        <w:tc>
          <w:tcPr>
            <w:tcW w:w="2061" w:type="dxa"/>
            <w:vAlign w:val="center"/>
          </w:tcPr>
          <w:p w14:paraId="5BEB13E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24小时平均</w:t>
            </w:r>
          </w:p>
        </w:tc>
        <w:tc>
          <w:tcPr>
            <w:tcW w:w="1662" w:type="dxa"/>
            <w:vAlign w:val="center"/>
          </w:tcPr>
          <w:p w14:paraId="17B38723">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4mg/m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23451714">
            <w:pPr>
              <w:pStyle w:val="60"/>
              <w:rPr>
                <w:rFonts w:ascii="Times New Roman" w:hAnsi="Times New Roman" w:eastAsia="宋体" w:cs="Times New Roman"/>
                <w:color w:val="000000" w:themeColor="text1"/>
                <w14:textFill>
                  <w14:solidFill>
                    <w14:schemeClr w14:val="tx1"/>
                  </w14:solidFill>
                </w14:textFill>
              </w:rPr>
            </w:pPr>
          </w:p>
        </w:tc>
      </w:tr>
      <w:tr w14:paraId="54749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4BB16B7C">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26F7A775">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1小时平均</w:t>
            </w:r>
          </w:p>
        </w:tc>
        <w:tc>
          <w:tcPr>
            <w:tcW w:w="1662" w:type="dxa"/>
            <w:vAlign w:val="center"/>
          </w:tcPr>
          <w:p w14:paraId="08D28AF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10mg/m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7B50E2DF">
            <w:pPr>
              <w:pStyle w:val="60"/>
              <w:rPr>
                <w:rFonts w:ascii="Times New Roman" w:hAnsi="Times New Roman" w:eastAsia="宋体" w:cs="Times New Roman"/>
                <w:color w:val="000000" w:themeColor="text1"/>
                <w14:textFill>
                  <w14:solidFill>
                    <w14:schemeClr w14:val="tx1"/>
                  </w14:solidFill>
                </w14:textFill>
              </w:rPr>
            </w:pPr>
          </w:p>
        </w:tc>
      </w:tr>
      <w:tr w14:paraId="590EE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restart"/>
            <w:vAlign w:val="center"/>
          </w:tcPr>
          <w:p w14:paraId="532C094C">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臭氧（O</w:t>
            </w:r>
            <w:r>
              <w:rPr>
                <w:rFonts w:ascii="Times New Roman" w:hAnsi="Times New Roman" w:eastAsia="宋体"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p>
        </w:tc>
        <w:tc>
          <w:tcPr>
            <w:tcW w:w="2061" w:type="dxa"/>
            <w:vAlign w:val="center"/>
          </w:tcPr>
          <w:p w14:paraId="5D01238D">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日最大8小时平均</w:t>
            </w:r>
          </w:p>
        </w:tc>
        <w:tc>
          <w:tcPr>
            <w:tcW w:w="1662" w:type="dxa"/>
            <w:vAlign w:val="center"/>
          </w:tcPr>
          <w:p w14:paraId="3401D083">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7B98725B">
            <w:pPr>
              <w:pStyle w:val="60"/>
              <w:rPr>
                <w:rFonts w:ascii="Times New Roman" w:hAnsi="Times New Roman" w:eastAsia="宋体" w:cs="Times New Roman"/>
                <w:color w:val="000000" w:themeColor="text1"/>
                <w14:textFill>
                  <w14:solidFill>
                    <w14:schemeClr w14:val="tx1"/>
                  </w14:solidFill>
                </w14:textFill>
              </w:rPr>
            </w:pPr>
          </w:p>
        </w:tc>
      </w:tr>
      <w:tr w14:paraId="268EF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Merge w:val="continue"/>
            <w:vAlign w:val="center"/>
          </w:tcPr>
          <w:p w14:paraId="5CD6A364">
            <w:pPr>
              <w:pStyle w:val="60"/>
              <w:rPr>
                <w:rFonts w:ascii="Times New Roman" w:hAnsi="Times New Roman" w:eastAsia="宋体" w:cs="Times New Roman"/>
                <w:color w:val="000000" w:themeColor="text1"/>
                <w14:textFill>
                  <w14:solidFill>
                    <w14:schemeClr w14:val="tx1"/>
                  </w14:solidFill>
                </w14:textFill>
              </w:rPr>
            </w:pPr>
          </w:p>
        </w:tc>
        <w:tc>
          <w:tcPr>
            <w:tcW w:w="2061" w:type="dxa"/>
            <w:vAlign w:val="center"/>
          </w:tcPr>
          <w:p w14:paraId="5CF781A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1小时平均</w:t>
            </w:r>
          </w:p>
        </w:tc>
        <w:tc>
          <w:tcPr>
            <w:tcW w:w="1662" w:type="dxa"/>
            <w:vAlign w:val="center"/>
          </w:tcPr>
          <w:p w14:paraId="4649027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58F52268">
            <w:pPr>
              <w:pStyle w:val="60"/>
              <w:rPr>
                <w:rFonts w:ascii="Times New Roman" w:hAnsi="Times New Roman" w:eastAsia="宋体" w:cs="Times New Roman"/>
                <w:color w:val="000000" w:themeColor="text1"/>
                <w14:textFill>
                  <w14:solidFill>
                    <w14:schemeClr w14:val="tx1"/>
                  </w14:solidFill>
                </w14:textFill>
              </w:rPr>
            </w:pPr>
          </w:p>
        </w:tc>
      </w:tr>
      <w:tr w14:paraId="0C825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Align w:val="center"/>
          </w:tcPr>
          <w:p w14:paraId="2230C14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TSP</w:t>
            </w:r>
          </w:p>
        </w:tc>
        <w:tc>
          <w:tcPr>
            <w:tcW w:w="2061" w:type="dxa"/>
            <w:vAlign w:val="center"/>
          </w:tcPr>
          <w:p w14:paraId="38D0C30B">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24小时平均</w:t>
            </w:r>
          </w:p>
        </w:tc>
        <w:tc>
          <w:tcPr>
            <w:tcW w:w="1662" w:type="dxa"/>
            <w:vAlign w:val="center"/>
          </w:tcPr>
          <w:p w14:paraId="626A869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300μg/m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continue"/>
            <w:vAlign w:val="center"/>
          </w:tcPr>
          <w:p w14:paraId="7066C9DC">
            <w:pPr>
              <w:pStyle w:val="60"/>
              <w:rPr>
                <w:rFonts w:ascii="Times New Roman" w:hAnsi="Times New Roman" w:eastAsia="宋体" w:cs="Times New Roman"/>
                <w:color w:val="000000" w:themeColor="text1"/>
                <w14:textFill>
                  <w14:solidFill>
                    <w14:schemeClr w14:val="tx1"/>
                  </w14:solidFill>
                </w14:textFill>
              </w:rPr>
            </w:pPr>
          </w:p>
        </w:tc>
      </w:tr>
      <w:tr w14:paraId="002B8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1809" w:type="dxa"/>
            <w:vAlign w:val="center"/>
          </w:tcPr>
          <w:p w14:paraId="1CD514E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硫化氢（</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ascii="Times New Roman" w:hAnsi="Times New Roman" w:eastAsia="宋体" w:cs="Times New Roman"/>
                <w:color w:val="000000" w:themeColor="text1"/>
                <w14:textFill>
                  <w14:solidFill>
                    <w14:schemeClr w14:val="tx1"/>
                  </w14:solidFill>
                </w14:textFill>
              </w:rPr>
              <w:t>）</w:t>
            </w:r>
          </w:p>
        </w:tc>
        <w:tc>
          <w:tcPr>
            <w:tcW w:w="2061" w:type="dxa"/>
            <w:vAlign w:val="center"/>
          </w:tcPr>
          <w:p w14:paraId="7FADD375">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1小时平均</w:t>
            </w:r>
          </w:p>
        </w:tc>
        <w:tc>
          <w:tcPr>
            <w:tcW w:w="1662" w:type="dxa"/>
            <w:vAlign w:val="center"/>
          </w:tcPr>
          <w:p w14:paraId="505FF5D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10μg/m</w:t>
            </w:r>
            <w:r>
              <w:rPr>
                <w:rFonts w:ascii="Times New Roman" w:hAnsi="Times New Roman" w:eastAsia="宋体" w:cs="Times New Roman"/>
                <w:color w:val="000000" w:themeColor="text1"/>
                <w:vertAlign w:val="superscript"/>
                <w14:textFill>
                  <w14:solidFill>
                    <w14:schemeClr w14:val="tx1"/>
                  </w14:solidFill>
                </w14:textFill>
              </w:rPr>
              <w:t>3</w:t>
            </w:r>
          </w:p>
        </w:tc>
        <w:tc>
          <w:tcPr>
            <w:tcW w:w="3528" w:type="dxa"/>
            <w:vMerge w:val="restart"/>
            <w:vAlign w:val="center"/>
          </w:tcPr>
          <w:p w14:paraId="49F527C8">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《环境影响评价技术导则 大气环境》（HJ2.2-2018）中附录D中参考限值</w:t>
            </w:r>
          </w:p>
        </w:tc>
      </w:tr>
      <w:tr w14:paraId="6988E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Align w:val="center"/>
          </w:tcPr>
          <w:p w14:paraId="3B8C97A1">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氨（</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p>
        </w:tc>
        <w:tc>
          <w:tcPr>
            <w:tcW w:w="2061" w:type="dxa"/>
            <w:vAlign w:val="center"/>
          </w:tcPr>
          <w:p w14:paraId="167B8CA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1小时平均</w:t>
            </w:r>
          </w:p>
        </w:tc>
        <w:tc>
          <w:tcPr>
            <w:tcW w:w="1662" w:type="dxa"/>
            <w:vAlign w:val="center"/>
          </w:tcPr>
          <w:p w14:paraId="1EC29FE7">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200μg/m3</w:t>
            </w:r>
          </w:p>
        </w:tc>
        <w:tc>
          <w:tcPr>
            <w:tcW w:w="3528" w:type="dxa"/>
            <w:vMerge w:val="continue"/>
            <w:vAlign w:val="center"/>
          </w:tcPr>
          <w:p w14:paraId="6755619F">
            <w:pPr>
              <w:pStyle w:val="60"/>
              <w:rPr>
                <w:rFonts w:ascii="Times New Roman" w:hAnsi="Times New Roman" w:eastAsia="宋体" w:cs="Times New Roman"/>
                <w:color w:val="000000" w:themeColor="text1"/>
                <w14:textFill>
                  <w14:solidFill>
                    <w14:schemeClr w14:val="tx1"/>
                  </w14:solidFill>
                </w14:textFill>
              </w:rPr>
            </w:pPr>
          </w:p>
        </w:tc>
      </w:tr>
    </w:tbl>
    <w:p w14:paraId="1CF86692">
      <w:pPr>
        <w:pStyle w:val="13"/>
        <w:spacing w:before="1" w:line="362" w:lineRule="auto"/>
        <w:ind w:left="341" w:right="367"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（2）水环境质量标准</w:t>
      </w:r>
    </w:p>
    <w:p w14:paraId="313DC21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地下水质量评价标准采用《地下水质量标准》（GB/T14848-2017</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中Ⅲ类标准，见表2.4-2。</w:t>
      </w:r>
    </w:p>
    <w:p w14:paraId="301EF8CB">
      <w:pPr>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ascii="Times New Roman" w:hAnsi="Times New Roman" w:eastAsia="宋体" w:cs="Times New Roman"/>
          <w:b/>
          <w:bCs/>
          <w:color w:val="000000" w:themeColor="text1"/>
          <w:spacing w:val="-62"/>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2.4-2    地下水质量标准（Ⅲ类）</w:t>
      </w:r>
      <w:r>
        <w:rPr>
          <w:rFonts w:ascii="Times New Roman" w:hAnsi="Times New Roman" w:eastAsia="宋体" w:cs="Times New Roman"/>
          <w:b/>
          <w:bCs/>
          <w:color w:val="000000" w:themeColor="text1"/>
          <w14:textFill>
            <w14:solidFill>
              <w14:schemeClr w14:val="tx1"/>
            </w14:solidFill>
          </w14:textFill>
        </w:rPr>
        <w:tab/>
      </w:r>
      <w:r>
        <w:rPr>
          <w:rFonts w:ascii="Times New Roman" w:hAnsi="Times New Roman" w:eastAsia="宋体" w:cs="Times New Roman"/>
          <w:b/>
          <w:bCs/>
          <w:color w:val="000000" w:themeColor="text1"/>
          <w14:textFill>
            <w14:solidFill>
              <w14:schemeClr w14:val="tx1"/>
            </w14:solidFill>
          </w14:textFill>
        </w:rPr>
        <w:t>单位：mg/L，pH</w:t>
      </w:r>
      <w:r>
        <w:rPr>
          <w:rFonts w:ascii="Times New Roman" w:hAnsi="Times New Roman" w:eastAsia="宋体" w:cs="Times New Roman"/>
          <w:b/>
          <w:bCs/>
          <w:color w:val="000000" w:themeColor="text1"/>
          <w:spacing w:val="-61"/>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除外</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0"/>
        <w:gridCol w:w="3662"/>
        <w:gridCol w:w="1848"/>
        <w:gridCol w:w="2584"/>
      </w:tblGrid>
      <w:tr w14:paraId="4780B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7721E3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3662" w:type="dxa"/>
            <w:tcBorders>
              <w:tl2br w:val="nil"/>
              <w:tr2bl w:val="nil"/>
            </w:tcBorders>
            <w:vAlign w:val="center"/>
          </w:tcPr>
          <w:p w14:paraId="56165F4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监测项目</w:t>
            </w:r>
          </w:p>
        </w:tc>
        <w:tc>
          <w:tcPr>
            <w:tcW w:w="1848" w:type="dxa"/>
            <w:tcBorders>
              <w:tl2br w:val="nil"/>
              <w:tr2bl w:val="nil"/>
            </w:tcBorders>
            <w:vAlign w:val="center"/>
          </w:tcPr>
          <w:p w14:paraId="61C24D2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Ⅲ类标准限值</w:t>
            </w:r>
          </w:p>
        </w:tc>
        <w:tc>
          <w:tcPr>
            <w:tcW w:w="2584" w:type="dxa"/>
            <w:tcBorders>
              <w:tl2br w:val="nil"/>
              <w:tr2bl w:val="nil"/>
            </w:tcBorders>
            <w:vAlign w:val="center"/>
          </w:tcPr>
          <w:p w14:paraId="320817E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标准来源</w:t>
            </w:r>
          </w:p>
        </w:tc>
      </w:tr>
      <w:tr w14:paraId="660E3B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0" w:type="dxa"/>
            <w:tcBorders>
              <w:tl2br w:val="nil"/>
              <w:tr2bl w:val="nil"/>
            </w:tcBorders>
            <w:vAlign w:val="center"/>
          </w:tcPr>
          <w:p w14:paraId="4D207D2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3662" w:type="dxa"/>
            <w:tcBorders>
              <w:tl2br w:val="nil"/>
              <w:tr2bl w:val="nil"/>
            </w:tcBorders>
            <w:vAlign w:val="center"/>
          </w:tcPr>
          <w:p w14:paraId="4DF3981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pH</w:t>
            </w:r>
          </w:p>
        </w:tc>
        <w:tc>
          <w:tcPr>
            <w:tcW w:w="1848" w:type="dxa"/>
            <w:tcBorders>
              <w:tl2br w:val="nil"/>
              <w:tr2bl w:val="nil"/>
            </w:tcBorders>
            <w:vAlign w:val="center"/>
          </w:tcPr>
          <w:p w14:paraId="23EC624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8.5</w:t>
            </w:r>
          </w:p>
        </w:tc>
        <w:tc>
          <w:tcPr>
            <w:tcW w:w="2584" w:type="dxa"/>
            <w:vMerge w:val="restart"/>
            <w:tcBorders>
              <w:tl2br w:val="nil"/>
              <w:tr2bl w:val="nil"/>
            </w:tcBorders>
            <w:vAlign w:val="center"/>
          </w:tcPr>
          <w:p w14:paraId="2198F34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《地下水质量标准》</w:t>
            </w:r>
          </w:p>
          <w:p w14:paraId="66AA0DF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（GB/T14848-2017）</w:t>
            </w:r>
          </w:p>
        </w:tc>
      </w:tr>
      <w:tr w14:paraId="21DABA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4442221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3662" w:type="dxa"/>
            <w:tcBorders>
              <w:tl2br w:val="nil"/>
              <w:tr2bl w:val="nil"/>
            </w:tcBorders>
            <w:vAlign w:val="center"/>
          </w:tcPr>
          <w:p w14:paraId="548703F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总硬度（以CaCO</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计）（mg/L）</w:t>
            </w:r>
          </w:p>
        </w:tc>
        <w:tc>
          <w:tcPr>
            <w:tcW w:w="1848" w:type="dxa"/>
            <w:tcBorders>
              <w:tl2br w:val="nil"/>
              <w:tr2bl w:val="nil"/>
            </w:tcBorders>
            <w:vAlign w:val="center"/>
          </w:tcPr>
          <w:p w14:paraId="2D49121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≤450</w:t>
            </w:r>
          </w:p>
        </w:tc>
        <w:tc>
          <w:tcPr>
            <w:tcW w:w="2584" w:type="dxa"/>
            <w:vMerge w:val="continue"/>
            <w:tcBorders>
              <w:tl2br w:val="nil"/>
              <w:tr2bl w:val="nil"/>
            </w:tcBorders>
            <w:vAlign w:val="center"/>
          </w:tcPr>
          <w:p w14:paraId="0AC85690">
            <w:pPr>
              <w:pStyle w:val="56"/>
              <w:rPr>
                <w:rFonts w:ascii="Times New Roman" w:hAnsi="Times New Roman"/>
                <w:color w:val="000000" w:themeColor="text1"/>
                <w:szCs w:val="21"/>
                <w14:textFill>
                  <w14:solidFill>
                    <w14:schemeClr w14:val="tx1"/>
                  </w14:solidFill>
                </w14:textFill>
              </w:rPr>
            </w:pPr>
          </w:p>
        </w:tc>
      </w:tr>
      <w:tr w14:paraId="46331C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4AC8779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3662" w:type="dxa"/>
            <w:tcBorders>
              <w:tl2br w:val="nil"/>
              <w:tr2bl w:val="nil"/>
            </w:tcBorders>
            <w:vAlign w:val="center"/>
          </w:tcPr>
          <w:p w14:paraId="42594AF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溶解性总固体（mg/L）</w:t>
            </w:r>
          </w:p>
        </w:tc>
        <w:tc>
          <w:tcPr>
            <w:tcW w:w="1848" w:type="dxa"/>
            <w:tcBorders>
              <w:tl2br w:val="nil"/>
              <w:tr2bl w:val="nil"/>
            </w:tcBorders>
            <w:vAlign w:val="center"/>
          </w:tcPr>
          <w:p w14:paraId="5220E4A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≤1000</w:t>
            </w:r>
          </w:p>
        </w:tc>
        <w:tc>
          <w:tcPr>
            <w:tcW w:w="2584" w:type="dxa"/>
            <w:vMerge w:val="continue"/>
            <w:tcBorders>
              <w:tl2br w:val="nil"/>
              <w:tr2bl w:val="nil"/>
            </w:tcBorders>
            <w:vAlign w:val="center"/>
          </w:tcPr>
          <w:p w14:paraId="646A2D35">
            <w:pPr>
              <w:pStyle w:val="56"/>
              <w:rPr>
                <w:rFonts w:ascii="Times New Roman" w:hAnsi="Times New Roman"/>
                <w:color w:val="000000" w:themeColor="text1"/>
                <w:szCs w:val="21"/>
                <w14:textFill>
                  <w14:solidFill>
                    <w14:schemeClr w14:val="tx1"/>
                  </w14:solidFill>
                </w14:textFill>
              </w:rPr>
            </w:pPr>
          </w:p>
        </w:tc>
      </w:tr>
      <w:tr w14:paraId="5BD1F3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381853C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3662" w:type="dxa"/>
            <w:tcBorders>
              <w:tl2br w:val="nil"/>
              <w:tr2bl w:val="nil"/>
            </w:tcBorders>
            <w:vAlign w:val="center"/>
          </w:tcPr>
          <w:p w14:paraId="67C7F98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硫酸盐（mg/L）</w:t>
            </w:r>
          </w:p>
        </w:tc>
        <w:tc>
          <w:tcPr>
            <w:tcW w:w="1848" w:type="dxa"/>
            <w:tcBorders>
              <w:tl2br w:val="nil"/>
              <w:tr2bl w:val="nil"/>
            </w:tcBorders>
            <w:vAlign w:val="center"/>
          </w:tcPr>
          <w:p w14:paraId="1907E0C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≤250</w:t>
            </w:r>
          </w:p>
        </w:tc>
        <w:tc>
          <w:tcPr>
            <w:tcW w:w="2584" w:type="dxa"/>
            <w:vMerge w:val="continue"/>
            <w:tcBorders>
              <w:tl2br w:val="nil"/>
              <w:tr2bl w:val="nil"/>
            </w:tcBorders>
            <w:vAlign w:val="center"/>
          </w:tcPr>
          <w:p w14:paraId="1EDAC837">
            <w:pPr>
              <w:pStyle w:val="56"/>
              <w:rPr>
                <w:rFonts w:ascii="Times New Roman" w:hAnsi="Times New Roman"/>
                <w:color w:val="000000" w:themeColor="text1"/>
                <w:szCs w:val="21"/>
                <w14:textFill>
                  <w14:solidFill>
                    <w14:schemeClr w14:val="tx1"/>
                  </w14:solidFill>
                </w14:textFill>
              </w:rPr>
            </w:pPr>
          </w:p>
        </w:tc>
      </w:tr>
      <w:tr w14:paraId="44530E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65EA26B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3662" w:type="dxa"/>
            <w:tcBorders>
              <w:tl2br w:val="nil"/>
              <w:tr2bl w:val="nil"/>
            </w:tcBorders>
            <w:vAlign w:val="center"/>
          </w:tcPr>
          <w:p w14:paraId="03446EE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氯化物（mg/L）</w:t>
            </w:r>
          </w:p>
        </w:tc>
        <w:tc>
          <w:tcPr>
            <w:tcW w:w="1848" w:type="dxa"/>
            <w:tcBorders>
              <w:tl2br w:val="nil"/>
              <w:tr2bl w:val="nil"/>
            </w:tcBorders>
            <w:vAlign w:val="center"/>
          </w:tcPr>
          <w:p w14:paraId="5D4EC80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≤250</w:t>
            </w:r>
          </w:p>
        </w:tc>
        <w:tc>
          <w:tcPr>
            <w:tcW w:w="2584" w:type="dxa"/>
            <w:vMerge w:val="continue"/>
            <w:tcBorders>
              <w:tl2br w:val="nil"/>
              <w:tr2bl w:val="nil"/>
            </w:tcBorders>
            <w:vAlign w:val="center"/>
          </w:tcPr>
          <w:p w14:paraId="7344B08D">
            <w:pPr>
              <w:pStyle w:val="56"/>
              <w:rPr>
                <w:rFonts w:ascii="Times New Roman" w:hAnsi="Times New Roman"/>
                <w:color w:val="000000" w:themeColor="text1"/>
                <w:szCs w:val="21"/>
                <w14:textFill>
                  <w14:solidFill>
                    <w14:schemeClr w14:val="tx1"/>
                  </w14:solidFill>
                </w14:textFill>
              </w:rPr>
            </w:pPr>
          </w:p>
        </w:tc>
      </w:tr>
      <w:tr w14:paraId="14E022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2013D5A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3662" w:type="dxa"/>
            <w:tcBorders>
              <w:tl2br w:val="nil"/>
              <w:tr2bl w:val="nil"/>
            </w:tcBorders>
            <w:vAlign w:val="center"/>
          </w:tcPr>
          <w:p w14:paraId="72ABFF5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铁（mg/L）</w:t>
            </w:r>
          </w:p>
        </w:tc>
        <w:tc>
          <w:tcPr>
            <w:tcW w:w="1848" w:type="dxa"/>
            <w:tcBorders>
              <w:tl2br w:val="nil"/>
              <w:tr2bl w:val="nil"/>
            </w:tcBorders>
            <w:vAlign w:val="center"/>
          </w:tcPr>
          <w:p w14:paraId="69BEDE5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≤0.3</w:t>
            </w:r>
          </w:p>
        </w:tc>
        <w:tc>
          <w:tcPr>
            <w:tcW w:w="2584" w:type="dxa"/>
            <w:vMerge w:val="continue"/>
            <w:tcBorders>
              <w:tl2br w:val="nil"/>
              <w:tr2bl w:val="nil"/>
            </w:tcBorders>
            <w:vAlign w:val="center"/>
          </w:tcPr>
          <w:p w14:paraId="0A937129">
            <w:pPr>
              <w:pStyle w:val="56"/>
              <w:rPr>
                <w:rFonts w:ascii="Times New Roman" w:hAnsi="Times New Roman"/>
                <w:color w:val="000000" w:themeColor="text1"/>
                <w:szCs w:val="21"/>
                <w14:textFill>
                  <w14:solidFill>
                    <w14:schemeClr w14:val="tx1"/>
                  </w14:solidFill>
                </w14:textFill>
              </w:rPr>
            </w:pPr>
          </w:p>
        </w:tc>
      </w:tr>
      <w:tr w14:paraId="340D0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0CB8817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3662" w:type="dxa"/>
            <w:tcBorders>
              <w:tl2br w:val="nil"/>
              <w:tr2bl w:val="nil"/>
            </w:tcBorders>
            <w:vAlign w:val="center"/>
          </w:tcPr>
          <w:p w14:paraId="632A1EE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锰（mg/L）</w:t>
            </w:r>
          </w:p>
        </w:tc>
        <w:tc>
          <w:tcPr>
            <w:tcW w:w="1848" w:type="dxa"/>
            <w:tcBorders>
              <w:tl2br w:val="nil"/>
              <w:tr2bl w:val="nil"/>
            </w:tcBorders>
            <w:vAlign w:val="center"/>
          </w:tcPr>
          <w:p w14:paraId="4ACA167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≤0.10</w:t>
            </w:r>
          </w:p>
        </w:tc>
        <w:tc>
          <w:tcPr>
            <w:tcW w:w="2584" w:type="dxa"/>
            <w:vMerge w:val="continue"/>
            <w:tcBorders>
              <w:tl2br w:val="nil"/>
              <w:tr2bl w:val="nil"/>
            </w:tcBorders>
            <w:vAlign w:val="center"/>
          </w:tcPr>
          <w:p w14:paraId="1F089454">
            <w:pPr>
              <w:pStyle w:val="56"/>
              <w:rPr>
                <w:rFonts w:ascii="Times New Roman" w:hAnsi="Times New Roman"/>
                <w:color w:val="000000" w:themeColor="text1"/>
                <w:szCs w:val="21"/>
                <w14:textFill>
                  <w14:solidFill>
                    <w14:schemeClr w14:val="tx1"/>
                  </w14:solidFill>
                </w14:textFill>
              </w:rPr>
            </w:pPr>
          </w:p>
        </w:tc>
      </w:tr>
      <w:tr w14:paraId="2C3ABA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7868255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3662" w:type="dxa"/>
            <w:tcBorders>
              <w:tl2br w:val="nil"/>
              <w:tr2bl w:val="nil"/>
            </w:tcBorders>
            <w:vAlign w:val="center"/>
          </w:tcPr>
          <w:p w14:paraId="35371E0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挥发性酚（以苯酚计）（mg/L）</w:t>
            </w:r>
          </w:p>
        </w:tc>
        <w:tc>
          <w:tcPr>
            <w:tcW w:w="1848" w:type="dxa"/>
            <w:tcBorders>
              <w:tl2br w:val="nil"/>
              <w:tr2bl w:val="nil"/>
            </w:tcBorders>
            <w:vAlign w:val="center"/>
          </w:tcPr>
          <w:p w14:paraId="4B8FD7F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≤0.002</w:t>
            </w:r>
          </w:p>
        </w:tc>
        <w:tc>
          <w:tcPr>
            <w:tcW w:w="2584" w:type="dxa"/>
            <w:vMerge w:val="continue"/>
            <w:tcBorders>
              <w:tl2br w:val="nil"/>
              <w:tr2bl w:val="nil"/>
            </w:tcBorders>
            <w:vAlign w:val="center"/>
          </w:tcPr>
          <w:p w14:paraId="27DCB853">
            <w:pPr>
              <w:pStyle w:val="56"/>
              <w:rPr>
                <w:rFonts w:ascii="Times New Roman" w:hAnsi="Times New Roman"/>
                <w:color w:val="000000" w:themeColor="text1"/>
                <w:szCs w:val="21"/>
                <w14:textFill>
                  <w14:solidFill>
                    <w14:schemeClr w14:val="tx1"/>
                  </w14:solidFill>
                </w14:textFill>
              </w:rPr>
            </w:pPr>
          </w:p>
        </w:tc>
      </w:tr>
      <w:tr w14:paraId="4895F4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003ECB2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3662" w:type="dxa"/>
            <w:tcBorders>
              <w:tl2br w:val="nil"/>
              <w:tr2bl w:val="nil"/>
            </w:tcBorders>
            <w:vAlign w:val="center"/>
          </w:tcPr>
          <w:p w14:paraId="5DE0F00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阴离子表面活性剂（mg/L）</w:t>
            </w:r>
          </w:p>
        </w:tc>
        <w:tc>
          <w:tcPr>
            <w:tcW w:w="1848" w:type="dxa"/>
            <w:tcBorders>
              <w:tl2br w:val="nil"/>
              <w:tr2bl w:val="nil"/>
            </w:tcBorders>
            <w:vAlign w:val="center"/>
          </w:tcPr>
          <w:p w14:paraId="32CA36E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≤0.3</w:t>
            </w:r>
          </w:p>
        </w:tc>
        <w:tc>
          <w:tcPr>
            <w:tcW w:w="2584" w:type="dxa"/>
            <w:vMerge w:val="continue"/>
            <w:tcBorders>
              <w:tl2br w:val="nil"/>
              <w:tr2bl w:val="nil"/>
            </w:tcBorders>
            <w:vAlign w:val="center"/>
          </w:tcPr>
          <w:p w14:paraId="33ED3788">
            <w:pPr>
              <w:pStyle w:val="56"/>
              <w:rPr>
                <w:rFonts w:ascii="Times New Roman" w:hAnsi="Times New Roman"/>
                <w:color w:val="000000" w:themeColor="text1"/>
                <w:szCs w:val="21"/>
                <w14:textFill>
                  <w14:solidFill>
                    <w14:schemeClr w14:val="tx1"/>
                  </w14:solidFill>
                </w14:textFill>
              </w:rPr>
            </w:pPr>
          </w:p>
        </w:tc>
      </w:tr>
      <w:tr w14:paraId="5B09C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540A195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3662" w:type="dxa"/>
            <w:tcBorders>
              <w:tl2br w:val="nil"/>
              <w:tr2bl w:val="nil"/>
            </w:tcBorders>
            <w:vAlign w:val="center"/>
          </w:tcPr>
          <w:p w14:paraId="60DEBC1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耗氧量（COD</w:t>
            </w:r>
            <w:r>
              <w:rPr>
                <w:rFonts w:ascii="Times New Roman" w:hAnsi="Times New Roman"/>
                <w:color w:val="000000" w:themeColor="text1"/>
                <w:szCs w:val="21"/>
                <w:vertAlign w:val="subscript"/>
                <w14:textFill>
                  <w14:solidFill>
                    <w14:schemeClr w14:val="tx1"/>
                  </w14:solidFill>
                </w14:textFill>
              </w:rPr>
              <w:t>Mn</w:t>
            </w:r>
            <w:r>
              <w:rPr>
                <w:rFonts w:ascii="Times New Roman" w:hAnsi="Times New Roman"/>
                <w:color w:val="000000" w:themeColor="text1"/>
                <w:szCs w:val="21"/>
                <w14:textFill>
                  <w14:solidFill>
                    <w14:schemeClr w14:val="tx1"/>
                  </w14:solidFill>
                </w14:textFill>
              </w:rPr>
              <w:t>法，以O</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计）（mg/L）</w:t>
            </w:r>
          </w:p>
        </w:tc>
        <w:tc>
          <w:tcPr>
            <w:tcW w:w="1848" w:type="dxa"/>
            <w:tcBorders>
              <w:tl2br w:val="nil"/>
              <w:tr2bl w:val="nil"/>
            </w:tcBorders>
            <w:vAlign w:val="center"/>
          </w:tcPr>
          <w:p w14:paraId="75B18D08">
            <w:pPr>
              <w:pStyle w:val="56"/>
              <w:rPr>
                <w:rFonts w:ascii="Times New Roman" w:hAnsi="Times New Roman"/>
                <w:color w:val="000000" w:themeColor="text1"/>
                <w:szCs w:val="21"/>
                <w14:textFill>
                  <w14:solidFill>
                    <w14:schemeClr w14:val="tx1"/>
                  </w14:solidFill>
                </w14:textFill>
              </w:rPr>
            </w:pPr>
            <w:bookmarkStart w:id="58" w:name="_Hlk124016469"/>
            <w:r>
              <w:rPr>
                <w:rFonts w:ascii="Times New Roman" w:hAnsi="Times New Roman"/>
                <w:color w:val="000000" w:themeColor="text1"/>
                <w:szCs w:val="21"/>
                <w14:textFill>
                  <w14:solidFill>
                    <w14:schemeClr w14:val="tx1"/>
                  </w14:solidFill>
                </w14:textFill>
              </w:rPr>
              <w:t>≤3.00</w:t>
            </w:r>
            <w:bookmarkEnd w:id="58"/>
          </w:p>
        </w:tc>
        <w:tc>
          <w:tcPr>
            <w:tcW w:w="2584" w:type="dxa"/>
            <w:vMerge w:val="continue"/>
            <w:tcBorders>
              <w:tl2br w:val="nil"/>
              <w:tr2bl w:val="nil"/>
            </w:tcBorders>
            <w:vAlign w:val="center"/>
          </w:tcPr>
          <w:p w14:paraId="35B48E98">
            <w:pPr>
              <w:pStyle w:val="56"/>
              <w:rPr>
                <w:rFonts w:ascii="Times New Roman" w:hAnsi="Times New Roman"/>
                <w:color w:val="000000" w:themeColor="text1"/>
                <w:szCs w:val="21"/>
                <w14:textFill>
                  <w14:solidFill>
                    <w14:schemeClr w14:val="tx1"/>
                  </w14:solidFill>
                </w14:textFill>
              </w:rPr>
            </w:pPr>
          </w:p>
        </w:tc>
      </w:tr>
      <w:tr w14:paraId="3A43A0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4F35904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w:t>
            </w:r>
          </w:p>
        </w:tc>
        <w:tc>
          <w:tcPr>
            <w:tcW w:w="3662" w:type="dxa"/>
            <w:tcBorders>
              <w:tl2br w:val="nil"/>
              <w:tr2bl w:val="nil"/>
            </w:tcBorders>
            <w:vAlign w:val="center"/>
          </w:tcPr>
          <w:p w14:paraId="5C63F6E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氨氮（以N计）（mg/L）</w:t>
            </w:r>
          </w:p>
        </w:tc>
        <w:tc>
          <w:tcPr>
            <w:tcW w:w="1848" w:type="dxa"/>
            <w:tcBorders>
              <w:tl2br w:val="nil"/>
              <w:tr2bl w:val="nil"/>
            </w:tcBorders>
            <w:vAlign w:val="center"/>
          </w:tcPr>
          <w:p w14:paraId="0265200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≤0.50</w:t>
            </w:r>
          </w:p>
        </w:tc>
        <w:tc>
          <w:tcPr>
            <w:tcW w:w="2584" w:type="dxa"/>
            <w:vMerge w:val="continue"/>
            <w:tcBorders>
              <w:tl2br w:val="nil"/>
              <w:tr2bl w:val="nil"/>
            </w:tcBorders>
            <w:vAlign w:val="center"/>
          </w:tcPr>
          <w:p w14:paraId="53AC3233">
            <w:pPr>
              <w:pStyle w:val="56"/>
              <w:rPr>
                <w:rFonts w:ascii="Times New Roman" w:hAnsi="Times New Roman"/>
                <w:color w:val="000000" w:themeColor="text1"/>
                <w:szCs w:val="21"/>
                <w14:textFill>
                  <w14:solidFill>
                    <w14:schemeClr w14:val="tx1"/>
                  </w14:solidFill>
                </w14:textFill>
              </w:rPr>
            </w:pPr>
          </w:p>
        </w:tc>
      </w:tr>
      <w:tr w14:paraId="612379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05840F4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w:t>
            </w:r>
          </w:p>
        </w:tc>
        <w:tc>
          <w:tcPr>
            <w:tcW w:w="3662" w:type="dxa"/>
            <w:tcBorders>
              <w:tl2br w:val="nil"/>
              <w:tr2bl w:val="nil"/>
            </w:tcBorders>
            <w:vAlign w:val="center"/>
          </w:tcPr>
          <w:p w14:paraId="2AF4AF6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硫化物（mg/L）</w:t>
            </w:r>
          </w:p>
        </w:tc>
        <w:tc>
          <w:tcPr>
            <w:tcW w:w="1848" w:type="dxa"/>
            <w:tcBorders>
              <w:tl2br w:val="nil"/>
              <w:tr2bl w:val="nil"/>
            </w:tcBorders>
            <w:vAlign w:val="center"/>
          </w:tcPr>
          <w:p w14:paraId="2E36A23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≤0.02</w:t>
            </w:r>
          </w:p>
        </w:tc>
        <w:tc>
          <w:tcPr>
            <w:tcW w:w="2584" w:type="dxa"/>
            <w:vMerge w:val="continue"/>
            <w:tcBorders>
              <w:tl2br w:val="nil"/>
              <w:tr2bl w:val="nil"/>
            </w:tcBorders>
            <w:vAlign w:val="center"/>
          </w:tcPr>
          <w:p w14:paraId="77AE2356">
            <w:pPr>
              <w:pStyle w:val="56"/>
              <w:rPr>
                <w:rFonts w:ascii="Times New Roman" w:hAnsi="Times New Roman"/>
                <w:color w:val="000000" w:themeColor="text1"/>
                <w:szCs w:val="21"/>
                <w14:textFill>
                  <w14:solidFill>
                    <w14:schemeClr w14:val="tx1"/>
                  </w14:solidFill>
                </w14:textFill>
              </w:rPr>
            </w:pPr>
          </w:p>
        </w:tc>
      </w:tr>
      <w:tr w14:paraId="38C6B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23DB2B7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13</w:t>
            </w:r>
          </w:p>
        </w:tc>
        <w:tc>
          <w:tcPr>
            <w:tcW w:w="3662" w:type="dxa"/>
            <w:tcBorders>
              <w:tl2br w:val="nil"/>
              <w:tr2bl w:val="nil"/>
            </w:tcBorders>
            <w:vAlign w:val="center"/>
          </w:tcPr>
          <w:p w14:paraId="2A16A30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总大肠菌群（MPNb/100mL或CFUe/100mL）</w:t>
            </w:r>
          </w:p>
        </w:tc>
        <w:tc>
          <w:tcPr>
            <w:tcW w:w="1848" w:type="dxa"/>
            <w:tcBorders>
              <w:tl2br w:val="nil"/>
              <w:tr2bl w:val="nil"/>
            </w:tcBorders>
            <w:vAlign w:val="center"/>
          </w:tcPr>
          <w:p w14:paraId="3E6777A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w:t>
            </w:r>
          </w:p>
        </w:tc>
        <w:tc>
          <w:tcPr>
            <w:tcW w:w="2584" w:type="dxa"/>
            <w:vMerge w:val="continue"/>
            <w:tcBorders>
              <w:tl2br w:val="nil"/>
              <w:tr2bl w:val="nil"/>
            </w:tcBorders>
            <w:vAlign w:val="center"/>
          </w:tcPr>
          <w:p w14:paraId="7E3F5A3F">
            <w:pPr>
              <w:pStyle w:val="56"/>
              <w:rPr>
                <w:rFonts w:ascii="Times New Roman" w:hAnsi="Times New Roman"/>
                <w:color w:val="000000" w:themeColor="text1"/>
                <w:szCs w:val="21"/>
                <w14:textFill>
                  <w14:solidFill>
                    <w14:schemeClr w14:val="tx1"/>
                  </w14:solidFill>
                </w14:textFill>
              </w:rPr>
            </w:pPr>
          </w:p>
        </w:tc>
      </w:tr>
      <w:tr w14:paraId="14109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55992DB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14</w:t>
            </w:r>
          </w:p>
        </w:tc>
        <w:tc>
          <w:tcPr>
            <w:tcW w:w="3662" w:type="dxa"/>
            <w:tcBorders>
              <w:tl2br w:val="nil"/>
              <w:tr2bl w:val="nil"/>
            </w:tcBorders>
            <w:vAlign w:val="center"/>
          </w:tcPr>
          <w:p w14:paraId="70FA4A0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亚硝酸盐（以N计）（mg/L）</w:t>
            </w:r>
          </w:p>
        </w:tc>
        <w:tc>
          <w:tcPr>
            <w:tcW w:w="1848" w:type="dxa"/>
            <w:tcBorders>
              <w:tl2br w:val="nil"/>
              <w:tr2bl w:val="nil"/>
            </w:tcBorders>
            <w:vAlign w:val="center"/>
          </w:tcPr>
          <w:p w14:paraId="5A03C91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2584" w:type="dxa"/>
            <w:vMerge w:val="continue"/>
            <w:tcBorders>
              <w:tl2br w:val="nil"/>
              <w:tr2bl w:val="nil"/>
            </w:tcBorders>
            <w:vAlign w:val="center"/>
          </w:tcPr>
          <w:p w14:paraId="3D2C7D6D">
            <w:pPr>
              <w:pStyle w:val="56"/>
              <w:rPr>
                <w:rFonts w:ascii="Times New Roman" w:hAnsi="Times New Roman"/>
                <w:color w:val="000000" w:themeColor="text1"/>
                <w:szCs w:val="21"/>
                <w14:textFill>
                  <w14:solidFill>
                    <w14:schemeClr w14:val="tx1"/>
                  </w14:solidFill>
                </w14:textFill>
              </w:rPr>
            </w:pPr>
          </w:p>
        </w:tc>
      </w:tr>
      <w:tr w14:paraId="5087FB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6D31584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3662" w:type="dxa"/>
            <w:tcBorders>
              <w:tl2br w:val="nil"/>
              <w:tr2bl w:val="nil"/>
            </w:tcBorders>
            <w:vAlign w:val="center"/>
          </w:tcPr>
          <w:p w14:paraId="6F33D0E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硝酸盐（以N计）（mg/L）</w:t>
            </w:r>
          </w:p>
        </w:tc>
        <w:tc>
          <w:tcPr>
            <w:tcW w:w="1848" w:type="dxa"/>
            <w:tcBorders>
              <w:tl2br w:val="nil"/>
              <w:tr2bl w:val="nil"/>
            </w:tcBorders>
            <w:vAlign w:val="center"/>
          </w:tcPr>
          <w:p w14:paraId="0D1E3F5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2584" w:type="dxa"/>
            <w:vMerge w:val="continue"/>
            <w:tcBorders>
              <w:tl2br w:val="nil"/>
              <w:tr2bl w:val="nil"/>
            </w:tcBorders>
            <w:vAlign w:val="center"/>
          </w:tcPr>
          <w:p w14:paraId="4FB0BE4F">
            <w:pPr>
              <w:pStyle w:val="56"/>
              <w:rPr>
                <w:rFonts w:ascii="Times New Roman" w:hAnsi="Times New Roman"/>
                <w:color w:val="000000" w:themeColor="text1"/>
                <w:szCs w:val="21"/>
                <w14:textFill>
                  <w14:solidFill>
                    <w14:schemeClr w14:val="tx1"/>
                  </w14:solidFill>
                </w14:textFill>
              </w:rPr>
            </w:pPr>
          </w:p>
        </w:tc>
      </w:tr>
      <w:tr w14:paraId="351DFD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1329B7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w:t>
            </w:r>
          </w:p>
        </w:tc>
        <w:tc>
          <w:tcPr>
            <w:tcW w:w="3662" w:type="dxa"/>
            <w:tcBorders>
              <w:tl2br w:val="nil"/>
              <w:tr2bl w:val="nil"/>
            </w:tcBorders>
            <w:vAlign w:val="center"/>
          </w:tcPr>
          <w:p w14:paraId="6FE3ADF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氰化物（mg/L）</w:t>
            </w:r>
          </w:p>
        </w:tc>
        <w:tc>
          <w:tcPr>
            <w:tcW w:w="1848" w:type="dxa"/>
            <w:tcBorders>
              <w:tl2br w:val="nil"/>
              <w:tr2bl w:val="nil"/>
            </w:tcBorders>
            <w:vAlign w:val="center"/>
          </w:tcPr>
          <w:p w14:paraId="5A4CA56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≤0.05</w:t>
            </w:r>
          </w:p>
        </w:tc>
        <w:tc>
          <w:tcPr>
            <w:tcW w:w="2584" w:type="dxa"/>
            <w:vMerge w:val="continue"/>
            <w:tcBorders>
              <w:tl2br w:val="nil"/>
              <w:tr2bl w:val="nil"/>
            </w:tcBorders>
            <w:vAlign w:val="center"/>
          </w:tcPr>
          <w:p w14:paraId="5E4AE391">
            <w:pPr>
              <w:pStyle w:val="56"/>
              <w:rPr>
                <w:rFonts w:ascii="Times New Roman" w:hAnsi="Times New Roman"/>
                <w:color w:val="000000" w:themeColor="text1"/>
                <w:szCs w:val="21"/>
                <w14:textFill>
                  <w14:solidFill>
                    <w14:schemeClr w14:val="tx1"/>
                  </w14:solidFill>
                </w14:textFill>
              </w:rPr>
            </w:pPr>
          </w:p>
        </w:tc>
      </w:tr>
      <w:tr w14:paraId="7DE77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79CD04B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w:t>
            </w:r>
          </w:p>
        </w:tc>
        <w:tc>
          <w:tcPr>
            <w:tcW w:w="3662" w:type="dxa"/>
            <w:tcBorders>
              <w:tl2br w:val="nil"/>
              <w:tr2bl w:val="nil"/>
            </w:tcBorders>
            <w:vAlign w:val="center"/>
          </w:tcPr>
          <w:p w14:paraId="5CBC4C4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氟化物（mg/L）</w:t>
            </w:r>
          </w:p>
        </w:tc>
        <w:tc>
          <w:tcPr>
            <w:tcW w:w="1848" w:type="dxa"/>
            <w:tcBorders>
              <w:tl2br w:val="nil"/>
              <w:tr2bl w:val="nil"/>
            </w:tcBorders>
            <w:vAlign w:val="center"/>
          </w:tcPr>
          <w:p w14:paraId="5B23519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2584" w:type="dxa"/>
            <w:vMerge w:val="continue"/>
            <w:tcBorders>
              <w:tl2br w:val="nil"/>
              <w:tr2bl w:val="nil"/>
            </w:tcBorders>
            <w:vAlign w:val="center"/>
          </w:tcPr>
          <w:p w14:paraId="550426F3">
            <w:pPr>
              <w:pStyle w:val="56"/>
              <w:rPr>
                <w:rFonts w:ascii="Times New Roman" w:hAnsi="Times New Roman"/>
                <w:color w:val="000000" w:themeColor="text1"/>
                <w:szCs w:val="21"/>
                <w14:textFill>
                  <w14:solidFill>
                    <w14:schemeClr w14:val="tx1"/>
                  </w14:solidFill>
                </w14:textFill>
              </w:rPr>
            </w:pPr>
          </w:p>
        </w:tc>
      </w:tr>
      <w:tr w14:paraId="128100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7CC004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w:t>
            </w:r>
          </w:p>
        </w:tc>
        <w:tc>
          <w:tcPr>
            <w:tcW w:w="3662" w:type="dxa"/>
            <w:tcBorders>
              <w:tl2br w:val="nil"/>
              <w:tr2bl w:val="nil"/>
            </w:tcBorders>
            <w:vAlign w:val="center"/>
          </w:tcPr>
          <w:p w14:paraId="307E539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汞（mg/L）</w:t>
            </w:r>
          </w:p>
        </w:tc>
        <w:tc>
          <w:tcPr>
            <w:tcW w:w="1848" w:type="dxa"/>
            <w:tcBorders>
              <w:tl2br w:val="nil"/>
              <w:tr2bl w:val="nil"/>
            </w:tcBorders>
            <w:vAlign w:val="center"/>
          </w:tcPr>
          <w:p w14:paraId="0E02EF4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≤0.001</w:t>
            </w:r>
          </w:p>
        </w:tc>
        <w:tc>
          <w:tcPr>
            <w:tcW w:w="2584" w:type="dxa"/>
            <w:vMerge w:val="continue"/>
            <w:tcBorders>
              <w:tl2br w:val="nil"/>
              <w:tr2bl w:val="nil"/>
            </w:tcBorders>
            <w:vAlign w:val="center"/>
          </w:tcPr>
          <w:p w14:paraId="783B5C73">
            <w:pPr>
              <w:pStyle w:val="56"/>
              <w:rPr>
                <w:rFonts w:ascii="Times New Roman" w:hAnsi="Times New Roman"/>
                <w:color w:val="000000" w:themeColor="text1"/>
                <w:szCs w:val="21"/>
                <w14:textFill>
                  <w14:solidFill>
                    <w14:schemeClr w14:val="tx1"/>
                  </w14:solidFill>
                </w14:textFill>
              </w:rPr>
            </w:pPr>
          </w:p>
        </w:tc>
      </w:tr>
      <w:tr w14:paraId="7532DE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363CB86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w:t>
            </w:r>
          </w:p>
        </w:tc>
        <w:tc>
          <w:tcPr>
            <w:tcW w:w="3662" w:type="dxa"/>
            <w:tcBorders>
              <w:tl2br w:val="nil"/>
              <w:tr2bl w:val="nil"/>
            </w:tcBorders>
            <w:vAlign w:val="center"/>
          </w:tcPr>
          <w:p w14:paraId="134399C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砷（mg/L）</w:t>
            </w:r>
          </w:p>
        </w:tc>
        <w:tc>
          <w:tcPr>
            <w:tcW w:w="1848" w:type="dxa"/>
            <w:tcBorders>
              <w:tl2br w:val="nil"/>
              <w:tr2bl w:val="nil"/>
            </w:tcBorders>
            <w:vAlign w:val="center"/>
          </w:tcPr>
          <w:p w14:paraId="4CF0E59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≤0.01</w:t>
            </w:r>
          </w:p>
        </w:tc>
        <w:tc>
          <w:tcPr>
            <w:tcW w:w="2584" w:type="dxa"/>
            <w:vMerge w:val="continue"/>
            <w:tcBorders>
              <w:tl2br w:val="nil"/>
              <w:tr2bl w:val="nil"/>
            </w:tcBorders>
            <w:vAlign w:val="center"/>
          </w:tcPr>
          <w:p w14:paraId="4754BB22">
            <w:pPr>
              <w:pStyle w:val="56"/>
              <w:rPr>
                <w:rFonts w:ascii="Times New Roman" w:hAnsi="Times New Roman"/>
                <w:color w:val="000000" w:themeColor="text1"/>
                <w:szCs w:val="21"/>
                <w14:textFill>
                  <w14:solidFill>
                    <w14:schemeClr w14:val="tx1"/>
                  </w14:solidFill>
                </w14:textFill>
              </w:rPr>
            </w:pPr>
          </w:p>
        </w:tc>
      </w:tr>
      <w:tr w14:paraId="49EB37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16BBA22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p>
        </w:tc>
        <w:tc>
          <w:tcPr>
            <w:tcW w:w="3662" w:type="dxa"/>
            <w:tcBorders>
              <w:tl2br w:val="nil"/>
              <w:tr2bl w:val="nil"/>
            </w:tcBorders>
            <w:vAlign w:val="center"/>
          </w:tcPr>
          <w:p w14:paraId="4EF3976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镉（mg/L）</w:t>
            </w:r>
          </w:p>
        </w:tc>
        <w:tc>
          <w:tcPr>
            <w:tcW w:w="1848" w:type="dxa"/>
            <w:tcBorders>
              <w:tl2br w:val="nil"/>
              <w:tr2bl w:val="nil"/>
            </w:tcBorders>
            <w:vAlign w:val="center"/>
          </w:tcPr>
          <w:p w14:paraId="5757F3C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≤0.005</w:t>
            </w:r>
          </w:p>
        </w:tc>
        <w:tc>
          <w:tcPr>
            <w:tcW w:w="2584" w:type="dxa"/>
            <w:vMerge w:val="continue"/>
            <w:tcBorders>
              <w:tl2br w:val="nil"/>
              <w:tr2bl w:val="nil"/>
            </w:tcBorders>
            <w:vAlign w:val="center"/>
          </w:tcPr>
          <w:p w14:paraId="2AB1BB31">
            <w:pPr>
              <w:pStyle w:val="56"/>
              <w:rPr>
                <w:rFonts w:ascii="Times New Roman" w:hAnsi="Times New Roman"/>
                <w:color w:val="000000" w:themeColor="text1"/>
                <w:szCs w:val="21"/>
                <w14:textFill>
                  <w14:solidFill>
                    <w14:schemeClr w14:val="tx1"/>
                  </w14:solidFill>
                </w14:textFill>
              </w:rPr>
            </w:pPr>
          </w:p>
        </w:tc>
      </w:tr>
      <w:tr w14:paraId="748F7F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667C20F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21</w:t>
            </w:r>
          </w:p>
        </w:tc>
        <w:tc>
          <w:tcPr>
            <w:tcW w:w="3662" w:type="dxa"/>
            <w:tcBorders>
              <w:tl2br w:val="nil"/>
              <w:tr2bl w:val="nil"/>
            </w:tcBorders>
            <w:vAlign w:val="center"/>
          </w:tcPr>
          <w:p w14:paraId="6B80393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铬（六价）（mg/L）</w:t>
            </w:r>
          </w:p>
        </w:tc>
        <w:tc>
          <w:tcPr>
            <w:tcW w:w="1848" w:type="dxa"/>
            <w:tcBorders>
              <w:tl2br w:val="nil"/>
              <w:tr2bl w:val="nil"/>
            </w:tcBorders>
            <w:vAlign w:val="center"/>
          </w:tcPr>
          <w:p w14:paraId="3440B3E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≤0.05</w:t>
            </w:r>
          </w:p>
        </w:tc>
        <w:tc>
          <w:tcPr>
            <w:tcW w:w="2584" w:type="dxa"/>
            <w:vMerge w:val="continue"/>
            <w:tcBorders>
              <w:tl2br w:val="nil"/>
              <w:tr2bl w:val="nil"/>
            </w:tcBorders>
            <w:vAlign w:val="center"/>
          </w:tcPr>
          <w:p w14:paraId="551BBE15">
            <w:pPr>
              <w:pStyle w:val="56"/>
              <w:rPr>
                <w:rFonts w:ascii="Times New Roman" w:hAnsi="Times New Roman"/>
                <w:color w:val="000000" w:themeColor="text1"/>
                <w:szCs w:val="21"/>
                <w14:textFill>
                  <w14:solidFill>
                    <w14:schemeClr w14:val="tx1"/>
                  </w14:solidFill>
                </w14:textFill>
              </w:rPr>
            </w:pPr>
          </w:p>
        </w:tc>
      </w:tr>
      <w:tr w14:paraId="316D9D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35D9D45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22</w:t>
            </w:r>
          </w:p>
        </w:tc>
        <w:tc>
          <w:tcPr>
            <w:tcW w:w="3662" w:type="dxa"/>
            <w:tcBorders>
              <w:tl2br w:val="nil"/>
              <w:tr2bl w:val="nil"/>
            </w:tcBorders>
            <w:vAlign w:val="center"/>
          </w:tcPr>
          <w:p w14:paraId="5E6A2B3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铅（mg/L）</w:t>
            </w:r>
          </w:p>
        </w:tc>
        <w:tc>
          <w:tcPr>
            <w:tcW w:w="1848" w:type="dxa"/>
            <w:tcBorders>
              <w:tl2br w:val="nil"/>
              <w:tr2bl w:val="nil"/>
            </w:tcBorders>
            <w:vAlign w:val="center"/>
          </w:tcPr>
          <w:p w14:paraId="0FAD81A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≤0.01</w:t>
            </w:r>
          </w:p>
        </w:tc>
        <w:tc>
          <w:tcPr>
            <w:tcW w:w="2584" w:type="dxa"/>
            <w:vMerge w:val="continue"/>
            <w:tcBorders>
              <w:tl2br w:val="nil"/>
              <w:tr2bl w:val="nil"/>
            </w:tcBorders>
            <w:vAlign w:val="center"/>
          </w:tcPr>
          <w:p w14:paraId="3D9266A6">
            <w:pPr>
              <w:pStyle w:val="56"/>
              <w:rPr>
                <w:rFonts w:ascii="Times New Roman" w:hAnsi="Times New Roman"/>
                <w:color w:val="000000" w:themeColor="text1"/>
                <w:szCs w:val="21"/>
                <w14:textFill>
                  <w14:solidFill>
                    <w14:schemeClr w14:val="tx1"/>
                  </w14:solidFill>
                </w14:textFill>
              </w:rPr>
            </w:pPr>
          </w:p>
        </w:tc>
      </w:tr>
      <w:tr w14:paraId="584717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53C3C30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29</w:t>
            </w:r>
          </w:p>
        </w:tc>
        <w:tc>
          <w:tcPr>
            <w:tcW w:w="3662" w:type="dxa"/>
            <w:tcBorders>
              <w:tl2br w:val="nil"/>
              <w:tr2bl w:val="nil"/>
            </w:tcBorders>
            <w:vAlign w:val="center"/>
          </w:tcPr>
          <w:p w14:paraId="6708F4A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铜（mg/L）</w:t>
            </w:r>
          </w:p>
        </w:tc>
        <w:tc>
          <w:tcPr>
            <w:tcW w:w="1848" w:type="dxa"/>
            <w:tcBorders>
              <w:tl2br w:val="nil"/>
              <w:tr2bl w:val="nil"/>
            </w:tcBorders>
            <w:vAlign w:val="center"/>
          </w:tcPr>
          <w:p w14:paraId="0DC9689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2584" w:type="dxa"/>
            <w:vMerge w:val="continue"/>
            <w:tcBorders>
              <w:tl2br w:val="nil"/>
              <w:tr2bl w:val="nil"/>
            </w:tcBorders>
            <w:vAlign w:val="center"/>
          </w:tcPr>
          <w:p w14:paraId="0871DD34">
            <w:pPr>
              <w:pStyle w:val="56"/>
              <w:rPr>
                <w:rFonts w:ascii="Times New Roman" w:hAnsi="Times New Roman"/>
                <w:color w:val="000000" w:themeColor="text1"/>
                <w:szCs w:val="21"/>
                <w14:textFill>
                  <w14:solidFill>
                    <w14:schemeClr w14:val="tx1"/>
                  </w14:solidFill>
                </w14:textFill>
              </w:rPr>
            </w:pPr>
          </w:p>
        </w:tc>
      </w:tr>
      <w:tr w14:paraId="638EBE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750" w:type="dxa"/>
            <w:tcBorders>
              <w:tl2br w:val="nil"/>
              <w:tr2bl w:val="nil"/>
            </w:tcBorders>
            <w:vAlign w:val="center"/>
          </w:tcPr>
          <w:p w14:paraId="23C3BCA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w:t>
            </w:r>
          </w:p>
        </w:tc>
        <w:tc>
          <w:tcPr>
            <w:tcW w:w="3662" w:type="dxa"/>
            <w:tcBorders>
              <w:tl2br w:val="nil"/>
              <w:tr2bl w:val="nil"/>
            </w:tcBorders>
            <w:vAlign w:val="center"/>
          </w:tcPr>
          <w:p w14:paraId="54F76D3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锌（mg/L）</w:t>
            </w:r>
          </w:p>
        </w:tc>
        <w:tc>
          <w:tcPr>
            <w:tcW w:w="1848" w:type="dxa"/>
            <w:tcBorders>
              <w:tl2br w:val="nil"/>
              <w:tr2bl w:val="nil"/>
            </w:tcBorders>
            <w:vAlign w:val="center"/>
          </w:tcPr>
          <w:p w14:paraId="65DC2DE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2584" w:type="dxa"/>
            <w:vMerge w:val="continue"/>
            <w:tcBorders>
              <w:tl2br w:val="nil"/>
              <w:tr2bl w:val="nil"/>
            </w:tcBorders>
            <w:vAlign w:val="center"/>
          </w:tcPr>
          <w:p w14:paraId="10F2E7EF">
            <w:pPr>
              <w:pStyle w:val="56"/>
              <w:rPr>
                <w:rFonts w:ascii="Times New Roman" w:hAnsi="Times New Roman"/>
                <w:color w:val="000000" w:themeColor="text1"/>
                <w:szCs w:val="21"/>
                <w14:textFill>
                  <w14:solidFill>
                    <w14:schemeClr w14:val="tx1"/>
                  </w14:solidFill>
                </w14:textFill>
              </w:rPr>
            </w:pPr>
          </w:p>
        </w:tc>
      </w:tr>
    </w:tbl>
    <w:p w14:paraId="6F490D6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地表水质量评价标准采用《地表水环境质量标准》（GB3838-2002）中</w:t>
      </w:r>
      <w:r>
        <w:rPr>
          <w:rFonts w:ascii="Times New Roman" w:hAnsi="Times New Roman"/>
          <w:color w:val="000000" w:themeColor="text1"/>
          <w:szCs w:val="21"/>
          <w14:textFill>
            <w14:solidFill>
              <w14:schemeClr w14:val="tx1"/>
            </w14:solidFill>
          </w14:textFill>
        </w:rPr>
        <w:t>Ⅲ</w:t>
      </w:r>
      <w:r>
        <w:rPr>
          <w:rFonts w:ascii="Times New Roman" w:hAnsi="Times New Roman" w:cs="Times New Roman"/>
          <w:color w:val="000000" w:themeColor="text1"/>
          <w14:textFill>
            <w14:solidFill>
              <w14:schemeClr w14:val="tx1"/>
            </w14:solidFill>
          </w14:textFill>
        </w:rPr>
        <w:t>类标准， 见表2.4-3。</w:t>
      </w:r>
    </w:p>
    <w:p w14:paraId="1A311836">
      <w:pPr>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表2.4-3    地表水质量标准（Ⅲ类）    单位：mg/L，pH</w:t>
      </w:r>
      <w:r>
        <w:rPr>
          <w:rFonts w:ascii="Times New Roman" w:hAnsi="Times New Roman" w:eastAsia="宋体" w:cs="Times New Roman"/>
          <w:b/>
          <w:bCs/>
          <w:color w:val="000000" w:themeColor="text1"/>
          <w:spacing w:val="-61"/>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除外</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989"/>
        <w:gridCol w:w="855"/>
        <w:gridCol w:w="3143"/>
        <w:gridCol w:w="2417"/>
      </w:tblGrid>
      <w:tr w14:paraId="73FF66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restart"/>
            <w:tcBorders>
              <w:tl2br w:val="nil"/>
              <w:tr2bl w:val="nil"/>
            </w:tcBorders>
            <w:vAlign w:val="center"/>
          </w:tcPr>
          <w:p w14:paraId="213D30AC">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类别</w:t>
            </w:r>
          </w:p>
        </w:tc>
        <w:tc>
          <w:tcPr>
            <w:tcW w:w="1989" w:type="dxa"/>
            <w:vMerge w:val="restart"/>
            <w:tcBorders>
              <w:tl2br w:val="nil"/>
              <w:tr2bl w:val="nil"/>
            </w:tcBorders>
            <w:vAlign w:val="center"/>
          </w:tcPr>
          <w:p w14:paraId="1197D08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标准号及名称</w:t>
            </w:r>
          </w:p>
        </w:tc>
        <w:tc>
          <w:tcPr>
            <w:tcW w:w="855" w:type="dxa"/>
            <w:vMerge w:val="restart"/>
            <w:tcBorders>
              <w:tl2br w:val="nil"/>
              <w:tr2bl w:val="nil"/>
            </w:tcBorders>
            <w:vAlign w:val="center"/>
          </w:tcPr>
          <w:p w14:paraId="356EC6AD">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类别</w:t>
            </w:r>
          </w:p>
        </w:tc>
        <w:tc>
          <w:tcPr>
            <w:tcW w:w="5560" w:type="dxa"/>
            <w:gridSpan w:val="2"/>
            <w:tcBorders>
              <w:tl2br w:val="nil"/>
              <w:tr2bl w:val="nil"/>
            </w:tcBorders>
            <w:vAlign w:val="center"/>
          </w:tcPr>
          <w:p w14:paraId="6E0B4FF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污染物浓度及</w:t>
            </w:r>
            <w:r>
              <w:rPr>
                <w:rFonts w:hint="eastAsia" w:ascii="Times New Roman" w:hAnsi="Times New Roman" w:eastAsia="宋体" w:cs="Times New Roman"/>
                <w:color w:val="000000" w:themeColor="text1"/>
                <w:lang w:eastAsia="zh-CN"/>
                <w14:textFill>
                  <w14:solidFill>
                    <w14:schemeClr w14:val="tx1"/>
                  </w14:solidFill>
                </w14:textFill>
              </w:rPr>
              <w:t>限值</w:t>
            </w:r>
          </w:p>
        </w:tc>
      </w:tr>
      <w:tr w14:paraId="2B9686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5FD6313E">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7B5CBA6C">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0E5C8C14">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6CD1753C">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名称</w:t>
            </w:r>
          </w:p>
        </w:tc>
        <w:tc>
          <w:tcPr>
            <w:tcW w:w="2417" w:type="dxa"/>
            <w:tcBorders>
              <w:tl2br w:val="nil"/>
              <w:tr2bl w:val="nil"/>
            </w:tcBorders>
            <w:vAlign w:val="center"/>
          </w:tcPr>
          <w:p w14:paraId="3629A8F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标准值</w:t>
            </w:r>
          </w:p>
        </w:tc>
      </w:tr>
      <w:tr w14:paraId="0C4E6C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restart"/>
            <w:tcBorders>
              <w:tl2br w:val="nil"/>
              <w:tr2bl w:val="nil"/>
            </w:tcBorders>
            <w:vAlign w:val="center"/>
          </w:tcPr>
          <w:p w14:paraId="2D65234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地表水环境</w:t>
            </w:r>
          </w:p>
        </w:tc>
        <w:tc>
          <w:tcPr>
            <w:tcW w:w="1989" w:type="dxa"/>
            <w:vMerge w:val="restart"/>
            <w:tcBorders>
              <w:tl2br w:val="nil"/>
              <w:tr2bl w:val="nil"/>
            </w:tcBorders>
            <w:vAlign w:val="center"/>
          </w:tcPr>
          <w:p w14:paraId="6CA0C6A6">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《地表水环境质量标准》（GB3838-2002）</w:t>
            </w:r>
          </w:p>
        </w:tc>
        <w:tc>
          <w:tcPr>
            <w:tcW w:w="855" w:type="dxa"/>
            <w:vMerge w:val="restart"/>
            <w:tcBorders>
              <w:tl2br w:val="nil"/>
              <w:tr2bl w:val="nil"/>
            </w:tcBorders>
            <w:vAlign w:val="center"/>
          </w:tcPr>
          <w:p w14:paraId="3E29D7D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Ⅲ</w:t>
            </w:r>
            <w:r>
              <w:rPr>
                <w:rFonts w:ascii="Times New Roman" w:hAnsi="Times New Roman" w:eastAsia="宋体" w:cs="Times New Roman"/>
                <w:color w:val="000000" w:themeColor="text1"/>
                <w14:textFill>
                  <w14:solidFill>
                    <w14:schemeClr w14:val="tx1"/>
                  </w14:solidFill>
                </w14:textFill>
              </w:rPr>
              <w:t>类</w:t>
            </w:r>
          </w:p>
        </w:tc>
        <w:tc>
          <w:tcPr>
            <w:tcW w:w="3143" w:type="dxa"/>
            <w:tcBorders>
              <w:tl2br w:val="nil"/>
              <w:tr2bl w:val="nil"/>
            </w:tcBorders>
            <w:vAlign w:val="center"/>
          </w:tcPr>
          <w:p w14:paraId="7852A526">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pH</w:t>
            </w:r>
          </w:p>
        </w:tc>
        <w:tc>
          <w:tcPr>
            <w:tcW w:w="2417" w:type="dxa"/>
            <w:tcBorders>
              <w:tl2br w:val="nil"/>
              <w:tr2bl w:val="nil"/>
            </w:tcBorders>
            <w:vAlign w:val="center"/>
          </w:tcPr>
          <w:p w14:paraId="766A135D">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6～9（无量纲）</w:t>
            </w:r>
          </w:p>
        </w:tc>
      </w:tr>
      <w:tr w14:paraId="1FED21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D27BBE3">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1F0D4E9B">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21F5812B">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66B035ED">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溶解氧</w:t>
            </w:r>
          </w:p>
        </w:tc>
        <w:tc>
          <w:tcPr>
            <w:tcW w:w="2417" w:type="dxa"/>
            <w:tcBorders>
              <w:tl2br w:val="nil"/>
              <w:tr2bl w:val="nil"/>
            </w:tcBorders>
            <w:vAlign w:val="center"/>
          </w:tcPr>
          <w:p w14:paraId="4369590E">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 mg/L</w:t>
            </w:r>
          </w:p>
        </w:tc>
      </w:tr>
      <w:tr w14:paraId="157AD4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3896A1B3">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69FED443">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601C0EA1">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1F53E2A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五日生化需氧量</w:t>
            </w:r>
          </w:p>
        </w:tc>
        <w:tc>
          <w:tcPr>
            <w:tcW w:w="2417" w:type="dxa"/>
            <w:tcBorders>
              <w:tl2br w:val="nil"/>
              <w:tr2bl w:val="nil"/>
            </w:tcBorders>
            <w:vAlign w:val="center"/>
          </w:tcPr>
          <w:p w14:paraId="5FEA02D3">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 mg/L</w:t>
            </w:r>
          </w:p>
        </w:tc>
      </w:tr>
      <w:tr w14:paraId="2F635C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5339B4F7">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6D6A4787">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3B10D74B">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0ADC7171">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高锰酸盐指数</w:t>
            </w:r>
          </w:p>
        </w:tc>
        <w:tc>
          <w:tcPr>
            <w:tcW w:w="2417" w:type="dxa"/>
            <w:tcBorders>
              <w:tl2br w:val="nil"/>
              <w:tr2bl w:val="nil"/>
            </w:tcBorders>
            <w:vAlign w:val="center"/>
          </w:tcPr>
          <w:p w14:paraId="57049BE7">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 mg/L</w:t>
            </w:r>
          </w:p>
        </w:tc>
      </w:tr>
      <w:tr w14:paraId="43056A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A2A6E20">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7882C2CD">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3F90CDAD">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5E34251D">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化学需氧量</w:t>
            </w:r>
          </w:p>
        </w:tc>
        <w:tc>
          <w:tcPr>
            <w:tcW w:w="2417" w:type="dxa"/>
            <w:tcBorders>
              <w:tl2br w:val="nil"/>
              <w:tr2bl w:val="nil"/>
            </w:tcBorders>
            <w:vAlign w:val="center"/>
          </w:tcPr>
          <w:p w14:paraId="76526F0D">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 mg/L</w:t>
            </w:r>
          </w:p>
        </w:tc>
      </w:tr>
      <w:tr w14:paraId="6F408B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2F2BDA59">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102985DF">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674E5F59">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35AAB611">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氨氮</w:t>
            </w:r>
          </w:p>
        </w:tc>
        <w:tc>
          <w:tcPr>
            <w:tcW w:w="2417" w:type="dxa"/>
            <w:tcBorders>
              <w:tl2br w:val="nil"/>
              <w:tr2bl w:val="nil"/>
            </w:tcBorders>
            <w:vAlign w:val="center"/>
          </w:tcPr>
          <w:p w14:paraId="2A7ECD22">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 mg/L</w:t>
            </w:r>
          </w:p>
        </w:tc>
      </w:tr>
      <w:tr w14:paraId="4A524D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6082869A">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1699C41F">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275B06B3">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262825C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总磷</w:t>
            </w:r>
          </w:p>
        </w:tc>
        <w:tc>
          <w:tcPr>
            <w:tcW w:w="2417" w:type="dxa"/>
            <w:tcBorders>
              <w:tl2br w:val="nil"/>
              <w:tr2bl w:val="nil"/>
            </w:tcBorders>
            <w:vAlign w:val="center"/>
          </w:tcPr>
          <w:p w14:paraId="229DA067">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≤0.2 mg/L</w:t>
            </w:r>
          </w:p>
        </w:tc>
      </w:tr>
      <w:tr w14:paraId="0993CC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3F8F2559">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3CEA890C">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1C3C45A4">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2B3D150E">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总氮</w:t>
            </w:r>
          </w:p>
        </w:tc>
        <w:tc>
          <w:tcPr>
            <w:tcW w:w="2417" w:type="dxa"/>
            <w:tcBorders>
              <w:tl2br w:val="nil"/>
              <w:tr2bl w:val="nil"/>
            </w:tcBorders>
            <w:vAlign w:val="center"/>
          </w:tcPr>
          <w:p w14:paraId="254F1FFC">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 mg/L</w:t>
            </w:r>
          </w:p>
        </w:tc>
      </w:tr>
      <w:tr w14:paraId="0B6012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60CACE61">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50AAE5FB">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52BC716D">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3C5122DC">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汞</w:t>
            </w:r>
          </w:p>
        </w:tc>
        <w:tc>
          <w:tcPr>
            <w:tcW w:w="2417" w:type="dxa"/>
            <w:tcBorders>
              <w:tl2br w:val="nil"/>
              <w:tr2bl w:val="nil"/>
            </w:tcBorders>
            <w:vAlign w:val="center"/>
          </w:tcPr>
          <w:p w14:paraId="288CE57E">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≤0.0001mg/L</w:t>
            </w:r>
          </w:p>
        </w:tc>
      </w:tr>
      <w:tr w14:paraId="56DE20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6CC92171">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6749F29F">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1F542993">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716B6BC5">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铜</w:t>
            </w:r>
          </w:p>
        </w:tc>
        <w:tc>
          <w:tcPr>
            <w:tcW w:w="2417" w:type="dxa"/>
            <w:tcBorders>
              <w:tl2br w:val="nil"/>
              <w:tr2bl w:val="nil"/>
            </w:tcBorders>
            <w:vAlign w:val="center"/>
          </w:tcPr>
          <w:p w14:paraId="4DE4AE0F">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 mg/L</w:t>
            </w:r>
          </w:p>
        </w:tc>
      </w:tr>
      <w:tr w14:paraId="546773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4450800F">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773B84B0">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6B2E3228">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66A7F07B">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锌</w:t>
            </w:r>
          </w:p>
        </w:tc>
        <w:tc>
          <w:tcPr>
            <w:tcW w:w="2417" w:type="dxa"/>
            <w:tcBorders>
              <w:tl2br w:val="nil"/>
              <w:tr2bl w:val="nil"/>
            </w:tcBorders>
            <w:vAlign w:val="center"/>
          </w:tcPr>
          <w:p w14:paraId="7D4BDBD1">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 mg/L</w:t>
            </w:r>
          </w:p>
        </w:tc>
      </w:tr>
      <w:tr w14:paraId="3A0891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224180C">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628B087F">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359B9E1C">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7A1464CE">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铅</w:t>
            </w:r>
          </w:p>
        </w:tc>
        <w:tc>
          <w:tcPr>
            <w:tcW w:w="2417" w:type="dxa"/>
            <w:tcBorders>
              <w:tl2br w:val="nil"/>
              <w:tr2bl w:val="nil"/>
            </w:tcBorders>
            <w:vAlign w:val="center"/>
          </w:tcPr>
          <w:p w14:paraId="33BC76F8">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≤0.05 mg/L</w:t>
            </w:r>
          </w:p>
        </w:tc>
      </w:tr>
      <w:tr w14:paraId="6B193F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F3840CF">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2B37341B">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31A0A892">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0DF2555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硒</w:t>
            </w:r>
          </w:p>
        </w:tc>
        <w:tc>
          <w:tcPr>
            <w:tcW w:w="2417" w:type="dxa"/>
            <w:tcBorders>
              <w:tl2br w:val="nil"/>
              <w:tr2bl w:val="nil"/>
            </w:tcBorders>
            <w:vAlign w:val="center"/>
          </w:tcPr>
          <w:p w14:paraId="0F1F7ECF">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≤0.01 mg/L</w:t>
            </w:r>
          </w:p>
        </w:tc>
      </w:tr>
      <w:tr w14:paraId="096708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18994DC1">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74AC594D">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2BEC5075">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07A1DCD5">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镉</w:t>
            </w:r>
          </w:p>
        </w:tc>
        <w:tc>
          <w:tcPr>
            <w:tcW w:w="2417" w:type="dxa"/>
            <w:tcBorders>
              <w:tl2br w:val="nil"/>
              <w:tr2bl w:val="nil"/>
            </w:tcBorders>
            <w:vAlign w:val="center"/>
          </w:tcPr>
          <w:p w14:paraId="34EA2D0E">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≤0.005 mg/L</w:t>
            </w:r>
          </w:p>
        </w:tc>
      </w:tr>
      <w:tr w14:paraId="548AA9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5CF18232">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27AA3EF4">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653B499E">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7F30403A">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挥发酚</w:t>
            </w:r>
          </w:p>
        </w:tc>
        <w:tc>
          <w:tcPr>
            <w:tcW w:w="2417" w:type="dxa"/>
            <w:tcBorders>
              <w:tl2br w:val="nil"/>
              <w:tr2bl w:val="nil"/>
            </w:tcBorders>
            <w:vAlign w:val="center"/>
          </w:tcPr>
          <w:p w14:paraId="37CF38F1">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≤0.005 mg/L</w:t>
            </w:r>
          </w:p>
        </w:tc>
      </w:tr>
      <w:tr w14:paraId="64851B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62ADCC0E">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138125BB">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3B21CE30">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1FD4B791">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六价铬</w:t>
            </w:r>
          </w:p>
        </w:tc>
        <w:tc>
          <w:tcPr>
            <w:tcW w:w="2417" w:type="dxa"/>
            <w:tcBorders>
              <w:tl2br w:val="nil"/>
              <w:tr2bl w:val="nil"/>
            </w:tcBorders>
            <w:vAlign w:val="center"/>
          </w:tcPr>
          <w:p w14:paraId="27726320">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≤0.05 mg/L</w:t>
            </w:r>
          </w:p>
        </w:tc>
      </w:tr>
      <w:tr w14:paraId="4BE161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527EB3B1">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539CC998">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3B3064FD">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790002EA">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氰化物</w:t>
            </w:r>
          </w:p>
        </w:tc>
        <w:tc>
          <w:tcPr>
            <w:tcW w:w="2417" w:type="dxa"/>
            <w:tcBorders>
              <w:tl2br w:val="nil"/>
              <w:tr2bl w:val="nil"/>
            </w:tcBorders>
            <w:vAlign w:val="center"/>
          </w:tcPr>
          <w:p w14:paraId="16E8C48D">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≤0.02 mg/L</w:t>
            </w:r>
          </w:p>
        </w:tc>
      </w:tr>
      <w:tr w14:paraId="3C246B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1C06BCEE">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11AE5084">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0A64F8F0">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1803BB2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砷</w:t>
            </w:r>
          </w:p>
        </w:tc>
        <w:tc>
          <w:tcPr>
            <w:tcW w:w="2417" w:type="dxa"/>
            <w:tcBorders>
              <w:tl2br w:val="nil"/>
              <w:tr2bl w:val="nil"/>
            </w:tcBorders>
            <w:vAlign w:val="center"/>
          </w:tcPr>
          <w:p w14:paraId="54A40C3A">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≤0.05 mg/L</w:t>
            </w:r>
          </w:p>
        </w:tc>
      </w:tr>
      <w:tr w14:paraId="4E033B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36F76632">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1A9F5DB0">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32008C0F">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66652FA8">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阴离子表面活性剂</w:t>
            </w:r>
          </w:p>
        </w:tc>
        <w:tc>
          <w:tcPr>
            <w:tcW w:w="2417" w:type="dxa"/>
            <w:tcBorders>
              <w:tl2br w:val="nil"/>
              <w:tr2bl w:val="nil"/>
            </w:tcBorders>
            <w:vAlign w:val="center"/>
          </w:tcPr>
          <w:p w14:paraId="7F593A49">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≤0.2 mg/L</w:t>
            </w:r>
          </w:p>
        </w:tc>
      </w:tr>
      <w:tr w14:paraId="3EFFF8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4725B7DB">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1575D2B3">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76C129BB">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4E8C6F38">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硫化物</w:t>
            </w:r>
          </w:p>
        </w:tc>
        <w:tc>
          <w:tcPr>
            <w:tcW w:w="2417" w:type="dxa"/>
            <w:tcBorders>
              <w:tl2br w:val="nil"/>
              <w:tr2bl w:val="nil"/>
            </w:tcBorders>
            <w:vAlign w:val="center"/>
          </w:tcPr>
          <w:p w14:paraId="123FBC27">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≤0.2 mg/L</w:t>
            </w:r>
          </w:p>
        </w:tc>
      </w:tr>
      <w:tr w14:paraId="1E0B6F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47747F1E">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06DE1251">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244B5B98">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5AD39DE7">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氟化物</w:t>
            </w:r>
          </w:p>
        </w:tc>
        <w:tc>
          <w:tcPr>
            <w:tcW w:w="2417" w:type="dxa"/>
            <w:tcBorders>
              <w:tl2br w:val="nil"/>
              <w:tr2bl w:val="nil"/>
            </w:tcBorders>
            <w:vAlign w:val="center"/>
          </w:tcPr>
          <w:p w14:paraId="7BF9C3CE">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 mg/L</w:t>
            </w:r>
          </w:p>
        </w:tc>
      </w:tr>
      <w:tr w14:paraId="3DFED0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7EB7D859">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701543A0">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72DF9ED5">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67442F38">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粪大肠菌群</w:t>
            </w:r>
          </w:p>
        </w:tc>
        <w:tc>
          <w:tcPr>
            <w:tcW w:w="2417" w:type="dxa"/>
            <w:tcBorders>
              <w:tl2br w:val="nil"/>
              <w:tr2bl w:val="nil"/>
            </w:tcBorders>
            <w:vAlign w:val="center"/>
          </w:tcPr>
          <w:p w14:paraId="2A5F882F">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1×104个/L</w:t>
            </w:r>
          </w:p>
        </w:tc>
      </w:tr>
      <w:tr w14:paraId="133329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56" w:type="dxa"/>
            <w:vMerge w:val="continue"/>
            <w:tcBorders>
              <w:tl2br w:val="nil"/>
              <w:tr2bl w:val="nil"/>
            </w:tcBorders>
            <w:vAlign w:val="center"/>
          </w:tcPr>
          <w:p w14:paraId="33A3DE08">
            <w:pPr>
              <w:pStyle w:val="60"/>
              <w:rPr>
                <w:rFonts w:ascii="Times New Roman" w:hAnsi="Times New Roman" w:eastAsia="宋体" w:cs="Times New Roman"/>
                <w:color w:val="000000" w:themeColor="text1"/>
                <w14:textFill>
                  <w14:solidFill>
                    <w14:schemeClr w14:val="tx1"/>
                  </w14:solidFill>
                </w14:textFill>
              </w:rPr>
            </w:pPr>
          </w:p>
        </w:tc>
        <w:tc>
          <w:tcPr>
            <w:tcW w:w="1989" w:type="dxa"/>
            <w:vMerge w:val="continue"/>
            <w:tcBorders>
              <w:tl2br w:val="nil"/>
              <w:tr2bl w:val="nil"/>
            </w:tcBorders>
            <w:vAlign w:val="center"/>
          </w:tcPr>
          <w:p w14:paraId="5D2E9C01">
            <w:pPr>
              <w:pStyle w:val="60"/>
              <w:rPr>
                <w:rFonts w:ascii="Times New Roman" w:hAnsi="Times New Roman" w:eastAsia="宋体" w:cs="Times New Roman"/>
                <w:color w:val="000000" w:themeColor="text1"/>
                <w14:textFill>
                  <w14:solidFill>
                    <w14:schemeClr w14:val="tx1"/>
                  </w14:solidFill>
                </w14:textFill>
              </w:rPr>
            </w:pPr>
          </w:p>
        </w:tc>
        <w:tc>
          <w:tcPr>
            <w:tcW w:w="855" w:type="dxa"/>
            <w:vMerge w:val="continue"/>
            <w:tcBorders>
              <w:tl2br w:val="nil"/>
              <w:tr2bl w:val="nil"/>
            </w:tcBorders>
            <w:vAlign w:val="center"/>
          </w:tcPr>
          <w:p w14:paraId="02CC2E46">
            <w:pPr>
              <w:pStyle w:val="60"/>
              <w:rPr>
                <w:rFonts w:ascii="Times New Roman" w:hAnsi="Times New Roman" w:eastAsia="宋体" w:cs="Times New Roman"/>
                <w:color w:val="000000" w:themeColor="text1"/>
                <w14:textFill>
                  <w14:solidFill>
                    <w14:schemeClr w14:val="tx1"/>
                  </w14:solidFill>
                </w14:textFill>
              </w:rPr>
            </w:pPr>
          </w:p>
        </w:tc>
        <w:tc>
          <w:tcPr>
            <w:tcW w:w="3143" w:type="dxa"/>
            <w:tcBorders>
              <w:tl2br w:val="nil"/>
              <w:tr2bl w:val="nil"/>
            </w:tcBorders>
            <w:vAlign w:val="center"/>
          </w:tcPr>
          <w:p w14:paraId="3396F92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石油类</w:t>
            </w:r>
          </w:p>
        </w:tc>
        <w:tc>
          <w:tcPr>
            <w:tcW w:w="2417" w:type="dxa"/>
            <w:tcBorders>
              <w:tl2br w:val="nil"/>
              <w:tr2bl w:val="nil"/>
            </w:tcBorders>
            <w:vAlign w:val="center"/>
          </w:tcPr>
          <w:p w14:paraId="71ADEBF3">
            <w:pPr>
              <w:pStyle w:val="60"/>
              <w:ind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0.05 mg/L</w:t>
            </w:r>
          </w:p>
        </w:tc>
      </w:tr>
    </w:tbl>
    <w:p w14:paraId="18A8D8C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（4）声环境质量标准</w:t>
      </w:r>
    </w:p>
    <w:p w14:paraId="7DB3108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声环境质量评价标准采用《声环境质量标准》</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GB3096-2008</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的</w:t>
      </w:r>
      <w:r>
        <w:rPr>
          <w:rFonts w:hint="eastAsia"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类标准：昼间6</w:t>
      </w: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dB（A）、夜间5</w:t>
      </w: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dB（A）。</w:t>
      </w:r>
    </w:p>
    <w:p w14:paraId="70B7AD3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（5）土壤</w:t>
      </w:r>
    </w:p>
    <w:p w14:paraId="004F240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项目区土壤环境质量参照畜禽养殖项目执行《畜禽养殖产地评价规范》（HJ568-2010）土壤污染物检出限值</w:t>
      </w:r>
      <w:r>
        <w:rPr>
          <w:rFonts w:ascii="Times New Roman" w:hAnsi="Times New Roman" w:cs="Times New Roman"/>
          <w:color w:val="000000" w:themeColor="text1"/>
          <w14:textFill>
            <w14:solidFill>
              <w14:schemeClr w14:val="tx1"/>
            </w14:solidFill>
          </w14:textFill>
        </w:rPr>
        <w:t>。具体标准值见表2.4-4。</w:t>
      </w:r>
    </w:p>
    <w:p w14:paraId="788D97D2">
      <w:pPr>
        <w:ind w:firstLine="0" w:firstLineChars="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表2.4-4   土壤环境质量管控标准（单位</w:t>
      </w:r>
      <w:r>
        <w:rPr>
          <w:rFonts w:ascii="Times New Roman" w:hAnsi="Times New Roman" w:cs="Times New Roman"/>
          <w:b/>
          <w:bCs/>
          <w:color w:val="000000" w:themeColor="text1"/>
          <w:spacing w:val="-61"/>
          <w14:textFill>
            <w14:solidFill>
              <w14:schemeClr w14:val="tx1"/>
            </w14:solidFill>
          </w14:textFill>
        </w:rPr>
        <w:t xml:space="preserve"> </w:t>
      </w:r>
      <w:r>
        <w:rPr>
          <w:rFonts w:ascii="Times New Roman" w:hAnsi="Times New Roman" w:cs="Times New Roman"/>
          <w:b/>
          <w:bCs/>
          <w:color w:val="000000" w:themeColor="text1"/>
          <w14:textFill>
            <w14:solidFill>
              <w14:schemeClr w14:val="tx1"/>
            </w14:solidFill>
          </w14:textFill>
        </w:rPr>
        <w:t>mg/kg）</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1507"/>
        <w:gridCol w:w="2059"/>
        <w:gridCol w:w="4130"/>
      </w:tblGrid>
      <w:tr w14:paraId="4F923D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38447F6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1507" w:type="dxa"/>
            <w:tcBorders>
              <w:tl2br w:val="nil"/>
              <w:tr2bl w:val="nil"/>
            </w:tcBorders>
            <w:vAlign w:val="center"/>
          </w:tcPr>
          <w:p w14:paraId="449CEE7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检测项目</w:t>
            </w:r>
          </w:p>
        </w:tc>
        <w:tc>
          <w:tcPr>
            <w:tcW w:w="2059" w:type="dxa"/>
            <w:tcBorders>
              <w:tl2br w:val="nil"/>
              <w:tr2bl w:val="nil"/>
            </w:tcBorders>
            <w:vAlign w:val="center"/>
          </w:tcPr>
          <w:p w14:paraId="31FB5AE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标准值（mg/kg）</w:t>
            </w:r>
          </w:p>
        </w:tc>
        <w:tc>
          <w:tcPr>
            <w:tcW w:w="4130" w:type="dxa"/>
            <w:tcBorders>
              <w:tl2br w:val="nil"/>
              <w:tr2bl w:val="nil"/>
            </w:tcBorders>
            <w:vAlign w:val="center"/>
          </w:tcPr>
          <w:p w14:paraId="2FFCD65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标准来源</w:t>
            </w:r>
          </w:p>
        </w:tc>
      </w:tr>
      <w:tr w14:paraId="1EA0DB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509D3CF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507" w:type="dxa"/>
            <w:tcBorders>
              <w:tl2br w:val="nil"/>
              <w:tr2bl w:val="nil"/>
            </w:tcBorders>
            <w:vAlign w:val="center"/>
          </w:tcPr>
          <w:p w14:paraId="03F1D8F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pH</w:t>
            </w:r>
          </w:p>
        </w:tc>
        <w:tc>
          <w:tcPr>
            <w:tcW w:w="2059" w:type="dxa"/>
            <w:tcBorders>
              <w:tl2br w:val="nil"/>
              <w:tr2bl w:val="nil"/>
            </w:tcBorders>
            <w:vAlign w:val="center"/>
          </w:tcPr>
          <w:p w14:paraId="52C3240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&gt;7.5</w:t>
            </w:r>
          </w:p>
        </w:tc>
        <w:tc>
          <w:tcPr>
            <w:tcW w:w="4130" w:type="dxa"/>
            <w:vMerge w:val="restart"/>
            <w:tcBorders>
              <w:tl2br w:val="nil"/>
              <w:tr2bl w:val="nil"/>
            </w:tcBorders>
            <w:vAlign w:val="center"/>
          </w:tcPr>
          <w:p w14:paraId="06F318A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《畜禽养殖产地环境评价规范》（HJ568-2010）中“表4”要求</w:t>
            </w:r>
          </w:p>
        </w:tc>
      </w:tr>
      <w:tr w14:paraId="33925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01430CD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507" w:type="dxa"/>
            <w:tcBorders>
              <w:tl2br w:val="nil"/>
              <w:tr2bl w:val="nil"/>
            </w:tcBorders>
            <w:vAlign w:val="center"/>
          </w:tcPr>
          <w:p w14:paraId="321BADD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镉</w:t>
            </w:r>
          </w:p>
        </w:tc>
        <w:tc>
          <w:tcPr>
            <w:tcW w:w="2059" w:type="dxa"/>
            <w:tcBorders>
              <w:tl2br w:val="nil"/>
              <w:tr2bl w:val="nil"/>
            </w:tcBorders>
            <w:vAlign w:val="center"/>
          </w:tcPr>
          <w:p w14:paraId="01848E22">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1.0</w:t>
            </w:r>
          </w:p>
        </w:tc>
        <w:tc>
          <w:tcPr>
            <w:tcW w:w="4130" w:type="dxa"/>
            <w:vMerge w:val="continue"/>
            <w:tcBorders>
              <w:tl2br w:val="nil"/>
              <w:tr2bl w:val="nil"/>
            </w:tcBorders>
            <w:vAlign w:val="center"/>
          </w:tcPr>
          <w:p w14:paraId="262C47CD">
            <w:pPr>
              <w:pStyle w:val="56"/>
              <w:rPr>
                <w:rFonts w:ascii="Times New Roman" w:hAnsi="Times New Roman"/>
                <w:color w:val="000000" w:themeColor="text1"/>
                <w:szCs w:val="21"/>
                <w14:textFill>
                  <w14:solidFill>
                    <w14:schemeClr w14:val="tx1"/>
                  </w14:solidFill>
                </w14:textFill>
              </w:rPr>
            </w:pPr>
          </w:p>
        </w:tc>
      </w:tr>
      <w:tr w14:paraId="562910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49F5CA8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1507" w:type="dxa"/>
            <w:tcBorders>
              <w:tl2br w:val="nil"/>
              <w:tr2bl w:val="nil"/>
            </w:tcBorders>
            <w:vAlign w:val="center"/>
          </w:tcPr>
          <w:p w14:paraId="4AC23D1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汞</w:t>
            </w:r>
          </w:p>
        </w:tc>
        <w:tc>
          <w:tcPr>
            <w:tcW w:w="2059" w:type="dxa"/>
            <w:tcBorders>
              <w:tl2br w:val="nil"/>
              <w:tr2bl w:val="nil"/>
            </w:tcBorders>
            <w:vAlign w:val="center"/>
          </w:tcPr>
          <w:p w14:paraId="513AD3E6">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1.5</w:t>
            </w:r>
          </w:p>
        </w:tc>
        <w:tc>
          <w:tcPr>
            <w:tcW w:w="4130" w:type="dxa"/>
            <w:vMerge w:val="continue"/>
            <w:tcBorders>
              <w:tl2br w:val="nil"/>
              <w:tr2bl w:val="nil"/>
            </w:tcBorders>
            <w:vAlign w:val="center"/>
          </w:tcPr>
          <w:p w14:paraId="073271F9">
            <w:pPr>
              <w:pStyle w:val="56"/>
              <w:rPr>
                <w:rFonts w:ascii="Times New Roman" w:hAnsi="Times New Roman"/>
                <w:color w:val="000000" w:themeColor="text1"/>
                <w:szCs w:val="21"/>
                <w14:textFill>
                  <w14:solidFill>
                    <w14:schemeClr w14:val="tx1"/>
                  </w14:solidFill>
                </w14:textFill>
              </w:rPr>
            </w:pPr>
          </w:p>
        </w:tc>
      </w:tr>
      <w:tr w14:paraId="06A5AF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1732D4A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507" w:type="dxa"/>
            <w:tcBorders>
              <w:tl2br w:val="nil"/>
              <w:tr2bl w:val="nil"/>
            </w:tcBorders>
            <w:vAlign w:val="center"/>
          </w:tcPr>
          <w:p w14:paraId="11C180A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砷</w:t>
            </w:r>
          </w:p>
        </w:tc>
        <w:tc>
          <w:tcPr>
            <w:tcW w:w="2059" w:type="dxa"/>
            <w:tcBorders>
              <w:tl2br w:val="nil"/>
              <w:tr2bl w:val="nil"/>
            </w:tcBorders>
            <w:vAlign w:val="center"/>
          </w:tcPr>
          <w:p w14:paraId="7AA86921">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40</w:t>
            </w:r>
          </w:p>
        </w:tc>
        <w:tc>
          <w:tcPr>
            <w:tcW w:w="4130" w:type="dxa"/>
            <w:vMerge w:val="continue"/>
            <w:tcBorders>
              <w:tl2br w:val="nil"/>
              <w:tr2bl w:val="nil"/>
            </w:tcBorders>
            <w:vAlign w:val="center"/>
          </w:tcPr>
          <w:p w14:paraId="6F47F502">
            <w:pPr>
              <w:pStyle w:val="56"/>
              <w:rPr>
                <w:rFonts w:ascii="Times New Roman" w:hAnsi="Times New Roman"/>
                <w:color w:val="000000" w:themeColor="text1"/>
                <w:szCs w:val="21"/>
                <w14:textFill>
                  <w14:solidFill>
                    <w14:schemeClr w14:val="tx1"/>
                  </w14:solidFill>
                </w14:textFill>
              </w:rPr>
            </w:pPr>
          </w:p>
        </w:tc>
      </w:tr>
      <w:tr w14:paraId="1782BB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1780695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1507" w:type="dxa"/>
            <w:tcBorders>
              <w:tl2br w:val="nil"/>
              <w:tr2bl w:val="nil"/>
            </w:tcBorders>
            <w:vAlign w:val="center"/>
          </w:tcPr>
          <w:p w14:paraId="744B36E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铅</w:t>
            </w:r>
          </w:p>
        </w:tc>
        <w:tc>
          <w:tcPr>
            <w:tcW w:w="2059" w:type="dxa"/>
            <w:tcBorders>
              <w:tl2br w:val="nil"/>
              <w:tr2bl w:val="nil"/>
            </w:tcBorders>
            <w:vAlign w:val="center"/>
          </w:tcPr>
          <w:p w14:paraId="513832A0">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500</w:t>
            </w:r>
          </w:p>
        </w:tc>
        <w:tc>
          <w:tcPr>
            <w:tcW w:w="4130" w:type="dxa"/>
            <w:vMerge w:val="continue"/>
            <w:tcBorders>
              <w:tl2br w:val="nil"/>
              <w:tr2bl w:val="nil"/>
            </w:tcBorders>
            <w:vAlign w:val="center"/>
          </w:tcPr>
          <w:p w14:paraId="03F68120">
            <w:pPr>
              <w:pStyle w:val="56"/>
              <w:rPr>
                <w:rFonts w:ascii="Times New Roman" w:hAnsi="Times New Roman"/>
                <w:color w:val="000000" w:themeColor="text1"/>
                <w:szCs w:val="21"/>
                <w14:textFill>
                  <w14:solidFill>
                    <w14:schemeClr w14:val="tx1"/>
                  </w14:solidFill>
                </w14:textFill>
              </w:rPr>
            </w:pPr>
          </w:p>
        </w:tc>
      </w:tr>
      <w:tr w14:paraId="089E49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4416061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1507" w:type="dxa"/>
            <w:tcBorders>
              <w:tl2br w:val="nil"/>
              <w:tr2bl w:val="nil"/>
            </w:tcBorders>
            <w:vAlign w:val="center"/>
          </w:tcPr>
          <w:p w14:paraId="75157EB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铬</w:t>
            </w:r>
          </w:p>
        </w:tc>
        <w:tc>
          <w:tcPr>
            <w:tcW w:w="2059" w:type="dxa"/>
            <w:tcBorders>
              <w:tl2br w:val="nil"/>
              <w:tr2bl w:val="nil"/>
            </w:tcBorders>
            <w:vAlign w:val="center"/>
          </w:tcPr>
          <w:p w14:paraId="11650B23">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300</w:t>
            </w:r>
          </w:p>
        </w:tc>
        <w:tc>
          <w:tcPr>
            <w:tcW w:w="4130" w:type="dxa"/>
            <w:vMerge w:val="continue"/>
            <w:tcBorders>
              <w:tl2br w:val="nil"/>
              <w:tr2bl w:val="nil"/>
            </w:tcBorders>
            <w:vAlign w:val="center"/>
          </w:tcPr>
          <w:p w14:paraId="49C95A92">
            <w:pPr>
              <w:pStyle w:val="56"/>
              <w:rPr>
                <w:rFonts w:ascii="Times New Roman" w:hAnsi="Times New Roman"/>
                <w:color w:val="000000" w:themeColor="text1"/>
                <w:szCs w:val="21"/>
                <w14:textFill>
                  <w14:solidFill>
                    <w14:schemeClr w14:val="tx1"/>
                  </w14:solidFill>
                </w14:textFill>
              </w:rPr>
            </w:pPr>
          </w:p>
        </w:tc>
      </w:tr>
      <w:tr w14:paraId="3F7F22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6558A55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1507" w:type="dxa"/>
            <w:tcBorders>
              <w:tl2br w:val="nil"/>
              <w:tr2bl w:val="nil"/>
            </w:tcBorders>
            <w:vAlign w:val="center"/>
          </w:tcPr>
          <w:p w14:paraId="3B4BE85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铜</w:t>
            </w:r>
          </w:p>
        </w:tc>
        <w:tc>
          <w:tcPr>
            <w:tcW w:w="2059" w:type="dxa"/>
            <w:tcBorders>
              <w:tl2br w:val="nil"/>
              <w:tr2bl w:val="nil"/>
            </w:tcBorders>
            <w:vAlign w:val="center"/>
          </w:tcPr>
          <w:p w14:paraId="3922D3A4">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400</w:t>
            </w:r>
          </w:p>
        </w:tc>
        <w:tc>
          <w:tcPr>
            <w:tcW w:w="4130" w:type="dxa"/>
            <w:vMerge w:val="continue"/>
            <w:tcBorders>
              <w:tl2br w:val="nil"/>
              <w:tr2bl w:val="nil"/>
            </w:tcBorders>
            <w:vAlign w:val="center"/>
          </w:tcPr>
          <w:p w14:paraId="2CB4FD33">
            <w:pPr>
              <w:pStyle w:val="56"/>
              <w:rPr>
                <w:rFonts w:ascii="Times New Roman" w:hAnsi="Times New Roman"/>
                <w:color w:val="000000" w:themeColor="text1"/>
                <w:szCs w:val="21"/>
                <w14:textFill>
                  <w14:solidFill>
                    <w14:schemeClr w14:val="tx1"/>
                  </w14:solidFill>
                </w14:textFill>
              </w:rPr>
            </w:pPr>
          </w:p>
        </w:tc>
      </w:tr>
      <w:tr w14:paraId="148E9A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24915AF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1507" w:type="dxa"/>
            <w:tcBorders>
              <w:tl2br w:val="nil"/>
              <w:tr2bl w:val="nil"/>
            </w:tcBorders>
            <w:vAlign w:val="center"/>
          </w:tcPr>
          <w:p w14:paraId="1698209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镍</w:t>
            </w:r>
          </w:p>
        </w:tc>
        <w:tc>
          <w:tcPr>
            <w:tcW w:w="2059" w:type="dxa"/>
            <w:tcBorders>
              <w:tl2br w:val="nil"/>
              <w:tr2bl w:val="nil"/>
            </w:tcBorders>
            <w:vAlign w:val="center"/>
          </w:tcPr>
          <w:p w14:paraId="47C96E02">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200</w:t>
            </w:r>
          </w:p>
        </w:tc>
        <w:tc>
          <w:tcPr>
            <w:tcW w:w="4130" w:type="dxa"/>
            <w:vMerge w:val="continue"/>
            <w:tcBorders>
              <w:tl2br w:val="nil"/>
              <w:tr2bl w:val="nil"/>
            </w:tcBorders>
            <w:vAlign w:val="center"/>
          </w:tcPr>
          <w:p w14:paraId="2131C7BD">
            <w:pPr>
              <w:pStyle w:val="56"/>
              <w:rPr>
                <w:rFonts w:ascii="Times New Roman" w:hAnsi="Times New Roman"/>
                <w:color w:val="000000" w:themeColor="text1"/>
                <w:szCs w:val="21"/>
                <w14:textFill>
                  <w14:solidFill>
                    <w14:schemeClr w14:val="tx1"/>
                  </w14:solidFill>
                </w14:textFill>
              </w:rPr>
            </w:pPr>
          </w:p>
        </w:tc>
      </w:tr>
      <w:tr w14:paraId="6BA946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148" w:type="dxa"/>
            <w:tcBorders>
              <w:tl2br w:val="nil"/>
              <w:tr2bl w:val="nil"/>
            </w:tcBorders>
            <w:vAlign w:val="center"/>
          </w:tcPr>
          <w:p w14:paraId="57605BF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1507" w:type="dxa"/>
            <w:tcBorders>
              <w:tl2br w:val="nil"/>
              <w:tr2bl w:val="nil"/>
            </w:tcBorders>
            <w:vAlign w:val="center"/>
          </w:tcPr>
          <w:p w14:paraId="3968298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锌</w:t>
            </w:r>
          </w:p>
        </w:tc>
        <w:tc>
          <w:tcPr>
            <w:tcW w:w="2059" w:type="dxa"/>
            <w:tcBorders>
              <w:tl2br w:val="nil"/>
              <w:tr2bl w:val="nil"/>
            </w:tcBorders>
            <w:vAlign w:val="center"/>
          </w:tcPr>
          <w:p w14:paraId="17E12AA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500</w:t>
            </w:r>
          </w:p>
        </w:tc>
        <w:tc>
          <w:tcPr>
            <w:tcW w:w="4130" w:type="dxa"/>
            <w:vMerge w:val="continue"/>
            <w:tcBorders>
              <w:tl2br w:val="nil"/>
              <w:tr2bl w:val="nil"/>
            </w:tcBorders>
            <w:vAlign w:val="center"/>
          </w:tcPr>
          <w:p w14:paraId="64194AA6">
            <w:pPr>
              <w:pStyle w:val="56"/>
              <w:rPr>
                <w:rFonts w:ascii="Times New Roman" w:hAnsi="Times New Roman"/>
                <w:color w:val="000000" w:themeColor="text1"/>
                <w:szCs w:val="21"/>
                <w14:textFill>
                  <w14:solidFill>
                    <w14:schemeClr w14:val="tx1"/>
                  </w14:solidFill>
                </w14:textFill>
              </w:rPr>
            </w:pPr>
          </w:p>
        </w:tc>
      </w:tr>
    </w:tbl>
    <w:p w14:paraId="1B99EA23">
      <w:pPr>
        <w:pStyle w:val="5"/>
        <w:ind w:left="120"/>
        <w:rPr>
          <w:rFonts w:ascii="Times New Roman" w:hAnsi="Times New Roman" w:cs="Times New Roman"/>
          <w:color w:val="auto"/>
        </w:rPr>
      </w:pPr>
      <w:r>
        <w:rPr>
          <w:rFonts w:ascii="Times New Roman" w:hAnsi="Times New Roman" w:cs="Times New Roman"/>
          <w:color w:val="auto"/>
        </w:rPr>
        <w:t>污染物排放标准</w:t>
      </w:r>
    </w:p>
    <w:p w14:paraId="3DB9D40F">
      <w:pPr>
        <w:ind w:firstLine="480"/>
        <w:rPr>
          <w:rFonts w:ascii="Times New Roman" w:hAnsi="Times New Roman" w:cs="Times New Roman"/>
          <w:color w:val="auto"/>
        </w:rPr>
      </w:pPr>
      <w:r>
        <w:rPr>
          <w:rFonts w:ascii="Times New Roman" w:hAnsi="Times New Roman" w:cs="Times New Roman"/>
          <w:color w:val="auto"/>
        </w:rPr>
        <w:t>（1）废气排放标准</w:t>
      </w:r>
    </w:p>
    <w:p w14:paraId="1EF27135">
      <w:pPr>
        <w:ind w:firstLine="480"/>
        <w:rPr>
          <w:rFonts w:ascii="Times New Roman" w:hAnsi="Times New Roman" w:cs="Times New Roman"/>
          <w:color w:val="auto"/>
        </w:rPr>
      </w:pPr>
      <w:r>
        <w:rPr>
          <w:rFonts w:ascii="Times New Roman" w:hAnsi="Times New Roman" w:cs="Times New Roman"/>
          <w:color w:val="auto"/>
        </w:rPr>
        <w:t>养殖区</w:t>
      </w:r>
      <w:r>
        <w:rPr>
          <w:rFonts w:hint="eastAsia" w:ascii="Times New Roman" w:hAnsi="Times New Roman" w:cs="Times New Roman"/>
          <w:color w:val="auto"/>
          <w:lang w:eastAsia="zh-CN"/>
        </w:rPr>
        <w:t>、</w:t>
      </w:r>
      <w:r>
        <w:rPr>
          <w:rFonts w:hint="eastAsia" w:cs="Times New Roman"/>
          <w:color w:val="auto"/>
          <w:lang w:val="en-US" w:eastAsia="zh-CN"/>
        </w:rPr>
        <w:t>污水处理设施</w:t>
      </w:r>
      <w:r>
        <w:rPr>
          <w:rFonts w:ascii="Times New Roman" w:hAnsi="Times New Roman" w:cs="Times New Roman"/>
          <w:color w:val="auto"/>
        </w:rPr>
        <w:t>恶臭气体废气执行</w:t>
      </w:r>
      <w:r>
        <w:rPr>
          <w:rFonts w:hint="eastAsia" w:ascii="Times New Roman" w:hAnsi="Times New Roman" w:eastAsia="宋体" w:cs="Times New Roman"/>
          <w:color w:val="auto"/>
          <w:szCs w:val="21"/>
          <w:lang w:val="en-US" w:eastAsia="zh-CN"/>
        </w:rPr>
        <w:t>《环境影响评价技术导则-大气环境》 HJ 2.2-2018 附录D</w:t>
      </w:r>
      <w:r>
        <w:rPr>
          <w:rFonts w:ascii="Times New Roman" w:hAnsi="Times New Roman" w:cs="Times New Roman"/>
          <w:color w:val="auto"/>
        </w:rPr>
        <w:t>中</w:t>
      </w:r>
      <w:r>
        <w:rPr>
          <w:rFonts w:hint="eastAsia" w:cs="Times New Roman"/>
          <w:color w:val="auto"/>
          <w:lang w:val="en-US" w:eastAsia="zh-CN"/>
        </w:rPr>
        <w:t>小时均值</w:t>
      </w:r>
      <w:r>
        <w:rPr>
          <w:rFonts w:ascii="Times New Roman" w:hAnsi="Times New Roman" w:cs="Times New Roman"/>
          <w:color w:val="auto"/>
        </w:rPr>
        <w:t>，详见表2.4-5。臭气浓度（无量纲）执行《畜禽养殖业污染物排放标准》（GB18596-2001）中集约化畜禽养殖业恶臭污染物排放标准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详见表2.4-6</w:t>
      </w:r>
      <w:r>
        <w:rPr>
          <w:rFonts w:ascii="Times New Roman" w:hAnsi="Times New Roman" w:cs="Times New Roman"/>
          <w:color w:val="auto"/>
        </w:rPr>
        <w:t>，</w:t>
      </w:r>
      <w:r>
        <w:rPr>
          <w:rFonts w:hint="eastAsia" w:ascii="Times New Roman" w:hAnsi="Times New Roman" w:cs="Times New Roman"/>
          <w:color w:val="auto"/>
          <w:lang w:val="en-US" w:eastAsia="zh-CN"/>
        </w:rPr>
        <w:t>饲料混合粉尘排放标准执行</w:t>
      </w:r>
      <w:r>
        <w:rPr>
          <w:rFonts w:hint="eastAsia" w:ascii="Times New Roman" w:hAnsi="Times New Roman" w:eastAsia="宋体" w:cs="宋体"/>
          <w:color w:val="auto"/>
          <w:kern w:val="0"/>
          <w:sz w:val="24"/>
          <w:szCs w:val="24"/>
          <w:lang w:val="en-US" w:eastAsia="zh-CN" w:bidi="ar"/>
        </w:rPr>
        <w:t>《大气污染物综合排放标准》（</w:t>
      </w:r>
      <w:r>
        <w:rPr>
          <w:rFonts w:hint="default" w:ascii="Times New Roman" w:hAnsi="Times New Roman" w:eastAsia="宋体" w:cs="Times New Roman"/>
          <w:color w:val="auto"/>
          <w:kern w:val="0"/>
          <w:sz w:val="24"/>
          <w:szCs w:val="24"/>
          <w:lang w:val="en-US" w:eastAsia="zh-CN" w:bidi="ar"/>
        </w:rPr>
        <w:t>GB16297-1996</w:t>
      </w:r>
      <w:r>
        <w:rPr>
          <w:rFonts w:hint="eastAsia" w:ascii="Times New Roman" w:hAnsi="Times New Roman" w:eastAsia="宋体" w:cs="宋体"/>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2</w:t>
      </w:r>
      <w:r>
        <w:rPr>
          <w:rFonts w:hint="eastAsia" w:ascii="Times New Roman" w:hAnsi="Times New Roman" w:eastAsia="宋体" w:cs="宋体"/>
          <w:color w:val="auto"/>
          <w:kern w:val="0"/>
          <w:sz w:val="24"/>
          <w:szCs w:val="24"/>
          <w:lang w:val="en-US" w:eastAsia="zh-CN" w:bidi="ar"/>
        </w:rPr>
        <w:t>中的无组织排放监控浓度限值，</w:t>
      </w:r>
      <w:r>
        <w:rPr>
          <w:rFonts w:ascii="Times New Roman" w:hAnsi="Times New Roman" w:cs="Times New Roman"/>
          <w:color w:val="auto"/>
        </w:rPr>
        <w:t>详见表2.4-</w:t>
      </w:r>
      <w:r>
        <w:rPr>
          <w:rFonts w:hint="eastAsia" w:ascii="Times New Roman" w:hAnsi="Times New Roman" w:cs="Times New Roman"/>
          <w:color w:val="auto"/>
          <w:lang w:val="en-US" w:eastAsia="zh-CN"/>
        </w:rPr>
        <w:t>7</w:t>
      </w:r>
      <w:r>
        <w:rPr>
          <w:rFonts w:ascii="Times New Roman" w:hAnsi="Times New Roman" w:cs="Times New Roman"/>
          <w:color w:val="auto"/>
        </w:rPr>
        <w:t>。</w:t>
      </w:r>
    </w:p>
    <w:p w14:paraId="23E42003">
      <w:pPr>
        <w:pStyle w:val="61"/>
        <w:spacing w:before="32" w:after="32"/>
        <w:rPr>
          <w:rFonts w:ascii="Times New Roman" w:hAnsi="Times New Roman" w:eastAsia="宋体" w:cs="Times New Roman"/>
          <w:b/>
          <w:bCs/>
          <w:color w:val="auto"/>
        </w:rPr>
      </w:pPr>
      <w:r>
        <w:rPr>
          <w:rFonts w:ascii="Times New Roman" w:hAnsi="Times New Roman" w:eastAsia="宋体" w:cs="Times New Roman"/>
          <w:b/>
          <w:bCs/>
          <w:color w:val="auto"/>
        </w:rPr>
        <w:t>表2.4-5    《恶臭污染物排放标准》（无组织）</w:t>
      </w:r>
    </w:p>
    <w:tbl>
      <w:tblPr>
        <w:tblStyle w:val="35"/>
        <w:tblW w:w="866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29"/>
        <w:gridCol w:w="2074"/>
        <w:gridCol w:w="1860"/>
        <w:gridCol w:w="3400"/>
      </w:tblGrid>
      <w:tr w14:paraId="20F2D0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329" w:type="dxa"/>
            <w:tcBorders>
              <w:tl2br w:val="nil"/>
              <w:tr2bl w:val="nil"/>
            </w:tcBorders>
            <w:vAlign w:val="center"/>
          </w:tcPr>
          <w:p w14:paraId="78C47F5E">
            <w:pPr>
              <w:pStyle w:val="56"/>
              <w:rPr>
                <w:rFonts w:ascii="Times New Roman" w:hAnsi="Times New Roman"/>
                <w:color w:val="auto"/>
                <w:szCs w:val="21"/>
              </w:rPr>
            </w:pPr>
            <w:r>
              <w:rPr>
                <w:rFonts w:ascii="Times New Roman" w:hAnsi="Times New Roman"/>
                <w:color w:val="auto"/>
                <w:szCs w:val="21"/>
              </w:rPr>
              <w:t>序号</w:t>
            </w:r>
          </w:p>
        </w:tc>
        <w:tc>
          <w:tcPr>
            <w:tcW w:w="2074" w:type="dxa"/>
            <w:tcBorders>
              <w:tl2br w:val="nil"/>
              <w:tr2bl w:val="nil"/>
            </w:tcBorders>
            <w:vAlign w:val="center"/>
          </w:tcPr>
          <w:p w14:paraId="180BC8E8">
            <w:pPr>
              <w:pStyle w:val="56"/>
              <w:rPr>
                <w:rFonts w:ascii="Times New Roman" w:hAnsi="Times New Roman"/>
                <w:color w:val="auto"/>
                <w:szCs w:val="21"/>
              </w:rPr>
            </w:pPr>
            <w:r>
              <w:rPr>
                <w:rFonts w:ascii="Times New Roman" w:hAnsi="Times New Roman"/>
                <w:color w:val="auto"/>
                <w:szCs w:val="21"/>
              </w:rPr>
              <w:t>控制项目</w:t>
            </w:r>
          </w:p>
        </w:tc>
        <w:tc>
          <w:tcPr>
            <w:tcW w:w="1860" w:type="dxa"/>
            <w:tcBorders>
              <w:tl2br w:val="nil"/>
              <w:tr2bl w:val="nil"/>
            </w:tcBorders>
            <w:vAlign w:val="center"/>
          </w:tcPr>
          <w:p w14:paraId="33CEAD86">
            <w:pPr>
              <w:pStyle w:val="56"/>
              <w:rPr>
                <w:rFonts w:ascii="Times New Roman" w:hAnsi="Times New Roman"/>
                <w:color w:val="auto"/>
                <w:szCs w:val="21"/>
              </w:rPr>
            </w:pPr>
            <w:r>
              <w:rPr>
                <w:rFonts w:ascii="Times New Roman" w:hAnsi="Times New Roman"/>
                <w:color w:val="auto"/>
                <w:szCs w:val="21"/>
              </w:rPr>
              <w:t>单位</w:t>
            </w:r>
          </w:p>
        </w:tc>
        <w:tc>
          <w:tcPr>
            <w:tcW w:w="3400" w:type="dxa"/>
            <w:tcBorders>
              <w:tl2br w:val="nil"/>
              <w:tr2bl w:val="nil"/>
            </w:tcBorders>
            <w:vAlign w:val="center"/>
          </w:tcPr>
          <w:p w14:paraId="15D7FCDC">
            <w:pPr>
              <w:pStyle w:val="56"/>
              <w:rPr>
                <w:rFonts w:ascii="Times New Roman" w:hAnsi="Times New Roman"/>
                <w:color w:val="auto"/>
                <w:szCs w:val="21"/>
              </w:rPr>
            </w:pPr>
            <w:r>
              <w:rPr>
                <w:rFonts w:ascii="Times New Roman" w:hAnsi="Times New Roman"/>
                <w:color w:val="auto"/>
                <w:szCs w:val="21"/>
              </w:rPr>
              <w:t>二级</w:t>
            </w:r>
          </w:p>
        </w:tc>
      </w:tr>
      <w:tr w14:paraId="023C7B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329" w:type="dxa"/>
            <w:tcBorders>
              <w:tl2br w:val="nil"/>
              <w:tr2bl w:val="nil"/>
            </w:tcBorders>
            <w:vAlign w:val="center"/>
          </w:tcPr>
          <w:p w14:paraId="09878064">
            <w:pPr>
              <w:pStyle w:val="56"/>
              <w:rPr>
                <w:rFonts w:ascii="Times New Roman" w:hAnsi="Times New Roman"/>
                <w:color w:val="auto"/>
                <w:szCs w:val="21"/>
              </w:rPr>
            </w:pPr>
            <w:r>
              <w:rPr>
                <w:rFonts w:ascii="Times New Roman" w:hAnsi="Times New Roman"/>
                <w:color w:val="auto"/>
                <w:szCs w:val="21"/>
              </w:rPr>
              <w:t>1</w:t>
            </w:r>
          </w:p>
        </w:tc>
        <w:tc>
          <w:tcPr>
            <w:tcW w:w="2074" w:type="dxa"/>
            <w:tcBorders>
              <w:tl2br w:val="nil"/>
              <w:tr2bl w:val="nil"/>
            </w:tcBorders>
            <w:vAlign w:val="center"/>
          </w:tcPr>
          <w:p w14:paraId="6B9E1278">
            <w:pPr>
              <w:pStyle w:val="56"/>
              <w:rPr>
                <w:rFonts w:ascii="Times New Roman" w:hAnsi="Times New Roman"/>
                <w:color w:val="auto"/>
                <w:szCs w:val="21"/>
              </w:rPr>
            </w:pPr>
            <w:r>
              <w:rPr>
                <w:rFonts w:ascii="Times New Roman" w:hAnsi="Times New Roman"/>
                <w:color w:val="auto"/>
                <w:szCs w:val="21"/>
              </w:rPr>
              <w:t>氨</w:t>
            </w:r>
          </w:p>
        </w:tc>
        <w:tc>
          <w:tcPr>
            <w:tcW w:w="1860" w:type="dxa"/>
            <w:tcBorders>
              <w:tl2br w:val="nil"/>
              <w:tr2bl w:val="nil"/>
            </w:tcBorders>
            <w:vAlign w:val="center"/>
          </w:tcPr>
          <w:p w14:paraId="0A17155D">
            <w:pPr>
              <w:pStyle w:val="56"/>
              <w:rPr>
                <w:rFonts w:ascii="Times New Roman" w:hAnsi="Times New Roman"/>
                <w:color w:val="auto"/>
                <w:szCs w:val="21"/>
              </w:rPr>
            </w:pPr>
            <w:r>
              <w:rPr>
                <w:rFonts w:hint="eastAsia"/>
                <w:color w:val="auto"/>
                <w:szCs w:val="21"/>
                <w:lang w:val="en-US" w:eastAsia="zh-CN"/>
              </w:rPr>
              <w:t>u</w:t>
            </w:r>
            <w:r>
              <w:rPr>
                <w:rFonts w:ascii="Times New Roman" w:hAnsi="Times New Roman"/>
                <w:color w:val="auto"/>
                <w:szCs w:val="21"/>
              </w:rPr>
              <w:t>g/m³</w:t>
            </w:r>
          </w:p>
        </w:tc>
        <w:tc>
          <w:tcPr>
            <w:tcW w:w="3400" w:type="dxa"/>
            <w:tcBorders>
              <w:tl2br w:val="nil"/>
              <w:tr2bl w:val="nil"/>
            </w:tcBorders>
            <w:vAlign w:val="center"/>
          </w:tcPr>
          <w:p w14:paraId="1B3F5A27">
            <w:pPr>
              <w:pStyle w:val="56"/>
              <w:rPr>
                <w:rFonts w:hint="default" w:ascii="Times New Roman" w:hAnsi="Times New Roman" w:eastAsia="宋体"/>
                <w:color w:val="auto"/>
                <w:szCs w:val="21"/>
                <w:lang w:val="en-US" w:eastAsia="zh-CN"/>
              </w:rPr>
            </w:pPr>
            <w:r>
              <w:rPr>
                <w:rFonts w:hint="eastAsia"/>
                <w:color w:val="auto"/>
                <w:szCs w:val="21"/>
                <w:lang w:val="en-US" w:eastAsia="zh-CN"/>
              </w:rPr>
              <w:t>200</w:t>
            </w:r>
          </w:p>
        </w:tc>
      </w:tr>
      <w:tr w14:paraId="5D3E8A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329" w:type="dxa"/>
            <w:tcBorders>
              <w:tl2br w:val="nil"/>
              <w:tr2bl w:val="nil"/>
            </w:tcBorders>
            <w:vAlign w:val="center"/>
          </w:tcPr>
          <w:p w14:paraId="4531AEE8">
            <w:pPr>
              <w:pStyle w:val="56"/>
              <w:rPr>
                <w:rFonts w:ascii="Times New Roman" w:hAnsi="Times New Roman"/>
                <w:color w:val="auto"/>
                <w:szCs w:val="21"/>
              </w:rPr>
            </w:pPr>
            <w:r>
              <w:rPr>
                <w:rFonts w:ascii="Times New Roman" w:hAnsi="Times New Roman"/>
                <w:color w:val="auto"/>
                <w:szCs w:val="21"/>
              </w:rPr>
              <w:t>2</w:t>
            </w:r>
          </w:p>
        </w:tc>
        <w:tc>
          <w:tcPr>
            <w:tcW w:w="2074" w:type="dxa"/>
            <w:tcBorders>
              <w:tl2br w:val="nil"/>
              <w:tr2bl w:val="nil"/>
            </w:tcBorders>
            <w:vAlign w:val="center"/>
          </w:tcPr>
          <w:p w14:paraId="2D8126ED">
            <w:pPr>
              <w:pStyle w:val="56"/>
              <w:rPr>
                <w:rFonts w:ascii="Times New Roman" w:hAnsi="Times New Roman"/>
                <w:color w:val="auto"/>
                <w:szCs w:val="21"/>
              </w:rPr>
            </w:pPr>
            <w:r>
              <w:rPr>
                <w:rFonts w:ascii="Times New Roman" w:hAnsi="Times New Roman"/>
                <w:color w:val="auto"/>
                <w:szCs w:val="21"/>
              </w:rPr>
              <w:t>硫化氢</w:t>
            </w:r>
          </w:p>
        </w:tc>
        <w:tc>
          <w:tcPr>
            <w:tcW w:w="1860" w:type="dxa"/>
            <w:tcBorders>
              <w:tl2br w:val="nil"/>
              <w:tr2bl w:val="nil"/>
            </w:tcBorders>
            <w:vAlign w:val="center"/>
          </w:tcPr>
          <w:p w14:paraId="55368B1A">
            <w:pPr>
              <w:pStyle w:val="56"/>
              <w:rPr>
                <w:rFonts w:ascii="Times New Roman" w:hAnsi="Times New Roman"/>
                <w:color w:val="auto"/>
                <w:szCs w:val="21"/>
              </w:rPr>
            </w:pPr>
            <w:r>
              <w:rPr>
                <w:rFonts w:hint="eastAsia"/>
                <w:color w:val="auto"/>
                <w:szCs w:val="21"/>
                <w:lang w:val="en-US" w:eastAsia="zh-CN"/>
              </w:rPr>
              <w:t>u</w:t>
            </w:r>
            <w:r>
              <w:rPr>
                <w:rFonts w:ascii="Times New Roman" w:hAnsi="Times New Roman"/>
                <w:color w:val="auto"/>
                <w:szCs w:val="21"/>
              </w:rPr>
              <w:t>g/m³</w:t>
            </w:r>
          </w:p>
        </w:tc>
        <w:tc>
          <w:tcPr>
            <w:tcW w:w="3400" w:type="dxa"/>
            <w:tcBorders>
              <w:tl2br w:val="nil"/>
              <w:tr2bl w:val="nil"/>
            </w:tcBorders>
            <w:vAlign w:val="center"/>
          </w:tcPr>
          <w:p w14:paraId="1B7D5A33">
            <w:pPr>
              <w:pStyle w:val="56"/>
              <w:rPr>
                <w:rFonts w:hint="default" w:ascii="Times New Roman" w:hAnsi="Times New Roman" w:eastAsia="宋体"/>
                <w:color w:val="auto"/>
                <w:szCs w:val="21"/>
                <w:lang w:val="en-US" w:eastAsia="zh-CN"/>
              </w:rPr>
            </w:pPr>
            <w:r>
              <w:rPr>
                <w:rFonts w:hint="eastAsia"/>
                <w:color w:val="auto"/>
                <w:szCs w:val="21"/>
                <w:lang w:val="en-US" w:eastAsia="zh-CN"/>
              </w:rPr>
              <w:t>10</w:t>
            </w:r>
          </w:p>
        </w:tc>
      </w:tr>
    </w:tbl>
    <w:p w14:paraId="09172F89">
      <w:pPr>
        <w:pStyle w:val="61"/>
        <w:spacing w:before="32" w:after="32"/>
        <w:rPr>
          <w:rFonts w:ascii="Times New Roman" w:hAnsi="Times New Roman" w:eastAsia="宋体" w:cs="Times New Roman"/>
          <w:b/>
          <w:bCs/>
          <w:color w:val="auto"/>
        </w:rPr>
      </w:pPr>
      <w:r>
        <w:rPr>
          <w:rFonts w:ascii="Times New Roman" w:hAnsi="Times New Roman" w:eastAsia="宋体" w:cs="Times New Roman"/>
          <w:b/>
          <w:bCs/>
          <w:color w:val="auto"/>
        </w:rPr>
        <w:t>表2.4-6    《畜禽养殖业污染物排放标准》</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22"/>
        <w:gridCol w:w="4422"/>
      </w:tblGrid>
      <w:tr w14:paraId="0BB90D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422" w:type="dxa"/>
            <w:tcBorders>
              <w:tl2br w:val="nil"/>
              <w:tr2bl w:val="nil"/>
            </w:tcBorders>
            <w:vAlign w:val="center"/>
          </w:tcPr>
          <w:p w14:paraId="446E19AB">
            <w:pPr>
              <w:pStyle w:val="56"/>
              <w:rPr>
                <w:rFonts w:ascii="Times New Roman" w:hAnsi="Times New Roman"/>
                <w:color w:val="auto"/>
                <w:szCs w:val="21"/>
              </w:rPr>
            </w:pPr>
            <w:r>
              <w:rPr>
                <w:rFonts w:ascii="Times New Roman" w:hAnsi="Times New Roman"/>
                <w:color w:val="auto"/>
                <w:szCs w:val="21"/>
              </w:rPr>
              <w:t>控制项目</w:t>
            </w:r>
          </w:p>
        </w:tc>
        <w:tc>
          <w:tcPr>
            <w:tcW w:w="4422" w:type="dxa"/>
            <w:tcBorders>
              <w:tl2br w:val="nil"/>
              <w:tr2bl w:val="nil"/>
            </w:tcBorders>
            <w:vAlign w:val="center"/>
          </w:tcPr>
          <w:p w14:paraId="33C17B38">
            <w:pPr>
              <w:pStyle w:val="56"/>
              <w:rPr>
                <w:rFonts w:ascii="Times New Roman" w:hAnsi="Times New Roman"/>
                <w:color w:val="auto"/>
                <w:szCs w:val="21"/>
              </w:rPr>
            </w:pPr>
            <w:r>
              <w:rPr>
                <w:rFonts w:ascii="Times New Roman" w:hAnsi="Times New Roman"/>
                <w:color w:val="auto"/>
                <w:szCs w:val="21"/>
              </w:rPr>
              <w:t>标准值</w:t>
            </w:r>
          </w:p>
        </w:tc>
      </w:tr>
      <w:tr w14:paraId="3195F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422" w:type="dxa"/>
            <w:tcBorders>
              <w:tl2br w:val="nil"/>
              <w:tr2bl w:val="nil"/>
            </w:tcBorders>
            <w:vAlign w:val="center"/>
          </w:tcPr>
          <w:p w14:paraId="3D1966AC">
            <w:pPr>
              <w:pStyle w:val="56"/>
              <w:rPr>
                <w:rFonts w:ascii="Times New Roman" w:hAnsi="Times New Roman"/>
                <w:color w:val="auto"/>
                <w:szCs w:val="21"/>
              </w:rPr>
            </w:pPr>
            <w:r>
              <w:rPr>
                <w:rFonts w:ascii="Times New Roman" w:hAnsi="Times New Roman"/>
                <w:color w:val="auto"/>
                <w:szCs w:val="21"/>
              </w:rPr>
              <w:t>臭气浓度（无量纲）</w:t>
            </w:r>
          </w:p>
        </w:tc>
        <w:tc>
          <w:tcPr>
            <w:tcW w:w="4422" w:type="dxa"/>
            <w:tcBorders>
              <w:tl2br w:val="nil"/>
              <w:tr2bl w:val="nil"/>
            </w:tcBorders>
            <w:vAlign w:val="center"/>
          </w:tcPr>
          <w:p w14:paraId="7B1B6C93">
            <w:pPr>
              <w:pStyle w:val="56"/>
              <w:rPr>
                <w:rFonts w:ascii="Times New Roman" w:hAnsi="Times New Roman"/>
                <w:color w:val="auto"/>
                <w:szCs w:val="21"/>
              </w:rPr>
            </w:pPr>
            <w:r>
              <w:rPr>
                <w:rFonts w:ascii="Times New Roman" w:hAnsi="Times New Roman"/>
                <w:color w:val="auto"/>
                <w:szCs w:val="21"/>
              </w:rPr>
              <w:t>70</w:t>
            </w:r>
          </w:p>
        </w:tc>
      </w:tr>
    </w:tbl>
    <w:p w14:paraId="65D3C0B0">
      <w:pPr>
        <w:pStyle w:val="61"/>
        <w:spacing w:before="32" w:after="32"/>
        <w:rPr>
          <w:rFonts w:ascii="Times New Roman" w:hAnsi="Times New Roman" w:eastAsia="宋体" w:cs="Times New Roman"/>
          <w:b/>
          <w:bCs/>
          <w:color w:val="auto"/>
        </w:rPr>
      </w:pPr>
    </w:p>
    <w:p w14:paraId="765ABDB5">
      <w:pPr>
        <w:pStyle w:val="61"/>
        <w:spacing w:before="32" w:after="32"/>
        <w:rPr>
          <w:rFonts w:hint="default" w:ascii="Times New Roman" w:hAnsi="Times New Roman" w:eastAsia="宋体" w:cs="Times New Roman"/>
          <w:b/>
          <w:bCs/>
          <w:color w:val="auto"/>
          <w:lang w:val="en-US" w:eastAsia="zh-CN"/>
        </w:rPr>
      </w:pPr>
      <w:r>
        <w:rPr>
          <w:rFonts w:ascii="Times New Roman" w:hAnsi="Times New Roman" w:eastAsia="宋体" w:cs="Times New Roman"/>
          <w:b/>
          <w:bCs/>
          <w:color w:val="auto"/>
        </w:rPr>
        <w:t>表2.4-</w:t>
      </w:r>
      <w:r>
        <w:rPr>
          <w:rFonts w:hint="eastAsia" w:ascii="Times New Roman" w:hAnsi="Times New Roman" w:eastAsia="宋体" w:cs="Times New Roman"/>
          <w:b/>
          <w:bCs/>
          <w:color w:val="auto"/>
          <w:lang w:val="en-US" w:eastAsia="zh-CN"/>
        </w:rPr>
        <w:t>7</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大气污染物综合排放标准</w:t>
      </w:r>
      <w:r>
        <w:rPr>
          <w:rFonts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 xml:space="preserve">   单位：</w:t>
      </w:r>
      <w:r>
        <w:rPr>
          <w:rFonts w:ascii="Times New Roman" w:hAnsi="Times New Roman"/>
          <w:b/>
          <w:bCs/>
          <w:color w:val="auto"/>
          <w:szCs w:val="21"/>
        </w:rPr>
        <w:t>mg/m³</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22"/>
        <w:gridCol w:w="4422"/>
      </w:tblGrid>
      <w:tr w14:paraId="36C6B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422" w:type="dxa"/>
            <w:tcBorders>
              <w:tl2br w:val="nil"/>
              <w:tr2bl w:val="nil"/>
            </w:tcBorders>
            <w:vAlign w:val="center"/>
          </w:tcPr>
          <w:p w14:paraId="49B2CE4E">
            <w:pPr>
              <w:pStyle w:val="56"/>
              <w:rPr>
                <w:rFonts w:ascii="Times New Roman" w:hAnsi="Times New Roman"/>
                <w:color w:val="auto"/>
                <w:szCs w:val="21"/>
              </w:rPr>
            </w:pPr>
            <w:r>
              <w:rPr>
                <w:rFonts w:ascii="Times New Roman" w:hAnsi="Times New Roman"/>
                <w:color w:val="auto"/>
                <w:szCs w:val="21"/>
              </w:rPr>
              <w:t>控制项目</w:t>
            </w:r>
          </w:p>
        </w:tc>
        <w:tc>
          <w:tcPr>
            <w:tcW w:w="4422" w:type="dxa"/>
            <w:tcBorders>
              <w:tl2br w:val="nil"/>
              <w:tr2bl w:val="nil"/>
            </w:tcBorders>
            <w:vAlign w:val="center"/>
          </w:tcPr>
          <w:p w14:paraId="23A3AB5E">
            <w:pPr>
              <w:pStyle w:val="56"/>
              <w:rPr>
                <w:rFonts w:ascii="Times New Roman" w:hAnsi="Times New Roman"/>
                <w:color w:val="auto"/>
                <w:szCs w:val="21"/>
              </w:rPr>
            </w:pPr>
            <w:r>
              <w:rPr>
                <w:rFonts w:ascii="Times New Roman" w:hAnsi="Times New Roman"/>
                <w:color w:val="auto"/>
                <w:szCs w:val="21"/>
              </w:rPr>
              <w:t>标准值</w:t>
            </w:r>
          </w:p>
        </w:tc>
      </w:tr>
      <w:tr w14:paraId="601818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422" w:type="dxa"/>
            <w:tcBorders>
              <w:tl2br w:val="nil"/>
              <w:tr2bl w:val="nil"/>
            </w:tcBorders>
            <w:vAlign w:val="center"/>
          </w:tcPr>
          <w:p w14:paraId="58FA67CD">
            <w:pPr>
              <w:pStyle w:val="56"/>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颗粒物</w:t>
            </w:r>
          </w:p>
        </w:tc>
        <w:tc>
          <w:tcPr>
            <w:tcW w:w="4422" w:type="dxa"/>
            <w:tcBorders>
              <w:tl2br w:val="nil"/>
              <w:tr2bl w:val="nil"/>
            </w:tcBorders>
            <w:vAlign w:val="center"/>
          </w:tcPr>
          <w:p w14:paraId="3C4C4D30">
            <w:pPr>
              <w:pStyle w:val="56"/>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1.0</w:t>
            </w:r>
          </w:p>
        </w:tc>
      </w:tr>
    </w:tbl>
    <w:p w14:paraId="2A0D0571">
      <w:pPr>
        <w:ind w:firstLine="480"/>
        <w:rPr>
          <w:rFonts w:ascii="Times New Roman" w:hAnsi="Times New Roman" w:cs="Times New Roman"/>
          <w:color w:val="auto"/>
        </w:rPr>
      </w:pPr>
      <w:r>
        <w:rPr>
          <w:rFonts w:ascii="Times New Roman" w:hAnsi="Times New Roman" w:cs="Times New Roman"/>
          <w:color w:val="auto"/>
        </w:rPr>
        <w:t>（2）噪声排放标准</w:t>
      </w:r>
    </w:p>
    <w:p w14:paraId="096AAEBE">
      <w:pPr>
        <w:ind w:firstLine="480"/>
        <w:rPr>
          <w:rFonts w:ascii="Times New Roman" w:hAnsi="Times New Roman" w:cs="Times New Roman"/>
          <w:color w:val="auto"/>
        </w:rPr>
      </w:pPr>
      <w:r>
        <w:rPr>
          <w:rFonts w:ascii="Times New Roman" w:hAnsi="Times New Roman" w:cs="Times New Roman"/>
          <w:color w:val="auto"/>
        </w:rPr>
        <w:t>施工噪声执行《建筑施工场界环境噪声排放标准》（GB12523-2011）。具体指标见表2.4-</w:t>
      </w:r>
      <w:r>
        <w:rPr>
          <w:rFonts w:hint="eastAsia" w:ascii="Times New Roman" w:hAnsi="Times New Roman" w:cs="Times New Roman"/>
          <w:color w:val="auto"/>
          <w:lang w:val="en-US" w:eastAsia="zh-CN"/>
        </w:rPr>
        <w:t>8</w:t>
      </w:r>
      <w:r>
        <w:rPr>
          <w:rFonts w:ascii="Times New Roman" w:hAnsi="Times New Roman" w:cs="Times New Roman"/>
          <w:color w:val="auto"/>
        </w:rPr>
        <w:t>；运营期厂界</w:t>
      </w:r>
      <w:r>
        <w:rPr>
          <w:rFonts w:hint="eastAsia" w:cs="Times New Roman"/>
          <w:color w:val="auto"/>
          <w:lang w:val="en-US" w:eastAsia="zh-CN"/>
        </w:rPr>
        <w:t>外</w:t>
      </w:r>
      <w:r>
        <w:rPr>
          <w:rFonts w:ascii="Times New Roman" w:hAnsi="Times New Roman" w:cs="Times New Roman"/>
          <w:color w:val="auto"/>
        </w:rPr>
        <w:t>噪声执行《工业企业厂界环境噪声排放标准》（GB12348-2008）中</w:t>
      </w:r>
      <w:r>
        <w:rPr>
          <w:rFonts w:hint="eastAsia" w:ascii="Times New Roman" w:hAnsi="Times New Roman" w:cs="Times New Roman"/>
          <w:color w:val="auto"/>
          <w:lang w:val="en-US" w:eastAsia="zh-CN"/>
        </w:rPr>
        <w:t>3</w:t>
      </w:r>
      <w:r>
        <w:rPr>
          <w:rFonts w:ascii="Times New Roman" w:hAnsi="Times New Roman" w:cs="Times New Roman"/>
          <w:color w:val="auto"/>
        </w:rPr>
        <w:t>类标准，具体指标见表2.4-</w:t>
      </w:r>
      <w:r>
        <w:rPr>
          <w:rFonts w:hint="eastAsia" w:ascii="Times New Roman" w:hAnsi="Times New Roman" w:cs="Times New Roman"/>
          <w:color w:val="auto"/>
          <w:lang w:val="en-US" w:eastAsia="zh-CN"/>
        </w:rPr>
        <w:t>9</w:t>
      </w:r>
      <w:r>
        <w:rPr>
          <w:rFonts w:ascii="Times New Roman" w:hAnsi="Times New Roman" w:cs="Times New Roman"/>
          <w:color w:val="auto"/>
        </w:rPr>
        <w:t>。</w:t>
      </w:r>
    </w:p>
    <w:p w14:paraId="1690E905">
      <w:pPr>
        <w:pStyle w:val="61"/>
        <w:spacing w:before="32" w:after="32"/>
        <w:rPr>
          <w:rFonts w:ascii="Times New Roman" w:hAnsi="Times New Roman" w:cs="Times New Roman"/>
          <w:color w:val="auto"/>
        </w:rPr>
      </w:pPr>
      <w:r>
        <w:rPr>
          <w:rFonts w:ascii="Times New Roman" w:hAnsi="Times New Roman" w:eastAsia="宋体" w:cs="Times New Roman"/>
          <w:b/>
          <w:bCs/>
          <w:color w:val="auto"/>
        </w:rPr>
        <w:t>表2.4-</w:t>
      </w:r>
      <w:r>
        <w:rPr>
          <w:rFonts w:hint="eastAsia" w:ascii="Times New Roman" w:hAnsi="Times New Roman" w:eastAsia="宋体" w:cs="Times New Roman"/>
          <w:b/>
          <w:bCs/>
          <w:color w:val="auto"/>
          <w:lang w:val="en-US" w:eastAsia="zh-CN"/>
        </w:rPr>
        <w:t>8</w:t>
      </w:r>
      <w:r>
        <w:rPr>
          <w:rFonts w:ascii="Times New Roman" w:hAnsi="Times New Roman" w:eastAsia="宋体" w:cs="Times New Roman"/>
          <w:b/>
          <w:bCs/>
          <w:color w:val="auto"/>
        </w:rPr>
        <w:t xml:space="preserve">    《建筑施工场界环境噪声排放标准》</w:t>
      </w:r>
    </w:p>
    <w:tbl>
      <w:tblPr>
        <w:tblStyle w:val="35"/>
        <w:tblW w:w="90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14:paraId="1BC75D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4530" w:type="dxa"/>
            <w:tcBorders>
              <w:tl2br w:val="nil"/>
              <w:tr2bl w:val="nil"/>
            </w:tcBorders>
            <w:vAlign w:val="center"/>
          </w:tcPr>
          <w:p w14:paraId="129307D3">
            <w:pPr>
              <w:pStyle w:val="56"/>
              <w:rPr>
                <w:rFonts w:ascii="Times New Roman" w:hAnsi="Times New Roman"/>
                <w:color w:val="auto"/>
                <w:szCs w:val="21"/>
              </w:rPr>
            </w:pPr>
            <w:r>
              <w:rPr>
                <w:rFonts w:ascii="Times New Roman" w:hAnsi="Times New Roman"/>
                <w:color w:val="auto"/>
                <w:szCs w:val="21"/>
              </w:rPr>
              <w:t>昼间</w:t>
            </w:r>
          </w:p>
        </w:tc>
        <w:tc>
          <w:tcPr>
            <w:tcW w:w="4530" w:type="dxa"/>
            <w:tcBorders>
              <w:tl2br w:val="nil"/>
              <w:tr2bl w:val="nil"/>
            </w:tcBorders>
            <w:vAlign w:val="center"/>
          </w:tcPr>
          <w:p w14:paraId="0E23656F">
            <w:pPr>
              <w:pStyle w:val="56"/>
              <w:rPr>
                <w:rFonts w:ascii="Times New Roman" w:hAnsi="Times New Roman"/>
                <w:color w:val="auto"/>
                <w:szCs w:val="21"/>
              </w:rPr>
            </w:pPr>
            <w:r>
              <w:rPr>
                <w:rFonts w:ascii="Times New Roman" w:hAnsi="Times New Roman"/>
                <w:color w:val="auto"/>
                <w:szCs w:val="21"/>
              </w:rPr>
              <w:t>夜间</w:t>
            </w:r>
          </w:p>
        </w:tc>
      </w:tr>
      <w:tr w14:paraId="3A8B91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4530" w:type="dxa"/>
            <w:tcBorders>
              <w:tl2br w:val="nil"/>
              <w:tr2bl w:val="nil"/>
            </w:tcBorders>
            <w:vAlign w:val="center"/>
          </w:tcPr>
          <w:p w14:paraId="5EEE1999">
            <w:pPr>
              <w:pStyle w:val="56"/>
              <w:rPr>
                <w:rFonts w:ascii="Times New Roman" w:hAnsi="Times New Roman"/>
                <w:color w:val="auto"/>
                <w:szCs w:val="21"/>
              </w:rPr>
            </w:pPr>
            <w:r>
              <w:rPr>
                <w:rFonts w:ascii="Times New Roman" w:hAnsi="Times New Roman"/>
                <w:color w:val="auto"/>
                <w:szCs w:val="21"/>
              </w:rPr>
              <w:t>70dB（A）</w:t>
            </w:r>
          </w:p>
        </w:tc>
        <w:tc>
          <w:tcPr>
            <w:tcW w:w="4530" w:type="dxa"/>
            <w:tcBorders>
              <w:tl2br w:val="nil"/>
              <w:tr2bl w:val="nil"/>
            </w:tcBorders>
            <w:vAlign w:val="center"/>
          </w:tcPr>
          <w:p w14:paraId="16B6E4B5">
            <w:pPr>
              <w:pStyle w:val="56"/>
              <w:rPr>
                <w:rFonts w:ascii="Times New Roman" w:hAnsi="Times New Roman"/>
                <w:color w:val="auto"/>
                <w:szCs w:val="21"/>
              </w:rPr>
            </w:pPr>
            <w:r>
              <w:rPr>
                <w:rFonts w:ascii="Times New Roman" w:hAnsi="Times New Roman"/>
                <w:color w:val="auto"/>
                <w:szCs w:val="21"/>
              </w:rPr>
              <w:t>55dB（A）</w:t>
            </w:r>
          </w:p>
        </w:tc>
      </w:tr>
    </w:tbl>
    <w:p w14:paraId="34EB0354">
      <w:pPr>
        <w:pStyle w:val="61"/>
        <w:spacing w:before="32" w:after="32"/>
        <w:rPr>
          <w:rFonts w:ascii="Times New Roman" w:hAnsi="Times New Roman" w:eastAsia="宋体" w:cs="Times New Roman"/>
          <w:b/>
          <w:bCs/>
          <w:color w:val="auto"/>
        </w:rPr>
      </w:pPr>
      <w:r>
        <w:rPr>
          <w:rFonts w:ascii="Times New Roman" w:hAnsi="Times New Roman" w:eastAsia="宋体" w:cs="Times New Roman"/>
          <w:b/>
          <w:bCs/>
          <w:color w:val="auto"/>
        </w:rPr>
        <w:t>表2.4-</w:t>
      </w:r>
      <w:r>
        <w:rPr>
          <w:rFonts w:hint="eastAsia" w:ascii="Times New Roman" w:hAnsi="Times New Roman" w:eastAsia="宋体" w:cs="Times New Roman"/>
          <w:b/>
          <w:bCs/>
          <w:color w:val="auto"/>
          <w:lang w:val="en-US" w:eastAsia="zh-CN"/>
        </w:rPr>
        <w:t>9</w:t>
      </w:r>
      <w:r>
        <w:rPr>
          <w:rFonts w:ascii="Times New Roman" w:hAnsi="Times New Roman" w:eastAsia="宋体" w:cs="Times New Roman"/>
          <w:b/>
          <w:bCs/>
          <w:color w:val="auto"/>
        </w:rPr>
        <w:t xml:space="preserve">    </w:t>
      </w:r>
      <w:r>
        <w:rPr>
          <w:rFonts w:ascii="Times New Roman" w:hAnsi="Times New Roman" w:cs="Times New Roman"/>
          <w:color w:val="auto"/>
        </w:rPr>
        <w:t>《声环境质量标准》</w:t>
      </w:r>
      <w:r>
        <w:rPr>
          <w:rFonts w:hint="eastAsia" w:cs="Times New Roman"/>
          <w:color w:val="auto"/>
          <w:lang w:eastAsia="zh-CN"/>
        </w:rPr>
        <w:t>（</w:t>
      </w:r>
      <w:r>
        <w:rPr>
          <w:rFonts w:ascii="Times New Roman" w:hAnsi="Times New Roman" w:cs="Times New Roman"/>
          <w:color w:val="auto"/>
        </w:rPr>
        <w:t>GB3096-2008</w:t>
      </w:r>
      <w:r>
        <w:rPr>
          <w:rFonts w:hint="eastAsia" w:cs="Times New Roman"/>
          <w:color w:val="auto"/>
          <w:lang w:eastAsia="zh-CN"/>
        </w:rPr>
        <w:t>）</w:t>
      </w:r>
      <w:r>
        <w:rPr>
          <w:rFonts w:ascii="Times New Roman" w:hAnsi="Times New Roman" w:cs="Times New Roman"/>
          <w:color w:val="auto"/>
        </w:rPr>
        <w:t>的</w:t>
      </w:r>
      <w:r>
        <w:rPr>
          <w:rFonts w:hint="eastAsia" w:cs="Times New Roman"/>
          <w:color w:val="auto"/>
          <w:lang w:val="en-US" w:eastAsia="zh-CN"/>
        </w:rPr>
        <w:t>3</w:t>
      </w:r>
      <w:r>
        <w:rPr>
          <w:rFonts w:ascii="Times New Roman" w:hAnsi="Times New Roman" w:cs="Times New Roman"/>
          <w:color w:val="auto"/>
        </w:rPr>
        <w:t>类标准</w:t>
      </w:r>
    </w:p>
    <w:tbl>
      <w:tblPr>
        <w:tblStyle w:val="35"/>
        <w:tblW w:w="90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267"/>
        <w:gridCol w:w="2265"/>
        <w:gridCol w:w="2265"/>
      </w:tblGrid>
      <w:tr w14:paraId="4CDE02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2263" w:type="dxa"/>
            <w:tcBorders>
              <w:tl2br w:val="nil"/>
              <w:tr2bl w:val="nil"/>
            </w:tcBorders>
            <w:vAlign w:val="center"/>
          </w:tcPr>
          <w:p w14:paraId="45D46AA7">
            <w:pPr>
              <w:pStyle w:val="56"/>
              <w:rPr>
                <w:rFonts w:ascii="Times New Roman" w:hAnsi="Times New Roman"/>
                <w:color w:val="auto"/>
                <w:szCs w:val="21"/>
              </w:rPr>
            </w:pPr>
            <w:r>
              <w:rPr>
                <w:rFonts w:ascii="Times New Roman" w:hAnsi="Times New Roman"/>
                <w:color w:val="auto"/>
                <w:szCs w:val="21"/>
              </w:rPr>
              <w:t>时段</w:t>
            </w:r>
          </w:p>
        </w:tc>
        <w:tc>
          <w:tcPr>
            <w:tcW w:w="2267" w:type="dxa"/>
            <w:tcBorders>
              <w:tl2br w:val="nil"/>
              <w:tr2bl w:val="nil"/>
            </w:tcBorders>
            <w:vAlign w:val="center"/>
          </w:tcPr>
          <w:p w14:paraId="29FCDE26">
            <w:pPr>
              <w:pStyle w:val="56"/>
              <w:rPr>
                <w:rFonts w:ascii="Times New Roman" w:hAnsi="Times New Roman"/>
                <w:color w:val="auto"/>
                <w:szCs w:val="21"/>
              </w:rPr>
            </w:pPr>
            <w:r>
              <w:rPr>
                <w:rFonts w:ascii="Times New Roman" w:hAnsi="Times New Roman"/>
                <w:color w:val="auto"/>
                <w:szCs w:val="21"/>
              </w:rPr>
              <w:t>类别</w:t>
            </w:r>
          </w:p>
        </w:tc>
        <w:tc>
          <w:tcPr>
            <w:tcW w:w="2265" w:type="dxa"/>
            <w:tcBorders>
              <w:tl2br w:val="nil"/>
              <w:tr2bl w:val="nil"/>
            </w:tcBorders>
            <w:vAlign w:val="center"/>
          </w:tcPr>
          <w:p w14:paraId="20E45F4D">
            <w:pPr>
              <w:pStyle w:val="56"/>
              <w:rPr>
                <w:rFonts w:ascii="Times New Roman" w:hAnsi="Times New Roman"/>
                <w:color w:val="auto"/>
                <w:szCs w:val="21"/>
              </w:rPr>
            </w:pPr>
            <w:r>
              <w:rPr>
                <w:rFonts w:ascii="Times New Roman" w:hAnsi="Times New Roman"/>
                <w:color w:val="auto"/>
                <w:szCs w:val="21"/>
              </w:rPr>
              <w:t>昼间</w:t>
            </w:r>
          </w:p>
        </w:tc>
        <w:tc>
          <w:tcPr>
            <w:tcW w:w="2265" w:type="dxa"/>
            <w:tcBorders>
              <w:tl2br w:val="nil"/>
              <w:tr2bl w:val="nil"/>
            </w:tcBorders>
            <w:vAlign w:val="center"/>
          </w:tcPr>
          <w:p w14:paraId="4FD26322">
            <w:pPr>
              <w:pStyle w:val="56"/>
              <w:rPr>
                <w:rFonts w:ascii="Times New Roman" w:hAnsi="Times New Roman"/>
                <w:color w:val="auto"/>
                <w:szCs w:val="21"/>
              </w:rPr>
            </w:pPr>
            <w:r>
              <w:rPr>
                <w:rFonts w:ascii="Times New Roman" w:hAnsi="Times New Roman"/>
                <w:color w:val="auto"/>
                <w:szCs w:val="21"/>
              </w:rPr>
              <w:t>夜间</w:t>
            </w:r>
          </w:p>
        </w:tc>
      </w:tr>
      <w:tr w14:paraId="636A16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2263" w:type="dxa"/>
            <w:tcBorders>
              <w:tl2br w:val="nil"/>
              <w:tr2bl w:val="nil"/>
            </w:tcBorders>
            <w:vAlign w:val="center"/>
          </w:tcPr>
          <w:p w14:paraId="3D6A70C0">
            <w:pPr>
              <w:pStyle w:val="56"/>
              <w:rPr>
                <w:rFonts w:ascii="Times New Roman" w:hAnsi="Times New Roman"/>
                <w:color w:val="auto"/>
                <w:szCs w:val="21"/>
              </w:rPr>
            </w:pPr>
            <w:r>
              <w:rPr>
                <w:rFonts w:ascii="Times New Roman" w:hAnsi="Times New Roman"/>
                <w:color w:val="auto"/>
                <w:szCs w:val="21"/>
              </w:rPr>
              <w:t>运营期</w:t>
            </w:r>
          </w:p>
        </w:tc>
        <w:tc>
          <w:tcPr>
            <w:tcW w:w="2267" w:type="dxa"/>
            <w:tcBorders>
              <w:tl2br w:val="nil"/>
              <w:tr2bl w:val="nil"/>
            </w:tcBorders>
            <w:vAlign w:val="center"/>
          </w:tcPr>
          <w:p w14:paraId="49408048">
            <w:pPr>
              <w:pStyle w:val="56"/>
              <w:rPr>
                <w:rFonts w:ascii="Times New Roman" w:hAnsi="Times New Roman"/>
                <w:color w:val="auto"/>
                <w:szCs w:val="21"/>
              </w:rPr>
            </w:pPr>
            <w:r>
              <w:rPr>
                <w:rFonts w:hint="eastAsia"/>
                <w:color w:val="auto"/>
                <w:szCs w:val="21"/>
                <w:lang w:val="en-US" w:eastAsia="zh-CN"/>
              </w:rPr>
              <w:t>3</w:t>
            </w:r>
            <w:r>
              <w:rPr>
                <w:rFonts w:ascii="Times New Roman" w:hAnsi="Times New Roman"/>
                <w:color w:val="auto"/>
                <w:szCs w:val="21"/>
              </w:rPr>
              <w:t>类</w:t>
            </w:r>
          </w:p>
        </w:tc>
        <w:tc>
          <w:tcPr>
            <w:tcW w:w="2265" w:type="dxa"/>
            <w:tcBorders>
              <w:tl2br w:val="nil"/>
              <w:tr2bl w:val="nil"/>
            </w:tcBorders>
            <w:vAlign w:val="center"/>
          </w:tcPr>
          <w:p w14:paraId="5C34E1EF">
            <w:pPr>
              <w:pStyle w:val="56"/>
              <w:rPr>
                <w:rFonts w:ascii="Times New Roman" w:hAnsi="Times New Roman"/>
                <w:color w:val="auto"/>
                <w:szCs w:val="21"/>
              </w:rPr>
            </w:pPr>
            <w:r>
              <w:rPr>
                <w:rFonts w:hint="eastAsia" w:ascii="Times New Roman" w:hAnsi="Times New Roman"/>
                <w:color w:val="auto"/>
                <w:szCs w:val="21"/>
                <w:lang w:val="en-US" w:eastAsia="zh-CN"/>
              </w:rPr>
              <w:t>6</w:t>
            </w:r>
            <w:r>
              <w:rPr>
                <w:rFonts w:hint="eastAsia"/>
                <w:color w:val="auto"/>
                <w:szCs w:val="21"/>
                <w:lang w:val="en-US" w:eastAsia="zh-CN"/>
              </w:rPr>
              <w:t>5</w:t>
            </w:r>
            <w:r>
              <w:rPr>
                <w:rFonts w:ascii="Times New Roman" w:hAnsi="Times New Roman"/>
                <w:color w:val="auto"/>
                <w:szCs w:val="21"/>
              </w:rPr>
              <w:t>dB（A）</w:t>
            </w:r>
          </w:p>
        </w:tc>
        <w:tc>
          <w:tcPr>
            <w:tcW w:w="2265" w:type="dxa"/>
            <w:tcBorders>
              <w:tl2br w:val="nil"/>
              <w:tr2bl w:val="nil"/>
            </w:tcBorders>
            <w:vAlign w:val="center"/>
          </w:tcPr>
          <w:p w14:paraId="37EB0BCB">
            <w:pPr>
              <w:pStyle w:val="56"/>
              <w:rPr>
                <w:rFonts w:ascii="Times New Roman" w:hAnsi="Times New Roman"/>
                <w:color w:val="auto"/>
                <w:szCs w:val="21"/>
              </w:rPr>
            </w:pPr>
            <w:r>
              <w:rPr>
                <w:rFonts w:hint="eastAsia" w:ascii="Times New Roman" w:hAnsi="Times New Roman"/>
                <w:color w:val="auto"/>
                <w:szCs w:val="21"/>
                <w:lang w:val="en-US" w:eastAsia="zh-CN"/>
              </w:rPr>
              <w:t>5</w:t>
            </w:r>
            <w:r>
              <w:rPr>
                <w:rFonts w:hint="eastAsia"/>
                <w:color w:val="auto"/>
                <w:szCs w:val="21"/>
                <w:lang w:val="en-US" w:eastAsia="zh-CN"/>
              </w:rPr>
              <w:t>5</w:t>
            </w:r>
            <w:r>
              <w:rPr>
                <w:rFonts w:ascii="Times New Roman" w:hAnsi="Times New Roman"/>
                <w:color w:val="auto"/>
                <w:szCs w:val="21"/>
              </w:rPr>
              <w:t>dB（A）</w:t>
            </w:r>
          </w:p>
        </w:tc>
      </w:tr>
    </w:tbl>
    <w:p w14:paraId="45428D26">
      <w:pPr>
        <w:numPr>
          <w:ilvl w:val="0"/>
          <w:numId w:val="0"/>
        </w:numPr>
        <w:ind w:firstLine="480" w:firstLineChars="200"/>
        <w:rPr>
          <w:rFonts w:hint="eastAsia" w:ascii="Times New Roman" w:hAnsi="Times New Roman" w:cs="Times New Roman"/>
          <w:color w:val="auto"/>
          <w:lang w:val="en-US" w:eastAsia="zh-CN"/>
        </w:rPr>
      </w:pPr>
      <w:r>
        <w:rPr>
          <w:rFonts w:hint="eastAsia" w:ascii="Times New Roman" w:hAnsi="Times New Roman" w:cs="Times New Roman" w:eastAsiaTheme="minorEastAsia"/>
          <w:color w:val="auto"/>
          <w:kern w:val="2"/>
          <w:sz w:val="24"/>
          <w:szCs w:val="22"/>
          <w:lang w:val="en-US" w:eastAsia="zh-CN" w:bidi="ar-SA"/>
        </w:rPr>
        <w:t>（3）</w:t>
      </w:r>
      <w:r>
        <w:rPr>
          <w:rFonts w:hint="eastAsia" w:ascii="Times New Roman" w:hAnsi="Times New Roman" w:cs="Times New Roman"/>
          <w:color w:val="auto"/>
          <w:lang w:val="en-US" w:eastAsia="zh-CN"/>
        </w:rPr>
        <w:t>废水排放标准</w:t>
      </w:r>
    </w:p>
    <w:p w14:paraId="320DB606">
      <w:pPr>
        <w:ind w:firstLine="480"/>
        <w:rPr>
          <w:rFonts w:ascii="Times New Roman" w:hAnsi="Times New Roman" w:cs="Times New Roman"/>
          <w:color w:val="auto"/>
        </w:rPr>
      </w:pPr>
      <w:r>
        <w:rPr>
          <w:rFonts w:hint="eastAsia" w:ascii="Times New Roman" w:hAnsi="Times New Roman" w:cs="Times New Roman"/>
          <w:color w:val="auto"/>
          <w:lang w:val="en-US" w:eastAsia="zh-CN"/>
        </w:rPr>
        <w:t>项目配套建设</w:t>
      </w:r>
      <w:r>
        <w:rPr>
          <w:rFonts w:hint="eastAsia" w:cs="Times New Roman"/>
          <w:color w:val="auto"/>
          <w:lang w:val="en-US" w:eastAsia="zh-CN"/>
        </w:rPr>
        <w:t>污水处理设施</w:t>
      </w:r>
      <w:r>
        <w:rPr>
          <w:rFonts w:hint="eastAsia" w:ascii="Times New Roman" w:hAnsi="Times New Roman" w:cs="Times New Roman"/>
          <w:color w:val="auto"/>
          <w:lang w:val="en-US" w:eastAsia="zh-CN"/>
        </w:rPr>
        <w:t>，</w:t>
      </w:r>
      <w:r>
        <w:rPr>
          <w:rFonts w:hint="eastAsia" w:cs="Times New Roman"/>
          <w:color w:val="auto"/>
          <w:lang w:val="en-US" w:eastAsia="zh-CN"/>
        </w:rPr>
        <w:t>日常生活废水和养殖废水均同意收纳到污水处理设施处理，处理设施</w:t>
      </w:r>
      <w:r>
        <w:rPr>
          <w:rFonts w:hint="eastAsia" w:ascii="Times New Roman" w:hAnsi="Times New Roman" w:cs="Times New Roman"/>
          <w:color w:val="auto"/>
          <w:lang w:val="en-US" w:eastAsia="zh-CN"/>
        </w:rPr>
        <w:t>污水执行《污水综合排放标准》（</w:t>
      </w:r>
      <w:r>
        <w:rPr>
          <w:rFonts w:hint="default" w:ascii="Times New Roman" w:hAnsi="Times New Roman" w:cs="Times New Roman"/>
          <w:color w:val="auto"/>
          <w:lang w:val="en-US" w:eastAsia="zh-CN"/>
        </w:rPr>
        <w:t>GB8978-1996</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三级标准限值，</w:t>
      </w:r>
      <w:r>
        <w:rPr>
          <w:rFonts w:hint="eastAsia" w:cs="Times New Roman"/>
          <w:color w:val="auto"/>
          <w:lang w:val="en-US" w:eastAsia="zh-CN"/>
        </w:rPr>
        <w:t>病菌类污染物执行《畜禽养殖业污染物排放标准》（GB18596-2001）表5，本项目废水处理后全部用于项目区域绿化浇灌不外排</w:t>
      </w:r>
      <w:r>
        <w:rPr>
          <w:rFonts w:hint="eastAsia" w:ascii="Times New Roman" w:hAnsi="Times New Roman" w:cs="Times New Roman"/>
          <w:color w:val="auto"/>
          <w:lang w:val="en-US" w:eastAsia="zh-CN"/>
        </w:rPr>
        <w:t>。项目污水排放标准，见下表。</w:t>
      </w:r>
    </w:p>
    <w:p w14:paraId="0BEEF9F0">
      <w:pPr>
        <w:pStyle w:val="61"/>
        <w:spacing w:before="32" w:after="32"/>
        <w:rPr>
          <w:rFonts w:hint="default" w:ascii="Times New Roman" w:hAnsi="Times New Roman" w:eastAsia="宋体" w:cs="Times New Roman"/>
          <w:b/>
          <w:bCs/>
          <w:color w:val="auto"/>
          <w:lang w:val="en-US" w:eastAsia="zh-CN"/>
        </w:rPr>
      </w:pPr>
      <w:r>
        <w:rPr>
          <w:rFonts w:ascii="Times New Roman" w:hAnsi="Times New Roman" w:eastAsia="宋体" w:cs="Times New Roman"/>
          <w:b/>
          <w:bCs/>
          <w:color w:val="auto"/>
        </w:rPr>
        <w:t>表2.4-</w:t>
      </w:r>
      <w:r>
        <w:rPr>
          <w:rFonts w:hint="eastAsia" w:ascii="Times New Roman" w:hAnsi="Times New Roman" w:eastAsia="宋体" w:cs="Times New Roman"/>
          <w:b/>
          <w:bCs/>
          <w:color w:val="auto"/>
          <w:lang w:val="en-US" w:eastAsia="zh-CN"/>
        </w:rPr>
        <w:t>10</w:t>
      </w:r>
      <w:r>
        <w:rPr>
          <w:rFonts w:ascii="Times New Roman" w:hAnsi="Times New Roman" w:eastAsia="宋体" w:cs="Times New Roman"/>
          <w:b/>
          <w:bCs/>
          <w:color w:val="auto"/>
        </w:rPr>
        <w:t xml:space="preserve">    </w:t>
      </w:r>
      <w:r>
        <w:rPr>
          <w:rFonts w:hint="eastAsia" w:eastAsia="宋体" w:cs="Times New Roman"/>
          <w:b/>
          <w:bCs/>
          <w:color w:val="auto"/>
          <w:lang w:val="en-US" w:eastAsia="zh-CN"/>
        </w:rPr>
        <w:t>本项目废水排放标准一览表</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376"/>
        <w:gridCol w:w="2392"/>
        <w:gridCol w:w="2386"/>
        <w:gridCol w:w="2386"/>
      </w:tblGrid>
      <w:tr w14:paraId="03F238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tcBorders>
              <w:tl2br w:val="nil"/>
              <w:tr2bl w:val="nil"/>
            </w:tcBorders>
            <w:vAlign w:val="center"/>
          </w:tcPr>
          <w:p w14:paraId="2D56DFDD">
            <w:pPr>
              <w:pStyle w:val="56"/>
              <w:rPr>
                <w:rFonts w:hint="default" w:ascii="Times New Roman" w:hAnsi="Times New Roman" w:eastAsia="宋体"/>
                <w:color w:val="auto"/>
                <w:szCs w:val="21"/>
                <w:lang w:val="en-US" w:eastAsia="zh-CN"/>
              </w:rPr>
            </w:pPr>
            <w:r>
              <w:rPr>
                <w:rFonts w:hint="eastAsia"/>
                <w:color w:val="auto"/>
                <w:szCs w:val="21"/>
                <w:lang w:val="en-US" w:eastAsia="zh-CN"/>
              </w:rPr>
              <w:t>污染类型</w:t>
            </w:r>
          </w:p>
        </w:tc>
        <w:tc>
          <w:tcPr>
            <w:tcW w:w="1253" w:type="pct"/>
            <w:tcBorders>
              <w:tl2br w:val="nil"/>
              <w:tr2bl w:val="nil"/>
            </w:tcBorders>
            <w:vAlign w:val="center"/>
          </w:tcPr>
          <w:p w14:paraId="702BA5FB">
            <w:pPr>
              <w:pStyle w:val="56"/>
              <w:ind w:firstLine="0" w:firstLineChars="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污染物名称</w:t>
            </w:r>
          </w:p>
        </w:tc>
        <w:tc>
          <w:tcPr>
            <w:tcW w:w="1250" w:type="pct"/>
            <w:tcBorders>
              <w:tl2br w:val="nil"/>
              <w:tr2bl w:val="nil"/>
            </w:tcBorders>
            <w:vAlign w:val="center"/>
          </w:tcPr>
          <w:p w14:paraId="17DA1C56">
            <w:pPr>
              <w:pStyle w:val="56"/>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标准值</w:t>
            </w:r>
          </w:p>
        </w:tc>
        <w:tc>
          <w:tcPr>
            <w:tcW w:w="1250" w:type="pct"/>
            <w:tcBorders>
              <w:tl2br w:val="nil"/>
              <w:tr2bl w:val="nil"/>
            </w:tcBorders>
            <w:vAlign w:val="center"/>
          </w:tcPr>
          <w:p w14:paraId="0A4738E8">
            <w:pPr>
              <w:pStyle w:val="56"/>
              <w:rPr>
                <w:rFonts w:hint="default" w:ascii="Times New Roman" w:hAnsi="Times New Roman"/>
                <w:color w:val="auto"/>
                <w:szCs w:val="21"/>
                <w:lang w:val="en-US" w:eastAsia="zh-CN"/>
              </w:rPr>
            </w:pPr>
            <w:r>
              <w:rPr>
                <w:rFonts w:hint="eastAsia"/>
                <w:color w:val="auto"/>
                <w:szCs w:val="21"/>
                <w:lang w:val="en-US" w:eastAsia="zh-CN"/>
              </w:rPr>
              <w:t>执行标准</w:t>
            </w:r>
          </w:p>
        </w:tc>
      </w:tr>
      <w:tr w14:paraId="54776E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vMerge w:val="restart"/>
            <w:tcBorders>
              <w:tl2br w:val="nil"/>
              <w:tr2bl w:val="nil"/>
            </w:tcBorders>
            <w:vAlign w:val="center"/>
          </w:tcPr>
          <w:p w14:paraId="70F65C73">
            <w:pPr>
              <w:pStyle w:val="56"/>
              <w:rPr>
                <w:rFonts w:hint="default" w:ascii="Times New Roman" w:hAnsi="Times New Roman" w:eastAsia="宋体"/>
                <w:color w:val="auto"/>
                <w:szCs w:val="21"/>
                <w:lang w:val="en-US" w:eastAsia="zh-CN"/>
              </w:rPr>
            </w:pPr>
            <w:r>
              <w:rPr>
                <w:rFonts w:hint="eastAsia"/>
                <w:color w:val="auto"/>
                <w:szCs w:val="21"/>
                <w:lang w:val="en-US" w:eastAsia="zh-CN"/>
              </w:rPr>
              <w:t>处理设施废水</w:t>
            </w:r>
          </w:p>
        </w:tc>
        <w:tc>
          <w:tcPr>
            <w:tcW w:w="1253" w:type="pct"/>
            <w:tcBorders>
              <w:tl2br w:val="nil"/>
              <w:tr2bl w:val="nil"/>
            </w:tcBorders>
            <w:vAlign w:val="center"/>
          </w:tcPr>
          <w:p w14:paraId="71CB66E3">
            <w:pPr>
              <w:pStyle w:val="56"/>
              <w:ind w:firstLine="0" w:firstLineChars="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COD</w:t>
            </w:r>
            <w:r>
              <w:rPr>
                <w:rFonts w:hint="eastAsia"/>
                <w:color w:val="auto"/>
                <w:szCs w:val="21"/>
                <w:lang w:val="en-US" w:eastAsia="zh-CN"/>
              </w:rPr>
              <w:t>（</w:t>
            </w:r>
            <w:r>
              <w:rPr>
                <w:rFonts w:hint="eastAsia" w:ascii="Times New Roman" w:hAnsi="Times New Roman"/>
                <w:color w:val="auto"/>
                <w:szCs w:val="21"/>
                <w:lang w:val="en-US" w:eastAsia="zh-CN"/>
              </w:rPr>
              <w:t>mg/L</w:t>
            </w:r>
            <w:r>
              <w:rPr>
                <w:rFonts w:hint="eastAsia"/>
                <w:color w:val="auto"/>
                <w:szCs w:val="21"/>
                <w:lang w:val="en-US" w:eastAsia="zh-CN"/>
              </w:rPr>
              <w:t>）</w:t>
            </w:r>
          </w:p>
        </w:tc>
        <w:tc>
          <w:tcPr>
            <w:tcW w:w="1250" w:type="pct"/>
            <w:tcBorders>
              <w:tl2br w:val="nil"/>
              <w:tr2bl w:val="nil"/>
            </w:tcBorders>
            <w:vAlign w:val="center"/>
          </w:tcPr>
          <w:p w14:paraId="16A8E2BC">
            <w:pPr>
              <w:pStyle w:val="56"/>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500</w:t>
            </w:r>
          </w:p>
        </w:tc>
        <w:tc>
          <w:tcPr>
            <w:tcW w:w="1250" w:type="pct"/>
            <w:vMerge w:val="restart"/>
            <w:tcBorders>
              <w:tl2br w:val="nil"/>
              <w:tr2bl w:val="nil"/>
            </w:tcBorders>
            <w:vAlign w:val="center"/>
          </w:tcPr>
          <w:p w14:paraId="2CBE9314">
            <w:pPr>
              <w:pStyle w:val="56"/>
              <w:rPr>
                <w:rFonts w:hint="eastAsia" w:cs="Times New Roman"/>
                <w:color w:val="auto"/>
                <w:lang w:val="en-US" w:eastAsia="zh-CN"/>
              </w:rPr>
            </w:pPr>
            <w:r>
              <w:rPr>
                <w:rFonts w:hint="eastAsia" w:cs="Times New Roman"/>
                <w:color w:val="auto"/>
                <w:lang w:val="en-US" w:eastAsia="zh-CN"/>
              </w:rPr>
              <w:t>《</w:t>
            </w:r>
            <w:bookmarkStart w:id="59" w:name="OLE_LINK2"/>
            <w:r>
              <w:rPr>
                <w:rFonts w:hint="eastAsia" w:cs="Times New Roman"/>
                <w:color w:val="auto"/>
                <w:lang w:val="en-US" w:eastAsia="zh-CN"/>
              </w:rPr>
              <w:t>污水综合排放标准</w:t>
            </w:r>
            <w:bookmarkEnd w:id="59"/>
            <w:r>
              <w:rPr>
                <w:rFonts w:hint="eastAsia" w:cs="Times New Roman"/>
                <w:color w:val="auto"/>
                <w:lang w:val="en-US" w:eastAsia="zh-CN"/>
              </w:rPr>
              <w:t>》（GB8978-1996）表</w:t>
            </w:r>
            <w:r>
              <w:rPr>
                <w:rFonts w:hint="default" w:cs="Times New Roman"/>
                <w:color w:val="auto"/>
                <w:lang w:val="en-US" w:eastAsia="zh-CN"/>
              </w:rPr>
              <w:t>4</w:t>
            </w:r>
            <w:r>
              <w:rPr>
                <w:rFonts w:hint="eastAsia" w:cs="Times New Roman"/>
                <w:color w:val="auto"/>
                <w:lang w:val="en-US" w:eastAsia="zh-CN"/>
              </w:rPr>
              <w:t>三级标准</w:t>
            </w:r>
          </w:p>
          <w:p w14:paraId="67C6E63D">
            <w:pPr>
              <w:pStyle w:val="56"/>
              <w:rPr>
                <w:rFonts w:hint="eastAsia" w:cs="Times New Roman"/>
                <w:color w:val="auto"/>
                <w:lang w:val="en-US" w:eastAsia="zh-CN"/>
              </w:rPr>
            </w:pPr>
            <w:r>
              <w:rPr>
                <w:rFonts w:hint="eastAsia" w:cs="Times New Roman"/>
                <w:color w:val="auto"/>
                <w:lang w:val="en-US" w:eastAsia="zh-CN"/>
              </w:rPr>
              <w:t>《畜禽养殖业污染物排放标准》（GB18596-2001）</w:t>
            </w:r>
          </w:p>
          <w:p w14:paraId="05411C54">
            <w:pPr>
              <w:pStyle w:val="56"/>
              <w:rPr>
                <w:rFonts w:hint="eastAsia" w:cs="Times New Roman"/>
                <w:color w:val="auto"/>
                <w:lang w:val="en-US" w:eastAsia="zh-CN"/>
              </w:rPr>
            </w:pPr>
          </w:p>
        </w:tc>
      </w:tr>
      <w:tr w14:paraId="47F21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vMerge w:val="continue"/>
            <w:tcBorders>
              <w:tl2br w:val="nil"/>
              <w:tr2bl w:val="nil"/>
            </w:tcBorders>
            <w:vAlign w:val="center"/>
          </w:tcPr>
          <w:p w14:paraId="227C72B5">
            <w:pPr>
              <w:pStyle w:val="56"/>
              <w:rPr>
                <w:rFonts w:hint="default" w:ascii="Times New Roman" w:hAnsi="Times New Roman" w:eastAsia="宋体"/>
                <w:color w:val="auto"/>
                <w:szCs w:val="21"/>
                <w:lang w:val="en-US" w:eastAsia="zh-CN"/>
              </w:rPr>
            </w:pPr>
          </w:p>
        </w:tc>
        <w:tc>
          <w:tcPr>
            <w:tcW w:w="1253" w:type="pct"/>
            <w:tcBorders>
              <w:tl2br w:val="nil"/>
              <w:tr2bl w:val="nil"/>
            </w:tcBorders>
            <w:vAlign w:val="center"/>
          </w:tcPr>
          <w:p w14:paraId="74EC3D39">
            <w:pPr>
              <w:pStyle w:val="56"/>
              <w:ind w:firstLine="0" w:firstLineChars="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BOD</w:t>
            </w:r>
            <w:r>
              <w:rPr>
                <w:rFonts w:hint="eastAsia" w:ascii="Times New Roman" w:hAnsi="Times New Roman"/>
                <w:color w:val="auto"/>
                <w:szCs w:val="21"/>
                <w:vertAlign w:val="subscript"/>
                <w:lang w:val="en-US" w:eastAsia="zh-CN"/>
              </w:rPr>
              <w:t>5</w:t>
            </w:r>
            <w:r>
              <w:rPr>
                <w:rFonts w:hint="eastAsia"/>
                <w:color w:val="auto"/>
                <w:szCs w:val="21"/>
                <w:vertAlign w:val="baseline"/>
                <w:lang w:val="en-US" w:eastAsia="zh-CN"/>
              </w:rPr>
              <w:t>（</w:t>
            </w:r>
            <w:r>
              <w:rPr>
                <w:rFonts w:hint="eastAsia" w:ascii="Times New Roman" w:hAnsi="Times New Roman"/>
                <w:color w:val="auto"/>
                <w:szCs w:val="21"/>
                <w:vertAlign w:val="baseline"/>
                <w:lang w:val="en-US" w:eastAsia="zh-CN"/>
              </w:rPr>
              <w:t>mg/L</w:t>
            </w:r>
            <w:r>
              <w:rPr>
                <w:rFonts w:hint="eastAsia"/>
                <w:color w:val="auto"/>
                <w:szCs w:val="21"/>
                <w:vertAlign w:val="baseline"/>
                <w:lang w:val="en-US" w:eastAsia="zh-CN"/>
              </w:rPr>
              <w:t>）</w:t>
            </w:r>
          </w:p>
        </w:tc>
        <w:tc>
          <w:tcPr>
            <w:tcW w:w="1250" w:type="pct"/>
            <w:tcBorders>
              <w:tl2br w:val="nil"/>
              <w:tr2bl w:val="nil"/>
            </w:tcBorders>
            <w:vAlign w:val="center"/>
          </w:tcPr>
          <w:p w14:paraId="334D4E2A">
            <w:pPr>
              <w:pStyle w:val="56"/>
              <w:rPr>
                <w:rFonts w:hint="default" w:ascii="Times New Roman" w:hAnsi="Times New Roman"/>
                <w:color w:val="auto"/>
                <w:szCs w:val="21"/>
                <w:lang w:val="en-US" w:eastAsia="zh-CN"/>
              </w:rPr>
            </w:pPr>
            <w:r>
              <w:rPr>
                <w:rFonts w:hint="eastAsia" w:ascii="Times New Roman" w:hAnsi="Times New Roman"/>
                <w:color w:val="auto"/>
                <w:szCs w:val="21"/>
                <w:lang w:val="en-US" w:eastAsia="zh-CN"/>
              </w:rPr>
              <w:t>300</w:t>
            </w:r>
          </w:p>
        </w:tc>
        <w:tc>
          <w:tcPr>
            <w:tcW w:w="1250" w:type="pct"/>
            <w:vMerge w:val="continue"/>
            <w:tcBorders>
              <w:tl2br w:val="nil"/>
              <w:tr2bl w:val="nil"/>
            </w:tcBorders>
            <w:vAlign w:val="center"/>
          </w:tcPr>
          <w:p w14:paraId="5D0F94FC">
            <w:pPr>
              <w:pStyle w:val="56"/>
              <w:rPr>
                <w:rFonts w:hint="eastAsia" w:ascii="Times New Roman" w:hAnsi="Times New Roman"/>
                <w:color w:val="auto"/>
                <w:szCs w:val="21"/>
                <w:lang w:val="en-US" w:eastAsia="zh-CN"/>
              </w:rPr>
            </w:pPr>
          </w:p>
        </w:tc>
      </w:tr>
      <w:tr w14:paraId="05FC43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vMerge w:val="continue"/>
            <w:tcBorders>
              <w:tl2br w:val="nil"/>
              <w:tr2bl w:val="nil"/>
            </w:tcBorders>
            <w:vAlign w:val="center"/>
          </w:tcPr>
          <w:p w14:paraId="0C0C40E4">
            <w:pPr>
              <w:pStyle w:val="56"/>
              <w:rPr>
                <w:rFonts w:hint="default" w:ascii="Times New Roman" w:hAnsi="Times New Roman" w:eastAsia="宋体"/>
                <w:color w:val="auto"/>
                <w:szCs w:val="21"/>
                <w:lang w:val="en-US" w:eastAsia="zh-CN"/>
              </w:rPr>
            </w:pPr>
          </w:p>
        </w:tc>
        <w:tc>
          <w:tcPr>
            <w:tcW w:w="1253" w:type="pct"/>
            <w:tcBorders>
              <w:tl2br w:val="nil"/>
              <w:tr2bl w:val="nil"/>
            </w:tcBorders>
            <w:vAlign w:val="center"/>
          </w:tcPr>
          <w:p w14:paraId="5D95EDF5">
            <w:pPr>
              <w:pStyle w:val="56"/>
              <w:ind w:firstLine="0" w:firstLineChars="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SS</w:t>
            </w:r>
            <w:r>
              <w:rPr>
                <w:rFonts w:hint="eastAsia"/>
                <w:color w:val="auto"/>
                <w:szCs w:val="21"/>
                <w:lang w:val="en-US" w:eastAsia="zh-CN"/>
              </w:rPr>
              <w:t>（</w:t>
            </w:r>
            <w:r>
              <w:rPr>
                <w:rFonts w:hint="eastAsia" w:ascii="Times New Roman" w:hAnsi="Times New Roman"/>
                <w:color w:val="auto"/>
                <w:szCs w:val="21"/>
                <w:lang w:val="en-US" w:eastAsia="zh-CN"/>
              </w:rPr>
              <w:t>mg/L</w:t>
            </w:r>
            <w:r>
              <w:rPr>
                <w:rFonts w:hint="eastAsia"/>
                <w:color w:val="auto"/>
                <w:szCs w:val="21"/>
                <w:lang w:val="en-US" w:eastAsia="zh-CN"/>
              </w:rPr>
              <w:t>）</w:t>
            </w:r>
          </w:p>
        </w:tc>
        <w:tc>
          <w:tcPr>
            <w:tcW w:w="1250" w:type="pct"/>
            <w:tcBorders>
              <w:tl2br w:val="nil"/>
              <w:tr2bl w:val="nil"/>
            </w:tcBorders>
            <w:vAlign w:val="center"/>
          </w:tcPr>
          <w:p w14:paraId="1182B084">
            <w:pPr>
              <w:pStyle w:val="56"/>
              <w:rPr>
                <w:rFonts w:hint="default" w:ascii="Times New Roman" w:hAnsi="Times New Roman"/>
                <w:color w:val="auto"/>
                <w:szCs w:val="21"/>
                <w:lang w:val="en-US" w:eastAsia="zh-CN"/>
              </w:rPr>
            </w:pPr>
            <w:r>
              <w:rPr>
                <w:rFonts w:hint="eastAsia" w:ascii="Times New Roman" w:hAnsi="Times New Roman"/>
                <w:color w:val="auto"/>
                <w:szCs w:val="21"/>
                <w:lang w:val="en-US" w:eastAsia="zh-CN"/>
              </w:rPr>
              <w:t>400</w:t>
            </w:r>
          </w:p>
        </w:tc>
        <w:tc>
          <w:tcPr>
            <w:tcW w:w="1250" w:type="pct"/>
            <w:vMerge w:val="continue"/>
            <w:tcBorders>
              <w:tl2br w:val="nil"/>
              <w:tr2bl w:val="nil"/>
            </w:tcBorders>
            <w:vAlign w:val="center"/>
          </w:tcPr>
          <w:p w14:paraId="230FB29F">
            <w:pPr>
              <w:pStyle w:val="56"/>
              <w:rPr>
                <w:rFonts w:hint="eastAsia" w:ascii="Times New Roman" w:hAnsi="Times New Roman"/>
                <w:color w:val="auto"/>
                <w:szCs w:val="21"/>
                <w:lang w:val="en-US" w:eastAsia="zh-CN"/>
              </w:rPr>
            </w:pPr>
          </w:p>
        </w:tc>
      </w:tr>
      <w:tr w14:paraId="2C3B3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vMerge w:val="continue"/>
            <w:tcBorders>
              <w:tl2br w:val="nil"/>
              <w:tr2bl w:val="nil"/>
            </w:tcBorders>
            <w:vAlign w:val="center"/>
          </w:tcPr>
          <w:p w14:paraId="0085FDE5">
            <w:pPr>
              <w:pStyle w:val="56"/>
              <w:rPr>
                <w:rFonts w:hint="default" w:ascii="Times New Roman" w:hAnsi="Times New Roman" w:eastAsia="宋体"/>
                <w:color w:val="auto"/>
                <w:szCs w:val="21"/>
                <w:lang w:val="en-US" w:eastAsia="zh-CN"/>
              </w:rPr>
            </w:pPr>
          </w:p>
        </w:tc>
        <w:tc>
          <w:tcPr>
            <w:tcW w:w="1253" w:type="pct"/>
            <w:tcBorders>
              <w:tl2br w:val="nil"/>
              <w:tr2bl w:val="nil"/>
            </w:tcBorders>
            <w:vAlign w:val="center"/>
          </w:tcPr>
          <w:p w14:paraId="4B66490E">
            <w:pPr>
              <w:pStyle w:val="56"/>
              <w:ind w:firstLine="0" w:firstLineChars="0"/>
              <w:rPr>
                <w:rFonts w:hint="default" w:ascii="Times New Roman" w:hAnsi="Times New Roman"/>
                <w:color w:val="auto"/>
                <w:szCs w:val="21"/>
                <w:lang w:val="en-US" w:eastAsia="zh-CN"/>
              </w:rPr>
            </w:pPr>
            <w:r>
              <w:rPr>
                <w:rFonts w:hint="eastAsia"/>
                <w:color w:val="auto"/>
                <w:szCs w:val="21"/>
                <w:lang w:val="en-US" w:eastAsia="zh-CN"/>
              </w:rPr>
              <w:t>氨氮（</w:t>
            </w:r>
            <w:r>
              <w:rPr>
                <w:rFonts w:hint="eastAsia" w:ascii="Times New Roman" w:hAnsi="Times New Roman"/>
                <w:color w:val="auto"/>
                <w:szCs w:val="21"/>
                <w:lang w:val="en-US" w:eastAsia="zh-CN"/>
              </w:rPr>
              <w:t>mg/L</w:t>
            </w:r>
            <w:r>
              <w:rPr>
                <w:rFonts w:hint="eastAsia"/>
                <w:color w:val="auto"/>
                <w:szCs w:val="21"/>
                <w:lang w:val="en-US" w:eastAsia="zh-CN"/>
              </w:rPr>
              <w:t>）</w:t>
            </w:r>
          </w:p>
        </w:tc>
        <w:tc>
          <w:tcPr>
            <w:tcW w:w="1250" w:type="pct"/>
            <w:tcBorders>
              <w:tl2br w:val="nil"/>
              <w:tr2bl w:val="nil"/>
            </w:tcBorders>
            <w:vAlign w:val="center"/>
          </w:tcPr>
          <w:p w14:paraId="1A6E865C">
            <w:pPr>
              <w:pStyle w:val="56"/>
              <w:rPr>
                <w:rFonts w:hint="default" w:ascii="Times New Roman" w:hAnsi="Times New Roman"/>
                <w:color w:val="auto"/>
                <w:szCs w:val="21"/>
                <w:lang w:val="en-US" w:eastAsia="zh-CN"/>
              </w:rPr>
            </w:pPr>
            <w:r>
              <w:rPr>
                <w:rFonts w:hint="eastAsia"/>
                <w:color w:val="auto"/>
                <w:szCs w:val="21"/>
                <w:lang w:val="en-US" w:eastAsia="zh-CN"/>
              </w:rPr>
              <w:t>-</w:t>
            </w:r>
          </w:p>
        </w:tc>
        <w:tc>
          <w:tcPr>
            <w:tcW w:w="1250" w:type="pct"/>
            <w:vMerge w:val="continue"/>
            <w:tcBorders>
              <w:tl2br w:val="nil"/>
              <w:tr2bl w:val="nil"/>
            </w:tcBorders>
            <w:vAlign w:val="center"/>
          </w:tcPr>
          <w:p w14:paraId="2CE7C55B">
            <w:pPr>
              <w:pStyle w:val="56"/>
              <w:rPr>
                <w:rFonts w:hint="eastAsia" w:ascii="Times New Roman" w:hAnsi="Times New Roman"/>
                <w:color w:val="auto"/>
                <w:szCs w:val="21"/>
                <w:lang w:val="en-US" w:eastAsia="zh-CN"/>
              </w:rPr>
            </w:pPr>
          </w:p>
        </w:tc>
      </w:tr>
      <w:tr w14:paraId="6AA5CF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vMerge w:val="continue"/>
            <w:tcBorders>
              <w:tl2br w:val="nil"/>
              <w:tr2bl w:val="nil"/>
            </w:tcBorders>
            <w:vAlign w:val="center"/>
          </w:tcPr>
          <w:p w14:paraId="574581A9">
            <w:pPr>
              <w:pStyle w:val="56"/>
              <w:rPr>
                <w:rFonts w:hint="default" w:ascii="Times New Roman" w:hAnsi="Times New Roman" w:eastAsia="宋体"/>
                <w:color w:val="auto"/>
                <w:szCs w:val="21"/>
                <w:lang w:val="en-US" w:eastAsia="zh-CN"/>
              </w:rPr>
            </w:pPr>
          </w:p>
        </w:tc>
        <w:tc>
          <w:tcPr>
            <w:tcW w:w="1253" w:type="pct"/>
            <w:tcBorders>
              <w:tl2br w:val="nil"/>
              <w:tr2bl w:val="nil"/>
            </w:tcBorders>
            <w:vAlign w:val="center"/>
          </w:tcPr>
          <w:p w14:paraId="54BE0EF1">
            <w:pPr>
              <w:pStyle w:val="56"/>
              <w:ind w:firstLine="0" w:firstLineChars="0"/>
              <w:rPr>
                <w:rFonts w:hint="default" w:ascii="Times New Roman" w:hAnsi="Times New Roman"/>
                <w:color w:val="auto"/>
                <w:szCs w:val="21"/>
                <w:lang w:val="en-US" w:eastAsia="zh-CN"/>
              </w:rPr>
            </w:pPr>
            <w:r>
              <w:rPr>
                <w:rFonts w:hint="eastAsia"/>
                <w:color w:val="auto"/>
                <w:szCs w:val="21"/>
                <w:lang w:val="en-US" w:eastAsia="zh-CN"/>
              </w:rPr>
              <w:t>总磷（</w:t>
            </w:r>
            <w:r>
              <w:rPr>
                <w:rFonts w:hint="eastAsia" w:ascii="Times New Roman" w:hAnsi="Times New Roman"/>
                <w:color w:val="auto"/>
                <w:szCs w:val="21"/>
                <w:lang w:val="en-US" w:eastAsia="zh-CN"/>
              </w:rPr>
              <w:t>mg/L</w:t>
            </w:r>
            <w:r>
              <w:rPr>
                <w:rFonts w:hint="eastAsia"/>
                <w:color w:val="auto"/>
                <w:szCs w:val="21"/>
                <w:lang w:val="en-US" w:eastAsia="zh-CN"/>
              </w:rPr>
              <w:t>）</w:t>
            </w:r>
          </w:p>
        </w:tc>
        <w:tc>
          <w:tcPr>
            <w:tcW w:w="1250" w:type="pct"/>
            <w:tcBorders>
              <w:tl2br w:val="nil"/>
              <w:tr2bl w:val="nil"/>
            </w:tcBorders>
            <w:vAlign w:val="center"/>
          </w:tcPr>
          <w:p w14:paraId="6F62ECDD">
            <w:pPr>
              <w:pStyle w:val="56"/>
              <w:rPr>
                <w:rFonts w:hint="default" w:ascii="Times New Roman" w:hAnsi="Times New Roman"/>
                <w:color w:val="auto"/>
                <w:szCs w:val="21"/>
                <w:lang w:val="en-US" w:eastAsia="zh-CN"/>
              </w:rPr>
            </w:pPr>
            <w:r>
              <w:rPr>
                <w:rFonts w:hint="eastAsia"/>
                <w:color w:val="auto"/>
                <w:szCs w:val="21"/>
                <w:lang w:val="en-US" w:eastAsia="zh-CN"/>
              </w:rPr>
              <w:t>-</w:t>
            </w:r>
          </w:p>
        </w:tc>
        <w:tc>
          <w:tcPr>
            <w:tcW w:w="1250" w:type="pct"/>
            <w:vMerge w:val="continue"/>
            <w:tcBorders>
              <w:tl2br w:val="nil"/>
              <w:tr2bl w:val="nil"/>
            </w:tcBorders>
            <w:vAlign w:val="center"/>
          </w:tcPr>
          <w:p w14:paraId="601FA6C4">
            <w:pPr>
              <w:pStyle w:val="56"/>
              <w:rPr>
                <w:rFonts w:hint="eastAsia" w:ascii="Times New Roman" w:hAnsi="Times New Roman"/>
                <w:color w:val="auto"/>
                <w:szCs w:val="21"/>
                <w:lang w:val="en-US" w:eastAsia="zh-CN"/>
              </w:rPr>
            </w:pPr>
          </w:p>
        </w:tc>
      </w:tr>
      <w:tr w14:paraId="5A668A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vMerge w:val="continue"/>
            <w:tcBorders>
              <w:tl2br w:val="nil"/>
              <w:tr2bl w:val="nil"/>
            </w:tcBorders>
            <w:vAlign w:val="center"/>
          </w:tcPr>
          <w:p w14:paraId="04D50502">
            <w:pPr>
              <w:pStyle w:val="56"/>
              <w:rPr>
                <w:rFonts w:hint="default" w:ascii="Times New Roman" w:hAnsi="Times New Roman" w:eastAsia="宋体"/>
                <w:color w:val="auto"/>
                <w:szCs w:val="21"/>
                <w:lang w:val="en-US" w:eastAsia="zh-CN"/>
              </w:rPr>
            </w:pPr>
          </w:p>
        </w:tc>
        <w:tc>
          <w:tcPr>
            <w:tcW w:w="1253" w:type="pct"/>
            <w:tcBorders>
              <w:tl2br w:val="nil"/>
              <w:tr2bl w:val="nil"/>
            </w:tcBorders>
            <w:vAlign w:val="center"/>
          </w:tcPr>
          <w:p w14:paraId="3D5DD8DD">
            <w:pPr>
              <w:pStyle w:val="56"/>
              <w:ind w:firstLine="0" w:firstLineChars="0"/>
              <w:rPr>
                <w:rFonts w:hint="default" w:ascii="Times New Roman" w:hAnsi="Times New Roman"/>
                <w:color w:val="auto"/>
                <w:szCs w:val="21"/>
                <w:lang w:val="en-US" w:eastAsia="zh-CN"/>
              </w:rPr>
            </w:pPr>
            <w:r>
              <w:rPr>
                <w:rFonts w:hint="eastAsia"/>
                <w:color w:val="auto"/>
                <w:szCs w:val="21"/>
                <w:lang w:val="en-US" w:eastAsia="zh-CN"/>
              </w:rPr>
              <w:t>粪大肠菌群数（个/100ml）</w:t>
            </w:r>
          </w:p>
        </w:tc>
        <w:tc>
          <w:tcPr>
            <w:tcW w:w="1250" w:type="pct"/>
            <w:tcBorders>
              <w:tl2br w:val="nil"/>
              <w:tr2bl w:val="nil"/>
            </w:tcBorders>
            <w:vAlign w:val="center"/>
          </w:tcPr>
          <w:p w14:paraId="1BA0B6BF">
            <w:pPr>
              <w:pStyle w:val="56"/>
              <w:rPr>
                <w:rFonts w:hint="default" w:ascii="Times New Roman" w:hAnsi="Times New Roman"/>
                <w:color w:val="auto"/>
                <w:szCs w:val="21"/>
                <w:lang w:val="en-US" w:eastAsia="zh-CN"/>
              </w:rPr>
            </w:pPr>
            <w:r>
              <w:rPr>
                <w:rFonts w:hint="eastAsia"/>
                <w:color w:val="auto"/>
                <w:szCs w:val="21"/>
                <w:lang w:val="en-US" w:eastAsia="zh-CN"/>
              </w:rPr>
              <w:t>1000</w:t>
            </w:r>
          </w:p>
        </w:tc>
        <w:tc>
          <w:tcPr>
            <w:tcW w:w="1250" w:type="pct"/>
            <w:vMerge w:val="continue"/>
            <w:tcBorders>
              <w:tl2br w:val="nil"/>
              <w:tr2bl w:val="nil"/>
            </w:tcBorders>
            <w:vAlign w:val="center"/>
          </w:tcPr>
          <w:p w14:paraId="5A70DF41">
            <w:pPr>
              <w:pStyle w:val="56"/>
              <w:rPr>
                <w:rFonts w:hint="eastAsia" w:ascii="Times New Roman" w:hAnsi="Times New Roman"/>
                <w:color w:val="auto"/>
                <w:szCs w:val="21"/>
                <w:lang w:val="en-US" w:eastAsia="zh-CN"/>
              </w:rPr>
            </w:pPr>
          </w:p>
        </w:tc>
      </w:tr>
      <w:tr w14:paraId="7C5F5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4" w:hRule="atLeast"/>
          <w:jc w:val="center"/>
        </w:trPr>
        <w:tc>
          <w:tcPr>
            <w:tcW w:w="1245" w:type="pct"/>
            <w:vMerge w:val="continue"/>
            <w:tcBorders>
              <w:tl2br w:val="nil"/>
              <w:tr2bl w:val="nil"/>
            </w:tcBorders>
            <w:vAlign w:val="center"/>
          </w:tcPr>
          <w:p w14:paraId="51012145">
            <w:pPr>
              <w:pStyle w:val="56"/>
              <w:rPr>
                <w:rFonts w:hint="default"/>
                <w:color w:val="auto"/>
                <w:szCs w:val="21"/>
                <w:lang w:val="en-US" w:eastAsia="zh-CN"/>
              </w:rPr>
            </w:pPr>
          </w:p>
        </w:tc>
        <w:tc>
          <w:tcPr>
            <w:tcW w:w="1253" w:type="pct"/>
            <w:tcBorders>
              <w:tl2br w:val="nil"/>
              <w:tr2bl w:val="nil"/>
            </w:tcBorders>
            <w:vAlign w:val="center"/>
          </w:tcPr>
          <w:p w14:paraId="07E1BDEE">
            <w:pPr>
              <w:pStyle w:val="56"/>
              <w:ind w:firstLine="0" w:firstLineChars="0"/>
              <w:rPr>
                <w:rFonts w:hint="default" w:ascii="Times New Roman" w:hAnsi="Times New Roman"/>
                <w:color w:val="auto"/>
                <w:szCs w:val="21"/>
                <w:lang w:val="en-US" w:eastAsia="zh-CN"/>
              </w:rPr>
            </w:pPr>
            <w:r>
              <w:rPr>
                <w:rFonts w:hint="eastAsia"/>
                <w:color w:val="auto"/>
                <w:szCs w:val="21"/>
                <w:lang w:val="en-US" w:eastAsia="zh-CN"/>
              </w:rPr>
              <w:t>蛔虫卵（个/L）</w:t>
            </w:r>
          </w:p>
        </w:tc>
        <w:tc>
          <w:tcPr>
            <w:tcW w:w="1250" w:type="pct"/>
            <w:tcBorders>
              <w:tl2br w:val="nil"/>
              <w:tr2bl w:val="nil"/>
            </w:tcBorders>
            <w:vAlign w:val="center"/>
          </w:tcPr>
          <w:p w14:paraId="50071AE9">
            <w:pPr>
              <w:pStyle w:val="56"/>
              <w:rPr>
                <w:rFonts w:hint="default" w:ascii="Times New Roman" w:hAnsi="Times New Roman"/>
                <w:color w:val="auto"/>
                <w:szCs w:val="21"/>
                <w:lang w:val="en-US" w:eastAsia="zh-CN"/>
              </w:rPr>
            </w:pPr>
            <w:r>
              <w:rPr>
                <w:rFonts w:hint="eastAsia"/>
                <w:color w:val="auto"/>
                <w:szCs w:val="21"/>
                <w:lang w:val="en-US" w:eastAsia="zh-CN"/>
              </w:rPr>
              <w:t>2.0</w:t>
            </w:r>
          </w:p>
        </w:tc>
        <w:tc>
          <w:tcPr>
            <w:tcW w:w="1250" w:type="pct"/>
            <w:vMerge w:val="continue"/>
            <w:tcBorders>
              <w:tl2br w:val="nil"/>
              <w:tr2bl w:val="nil"/>
            </w:tcBorders>
            <w:vAlign w:val="center"/>
          </w:tcPr>
          <w:p w14:paraId="0607CDB6">
            <w:pPr>
              <w:pStyle w:val="56"/>
              <w:rPr>
                <w:rFonts w:hint="eastAsia" w:ascii="Times New Roman" w:hAnsi="Times New Roman"/>
                <w:color w:val="auto"/>
                <w:szCs w:val="21"/>
                <w:lang w:val="en-US" w:eastAsia="zh-CN"/>
              </w:rPr>
            </w:pPr>
          </w:p>
        </w:tc>
      </w:tr>
    </w:tbl>
    <w:p w14:paraId="7FD647B5">
      <w:pPr>
        <w:ind w:firstLine="480"/>
        <w:rPr>
          <w:rFonts w:ascii="Times New Roman" w:hAnsi="Times New Roman" w:cs="Times New Roman"/>
          <w:color w:val="auto"/>
        </w:rPr>
      </w:pPr>
      <w:r>
        <w:rPr>
          <w:rFonts w:ascii="Times New Roman" w:hAnsi="Times New Roman" w:cs="Times New Roman"/>
          <w:color w:val="auto"/>
        </w:rPr>
        <w:t>（4）</w:t>
      </w:r>
      <w:r>
        <w:rPr>
          <w:rFonts w:ascii="Times New Roman" w:hAnsi="Times New Roman" w:eastAsia="宋体" w:cs="Times New Roman"/>
          <w:color w:val="auto"/>
        </w:rPr>
        <w:t>固体废物排放标准</w:t>
      </w:r>
    </w:p>
    <w:p w14:paraId="47E473D1">
      <w:pPr>
        <w:rPr>
          <w:rFonts w:ascii="Times New Roman" w:hAnsi="Times New Roman" w:cs="Times New Roman"/>
          <w:color w:val="auto"/>
        </w:rPr>
      </w:pPr>
      <w:bookmarkStart w:id="60" w:name="_Toc490417068"/>
      <w:bookmarkStart w:id="61" w:name="_Toc483491985"/>
      <w:r>
        <w:rPr>
          <w:rFonts w:ascii="Times New Roman" w:hAnsi="Times New Roman" w:cs="Times New Roman"/>
          <w:color w:val="auto"/>
        </w:rPr>
        <w:t>项目运营期固废处理处置执行《畜禽养殖业污染物排放标准》（GB18596—2001）</w:t>
      </w:r>
      <w:r>
        <w:rPr>
          <w:rFonts w:hint="eastAsia" w:ascii="Times New Roman" w:hAnsi="Times New Roman" w:cs="Times New Roman"/>
          <w:color w:val="auto"/>
          <w:lang w:eastAsia="zh-CN"/>
        </w:rPr>
        <w:t>，</w:t>
      </w:r>
      <w:r>
        <w:rPr>
          <w:rFonts w:ascii="Times New Roman" w:hAnsi="Times New Roman" w:cs="Times New Roman"/>
          <w:color w:val="auto"/>
        </w:rPr>
        <w:t>《畜禽养殖业污染防治技术规范》（HJ/T81—2001）；兽用医疗废物的处理处置执行《危险废物贮存污染控制标准》（GB18597-20</w:t>
      </w:r>
      <w:r>
        <w:rPr>
          <w:rFonts w:hint="eastAsia" w:ascii="Times New Roman" w:hAnsi="Times New Roman" w:cs="Times New Roman"/>
          <w:color w:val="auto"/>
          <w:lang w:val="en-US" w:eastAsia="zh-CN"/>
        </w:rPr>
        <w:t>23</w:t>
      </w:r>
      <w:r>
        <w:rPr>
          <w:rFonts w:ascii="Times New Roman" w:hAnsi="Times New Roman" w:cs="Times New Roman"/>
          <w:color w:val="auto"/>
        </w:rPr>
        <w:t>）的有关规定。</w:t>
      </w:r>
    </w:p>
    <w:p w14:paraId="365B2356">
      <w:pPr>
        <w:pStyle w:val="4"/>
        <w:ind w:left="120"/>
        <w:rPr>
          <w:rFonts w:ascii="Times New Roman" w:hAnsi="Times New Roman" w:cs="Times New Roman"/>
          <w:color w:val="auto"/>
          <w:lang w:val="en-GB"/>
        </w:rPr>
      </w:pPr>
      <w:bookmarkStart w:id="62" w:name="_Toc19927"/>
      <w:r>
        <w:rPr>
          <w:rFonts w:ascii="Times New Roman" w:hAnsi="Times New Roman" w:cs="Times New Roman"/>
          <w:color w:val="auto"/>
          <w:lang w:val="en-GB"/>
        </w:rPr>
        <w:t>评价工作等级和评价范围</w:t>
      </w:r>
      <w:bookmarkEnd w:id="60"/>
      <w:bookmarkEnd w:id="61"/>
      <w:bookmarkEnd w:id="62"/>
    </w:p>
    <w:p w14:paraId="691C9FE4">
      <w:pPr>
        <w:pStyle w:val="5"/>
        <w:ind w:left="120"/>
        <w:rPr>
          <w:rFonts w:ascii="Times New Roman" w:hAnsi="Times New Roman" w:cs="Times New Roman"/>
          <w:color w:val="auto"/>
        </w:rPr>
      </w:pPr>
      <w:bookmarkStart w:id="63" w:name="_Toc483491986"/>
      <w:bookmarkStart w:id="64" w:name="_Toc490417069"/>
      <w:r>
        <w:rPr>
          <w:rFonts w:ascii="Times New Roman" w:hAnsi="Times New Roman" w:cs="Times New Roman"/>
          <w:color w:val="auto"/>
        </w:rPr>
        <w:t>环境空气评价等级及评价范围</w:t>
      </w:r>
      <w:bookmarkEnd w:id="63"/>
      <w:bookmarkEnd w:id="64"/>
    </w:p>
    <w:p w14:paraId="6BE37230">
      <w:pPr>
        <w:ind w:firstLine="480"/>
        <w:rPr>
          <w:rFonts w:ascii="Times New Roman" w:hAnsi="Times New Roman" w:cs="Times New Roman"/>
          <w:color w:val="auto"/>
        </w:rPr>
      </w:pPr>
      <w:r>
        <w:rPr>
          <w:rFonts w:ascii="Times New Roman" w:hAnsi="Times New Roman" w:cs="Times New Roman"/>
          <w:color w:val="auto"/>
        </w:rPr>
        <w:t>依据《环境影响评价技术导则-大气环境》</w:t>
      </w:r>
      <w:r>
        <w:rPr>
          <w:rFonts w:hint="eastAsia" w:cs="Times New Roman"/>
          <w:color w:val="auto"/>
          <w:lang w:eastAsia="zh-CN"/>
        </w:rPr>
        <w:t>（</w:t>
      </w:r>
      <w:r>
        <w:rPr>
          <w:rFonts w:ascii="Times New Roman" w:hAnsi="Times New Roman" w:cs="Times New Roman"/>
          <w:color w:val="auto"/>
        </w:rPr>
        <w:t>HJ2.2-2018</w:t>
      </w:r>
      <w:r>
        <w:rPr>
          <w:rFonts w:hint="eastAsia" w:cs="Times New Roman"/>
          <w:color w:val="auto"/>
          <w:lang w:eastAsia="zh-CN"/>
        </w:rPr>
        <w:t>）</w:t>
      </w:r>
      <w:r>
        <w:rPr>
          <w:rFonts w:ascii="Times New Roman" w:hAnsi="Times New Roman" w:cs="Times New Roman"/>
          <w:color w:val="auto"/>
        </w:rPr>
        <w:t>中5.3节工作等级的确定方法，结合项目工程分析结果，选择正常排放的主要污染物及排放参数，采用附录A推荐模型中的AERSCREEN模式计算项目污染源的最大环境影响，然后按评价工作分级判据进行分级。</w:t>
      </w:r>
    </w:p>
    <w:p w14:paraId="47286931">
      <w:pPr>
        <w:widowControl/>
        <w:spacing w:line="520" w:lineRule="exact"/>
        <w:ind w:firstLine="480"/>
        <w:jc w:val="left"/>
        <w:rPr>
          <w:rFonts w:ascii="Times New Roman" w:hAnsi="Times New Roman" w:cs="Times New Roman"/>
          <w:color w:val="auto"/>
          <w:szCs w:val="24"/>
        </w:rPr>
      </w:pPr>
      <w:r>
        <w:rPr>
          <w:rFonts w:hint="eastAsia" w:ascii="Times New Roman" w:hAnsi="Times New Roman" w:eastAsia="宋体" w:cs="宋体"/>
          <w:color w:val="auto"/>
          <w:kern w:val="0"/>
          <w:szCs w:val="24"/>
          <w:lang w:bidi="ar"/>
        </w:rPr>
        <w:t>①</w:t>
      </w:r>
      <w:r>
        <w:rPr>
          <w:rFonts w:ascii="Times New Roman" w:hAnsi="Times New Roman" w:eastAsia="TimesNewRomanPSMT" w:cs="Times New Roman"/>
          <w:color w:val="auto"/>
          <w:kern w:val="0"/>
          <w:szCs w:val="24"/>
          <w:lang w:bidi="ar"/>
        </w:rPr>
        <w:t>P</w:t>
      </w:r>
      <w:r>
        <w:rPr>
          <w:rFonts w:ascii="Times New Roman" w:hAnsi="Times New Roman" w:eastAsia="TimesNewRomanPSMT" w:cs="Times New Roman"/>
          <w:color w:val="auto"/>
          <w:kern w:val="0"/>
          <w:szCs w:val="24"/>
          <w:vertAlign w:val="subscript"/>
          <w:lang w:bidi="ar"/>
        </w:rPr>
        <w:t>max</w:t>
      </w:r>
      <w:r>
        <w:rPr>
          <w:rFonts w:ascii="Times New Roman" w:hAnsi="Times New Roman" w:eastAsia="宋体" w:cs="Times New Roman"/>
          <w:color w:val="auto"/>
          <w:kern w:val="0"/>
          <w:szCs w:val="24"/>
          <w:lang w:bidi="ar"/>
        </w:rPr>
        <w:t>及</w:t>
      </w:r>
      <w:r>
        <w:rPr>
          <w:rFonts w:ascii="Times New Roman" w:hAnsi="Times New Roman" w:eastAsia="TimesNewRomanPSMT" w:cs="Times New Roman"/>
          <w:color w:val="auto"/>
          <w:kern w:val="0"/>
          <w:szCs w:val="24"/>
          <w:lang w:bidi="ar"/>
        </w:rPr>
        <w:t>D</w:t>
      </w:r>
      <w:r>
        <w:rPr>
          <w:rFonts w:ascii="Times New Roman" w:hAnsi="Times New Roman" w:eastAsia="TimesNewRomanPSMT" w:cs="Times New Roman"/>
          <w:color w:val="auto"/>
          <w:kern w:val="0"/>
          <w:szCs w:val="24"/>
          <w:vertAlign w:val="subscript"/>
          <w:lang w:bidi="ar"/>
        </w:rPr>
        <w:t>10%</w:t>
      </w:r>
      <w:r>
        <w:rPr>
          <w:rFonts w:ascii="Times New Roman" w:hAnsi="Times New Roman" w:eastAsia="宋体" w:cs="Times New Roman"/>
          <w:color w:val="auto"/>
          <w:kern w:val="0"/>
          <w:szCs w:val="24"/>
          <w:lang w:bidi="ar"/>
        </w:rPr>
        <w:t>的确定</w:t>
      </w:r>
    </w:p>
    <w:p w14:paraId="6EEDE82C">
      <w:pPr>
        <w:ind w:firstLine="480"/>
        <w:rPr>
          <w:rFonts w:ascii="Times New Roman" w:hAnsi="Times New Roman" w:cs="Times New Roman"/>
          <w:color w:val="auto"/>
        </w:rPr>
      </w:pPr>
      <w:r>
        <w:rPr>
          <w:rFonts w:ascii="Times New Roman" w:hAnsi="Times New Roman" w:cs="Times New Roman"/>
          <w:color w:val="auto"/>
        </w:rPr>
        <w:t>依据《环境影响评价技术导则 大气环境》</w:t>
      </w:r>
      <w:r>
        <w:rPr>
          <w:rFonts w:hint="eastAsia" w:cs="Times New Roman"/>
          <w:color w:val="auto"/>
          <w:lang w:eastAsia="zh-CN"/>
        </w:rPr>
        <w:t>（</w:t>
      </w:r>
      <w:r>
        <w:rPr>
          <w:rFonts w:ascii="Times New Roman" w:hAnsi="Times New Roman" w:cs="Times New Roman"/>
          <w:color w:val="auto"/>
        </w:rPr>
        <w:t>HJ2.2-2018</w:t>
      </w:r>
      <w:r>
        <w:rPr>
          <w:rFonts w:hint="eastAsia" w:cs="Times New Roman"/>
          <w:color w:val="auto"/>
          <w:lang w:eastAsia="zh-CN"/>
        </w:rPr>
        <w:t>）</w:t>
      </w:r>
      <w:r>
        <w:rPr>
          <w:rFonts w:ascii="Times New Roman" w:hAnsi="Times New Roman" w:cs="Times New Roman"/>
          <w:color w:val="auto"/>
        </w:rPr>
        <w:t>中最大地面浓度占标率Pi定义如下：</w:t>
      </w:r>
    </w:p>
    <w:p w14:paraId="154EEC97">
      <w:pPr>
        <w:ind w:firstLine="480"/>
        <w:jc w:val="center"/>
        <w:rPr>
          <w:rFonts w:ascii="Times New Roman" w:hAnsi="Times New Roman" w:cs="Times New Roman"/>
          <w:color w:val="auto"/>
        </w:rPr>
      </w:pPr>
      <w:r>
        <w:rPr>
          <w:rFonts w:ascii="Times New Roman" w:hAnsi="Times New Roman" w:cs="Times New Roman"/>
          <w:color w:val="auto"/>
        </w:rPr>
        <w:t>P</w:t>
      </w:r>
      <w:r>
        <w:rPr>
          <w:rFonts w:ascii="Times New Roman" w:hAnsi="Times New Roman" w:cs="Times New Roman"/>
          <w:color w:val="auto"/>
          <w:vertAlign w:val="subscript"/>
        </w:rPr>
        <w:t>i</w:t>
      </w:r>
      <w:r>
        <w:rPr>
          <w:rFonts w:ascii="Times New Roman" w:hAnsi="Times New Roman" w:cs="Times New Roman"/>
          <w:color w:val="auto"/>
        </w:rPr>
        <w:t>=C</w:t>
      </w:r>
      <w:r>
        <w:rPr>
          <w:rFonts w:ascii="Times New Roman" w:hAnsi="Times New Roman" w:cs="Times New Roman"/>
          <w:color w:val="auto"/>
          <w:vertAlign w:val="subscript"/>
        </w:rPr>
        <w:t>i</w:t>
      </w:r>
      <w:r>
        <w:rPr>
          <w:rFonts w:ascii="Times New Roman" w:hAnsi="Times New Roman" w:cs="Times New Roman"/>
          <w:color w:val="auto"/>
        </w:rPr>
        <w:t>/C</w:t>
      </w:r>
      <w:r>
        <w:rPr>
          <w:rFonts w:ascii="Times New Roman" w:hAnsi="Times New Roman" w:cs="Times New Roman"/>
          <w:color w:val="auto"/>
          <w:vertAlign w:val="subscript"/>
        </w:rPr>
        <w:t>0i</w:t>
      </w:r>
      <w:r>
        <w:rPr>
          <w:rFonts w:ascii="Times New Roman" w:hAnsi="Times New Roman" w:cs="Times New Roman"/>
          <w:color w:val="auto"/>
        </w:rPr>
        <w:t>×100%</w:t>
      </w:r>
    </w:p>
    <w:p w14:paraId="37274840">
      <w:pPr>
        <w:ind w:firstLine="480"/>
        <w:rPr>
          <w:rFonts w:ascii="Times New Roman" w:hAnsi="Times New Roman" w:cs="Times New Roman"/>
          <w:color w:val="auto"/>
        </w:rPr>
      </w:pPr>
      <w:r>
        <w:rPr>
          <w:rFonts w:ascii="Times New Roman" w:hAnsi="Times New Roman" w:cs="Times New Roman"/>
          <w:color w:val="auto"/>
        </w:rPr>
        <w:t>P</w:t>
      </w:r>
      <w:r>
        <w:rPr>
          <w:rFonts w:ascii="Times New Roman" w:hAnsi="Times New Roman" w:cs="Times New Roman"/>
          <w:color w:val="auto"/>
          <w:vertAlign w:val="subscript"/>
        </w:rPr>
        <w:t>i</w:t>
      </w:r>
      <w:r>
        <w:rPr>
          <w:rFonts w:ascii="Times New Roman" w:hAnsi="Times New Roman" w:cs="Times New Roman"/>
          <w:color w:val="auto"/>
        </w:rPr>
        <w:t>—第i个污染物的最大地面空气质量浓度占标率，%；</w:t>
      </w:r>
    </w:p>
    <w:p w14:paraId="23C5A82C">
      <w:pPr>
        <w:ind w:firstLine="480"/>
        <w:rPr>
          <w:rFonts w:ascii="Times New Roman" w:hAnsi="Times New Roman" w:cs="Times New Roman"/>
          <w:color w:val="auto"/>
        </w:rPr>
      </w:pPr>
      <w:r>
        <w:rPr>
          <w:rFonts w:ascii="Times New Roman" w:hAnsi="Times New Roman" w:cs="Times New Roman"/>
          <w:color w:val="auto"/>
        </w:rPr>
        <w:t>C</w:t>
      </w:r>
      <w:r>
        <w:rPr>
          <w:rFonts w:ascii="Times New Roman" w:hAnsi="Times New Roman" w:cs="Times New Roman"/>
          <w:color w:val="auto"/>
          <w:vertAlign w:val="subscript"/>
        </w:rPr>
        <w:t>i</w:t>
      </w:r>
      <w:r>
        <w:rPr>
          <w:rFonts w:ascii="Times New Roman" w:hAnsi="Times New Roman" w:cs="Times New Roman"/>
          <w:color w:val="auto"/>
        </w:rPr>
        <w:t>—采用估算模型计算出的第i个污染物的最大1h地面空气质量浓度，µg/m</w:t>
      </w:r>
      <w:r>
        <w:rPr>
          <w:rFonts w:ascii="Times New Roman" w:hAnsi="Times New Roman" w:cs="Times New Roman"/>
          <w:color w:val="auto"/>
          <w:vertAlign w:val="superscript"/>
        </w:rPr>
        <w:t>3</w:t>
      </w:r>
      <w:r>
        <w:rPr>
          <w:rFonts w:ascii="Times New Roman" w:hAnsi="Times New Roman" w:cs="Times New Roman"/>
          <w:color w:val="auto"/>
        </w:rPr>
        <w:t>；</w:t>
      </w:r>
    </w:p>
    <w:p w14:paraId="62736C6A">
      <w:pPr>
        <w:ind w:firstLine="480"/>
        <w:rPr>
          <w:rFonts w:ascii="Times New Roman" w:hAnsi="Times New Roman" w:eastAsia="宋体" w:cs="Times New Roman"/>
          <w:color w:val="auto"/>
          <w:kern w:val="0"/>
        </w:rPr>
      </w:pPr>
      <w:r>
        <w:rPr>
          <w:rFonts w:ascii="Times New Roman" w:hAnsi="Times New Roman" w:cs="Times New Roman"/>
          <w:color w:val="auto"/>
        </w:rPr>
        <w:t>C</w:t>
      </w:r>
      <w:r>
        <w:rPr>
          <w:rFonts w:ascii="Times New Roman" w:hAnsi="Times New Roman" w:cs="Times New Roman"/>
          <w:color w:val="auto"/>
          <w:vertAlign w:val="subscript"/>
        </w:rPr>
        <w:t>0i</w:t>
      </w:r>
      <w:r>
        <w:rPr>
          <w:rFonts w:ascii="Times New Roman" w:hAnsi="Times New Roman" w:cs="Times New Roman"/>
          <w:color w:val="auto"/>
        </w:rPr>
        <w:t>—第i个污染物的环境空气质量浓度标准，µg/m</w:t>
      </w:r>
      <w:r>
        <w:rPr>
          <w:rFonts w:ascii="Times New Roman" w:hAnsi="Times New Roman" w:cs="Times New Roman"/>
          <w:color w:val="auto"/>
          <w:vertAlign w:val="superscript"/>
        </w:rPr>
        <w:t>3</w:t>
      </w:r>
      <w:r>
        <w:rPr>
          <w:rFonts w:ascii="Times New Roman" w:hAnsi="Times New Roman" w:cs="Times New Roman"/>
          <w:color w:val="auto"/>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对于GB 3095及地方环境质量标准中未包含的污染物，可参照附录D中的浓度限值。</w:t>
      </w:r>
    </w:p>
    <w:p w14:paraId="41444536">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 xml:space="preserve">评价等级判别表 </w:t>
      </w:r>
    </w:p>
    <w:p w14:paraId="6D12E8D1">
      <w:pPr>
        <w:ind w:firstLine="480"/>
        <w:rPr>
          <w:rFonts w:ascii="Times New Roman" w:hAnsi="Times New Roman" w:cs="Times New Roman"/>
          <w:color w:val="auto"/>
        </w:rPr>
      </w:pPr>
      <w:r>
        <w:rPr>
          <w:rFonts w:ascii="Times New Roman" w:hAnsi="Times New Roman" w:cs="Times New Roman"/>
          <w:color w:val="auto"/>
        </w:rPr>
        <w:t>评价等级按下表的分级判据进行划分。</w:t>
      </w:r>
    </w:p>
    <w:p w14:paraId="5D9F35BB">
      <w:pPr>
        <w:pStyle w:val="61"/>
        <w:spacing w:before="32" w:after="32"/>
        <w:rPr>
          <w:rFonts w:ascii="Times New Roman" w:hAnsi="Times New Roman" w:eastAsia="宋体" w:cs="Times New Roman"/>
          <w:b/>
          <w:bCs/>
          <w:color w:val="auto"/>
        </w:rPr>
      </w:pPr>
      <w:r>
        <w:rPr>
          <w:rFonts w:ascii="Times New Roman" w:hAnsi="Times New Roman" w:eastAsia="宋体" w:cs="Times New Roman"/>
          <w:b/>
          <w:bCs/>
          <w:color w:val="auto"/>
        </w:rPr>
        <w:t>表2.5-1    评价工作等级划分</w:t>
      </w:r>
    </w:p>
    <w:tbl>
      <w:tblPr>
        <w:tblStyle w:val="35"/>
        <w:tblW w:w="89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281"/>
        <w:gridCol w:w="5619"/>
      </w:tblGrid>
      <w:tr w14:paraId="1A78D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 w:hRule="atLeast"/>
          <w:jc w:val="center"/>
        </w:trPr>
        <w:tc>
          <w:tcPr>
            <w:tcW w:w="3281" w:type="dxa"/>
            <w:tcBorders>
              <w:tl2br w:val="nil"/>
              <w:tr2bl w:val="nil"/>
            </w:tcBorders>
            <w:vAlign w:val="center"/>
          </w:tcPr>
          <w:p w14:paraId="345059AC">
            <w:pPr>
              <w:pStyle w:val="56"/>
              <w:rPr>
                <w:rFonts w:ascii="Times New Roman" w:hAnsi="Times New Roman"/>
                <w:color w:val="auto"/>
                <w:szCs w:val="21"/>
              </w:rPr>
            </w:pPr>
            <w:r>
              <w:rPr>
                <w:rFonts w:ascii="Times New Roman" w:hAnsi="Times New Roman"/>
                <w:color w:val="auto"/>
                <w:szCs w:val="21"/>
              </w:rPr>
              <w:t>评价工作等级</w:t>
            </w:r>
          </w:p>
        </w:tc>
        <w:tc>
          <w:tcPr>
            <w:tcW w:w="5619" w:type="dxa"/>
            <w:tcBorders>
              <w:tl2br w:val="nil"/>
              <w:tr2bl w:val="nil"/>
            </w:tcBorders>
            <w:vAlign w:val="center"/>
          </w:tcPr>
          <w:p w14:paraId="681C45A5">
            <w:pPr>
              <w:pStyle w:val="56"/>
              <w:rPr>
                <w:rFonts w:ascii="Times New Roman" w:hAnsi="Times New Roman"/>
                <w:color w:val="auto"/>
                <w:szCs w:val="21"/>
              </w:rPr>
            </w:pPr>
            <w:r>
              <w:rPr>
                <w:rFonts w:ascii="Times New Roman" w:hAnsi="Times New Roman"/>
                <w:color w:val="auto"/>
                <w:szCs w:val="21"/>
              </w:rPr>
              <w:t>评价工作分级判据</w:t>
            </w:r>
          </w:p>
        </w:tc>
      </w:tr>
      <w:tr w14:paraId="6C7B1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 w:hRule="atLeast"/>
          <w:jc w:val="center"/>
        </w:trPr>
        <w:tc>
          <w:tcPr>
            <w:tcW w:w="3281" w:type="dxa"/>
            <w:tcBorders>
              <w:tl2br w:val="nil"/>
              <w:tr2bl w:val="nil"/>
            </w:tcBorders>
            <w:vAlign w:val="center"/>
          </w:tcPr>
          <w:p w14:paraId="376CACF1">
            <w:pPr>
              <w:pStyle w:val="56"/>
              <w:rPr>
                <w:rFonts w:ascii="Times New Roman" w:hAnsi="Times New Roman"/>
                <w:color w:val="auto"/>
                <w:szCs w:val="21"/>
              </w:rPr>
            </w:pPr>
            <w:r>
              <w:rPr>
                <w:rFonts w:ascii="Times New Roman" w:hAnsi="Times New Roman"/>
                <w:color w:val="auto"/>
                <w:szCs w:val="21"/>
              </w:rPr>
              <w:t>一级</w:t>
            </w:r>
          </w:p>
        </w:tc>
        <w:tc>
          <w:tcPr>
            <w:tcW w:w="5619" w:type="dxa"/>
            <w:tcBorders>
              <w:tl2br w:val="nil"/>
              <w:tr2bl w:val="nil"/>
            </w:tcBorders>
            <w:vAlign w:val="center"/>
          </w:tcPr>
          <w:p w14:paraId="1B97C849">
            <w:pPr>
              <w:pStyle w:val="56"/>
              <w:rPr>
                <w:rFonts w:ascii="Times New Roman" w:hAnsi="Times New Roman"/>
                <w:color w:val="auto"/>
                <w:szCs w:val="21"/>
              </w:rPr>
            </w:pPr>
            <w:r>
              <w:rPr>
                <w:rFonts w:ascii="Times New Roman" w:hAnsi="Times New Roman"/>
                <w:color w:val="auto"/>
                <w:szCs w:val="21"/>
              </w:rPr>
              <w:t>Pmax≥10%</w:t>
            </w:r>
          </w:p>
        </w:tc>
      </w:tr>
      <w:tr w14:paraId="5E82A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 w:hRule="atLeast"/>
          <w:jc w:val="center"/>
        </w:trPr>
        <w:tc>
          <w:tcPr>
            <w:tcW w:w="3281" w:type="dxa"/>
            <w:tcBorders>
              <w:tl2br w:val="nil"/>
              <w:tr2bl w:val="nil"/>
            </w:tcBorders>
            <w:vAlign w:val="center"/>
          </w:tcPr>
          <w:p w14:paraId="79B72524">
            <w:pPr>
              <w:pStyle w:val="56"/>
              <w:rPr>
                <w:rFonts w:ascii="Times New Roman" w:hAnsi="Times New Roman"/>
                <w:color w:val="auto"/>
                <w:szCs w:val="21"/>
              </w:rPr>
            </w:pPr>
            <w:r>
              <w:rPr>
                <w:rFonts w:ascii="Times New Roman" w:hAnsi="Times New Roman"/>
                <w:color w:val="auto"/>
                <w:szCs w:val="21"/>
              </w:rPr>
              <w:t>二级</w:t>
            </w:r>
          </w:p>
        </w:tc>
        <w:tc>
          <w:tcPr>
            <w:tcW w:w="5619" w:type="dxa"/>
            <w:tcBorders>
              <w:tl2br w:val="nil"/>
              <w:tr2bl w:val="nil"/>
            </w:tcBorders>
            <w:vAlign w:val="center"/>
          </w:tcPr>
          <w:p w14:paraId="42908D8B">
            <w:pPr>
              <w:pStyle w:val="56"/>
              <w:rPr>
                <w:rFonts w:ascii="Times New Roman" w:hAnsi="Times New Roman"/>
                <w:color w:val="auto"/>
                <w:szCs w:val="21"/>
              </w:rPr>
            </w:pPr>
            <w:r>
              <w:rPr>
                <w:rFonts w:ascii="Times New Roman" w:hAnsi="Times New Roman"/>
                <w:color w:val="auto"/>
                <w:szCs w:val="21"/>
              </w:rPr>
              <w:t>1%≤Pmax</w:t>
            </w:r>
            <w:r>
              <w:rPr>
                <w:rFonts w:hint="eastAsia"/>
                <w:color w:val="auto"/>
                <w:szCs w:val="21"/>
                <w:lang w:eastAsia="zh-CN"/>
              </w:rPr>
              <w:t>&lt;</w:t>
            </w:r>
            <w:r>
              <w:rPr>
                <w:rFonts w:ascii="Times New Roman" w:hAnsi="Times New Roman"/>
                <w:color w:val="auto"/>
                <w:szCs w:val="21"/>
              </w:rPr>
              <w:t>10%</w:t>
            </w:r>
          </w:p>
        </w:tc>
      </w:tr>
      <w:tr w14:paraId="2ABE1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 w:hRule="atLeast"/>
          <w:jc w:val="center"/>
        </w:trPr>
        <w:tc>
          <w:tcPr>
            <w:tcW w:w="3281" w:type="dxa"/>
            <w:tcBorders>
              <w:tl2br w:val="nil"/>
              <w:tr2bl w:val="nil"/>
            </w:tcBorders>
            <w:vAlign w:val="center"/>
          </w:tcPr>
          <w:p w14:paraId="2B31353B">
            <w:pPr>
              <w:pStyle w:val="56"/>
              <w:rPr>
                <w:rFonts w:ascii="Times New Roman" w:hAnsi="Times New Roman"/>
                <w:color w:val="auto"/>
                <w:szCs w:val="21"/>
              </w:rPr>
            </w:pPr>
            <w:r>
              <w:rPr>
                <w:rFonts w:ascii="Times New Roman" w:hAnsi="Times New Roman"/>
                <w:color w:val="auto"/>
                <w:szCs w:val="21"/>
              </w:rPr>
              <w:t>三级</w:t>
            </w:r>
          </w:p>
        </w:tc>
        <w:tc>
          <w:tcPr>
            <w:tcW w:w="5619" w:type="dxa"/>
            <w:tcBorders>
              <w:tl2br w:val="nil"/>
              <w:tr2bl w:val="nil"/>
            </w:tcBorders>
            <w:vAlign w:val="center"/>
          </w:tcPr>
          <w:p w14:paraId="646AE788">
            <w:pPr>
              <w:pStyle w:val="56"/>
              <w:rPr>
                <w:rFonts w:ascii="Times New Roman" w:hAnsi="Times New Roman"/>
                <w:color w:val="auto"/>
                <w:szCs w:val="21"/>
              </w:rPr>
            </w:pPr>
            <w:r>
              <w:rPr>
                <w:rFonts w:ascii="Times New Roman" w:hAnsi="Times New Roman"/>
                <w:color w:val="auto"/>
                <w:szCs w:val="21"/>
              </w:rPr>
              <w:t>Pmax</w:t>
            </w:r>
            <w:r>
              <w:rPr>
                <w:rFonts w:hint="eastAsia"/>
                <w:color w:val="auto"/>
                <w:szCs w:val="21"/>
                <w:lang w:eastAsia="zh-CN"/>
              </w:rPr>
              <w:t>&lt;</w:t>
            </w:r>
            <w:r>
              <w:rPr>
                <w:rFonts w:ascii="Times New Roman" w:hAnsi="Times New Roman"/>
                <w:color w:val="auto"/>
                <w:szCs w:val="21"/>
              </w:rPr>
              <w:t>1%</w:t>
            </w:r>
          </w:p>
        </w:tc>
      </w:tr>
    </w:tbl>
    <w:p w14:paraId="14CDA0C8">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评价因子和评价标准</w:t>
      </w:r>
    </w:p>
    <w:p w14:paraId="7FA53EF0">
      <w:pPr>
        <w:ind w:firstLine="480"/>
        <w:rPr>
          <w:rFonts w:ascii="Times New Roman" w:hAnsi="Times New Roman" w:cs="Times New Roman"/>
          <w:color w:val="auto"/>
        </w:rPr>
      </w:pPr>
      <w:r>
        <w:rPr>
          <w:rFonts w:ascii="Times New Roman" w:hAnsi="Times New Roman" w:cs="Times New Roman"/>
          <w:color w:val="auto"/>
        </w:rPr>
        <w:t>评价因子和评价标准见下表。</w:t>
      </w:r>
    </w:p>
    <w:p w14:paraId="51C6CA50">
      <w:pPr>
        <w:pStyle w:val="61"/>
        <w:spacing w:before="32" w:after="32"/>
        <w:rPr>
          <w:rFonts w:ascii="Times New Roman" w:hAnsi="Times New Roman" w:eastAsia="宋体" w:cs="Times New Roman"/>
          <w:b/>
          <w:bCs/>
          <w:color w:val="auto"/>
        </w:rPr>
      </w:pPr>
      <w:r>
        <w:rPr>
          <w:rFonts w:ascii="Times New Roman" w:hAnsi="Times New Roman" w:eastAsia="宋体" w:cs="Times New Roman"/>
          <w:b/>
          <w:bCs/>
          <w:color w:val="auto"/>
        </w:rPr>
        <w:t>表2.5-2    评价因子和评价标准</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061"/>
        <w:gridCol w:w="1662"/>
        <w:gridCol w:w="3528"/>
      </w:tblGrid>
      <w:tr w14:paraId="6A43A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blHeader/>
          <w:jc w:val="center"/>
        </w:trPr>
        <w:tc>
          <w:tcPr>
            <w:tcW w:w="1809" w:type="dxa"/>
            <w:vAlign w:val="center"/>
          </w:tcPr>
          <w:p w14:paraId="14AA2077">
            <w:pPr>
              <w:pStyle w:val="60"/>
              <w:rPr>
                <w:rFonts w:ascii="Times New Roman" w:hAnsi="Times New Roman" w:eastAsia="宋体" w:cs="Times New Roman"/>
                <w:color w:val="auto"/>
              </w:rPr>
            </w:pPr>
            <w:r>
              <w:rPr>
                <w:rFonts w:ascii="Times New Roman" w:hAnsi="Times New Roman" w:eastAsia="宋体" w:cs="Times New Roman"/>
                <w:color w:val="auto"/>
              </w:rPr>
              <w:t>评价因子</w:t>
            </w:r>
          </w:p>
        </w:tc>
        <w:tc>
          <w:tcPr>
            <w:tcW w:w="2061" w:type="dxa"/>
            <w:vAlign w:val="center"/>
          </w:tcPr>
          <w:p w14:paraId="53D5053C">
            <w:pPr>
              <w:pStyle w:val="60"/>
              <w:rPr>
                <w:rFonts w:ascii="Times New Roman" w:hAnsi="Times New Roman" w:eastAsia="宋体" w:cs="Times New Roman"/>
                <w:color w:val="auto"/>
              </w:rPr>
            </w:pPr>
            <w:r>
              <w:rPr>
                <w:rFonts w:ascii="Times New Roman" w:hAnsi="Times New Roman" w:eastAsia="宋体" w:cs="Times New Roman"/>
                <w:color w:val="auto"/>
              </w:rPr>
              <w:t>平均时间</w:t>
            </w:r>
          </w:p>
        </w:tc>
        <w:tc>
          <w:tcPr>
            <w:tcW w:w="1662" w:type="dxa"/>
            <w:vAlign w:val="center"/>
          </w:tcPr>
          <w:p w14:paraId="1465D3E0">
            <w:pPr>
              <w:pStyle w:val="60"/>
              <w:rPr>
                <w:rFonts w:ascii="Times New Roman" w:hAnsi="Times New Roman" w:eastAsia="宋体" w:cs="Times New Roman"/>
                <w:color w:val="auto"/>
              </w:rPr>
            </w:pPr>
            <w:r>
              <w:rPr>
                <w:rFonts w:ascii="Times New Roman" w:hAnsi="Times New Roman" w:eastAsia="宋体" w:cs="Times New Roman"/>
                <w:color w:val="auto"/>
              </w:rPr>
              <w:t>浓度限值</w:t>
            </w:r>
          </w:p>
        </w:tc>
        <w:tc>
          <w:tcPr>
            <w:tcW w:w="3528" w:type="dxa"/>
            <w:vAlign w:val="center"/>
          </w:tcPr>
          <w:p w14:paraId="1855FC61">
            <w:pPr>
              <w:pStyle w:val="60"/>
              <w:rPr>
                <w:rFonts w:ascii="Times New Roman" w:hAnsi="Times New Roman" w:eastAsia="宋体" w:cs="Times New Roman"/>
                <w:color w:val="auto"/>
              </w:rPr>
            </w:pPr>
            <w:r>
              <w:rPr>
                <w:rFonts w:ascii="Times New Roman" w:hAnsi="Times New Roman" w:eastAsia="宋体" w:cs="Times New Roman"/>
                <w:color w:val="auto"/>
              </w:rPr>
              <w:t>评价标准</w:t>
            </w:r>
          </w:p>
        </w:tc>
      </w:tr>
      <w:tr w14:paraId="242B9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1809" w:type="dxa"/>
            <w:vAlign w:val="center"/>
          </w:tcPr>
          <w:p w14:paraId="680ADC83">
            <w:pPr>
              <w:pStyle w:val="60"/>
              <w:rPr>
                <w:rFonts w:ascii="Times New Roman" w:hAnsi="Times New Roman" w:eastAsia="宋体" w:cs="Times New Roman"/>
                <w:color w:val="auto"/>
              </w:rPr>
            </w:pPr>
            <w:r>
              <w:rPr>
                <w:rFonts w:ascii="Times New Roman" w:hAnsi="Times New Roman" w:eastAsia="宋体" w:cs="Times New Roman"/>
                <w:color w:val="auto"/>
              </w:rPr>
              <w:t>硫化氢（</w:t>
            </w:r>
            <w:r>
              <w:rPr>
                <w:rFonts w:ascii="Times New Roman" w:hAnsi="Times New Roman" w:cs="Times New Roman"/>
                <w:color w:val="auto"/>
              </w:rPr>
              <w:t>H</w:t>
            </w:r>
            <w:r>
              <w:rPr>
                <w:rFonts w:ascii="Times New Roman" w:hAnsi="Times New Roman" w:cs="Times New Roman"/>
                <w:color w:val="auto"/>
                <w:vertAlign w:val="subscript"/>
              </w:rPr>
              <w:t>2</w:t>
            </w:r>
            <w:r>
              <w:rPr>
                <w:rFonts w:ascii="Times New Roman" w:hAnsi="Times New Roman" w:cs="Times New Roman"/>
                <w:color w:val="auto"/>
              </w:rPr>
              <w:t>S</w:t>
            </w:r>
            <w:r>
              <w:rPr>
                <w:rFonts w:ascii="Times New Roman" w:hAnsi="Times New Roman" w:eastAsia="宋体" w:cs="Times New Roman"/>
                <w:color w:val="auto"/>
              </w:rPr>
              <w:t>）</w:t>
            </w:r>
          </w:p>
        </w:tc>
        <w:tc>
          <w:tcPr>
            <w:tcW w:w="2061" w:type="dxa"/>
            <w:vAlign w:val="center"/>
          </w:tcPr>
          <w:p w14:paraId="75192B41">
            <w:pPr>
              <w:pStyle w:val="60"/>
              <w:rPr>
                <w:rFonts w:ascii="Times New Roman" w:hAnsi="Times New Roman" w:eastAsia="宋体" w:cs="Times New Roman"/>
                <w:color w:val="auto"/>
              </w:rPr>
            </w:pPr>
            <w:r>
              <w:rPr>
                <w:rFonts w:ascii="Times New Roman" w:hAnsi="Times New Roman" w:eastAsia="宋体" w:cs="Times New Roman"/>
                <w:color w:val="auto"/>
              </w:rPr>
              <w:t>1小时平均</w:t>
            </w:r>
          </w:p>
        </w:tc>
        <w:tc>
          <w:tcPr>
            <w:tcW w:w="1662" w:type="dxa"/>
            <w:vAlign w:val="center"/>
          </w:tcPr>
          <w:p w14:paraId="5AD3AC1A">
            <w:pPr>
              <w:pStyle w:val="60"/>
              <w:rPr>
                <w:rFonts w:ascii="Times New Roman" w:hAnsi="Times New Roman" w:eastAsia="宋体" w:cs="Times New Roman"/>
                <w:color w:val="auto"/>
              </w:rPr>
            </w:pPr>
            <w:r>
              <w:rPr>
                <w:rFonts w:ascii="Times New Roman" w:hAnsi="Times New Roman" w:eastAsia="宋体" w:cs="Times New Roman"/>
                <w:color w:val="auto"/>
              </w:rPr>
              <w:t>10μg/m</w:t>
            </w:r>
            <w:r>
              <w:rPr>
                <w:rFonts w:ascii="Times New Roman" w:hAnsi="Times New Roman" w:eastAsia="宋体" w:cs="Times New Roman"/>
                <w:color w:val="auto"/>
                <w:vertAlign w:val="superscript"/>
              </w:rPr>
              <w:t>3</w:t>
            </w:r>
          </w:p>
        </w:tc>
        <w:tc>
          <w:tcPr>
            <w:tcW w:w="3528" w:type="dxa"/>
            <w:vMerge w:val="restart"/>
            <w:vAlign w:val="center"/>
          </w:tcPr>
          <w:p w14:paraId="3769ED8F">
            <w:pPr>
              <w:pStyle w:val="60"/>
              <w:rPr>
                <w:rFonts w:ascii="Times New Roman" w:hAnsi="Times New Roman" w:eastAsia="宋体" w:cs="Times New Roman"/>
                <w:color w:val="auto"/>
              </w:rPr>
            </w:pPr>
            <w:r>
              <w:rPr>
                <w:rFonts w:ascii="Times New Roman" w:hAnsi="Times New Roman" w:eastAsia="宋体" w:cs="Times New Roman"/>
                <w:color w:val="auto"/>
              </w:rPr>
              <w:t>《环境影响评价技术导则 大气环境》（HJ2.2-2018）中附录D中参考限值</w:t>
            </w:r>
          </w:p>
        </w:tc>
      </w:tr>
      <w:tr w14:paraId="5B591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809" w:type="dxa"/>
            <w:vAlign w:val="center"/>
          </w:tcPr>
          <w:p w14:paraId="3D451D50">
            <w:pPr>
              <w:pStyle w:val="60"/>
              <w:rPr>
                <w:rFonts w:ascii="Times New Roman" w:hAnsi="Times New Roman" w:eastAsia="宋体" w:cs="Times New Roman"/>
                <w:color w:val="auto"/>
              </w:rPr>
            </w:pPr>
            <w:r>
              <w:rPr>
                <w:rFonts w:ascii="Times New Roman" w:hAnsi="Times New Roman" w:eastAsia="宋体" w:cs="Times New Roman"/>
                <w:color w:val="auto"/>
              </w:rPr>
              <w:t>氨（</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eastAsia="宋体" w:cs="Times New Roman"/>
                <w:color w:val="auto"/>
              </w:rPr>
              <w:t>）</w:t>
            </w:r>
          </w:p>
        </w:tc>
        <w:tc>
          <w:tcPr>
            <w:tcW w:w="2061" w:type="dxa"/>
            <w:vAlign w:val="center"/>
          </w:tcPr>
          <w:p w14:paraId="285BA039">
            <w:pPr>
              <w:pStyle w:val="60"/>
              <w:rPr>
                <w:rFonts w:ascii="Times New Roman" w:hAnsi="Times New Roman" w:eastAsia="宋体" w:cs="Times New Roman"/>
                <w:color w:val="auto"/>
              </w:rPr>
            </w:pPr>
            <w:r>
              <w:rPr>
                <w:rFonts w:ascii="Times New Roman" w:hAnsi="Times New Roman" w:eastAsia="宋体" w:cs="Times New Roman"/>
                <w:color w:val="auto"/>
              </w:rPr>
              <w:t>1小时平均</w:t>
            </w:r>
          </w:p>
        </w:tc>
        <w:tc>
          <w:tcPr>
            <w:tcW w:w="1662" w:type="dxa"/>
            <w:vAlign w:val="center"/>
          </w:tcPr>
          <w:p w14:paraId="57FFD0BB">
            <w:pPr>
              <w:pStyle w:val="60"/>
              <w:rPr>
                <w:rFonts w:ascii="Times New Roman" w:hAnsi="Times New Roman" w:eastAsia="宋体" w:cs="Times New Roman"/>
                <w:color w:val="auto"/>
              </w:rPr>
            </w:pPr>
            <w:r>
              <w:rPr>
                <w:rFonts w:ascii="Times New Roman" w:hAnsi="Times New Roman" w:eastAsia="宋体" w:cs="Times New Roman"/>
                <w:color w:val="auto"/>
              </w:rPr>
              <w:t>200μg/m3</w:t>
            </w:r>
          </w:p>
        </w:tc>
        <w:tc>
          <w:tcPr>
            <w:tcW w:w="3528" w:type="dxa"/>
            <w:vMerge w:val="continue"/>
            <w:vAlign w:val="center"/>
          </w:tcPr>
          <w:p w14:paraId="05F81971">
            <w:pPr>
              <w:pStyle w:val="60"/>
              <w:rPr>
                <w:rFonts w:ascii="Times New Roman" w:hAnsi="Times New Roman" w:eastAsia="宋体" w:cs="Times New Roman"/>
                <w:color w:val="auto"/>
              </w:rPr>
            </w:pPr>
          </w:p>
        </w:tc>
      </w:tr>
    </w:tbl>
    <w:p w14:paraId="481132EC">
      <w:pPr>
        <w:ind w:firstLine="480"/>
        <w:rPr>
          <w:rFonts w:ascii="Times New Roman" w:hAnsi="Times New Roman" w:cs="Times New Roman"/>
          <w:color w:val="auto"/>
        </w:rPr>
      </w:pPr>
      <w:r>
        <w:rPr>
          <w:rFonts w:hint="eastAsia" w:ascii="Times New Roman" w:hAnsi="Times New Roman" w:eastAsia="宋体" w:cs="宋体"/>
          <w:color w:val="auto"/>
        </w:rPr>
        <w:t>④</w:t>
      </w:r>
      <w:r>
        <w:rPr>
          <w:rFonts w:ascii="Times New Roman" w:hAnsi="Times New Roman" w:cs="Times New Roman"/>
          <w:color w:val="auto"/>
        </w:rPr>
        <w:t>污染源参数</w:t>
      </w:r>
    </w:p>
    <w:p w14:paraId="3E8A9C9F">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color w:val="auto"/>
          <w:lang w:eastAsia="zh-CN"/>
        </w:rPr>
      </w:pPr>
      <w:r>
        <w:rPr>
          <w:rFonts w:ascii="Times New Roman" w:hAnsi="Times New Roman" w:cs="Times New Roman"/>
          <w:color w:val="auto"/>
        </w:rPr>
        <w:t>根据工程分析，本工程主要的废气污染源包括养殖区恶臭污染物无组织排放。根据《环境影响评价技术导则大气 导则》（HJ 2.2-2018），采用估算模式进行计算评价等级，估算因子选取氨、硫化氢。污染源参数</w:t>
      </w:r>
      <w:r>
        <w:rPr>
          <w:rFonts w:hint="eastAsia" w:cs="Times New Roman"/>
          <w:color w:val="auto"/>
          <w:lang w:eastAsia="zh-CN"/>
        </w:rPr>
        <w:t>见下</w:t>
      </w:r>
      <w:r>
        <w:rPr>
          <w:rFonts w:ascii="Times New Roman" w:hAnsi="Times New Roman" w:cs="Times New Roman"/>
          <w:color w:val="auto"/>
        </w:rPr>
        <w:t>表</w:t>
      </w:r>
      <w:r>
        <w:rPr>
          <w:rFonts w:hint="eastAsia" w:ascii="Times New Roman" w:hAnsi="Times New Roman" w:cs="Times New Roman"/>
          <w:color w:val="auto"/>
          <w:lang w:eastAsia="zh-CN"/>
        </w:rPr>
        <w:t>。</w:t>
      </w:r>
    </w:p>
    <w:p w14:paraId="7E69C638">
      <w:pPr>
        <w:pStyle w:val="61"/>
        <w:spacing w:before="32" w:after="32"/>
        <w:rPr>
          <w:rFonts w:ascii="Times New Roman" w:hAnsi="Times New Roman" w:eastAsia="宋体" w:cs="Times New Roman"/>
          <w:b/>
          <w:bCs/>
          <w:color w:val="auto"/>
        </w:rPr>
      </w:pPr>
      <w:r>
        <w:rPr>
          <w:rFonts w:ascii="Times New Roman" w:hAnsi="Times New Roman" w:eastAsia="宋体" w:cs="Times New Roman"/>
          <w:b/>
          <w:bCs/>
          <w:color w:val="auto"/>
        </w:rPr>
        <w:t>表2.5-3    面源污染物排放参数</w:t>
      </w:r>
    </w:p>
    <w:tbl>
      <w:tblPr>
        <w:tblStyle w:val="35"/>
        <w:tblpPr w:leftFromText="181" w:rightFromText="181" w:vertAnchor="text" w:horzAnchor="page" w:tblpX="1577" w:tblpY="1"/>
        <w:tblOverlap w:val="never"/>
        <w:tblW w:w="884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28"/>
        <w:gridCol w:w="557"/>
        <w:gridCol w:w="1010"/>
        <w:gridCol w:w="1010"/>
        <w:gridCol w:w="654"/>
        <w:gridCol w:w="614"/>
        <w:gridCol w:w="641"/>
        <w:gridCol w:w="818"/>
        <w:gridCol w:w="682"/>
        <w:gridCol w:w="668"/>
        <w:gridCol w:w="559"/>
        <w:gridCol w:w="668"/>
        <w:gridCol w:w="635"/>
      </w:tblGrid>
      <w:tr w14:paraId="6EE547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328" w:type="dxa"/>
            <w:vMerge w:val="restart"/>
            <w:tcBorders>
              <w:tl2br w:val="nil"/>
              <w:tr2bl w:val="nil"/>
            </w:tcBorders>
            <w:vAlign w:val="center"/>
          </w:tcPr>
          <w:p w14:paraId="0C4523AB">
            <w:pPr>
              <w:pStyle w:val="56"/>
              <w:rPr>
                <w:rFonts w:ascii="Times New Roman" w:hAnsi="Times New Roman"/>
                <w:color w:val="auto"/>
                <w:szCs w:val="21"/>
              </w:rPr>
            </w:pPr>
            <w:r>
              <w:rPr>
                <w:rFonts w:ascii="Times New Roman" w:hAnsi="Times New Roman"/>
                <w:color w:val="auto"/>
                <w:szCs w:val="21"/>
              </w:rPr>
              <w:t>编号</w:t>
            </w:r>
          </w:p>
        </w:tc>
        <w:tc>
          <w:tcPr>
            <w:tcW w:w="557" w:type="dxa"/>
            <w:vMerge w:val="restart"/>
            <w:tcBorders>
              <w:tl2br w:val="nil"/>
              <w:tr2bl w:val="nil"/>
            </w:tcBorders>
            <w:vAlign w:val="center"/>
          </w:tcPr>
          <w:p w14:paraId="445C325C">
            <w:pPr>
              <w:pStyle w:val="56"/>
              <w:rPr>
                <w:rFonts w:ascii="Times New Roman" w:hAnsi="Times New Roman"/>
                <w:color w:val="auto"/>
                <w:szCs w:val="21"/>
              </w:rPr>
            </w:pPr>
            <w:r>
              <w:rPr>
                <w:rFonts w:ascii="Times New Roman" w:hAnsi="Times New Roman"/>
                <w:color w:val="auto"/>
                <w:szCs w:val="21"/>
              </w:rPr>
              <w:t>名称</w:t>
            </w:r>
          </w:p>
        </w:tc>
        <w:tc>
          <w:tcPr>
            <w:tcW w:w="2020" w:type="dxa"/>
            <w:gridSpan w:val="2"/>
            <w:tcBorders>
              <w:tl2br w:val="nil"/>
              <w:tr2bl w:val="nil"/>
            </w:tcBorders>
            <w:vAlign w:val="center"/>
          </w:tcPr>
          <w:p w14:paraId="1456E999">
            <w:pPr>
              <w:pStyle w:val="56"/>
              <w:rPr>
                <w:rFonts w:ascii="Times New Roman" w:hAnsi="Times New Roman"/>
                <w:color w:val="auto"/>
                <w:szCs w:val="21"/>
              </w:rPr>
            </w:pPr>
            <w:r>
              <w:rPr>
                <w:rFonts w:ascii="Times New Roman" w:hAnsi="Times New Roman"/>
                <w:color w:val="auto"/>
                <w:szCs w:val="21"/>
              </w:rPr>
              <w:t>面源起点坐标</w:t>
            </w:r>
          </w:p>
        </w:tc>
        <w:tc>
          <w:tcPr>
            <w:tcW w:w="654" w:type="dxa"/>
            <w:vMerge w:val="restart"/>
            <w:tcBorders>
              <w:tl2br w:val="nil"/>
              <w:tr2bl w:val="nil"/>
            </w:tcBorders>
            <w:vAlign w:val="center"/>
          </w:tcPr>
          <w:p w14:paraId="2D7D395F">
            <w:pPr>
              <w:pStyle w:val="56"/>
              <w:rPr>
                <w:rFonts w:ascii="Times New Roman" w:hAnsi="Times New Roman"/>
                <w:color w:val="auto"/>
                <w:szCs w:val="21"/>
              </w:rPr>
            </w:pPr>
            <w:r>
              <w:rPr>
                <w:rFonts w:ascii="Times New Roman" w:hAnsi="Times New Roman"/>
                <w:color w:val="auto"/>
                <w:szCs w:val="21"/>
              </w:rPr>
              <w:t>面源</w:t>
            </w:r>
            <w:r>
              <w:rPr>
                <w:rFonts w:hint="eastAsia" w:ascii="Times New Roman" w:hAnsi="Times New Roman"/>
                <w:color w:val="auto"/>
                <w:szCs w:val="21"/>
                <w:lang w:eastAsia="zh-CN"/>
              </w:rPr>
              <w:t>海拔</w:t>
            </w:r>
            <w:r>
              <w:rPr>
                <w:rFonts w:ascii="Times New Roman" w:hAnsi="Times New Roman"/>
                <w:color w:val="auto"/>
                <w:szCs w:val="21"/>
              </w:rPr>
              <w:t>（m）</w:t>
            </w:r>
          </w:p>
        </w:tc>
        <w:tc>
          <w:tcPr>
            <w:tcW w:w="614" w:type="dxa"/>
            <w:vMerge w:val="restart"/>
            <w:tcBorders>
              <w:tl2br w:val="nil"/>
              <w:tr2bl w:val="nil"/>
            </w:tcBorders>
            <w:vAlign w:val="center"/>
          </w:tcPr>
          <w:p w14:paraId="20F06546">
            <w:pPr>
              <w:pStyle w:val="56"/>
              <w:rPr>
                <w:rFonts w:ascii="Times New Roman" w:hAnsi="Times New Roman"/>
                <w:color w:val="auto"/>
                <w:szCs w:val="21"/>
              </w:rPr>
            </w:pPr>
            <w:r>
              <w:rPr>
                <w:rFonts w:ascii="Times New Roman" w:hAnsi="Times New Roman"/>
                <w:color w:val="auto"/>
                <w:szCs w:val="21"/>
              </w:rPr>
              <w:t>面源长度</w:t>
            </w:r>
            <w:r>
              <w:rPr>
                <w:rFonts w:ascii="Times New Roman" w:hAnsi="Times New Roman"/>
                <w:color w:val="auto"/>
                <w:szCs w:val="21"/>
                <w:lang w:val="en-US"/>
              </w:rPr>
              <w:t>（m）</w:t>
            </w:r>
          </w:p>
        </w:tc>
        <w:tc>
          <w:tcPr>
            <w:tcW w:w="641" w:type="dxa"/>
            <w:vMerge w:val="restart"/>
            <w:tcBorders>
              <w:tl2br w:val="nil"/>
              <w:tr2bl w:val="nil"/>
            </w:tcBorders>
            <w:vAlign w:val="center"/>
          </w:tcPr>
          <w:p w14:paraId="028B00BE">
            <w:pPr>
              <w:pStyle w:val="56"/>
              <w:rPr>
                <w:rFonts w:ascii="Times New Roman" w:hAnsi="Times New Roman"/>
                <w:color w:val="auto"/>
                <w:szCs w:val="21"/>
              </w:rPr>
            </w:pPr>
            <w:r>
              <w:rPr>
                <w:rFonts w:ascii="Times New Roman" w:hAnsi="Times New Roman"/>
                <w:color w:val="auto"/>
                <w:szCs w:val="21"/>
              </w:rPr>
              <w:t>面源宽度</w:t>
            </w:r>
            <w:r>
              <w:rPr>
                <w:rFonts w:ascii="Times New Roman" w:hAnsi="Times New Roman"/>
                <w:color w:val="auto"/>
                <w:szCs w:val="21"/>
                <w:lang w:val="en-US"/>
              </w:rPr>
              <w:t>（m）</w:t>
            </w:r>
          </w:p>
        </w:tc>
        <w:tc>
          <w:tcPr>
            <w:tcW w:w="818" w:type="dxa"/>
            <w:vMerge w:val="restart"/>
            <w:tcBorders>
              <w:tl2br w:val="nil"/>
              <w:tr2bl w:val="nil"/>
            </w:tcBorders>
            <w:vAlign w:val="center"/>
          </w:tcPr>
          <w:p w14:paraId="517613EC">
            <w:pPr>
              <w:pStyle w:val="56"/>
              <w:rPr>
                <w:rFonts w:ascii="Times New Roman" w:hAnsi="Times New Roman"/>
                <w:color w:val="auto"/>
                <w:szCs w:val="21"/>
                <w:lang w:val="en-US"/>
              </w:rPr>
            </w:pPr>
            <w:r>
              <w:rPr>
                <w:rFonts w:ascii="Times New Roman" w:hAnsi="Times New Roman"/>
                <w:color w:val="auto"/>
                <w:szCs w:val="21"/>
              </w:rPr>
              <w:t>与正北向夹角（</w:t>
            </w:r>
            <w:r>
              <w:rPr>
                <w:rFonts w:ascii="Times New Roman" w:hAnsi="Times New Roman"/>
                <w:color w:val="auto"/>
                <w:szCs w:val="21"/>
                <w:lang w:val="en-US"/>
              </w:rPr>
              <w:t>°</w:t>
            </w:r>
            <w:r>
              <w:rPr>
                <w:rFonts w:ascii="Times New Roman" w:hAnsi="Times New Roman"/>
                <w:color w:val="auto"/>
                <w:szCs w:val="21"/>
              </w:rPr>
              <w:t>）</w:t>
            </w:r>
          </w:p>
        </w:tc>
        <w:tc>
          <w:tcPr>
            <w:tcW w:w="682" w:type="dxa"/>
            <w:vMerge w:val="restart"/>
            <w:tcBorders>
              <w:tl2br w:val="nil"/>
              <w:tr2bl w:val="nil"/>
            </w:tcBorders>
            <w:vAlign w:val="center"/>
          </w:tcPr>
          <w:p w14:paraId="08F75A07">
            <w:pPr>
              <w:pStyle w:val="56"/>
              <w:rPr>
                <w:rFonts w:ascii="Times New Roman" w:hAnsi="Times New Roman"/>
                <w:color w:val="auto"/>
                <w:szCs w:val="21"/>
                <w:lang w:val="en-US"/>
              </w:rPr>
            </w:pPr>
            <w:r>
              <w:rPr>
                <w:rFonts w:ascii="Times New Roman" w:hAnsi="Times New Roman"/>
                <w:color w:val="auto"/>
                <w:szCs w:val="21"/>
              </w:rPr>
              <w:t>面源有效排放高度</w:t>
            </w:r>
            <w:r>
              <w:rPr>
                <w:rFonts w:ascii="Times New Roman" w:hAnsi="Times New Roman"/>
                <w:color w:val="auto"/>
                <w:szCs w:val="21"/>
                <w:lang w:val="en-US"/>
              </w:rPr>
              <w:t>（m）</w:t>
            </w:r>
          </w:p>
        </w:tc>
        <w:tc>
          <w:tcPr>
            <w:tcW w:w="668" w:type="dxa"/>
            <w:vMerge w:val="restart"/>
            <w:tcBorders>
              <w:tl2br w:val="nil"/>
              <w:tr2bl w:val="nil"/>
            </w:tcBorders>
            <w:vAlign w:val="center"/>
          </w:tcPr>
          <w:p w14:paraId="021D5C20">
            <w:pPr>
              <w:pStyle w:val="56"/>
              <w:rPr>
                <w:rFonts w:ascii="Times New Roman" w:hAnsi="Times New Roman"/>
                <w:color w:val="auto"/>
                <w:szCs w:val="21"/>
              </w:rPr>
            </w:pPr>
            <w:r>
              <w:rPr>
                <w:rFonts w:ascii="Times New Roman" w:hAnsi="Times New Roman"/>
                <w:color w:val="auto"/>
                <w:szCs w:val="21"/>
              </w:rPr>
              <w:t>年排放小时数（</w:t>
            </w:r>
            <w:r>
              <w:rPr>
                <w:rFonts w:ascii="Times New Roman" w:hAnsi="Times New Roman"/>
                <w:color w:val="auto"/>
                <w:szCs w:val="21"/>
                <w:lang w:val="en-US"/>
              </w:rPr>
              <w:t>h</w:t>
            </w:r>
            <w:r>
              <w:rPr>
                <w:rFonts w:ascii="Times New Roman" w:hAnsi="Times New Roman"/>
                <w:color w:val="auto"/>
                <w:szCs w:val="21"/>
              </w:rPr>
              <w:t>）</w:t>
            </w:r>
          </w:p>
        </w:tc>
        <w:tc>
          <w:tcPr>
            <w:tcW w:w="559" w:type="dxa"/>
            <w:vMerge w:val="restart"/>
            <w:tcBorders>
              <w:tl2br w:val="nil"/>
              <w:tr2bl w:val="nil"/>
            </w:tcBorders>
            <w:vAlign w:val="center"/>
          </w:tcPr>
          <w:p w14:paraId="54A57558">
            <w:pPr>
              <w:pStyle w:val="56"/>
              <w:rPr>
                <w:rFonts w:ascii="Times New Roman" w:hAnsi="Times New Roman"/>
                <w:color w:val="auto"/>
                <w:szCs w:val="21"/>
              </w:rPr>
            </w:pPr>
            <w:r>
              <w:rPr>
                <w:rFonts w:ascii="Times New Roman" w:hAnsi="Times New Roman"/>
                <w:color w:val="auto"/>
                <w:szCs w:val="21"/>
              </w:rPr>
              <w:t>排放工况</w:t>
            </w:r>
          </w:p>
        </w:tc>
        <w:tc>
          <w:tcPr>
            <w:tcW w:w="1303" w:type="dxa"/>
            <w:gridSpan w:val="2"/>
            <w:tcBorders>
              <w:tl2br w:val="nil"/>
              <w:tr2bl w:val="nil"/>
            </w:tcBorders>
            <w:vAlign w:val="center"/>
          </w:tcPr>
          <w:p w14:paraId="62C338A6">
            <w:pPr>
              <w:pStyle w:val="56"/>
              <w:rPr>
                <w:rFonts w:ascii="Times New Roman" w:hAnsi="Times New Roman"/>
                <w:color w:val="auto"/>
                <w:szCs w:val="21"/>
              </w:rPr>
            </w:pPr>
            <w:r>
              <w:rPr>
                <w:rFonts w:ascii="Times New Roman" w:hAnsi="Times New Roman"/>
                <w:color w:val="auto"/>
                <w:szCs w:val="21"/>
              </w:rPr>
              <w:t>污染物排放速率/(kg/h)</w:t>
            </w:r>
          </w:p>
        </w:tc>
      </w:tr>
      <w:tr w14:paraId="20C6DC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328" w:type="dxa"/>
            <w:vMerge w:val="continue"/>
            <w:tcBorders>
              <w:tl2br w:val="nil"/>
              <w:tr2bl w:val="nil"/>
            </w:tcBorders>
            <w:vAlign w:val="center"/>
          </w:tcPr>
          <w:p w14:paraId="0A11FDCE">
            <w:pPr>
              <w:pStyle w:val="56"/>
              <w:rPr>
                <w:rFonts w:ascii="Times New Roman" w:hAnsi="Times New Roman"/>
                <w:color w:val="auto"/>
                <w:szCs w:val="21"/>
              </w:rPr>
            </w:pPr>
          </w:p>
        </w:tc>
        <w:tc>
          <w:tcPr>
            <w:tcW w:w="557" w:type="dxa"/>
            <w:vMerge w:val="continue"/>
            <w:tcBorders>
              <w:tl2br w:val="nil"/>
              <w:tr2bl w:val="nil"/>
            </w:tcBorders>
            <w:vAlign w:val="center"/>
          </w:tcPr>
          <w:p w14:paraId="4E9144CB">
            <w:pPr>
              <w:pStyle w:val="56"/>
              <w:rPr>
                <w:rFonts w:ascii="Times New Roman" w:hAnsi="Times New Roman"/>
                <w:color w:val="auto"/>
                <w:szCs w:val="21"/>
              </w:rPr>
            </w:pPr>
          </w:p>
        </w:tc>
        <w:tc>
          <w:tcPr>
            <w:tcW w:w="1010" w:type="dxa"/>
            <w:tcBorders>
              <w:tl2br w:val="nil"/>
              <w:tr2bl w:val="nil"/>
            </w:tcBorders>
            <w:vAlign w:val="center"/>
          </w:tcPr>
          <w:p w14:paraId="13F71C3B">
            <w:pPr>
              <w:pStyle w:val="56"/>
              <w:rPr>
                <w:rFonts w:ascii="Times New Roman" w:hAnsi="Times New Roman"/>
                <w:color w:val="auto"/>
                <w:szCs w:val="21"/>
              </w:rPr>
            </w:pPr>
            <w:r>
              <w:rPr>
                <w:rFonts w:ascii="Times New Roman" w:hAnsi="Times New Roman"/>
                <w:color w:val="auto"/>
                <w:szCs w:val="21"/>
              </w:rPr>
              <w:t>经度</w:t>
            </w:r>
          </w:p>
        </w:tc>
        <w:tc>
          <w:tcPr>
            <w:tcW w:w="1010" w:type="dxa"/>
            <w:tcBorders>
              <w:tl2br w:val="nil"/>
              <w:tr2bl w:val="nil"/>
            </w:tcBorders>
            <w:vAlign w:val="center"/>
          </w:tcPr>
          <w:p w14:paraId="0BDD3159">
            <w:pPr>
              <w:pStyle w:val="56"/>
              <w:rPr>
                <w:rFonts w:ascii="Times New Roman" w:hAnsi="Times New Roman"/>
                <w:color w:val="auto"/>
                <w:szCs w:val="21"/>
              </w:rPr>
            </w:pPr>
            <w:r>
              <w:rPr>
                <w:rFonts w:ascii="Times New Roman" w:hAnsi="Times New Roman"/>
                <w:color w:val="auto"/>
                <w:szCs w:val="21"/>
              </w:rPr>
              <w:t>纬度</w:t>
            </w:r>
          </w:p>
        </w:tc>
        <w:tc>
          <w:tcPr>
            <w:tcW w:w="654" w:type="dxa"/>
            <w:vMerge w:val="continue"/>
            <w:tcBorders>
              <w:tl2br w:val="nil"/>
              <w:tr2bl w:val="nil"/>
            </w:tcBorders>
            <w:vAlign w:val="center"/>
          </w:tcPr>
          <w:p w14:paraId="714D5BDB">
            <w:pPr>
              <w:pStyle w:val="56"/>
              <w:rPr>
                <w:rFonts w:ascii="Times New Roman" w:hAnsi="Times New Roman"/>
                <w:color w:val="auto"/>
                <w:szCs w:val="21"/>
              </w:rPr>
            </w:pPr>
          </w:p>
        </w:tc>
        <w:tc>
          <w:tcPr>
            <w:tcW w:w="614" w:type="dxa"/>
            <w:vMerge w:val="continue"/>
            <w:tcBorders>
              <w:tl2br w:val="nil"/>
              <w:tr2bl w:val="nil"/>
            </w:tcBorders>
            <w:vAlign w:val="center"/>
          </w:tcPr>
          <w:p w14:paraId="63DE0ED7">
            <w:pPr>
              <w:pStyle w:val="56"/>
              <w:rPr>
                <w:rFonts w:ascii="Times New Roman" w:hAnsi="Times New Roman"/>
                <w:color w:val="auto"/>
                <w:szCs w:val="21"/>
              </w:rPr>
            </w:pPr>
          </w:p>
        </w:tc>
        <w:tc>
          <w:tcPr>
            <w:tcW w:w="641" w:type="dxa"/>
            <w:vMerge w:val="continue"/>
            <w:tcBorders>
              <w:tl2br w:val="nil"/>
              <w:tr2bl w:val="nil"/>
            </w:tcBorders>
            <w:vAlign w:val="center"/>
          </w:tcPr>
          <w:p w14:paraId="587713B2">
            <w:pPr>
              <w:pStyle w:val="56"/>
              <w:rPr>
                <w:rFonts w:ascii="Times New Roman" w:hAnsi="Times New Roman"/>
                <w:color w:val="auto"/>
                <w:szCs w:val="21"/>
              </w:rPr>
            </w:pPr>
          </w:p>
        </w:tc>
        <w:tc>
          <w:tcPr>
            <w:tcW w:w="818" w:type="dxa"/>
            <w:vMerge w:val="continue"/>
            <w:tcBorders>
              <w:tl2br w:val="nil"/>
              <w:tr2bl w:val="nil"/>
            </w:tcBorders>
            <w:vAlign w:val="center"/>
          </w:tcPr>
          <w:p w14:paraId="0149E49F">
            <w:pPr>
              <w:pStyle w:val="56"/>
              <w:rPr>
                <w:rFonts w:ascii="Times New Roman" w:hAnsi="Times New Roman"/>
                <w:color w:val="auto"/>
                <w:szCs w:val="21"/>
              </w:rPr>
            </w:pPr>
          </w:p>
        </w:tc>
        <w:tc>
          <w:tcPr>
            <w:tcW w:w="682" w:type="dxa"/>
            <w:vMerge w:val="continue"/>
            <w:tcBorders>
              <w:tl2br w:val="nil"/>
              <w:tr2bl w:val="nil"/>
            </w:tcBorders>
            <w:vAlign w:val="center"/>
          </w:tcPr>
          <w:p w14:paraId="30E9F83A">
            <w:pPr>
              <w:pStyle w:val="56"/>
              <w:rPr>
                <w:rFonts w:ascii="Times New Roman" w:hAnsi="Times New Roman"/>
                <w:color w:val="auto"/>
                <w:szCs w:val="21"/>
              </w:rPr>
            </w:pPr>
          </w:p>
        </w:tc>
        <w:tc>
          <w:tcPr>
            <w:tcW w:w="668" w:type="dxa"/>
            <w:vMerge w:val="continue"/>
            <w:tcBorders>
              <w:tl2br w:val="nil"/>
              <w:tr2bl w:val="nil"/>
            </w:tcBorders>
            <w:vAlign w:val="center"/>
          </w:tcPr>
          <w:p w14:paraId="40F6664E">
            <w:pPr>
              <w:pStyle w:val="56"/>
              <w:rPr>
                <w:rFonts w:ascii="Times New Roman" w:hAnsi="Times New Roman"/>
                <w:color w:val="auto"/>
                <w:szCs w:val="21"/>
              </w:rPr>
            </w:pPr>
          </w:p>
        </w:tc>
        <w:tc>
          <w:tcPr>
            <w:tcW w:w="559" w:type="dxa"/>
            <w:vMerge w:val="continue"/>
            <w:tcBorders>
              <w:tl2br w:val="nil"/>
              <w:tr2bl w:val="nil"/>
            </w:tcBorders>
            <w:vAlign w:val="center"/>
          </w:tcPr>
          <w:p w14:paraId="7509360C">
            <w:pPr>
              <w:pStyle w:val="56"/>
              <w:rPr>
                <w:rFonts w:ascii="Times New Roman" w:hAnsi="Times New Roman"/>
                <w:color w:val="auto"/>
                <w:szCs w:val="21"/>
              </w:rPr>
            </w:pPr>
          </w:p>
        </w:tc>
        <w:tc>
          <w:tcPr>
            <w:tcW w:w="668" w:type="dxa"/>
            <w:tcBorders>
              <w:tl2br w:val="nil"/>
              <w:tr2bl w:val="nil"/>
            </w:tcBorders>
            <w:vAlign w:val="center"/>
          </w:tcPr>
          <w:p w14:paraId="4776C149">
            <w:pPr>
              <w:pStyle w:val="56"/>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635" w:type="dxa"/>
            <w:tcBorders>
              <w:tl2br w:val="nil"/>
              <w:tr2bl w:val="nil"/>
            </w:tcBorders>
            <w:vAlign w:val="center"/>
          </w:tcPr>
          <w:p w14:paraId="7E552ACA">
            <w:pPr>
              <w:pStyle w:val="56"/>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r>
      <w:tr w14:paraId="23E870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28" w:type="dxa"/>
            <w:tcBorders>
              <w:tl2br w:val="nil"/>
              <w:tr2bl w:val="nil"/>
            </w:tcBorders>
            <w:vAlign w:val="center"/>
          </w:tcPr>
          <w:p w14:paraId="223A97F1">
            <w:pPr>
              <w:pStyle w:val="56"/>
              <w:rPr>
                <w:rFonts w:ascii="Times New Roman" w:hAnsi="Times New Roman"/>
                <w:color w:val="auto"/>
                <w:szCs w:val="21"/>
              </w:rPr>
            </w:pPr>
            <w:r>
              <w:rPr>
                <w:rFonts w:ascii="Times New Roman" w:hAnsi="Times New Roman"/>
                <w:color w:val="auto"/>
                <w:szCs w:val="21"/>
                <w:lang w:val="en-US"/>
              </w:rPr>
              <w:t>1</w:t>
            </w:r>
          </w:p>
        </w:tc>
        <w:tc>
          <w:tcPr>
            <w:tcW w:w="557" w:type="dxa"/>
            <w:tcBorders>
              <w:tl2br w:val="nil"/>
              <w:tr2bl w:val="nil"/>
            </w:tcBorders>
            <w:vAlign w:val="center"/>
          </w:tcPr>
          <w:p w14:paraId="3D33F3F3">
            <w:pPr>
              <w:pStyle w:val="56"/>
              <w:rPr>
                <w:rFonts w:ascii="Times New Roman" w:hAnsi="Times New Roman"/>
                <w:color w:val="auto"/>
                <w:szCs w:val="21"/>
              </w:rPr>
            </w:pPr>
            <w:r>
              <w:rPr>
                <w:rFonts w:hint="eastAsia" w:ascii="Times New Roman" w:hAnsi="Times New Roman"/>
                <w:color w:val="auto"/>
                <w:szCs w:val="21"/>
                <w:lang w:val="en-US" w:eastAsia="zh-CN"/>
              </w:rPr>
              <w:t>6连</w:t>
            </w:r>
            <w:r>
              <w:rPr>
                <w:rFonts w:ascii="Times New Roman" w:hAnsi="Times New Roman"/>
                <w:color w:val="auto"/>
                <w:szCs w:val="21"/>
                <w:lang w:val="en-US"/>
              </w:rPr>
              <w:t>圈舍</w:t>
            </w:r>
          </w:p>
        </w:tc>
        <w:tc>
          <w:tcPr>
            <w:tcW w:w="1010" w:type="dxa"/>
            <w:tcBorders>
              <w:tl2br w:val="nil"/>
              <w:tr2bl w:val="nil"/>
            </w:tcBorders>
            <w:vAlign w:val="center"/>
          </w:tcPr>
          <w:p w14:paraId="24A954E7">
            <w:pPr>
              <w:pStyle w:val="56"/>
              <w:ind w:firstLine="0" w:firstLineChars="0"/>
              <w:rPr>
                <w:rFonts w:hint="eastAsia" w:ascii="Times New Roman" w:hAnsi="Times New Roman"/>
                <w:color w:val="auto"/>
                <w:szCs w:val="21"/>
                <w:lang w:val="en-US" w:eastAsia="zh-CN"/>
              </w:rPr>
            </w:pPr>
            <w:r>
              <w:rPr>
                <w:rFonts w:ascii="Times New Roman" w:hAnsi="Times New Roman" w:eastAsia="宋体" w:cs="Times New Roman"/>
                <w:color w:val="auto"/>
                <w:szCs w:val="21"/>
              </w:rPr>
              <w:t>80.536935</w:t>
            </w:r>
          </w:p>
        </w:tc>
        <w:tc>
          <w:tcPr>
            <w:tcW w:w="1010" w:type="dxa"/>
            <w:tcBorders>
              <w:tl2br w:val="nil"/>
              <w:tr2bl w:val="nil"/>
            </w:tcBorders>
            <w:vAlign w:val="center"/>
          </w:tcPr>
          <w:p w14:paraId="1EB3915B">
            <w:pPr>
              <w:pStyle w:val="56"/>
              <w:ind w:firstLine="0" w:firstLineChars="0"/>
              <w:rPr>
                <w:rFonts w:hint="eastAsia" w:ascii="Times New Roman" w:hAnsi="Times New Roman"/>
                <w:color w:val="auto"/>
                <w:szCs w:val="21"/>
                <w:lang w:val="en-US" w:eastAsia="zh-CN"/>
              </w:rPr>
            </w:pPr>
            <w:r>
              <w:rPr>
                <w:rFonts w:ascii="Times New Roman" w:hAnsi="Times New Roman" w:eastAsia="宋体" w:cs="Times New Roman"/>
                <w:color w:val="auto"/>
                <w:szCs w:val="21"/>
              </w:rPr>
              <w:t>43.919458</w:t>
            </w:r>
          </w:p>
        </w:tc>
        <w:tc>
          <w:tcPr>
            <w:tcW w:w="654" w:type="dxa"/>
            <w:tcBorders>
              <w:tl2br w:val="nil"/>
              <w:tr2bl w:val="nil"/>
            </w:tcBorders>
            <w:vAlign w:val="center"/>
          </w:tcPr>
          <w:p w14:paraId="40EF9BBC">
            <w:pPr>
              <w:pStyle w:val="56"/>
              <w:ind w:firstLine="0" w:firstLineChars="0"/>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Cs w:val="21"/>
              </w:rPr>
              <w:t>564.00</w:t>
            </w:r>
          </w:p>
        </w:tc>
        <w:tc>
          <w:tcPr>
            <w:tcW w:w="614" w:type="dxa"/>
            <w:tcBorders>
              <w:tl2br w:val="nil"/>
              <w:tr2bl w:val="nil"/>
            </w:tcBorders>
            <w:vAlign w:val="center"/>
          </w:tcPr>
          <w:p w14:paraId="167C7A39">
            <w:pPr>
              <w:pStyle w:val="56"/>
              <w:ind w:firstLine="0" w:firstLineChars="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szCs w:val="21"/>
                <w:lang w:val="en-US" w:eastAsia="zh-CN"/>
              </w:rPr>
              <w:t>230</w:t>
            </w:r>
          </w:p>
        </w:tc>
        <w:tc>
          <w:tcPr>
            <w:tcW w:w="641" w:type="dxa"/>
            <w:tcBorders>
              <w:tl2br w:val="nil"/>
              <w:tr2bl w:val="nil"/>
            </w:tcBorders>
            <w:vAlign w:val="center"/>
          </w:tcPr>
          <w:p w14:paraId="6D3CA0AF">
            <w:pPr>
              <w:pStyle w:val="56"/>
              <w:ind w:firstLine="0" w:firstLineChars="0"/>
              <w:rPr>
                <w:rFonts w:hint="default" w:ascii="Times New Roman" w:hAnsi="Times New Roman" w:eastAsia="宋体"/>
                <w:color w:val="auto"/>
                <w:szCs w:val="21"/>
                <w:lang w:val="en-US" w:eastAsia="zh-CN"/>
              </w:rPr>
            </w:pPr>
            <w:r>
              <w:rPr>
                <w:rFonts w:ascii="Times New Roman" w:hAnsi="Times New Roman" w:eastAsia="宋体" w:cs="Times New Roman"/>
                <w:color w:val="auto"/>
                <w:szCs w:val="21"/>
              </w:rPr>
              <w:t>322.75</w:t>
            </w:r>
          </w:p>
        </w:tc>
        <w:tc>
          <w:tcPr>
            <w:tcW w:w="818" w:type="dxa"/>
            <w:tcBorders>
              <w:tl2br w:val="nil"/>
              <w:tr2bl w:val="nil"/>
            </w:tcBorders>
            <w:vAlign w:val="center"/>
          </w:tcPr>
          <w:p w14:paraId="332B9B9E">
            <w:pPr>
              <w:pStyle w:val="56"/>
              <w:ind w:firstLine="0" w:firstLineChars="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szCs w:val="21"/>
                <w:lang w:val="en-US" w:eastAsia="zh-CN"/>
              </w:rPr>
              <w:t>0</w:t>
            </w:r>
          </w:p>
        </w:tc>
        <w:tc>
          <w:tcPr>
            <w:tcW w:w="682" w:type="dxa"/>
            <w:tcBorders>
              <w:tl2br w:val="nil"/>
              <w:tr2bl w:val="nil"/>
            </w:tcBorders>
            <w:vAlign w:val="center"/>
          </w:tcPr>
          <w:p w14:paraId="14B849E8">
            <w:pPr>
              <w:pStyle w:val="56"/>
              <w:ind w:firstLine="0" w:firstLineChars="0"/>
              <w:rPr>
                <w:rFonts w:ascii="Times New Roman" w:hAnsi="Times New Roman"/>
                <w:color w:val="auto"/>
                <w:szCs w:val="21"/>
              </w:rPr>
            </w:pPr>
            <w:r>
              <w:rPr>
                <w:rFonts w:ascii="Times New Roman" w:hAnsi="Times New Roman"/>
                <w:color w:val="auto"/>
                <w:szCs w:val="21"/>
              </w:rPr>
              <w:t>10</w:t>
            </w:r>
          </w:p>
        </w:tc>
        <w:tc>
          <w:tcPr>
            <w:tcW w:w="668" w:type="dxa"/>
            <w:tcBorders>
              <w:tl2br w:val="nil"/>
              <w:tr2bl w:val="nil"/>
            </w:tcBorders>
            <w:vAlign w:val="center"/>
          </w:tcPr>
          <w:p w14:paraId="32D2CCAF">
            <w:pPr>
              <w:pStyle w:val="56"/>
              <w:ind w:firstLine="0" w:firstLineChars="0"/>
              <w:rPr>
                <w:rFonts w:ascii="Times New Roman" w:hAnsi="Times New Roman"/>
                <w:color w:val="auto"/>
                <w:szCs w:val="21"/>
              </w:rPr>
            </w:pPr>
            <w:r>
              <w:rPr>
                <w:rFonts w:ascii="Times New Roman" w:hAnsi="Times New Roman"/>
                <w:color w:val="auto"/>
                <w:szCs w:val="21"/>
              </w:rPr>
              <w:t>8760</w:t>
            </w:r>
          </w:p>
        </w:tc>
        <w:tc>
          <w:tcPr>
            <w:tcW w:w="559" w:type="dxa"/>
            <w:tcBorders>
              <w:tl2br w:val="nil"/>
              <w:tr2bl w:val="nil"/>
            </w:tcBorders>
            <w:vAlign w:val="center"/>
          </w:tcPr>
          <w:p w14:paraId="0B34B0C7">
            <w:pPr>
              <w:pStyle w:val="56"/>
              <w:ind w:firstLine="0" w:firstLineChars="0"/>
              <w:rPr>
                <w:rFonts w:ascii="Times New Roman" w:hAnsi="Times New Roman"/>
                <w:color w:val="auto"/>
                <w:szCs w:val="21"/>
              </w:rPr>
            </w:pPr>
            <w:r>
              <w:rPr>
                <w:rFonts w:ascii="Times New Roman" w:hAnsi="Times New Roman"/>
                <w:color w:val="auto"/>
                <w:szCs w:val="21"/>
              </w:rPr>
              <w:t>正常</w:t>
            </w:r>
          </w:p>
        </w:tc>
        <w:tc>
          <w:tcPr>
            <w:tcW w:w="668" w:type="dxa"/>
            <w:tcBorders>
              <w:tl2br w:val="nil"/>
              <w:tr2bl w:val="nil"/>
            </w:tcBorders>
            <w:vAlign w:val="center"/>
          </w:tcPr>
          <w:p w14:paraId="13EC9673">
            <w:pPr>
              <w:pStyle w:val="56"/>
              <w:ind w:firstLine="0" w:firstLineChars="0"/>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0.0</w:t>
            </w:r>
            <w:r>
              <w:rPr>
                <w:rFonts w:hint="eastAsia"/>
                <w:color w:val="auto"/>
                <w:szCs w:val="21"/>
                <w:lang w:val="en-US" w:eastAsia="zh-CN"/>
              </w:rPr>
              <w:t>45</w:t>
            </w:r>
          </w:p>
        </w:tc>
        <w:tc>
          <w:tcPr>
            <w:tcW w:w="635" w:type="dxa"/>
            <w:tcBorders>
              <w:tl2br w:val="nil"/>
              <w:tr2bl w:val="nil"/>
            </w:tcBorders>
            <w:vAlign w:val="center"/>
          </w:tcPr>
          <w:p w14:paraId="6E63E7C3">
            <w:pPr>
              <w:pStyle w:val="56"/>
              <w:ind w:firstLine="0" w:firstLineChars="0"/>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0.00</w:t>
            </w:r>
            <w:r>
              <w:rPr>
                <w:rFonts w:hint="eastAsia"/>
                <w:color w:val="auto"/>
                <w:szCs w:val="21"/>
                <w:lang w:val="en-US" w:eastAsia="zh-CN"/>
              </w:rPr>
              <w:t>45</w:t>
            </w:r>
          </w:p>
        </w:tc>
      </w:tr>
    </w:tbl>
    <w:p w14:paraId="3D5CB583">
      <w:pPr>
        <w:widowControl/>
        <w:spacing w:line="520" w:lineRule="exact"/>
        <w:ind w:firstLine="480"/>
        <w:jc w:val="left"/>
        <w:rPr>
          <w:rFonts w:ascii="Times New Roman" w:hAnsi="Times New Roman" w:eastAsia="宋体" w:cs="Times New Roman"/>
          <w:color w:val="auto"/>
          <w:kern w:val="0"/>
        </w:rPr>
      </w:pPr>
      <w:r>
        <w:rPr>
          <w:rFonts w:hint="eastAsia" w:ascii="Times New Roman" w:hAnsi="Times New Roman" w:eastAsia="宋体" w:cs="宋体"/>
          <w:color w:val="auto"/>
          <w:kern w:val="0"/>
        </w:rPr>
        <w:t>⑤</w:t>
      </w:r>
      <w:r>
        <w:rPr>
          <w:rFonts w:ascii="Times New Roman" w:hAnsi="Times New Roman" w:eastAsia="宋体" w:cs="Times New Roman"/>
          <w:color w:val="auto"/>
          <w:kern w:val="0"/>
        </w:rPr>
        <w:t>估算模式参数表</w:t>
      </w:r>
    </w:p>
    <w:p w14:paraId="5EB21DF3">
      <w:pPr>
        <w:ind w:firstLine="0" w:firstLineChars="0"/>
        <w:jc w:val="center"/>
        <w:rPr>
          <w:rFonts w:ascii="Times New Roman" w:hAnsi="Times New Roman" w:cs="Times New Roman"/>
          <w:b/>
          <w:bCs/>
          <w:color w:val="auto"/>
        </w:rPr>
      </w:pPr>
      <w:r>
        <w:rPr>
          <w:rFonts w:ascii="Times New Roman" w:hAnsi="Times New Roman" w:cs="Times New Roman"/>
          <w:b/>
          <w:bCs/>
          <w:color w:val="auto"/>
        </w:rPr>
        <w:t>表2.5-4    估算模型参数表</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2829"/>
        <w:gridCol w:w="3985"/>
      </w:tblGrid>
      <w:tr w14:paraId="23C8C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5AC0F3A6">
            <w:pPr>
              <w:pStyle w:val="56"/>
              <w:rPr>
                <w:rFonts w:ascii="Times New Roman" w:hAnsi="Times New Roman"/>
                <w:color w:val="auto"/>
                <w:szCs w:val="21"/>
              </w:rPr>
            </w:pPr>
            <w:r>
              <w:rPr>
                <w:rFonts w:ascii="Times New Roman" w:hAnsi="Times New Roman"/>
                <w:color w:val="auto"/>
                <w:szCs w:val="21"/>
              </w:rPr>
              <w:t>参数</w:t>
            </w:r>
          </w:p>
        </w:tc>
        <w:tc>
          <w:tcPr>
            <w:tcW w:w="3985" w:type="dxa"/>
            <w:tcBorders>
              <w:tl2br w:val="nil"/>
              <w:tr2bl w:val="nil"/>
            </w:tcBorders>
            <w:vAlign w:val="center"/>
          </w:tcPr>
          <w:p w14:paraId="7D148CC0">
            <w:pPr>
              <w:pStyle w:val="56"/>
              <w:rPr>
                <w:rFonts w:ascii="Times New Roman" w:hAnsi="Times New Roman"/>
                <w:color w:val="auto"/>
                <w:szCs w:val="21"/>
              </w:rPr>
            </w:pPr>
            <w:r>
              <w:rPr>
                <w:rFonts w:ascii="Times New Roman" w:hAnsi="Times New Roman"/>
                <w:color w:val="auto"/>
                <w:szCs w:val="21"/>
              </w:rPr>
              <w:t>取值</w:t>
            </w:r>
          </w:p>
        </w:tc>
      </w:tr>
      <w:tr w14:paraId="08684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06CDC063">
            <w:pPr>
              <w:pStyle w:val="56"/>
              <w:rPr>
                <w:rFonts w:ascii="Times New Roman" w:hAnsi="Times New Roman"/>
                <w:color w:val="auto"/>
                <w:szCs w:val="21"/>
              </w:rPr>
            </w:pPr>
            <w:r>
              <w:rPr>
                <w:rFonts w:ascii="Times New Roman" w:hAnsi="Times New Roman"/>
                <w:color w:val="auto"/>
                <w:szCs w:val="21"/>
              </w:rPr>
              <w:t>城市/农村选项</w:t>
            </w:r>
          </w:p>
        </w:tc>
        <w:tc>
          <w:tcPr>
            <w:tcW w:w="2829" w:type="dxa"/>
            <w:tcBorders>
              <w:tl2br w:val="nil"/>
              <w:tr2bl w:val="nil"/>
            </w:tcBorders>
            <w:vAlign w:val="center"/>
          </w:tcPr>
          <w:p w14:paraId="01F7E0F1">
            <w:pPr>
              <w:pStyle w:val="56"/>
              <w:rPr>
                <w:rFonts w:ascii="Times New Roman" w:hAnsi="Times New Roman"/>
                <w:color w:val="auto"/>
                <w:szCs w:val="21"/>
              </w:rPr>
            </w:pPr>
            <w:r>
              <w:rPr>
                <w:rFonts w:ascii="Times New Roman" w:hAnsi="Times New Roman"/>
                <w:color w:val="auto"/>
                <w:szCs w:val="21"/>
              </w:rPr>
              <w:t>城市/农村</w:t>
            </w:r>
          </w:p>
        </w:tc>
        <w:tc>
          <w:tcPr>
            <w:tcW w:w="3985" w:type="dxa"/>
            <w:tcBorders>
              <w:tl2br w:val="nil"/>
              <w:tr2bl w:val="nil"/>
            </w:tcBorders>
            <w:vAlign w:val="center"/>
          </w:tcPr>
          <w:p w14:paraId="58A393DD">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农村</w:t>
            </w:r>
          </w:p>
        </w:tc>
      </w:tr>
      <w:tr w14:paraId="76866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3AE98491">
            <w:pPr>
              <w:pStyle w:val="56"/>
              <w:rPr>
                <w:rFonts w:ascii="Times New Roman" w:hAnsi="Times New Roman"/>
                <w:color w:val="auto"/>
                <w:szCs w:val="21"/>
              </w:rPr>
            </w:pPr>
          </w:p>
        </w:tc>
        <w:tc>
          <w:tcPr>
            <w:tcW w:w="2829" w:type="dxa"/>
            <w:tcBorders>
              <w:tl2br w:val="nil"/>
              <w:tr2bl w:val="nil"/>
            </w:tcBorders>
            <w:vAlign w:val="center"/>
          </w:tcPr>
          <w:p w14:paraId="435E1E05">
            <w:pPr>
              <w:pStyle w:val="56"/>
              <w:rPr>
                <w:rFonts w:ascii="Times New Roman" w:hAnsi="Times New Roman"/>
                <w:color w:val="auto"/>
                <w:szCs w:val="21"/>
              </w:rPr>
            </w:pPr>
            <w:r>
              <w:rPr>
                <w:rFonts w:ascii="Times New Roman" w:hAnsi="Times New Roman"/>
                <w:color w:val="auto"/>
                <w:szCs w:val="21"/>
              </w:rPr>
              <w:t>人口数</w:t>
            </w:r>
            <w:r>
              <w:rPr>
                <w:rFonts w:hint="eastAsia"/>
                <w:color w:val="auto"/>
                <w:szCs w:val="21"/>
                <w:lang w:eastAsia="zh-CN"/>
              </w:rPr>
              <w:t>（</w:t>
            </w:r>
            <w:r>
              <w:rPr>
                <w:rFonts w:ascii="Times New Roman" w:hAnsi="Times New Roman"/>
                <w:color w:val="auto"/>
                <w:szCs w:val="21"/>
              </w:rPr>
              <w:t>城市人口数</w:t>
            </w:r>
            <w:r>
              <w:rPr>
                <w:rFonts w:hint="eastAsia"/>
                <w:color w:val="auto"/>
                <w:szCs w:val="21"/>
                <w:lang w:eastAsia="zh-CN"/>
              </w:rPr>
              <w:t>）</w:t>
            </w:r>
          </w:p>
        </w:tc>
        <w:tc>
          <w:tcPr>
            <w:tcW w:w="3985" w:type="dxa"/>
            <w:tcBorders>
              <w:tl2br w:val="nil"/>
              <w:tr2bl w:val="nil"/>
            </w:tcBorders>
            <w:vAlign w:val="center"/>
          </w:tcPr>
          <w:p w14:paraId="0242401B">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14:paraId="303E4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25E940FE">
            <w:pPr>
              <w:pStyle w:val="56"/>
              <w:rPr>
                <w:rFonts w:ascii="Times New Roman" w:hAnsi="Times New Roman"/>
                <w:color w:val="auto"/>
                <w:szCs w:val="21"/>
              </w:rPr>
            </w:pPr>
            <w:r>
              <w:rPr>
                <w:rFonts w:ascii="Times New Roman" w:hAnsi="Times New Roman"/>
                <w:color w:val="auto"/>
                <w:szCs w:val="21"/>
              </w:rPr>
              <w:t>最高环境温度</w:t>
            </w:r>
          </w:p>
        </w:tc>
        <w:tc>
          <w:tcPr>
            <w:tcW w:w="3985" w:type="dxa"/>
            <w:tcBorders>
              <w:tl2br w:val="nil"/>
              <w:tr2bl w:val="nil"/>
            </w:tcBorders>
            <w:vAlign w:val="center"/>
          </w:tcPr>
          <w:p w14:paraId="6E026A5B">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39.2</w:t>
            </w:r>
          </w:p>
        </w:tc>
      </w:tr>
      <w:tr w14:paraId="45364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39E95E30">
            <w:pPr>
              <w:pStyle w:val="56"/>
              <w:rPr>
                <w:rFonts w:ascii="Times New Roman" w:hAnsi="Times New Roman"/>
                <w:color w:val="auto"/>
                <w:szCs w:val="21"/>
              </w:rPr>
            </w:pPr>
            <w:r>
              <w:rPr>
                <w:rFonts w:ascii="Times New Roman" w:hAnsi="Times New Roman"/>
                <w:color w:val="auto"/>
                <w:szCs w:val="21"/>
              </w:rPr>
              <w:t>最低环境温度</w:t>
            </w:r>
          </w:p>
        </w:tc>
        <w:tc>
          <w:tcPr>
            <w:tcW w:w="3985" w:type="dxa"/>
            <w:tcBorders>
              <w:tl2br w:val="nil"/>
              <w:tr2bl w:val="nil"/>
            </w:tcBorders>
            <w:vAlign w:val="center"/>
          </w:tcPr>
          <w:p w14:paraId="17BAD72D">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-40.4</w:t>
            </w:r>
          </w:p>
        </w:tc>
      </w:tr>
      <w:tr w14:paraId="05ABA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68E4724D">
            <w:pPr>
              <w:pStyle w:val="56"/>
              <w:rPr>
                <w:rFonts w:ascii="Times New Roman" w:hAnsi="Times New Roman"/>
                <w:color w:val="auto"/>
                <w:szCs w:val="21"/>
              </w:rPr>
            </w:pPr>
            <w:r>
              <w:rPr>
                <w:rFonts w:ascii="Times New Roman" w:hAnsi="Times New Roman"/>
                <w:color w:val="auto"/>
                <w:szCs w:val="21"/>
              </w:rPr>
              <w:t>土地利用类型</w:t>
            </w:r>
          </w:p>
        </w:tc>
        <w:tc>
          <w:tcPr>
            <w:tcW w:w="3985" w:type="dxa"/>
            <w:tcBorders>
              <w:tl2br w:val="nil"/>
              <w:tr2bl w:val="nil"/>
            </w:tcBorders>
            <w:vAlign w:val="center"/>
          </w:tcPr>
          <w:p w14:paraId="1F16E373">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荒漠</w:t>
            </w:r>
          </w:p>
        </w:tc>
      </w:tr>
      <w:tr w14:paraId="3FC84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2C3CAE3D">
            <w:pPr>
              <w:pStyle w:val="56"/>
              <w:rPr>
                <w:rFonts w:ascii="Times New Roman" w:hAnsi="Times New Roman"/>
                <w:color w:val="auto"/>
                <w:szCs w:val="21"/>
              </w:rPr>
            </w:pPr>
            <w:r>
              <w:rPr>
                <w:rFonts w:ascii="Times New Roman" w:hAnsi="Times New Roman"/>
                <w:color w:val="auto"/>
                <w:szCs w:val="21"/>
              </w:rPr>
              <w:t>区域湿度条件</w:t>
            </w:r>
          </w:p>
        </w:tc>
        <w:tc>
          <w:tcPr>
            <w:tcW w:w="3985" w:type="dxa"/>
            <w:tcBorders>
              <w:tl2br w:val="nil"/>
              <w:tr2bl w:val="nil"/>
            </w:tcBorders>
            <w:vAlign w:val="center"/>
          </w:tcPr>
          <w:p w14:paraId="544F5487">
            <w:pPr>
              <w:pStyle w:val="56"/>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中等湿度</w:t>
            </w:r>
          </w:p>
        </w:tc>
      </w:tr>
      <w:tr w14:paraId="085F4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4A171ACD">
            <w:pPr>
              <w:pStyle w:val="56"/>
              <w:rPr>
                <w:rFonts w:ascii="Times New Roman" w:hAnsi="Times New Roman"/>
                <w:color w:val="auto"/>
                <w:szCs w:val="21"/>
              </w:rPr>
            </w:pPr>
            <w:r>
              <w:rPr>
                <w:rFonts w:ascii="Times New Roman" w:hAnsi="Times New Roman"/>
                <w:color w:val="auto"/>
                <w:szCs w:val="21"/>
              </w:rPr>
              <w:t>是否考虑地形</w:t>
            </w:r>
          </w:p>
        </w:tc>
        <w:tc>
          <w:tcPr>
            <w:tcW w:w="2829" w:type="dxa"/>
            <w:tcBorders>
              <w:tl2br w:val="nil"/>
              <w:tr2bl w:val="nil"/>
            </w:tcBorders>
            <w:vAlign w:val="center"/>
          </w:tcPr>
          <w:p w14:paraId="350D631A">
            <w:pPr>
              <w:pStyle w:val="56"/>
              <w:rPr>
                <w:rFonts w:ascii="Times New Roman" w:hAnsi="Times New Roman"/>
                <w:color w:val="auto"/>
                <w:szCs w:val="21"/>
              </w:rPr>
            </w:pPr>
            <w:r>
              <w:rPr>
                <w:rFonts w:ascii="Times New Roman" w:hAnsi="Times New Roman"/>
                <w:color w:val="auto"/>
                <w:szCs w:val="21"/>
              </w:rPr>
              <w:t>考虑地形</w:t>
            </w:r>
          </w:p>
        </w:tc>
        <w:tc>
          <w:tcPr>
            <w:tcW w:w="3985" w:type="dxa"/>
            <w:tcBorders>
              <w:tl2br w:val="nil"/>
              <w:tr2bl w:val="nil"/>
            </w:tcBorders>
            <w:vAlign w:val="center"/>
          </w:tcPr>
          <w:p w14:paraId="585F8D63">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是</w:t>
            </w:r>
          </w:p>
        </w:tc>
      </w:tr>
      <w:tr w14:paraId="08E26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6199FDD8">
            <w:pPr>
              <w:pStyle w:val="56"/>
              <w:rPr>
                <w:rFonts w:ascii="Times New Roman" w:hAnsi="Times New Roman"/>
                <w:color w:val="auto"/>
                <w:szCs w:val="21"/>
              </w:rPr>
            </w:pPr>
          </w:p>
        </w:tc>
        <w:tc>
          <w:tcPr>
            <w:tcW w:w="2829" w:type="dxa"/>
            <w:tcBorders>
              <w:tl2br w:val="nil"/>
              <w:tr2bl w:val="nil"/>
            </w:tcBorders>
            <w:vAlign w:val="center"/>
          </w:tcPr>
          <w:p w14:paraId="38579AF3">
            <w:pPr>
              <w:pStyle w:val="56"/>
              <w:rPr>
                <w:rFonts w:ascii="Times New Roman" w:hAnsi="Times New Roman"/>
                <w:color w:val="auto"/>
                <w:szCs w:val="21"/>
              </w:rPr>
            </w:pPr>
            <w:r>
              <w:rPr>
                <w:rFonts w:ascii="Times New Roman" w:hAnsi="Times New Roman"/>
                <w:color w:val="auto"/>
                <w:szCs w:val="21"/>
              </w:rPr>
              <w:t>地形数据分辨率</w:t>
            </w:r>
            <w:r>
              <w:rPr>
                <w:rFonts w:hint="eastAsia"/>
                <w:color w:val="auto"/>
                <w:szCs w:val="21"/>
                <w:lang w:eastAsia="zh-CN"/>
              </w:rPr>
              <w:t>（</w:t>
            </w:r>
            <w:r>
              <w:rPr>
                <w:rFonts w:ascii="Times New Roman" w:hAnsi="Times New Roman"/>
                <w:color w:val="auto"/>
                <w:szCs w:val="21"/>
              </w:rPr>
              <w:t>m</w:t>
            </w:r>
            <w:r>
              <w:rPr>
                <w:rFonts w:hint="eastAsia"/>
                <w:color w:val="auto"/>
                <w:szCs w:val="21"/>
                <w:lang w:eastAsia="zh-CN"/>
              </w:rPr>
              <w:t>）</w:t>
            </w:r>
          </w:p>
        </w:tc>
        <w:tc>
          <w:tcPr>
            <w:tcW w:w="3985" w:type="dxa"/>
            <w:tcBorders>
              <w:tl2br w:val="nil"/>
              <w:tr2bl w:val="nil"/>
            </w:tcBorders>
            <w:vAlign w:val="center"/>
          </w:tcPr>
          <w:p w14:paraId="0F4979F0">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90</w:t>
            </w:r>
          </w:p>
        </w:tc>
      </w:tr>
      <w:tr w14:paraId="37628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70F00CC5">
            <w:pPr>
              <w:pStyle w:val="56"/>
              <w:rPr>
                <w:rFonts w:ascii="Times New Roman" w:hAnsi="Times New Roman"/>
                <w:color w:val="auto"/>
                <w:szCs w:val="21"/>
              </w:rPr>
            </w:pPr>
            <w:r>
              <w:rPr>
                <w:rFonts w:ascii="Times New Roman" w:hAnsi="Times New Roman"/>
                <w:color w:val="auto"/>
                <w:szCs w:val="21"/>
              </w:rPr>
              <w:t>是否考虑岸线熏烟</w:t>
            </w:r>
          </w:p>
        </w:tc>
        <w:tc>
          <w:tcPr>
            <w:tcW w:w="2829" w:type="dxa"/>
            <w:tcBorders>
              <w:tl2br w:val="nil"/>
              <w:tr2bl w:val="nil"/>
            </w:tcBorders>
            <w:vAlign w:val="center"/>
          </w:tcPr>
          <w:p w14:paraId="39732B78">
            <w:pPr>
              <w:pStyle w:val="56"/>
              <w:rPr>
                <w:rFonts w:ascii="Times New Roman" w:hAnsi="Times New Roman"/>
                <w:color w:val="auto"/>
                <w:szCs w:val="21"/>
              </w:rPr>
            </w:pPr>
            <w:r>
              <w:rPr>
                <w:rFonts w:ascii="Times New Roman" w:hAnsi="Times New Roman"/>
                <w:color w:val="auto"/>
                <w:szCs w:val="21"/>
              </w:rPr>
              <w:t>考虑岸线熏烟</w:t>
            </w:r>
          </w:p>
        </w:tc>
        <w:tc>
          <w:tcPr>
            <w:tcW w:w="3985" w:type="dxa"/>
            <w:tcBorders>
              <w:tl2br w:val="nil"/>
              <w:tr2bl w:val="nil"/>
            </w:tcBorders>
            <w:vAlign w:val="center"/>
          </w:tcPr>
          <w:p w14:paraId="5E15F42F">
            <w:pPr>
              <w:pStyle w:val="56"/>
              <w:rPr>
                <w:rFonts w:ascii="Times New Roman" w:hAnsi="Times New Roman"/>
                <w:color w:val="auto"/>
                <w:szCs w:val="21"/>
              </w:rPr>
            </w:pPr>
            <w:r>
              <w:rPr>
                <w:rFonts w:ascii="Times New Roman" w:hAnsi="Times New Roman"/>
                <w:color w:val="auto"/>
                <w:szCs w:val="21"/>
              </w:rPr>
              <w:t>否</w:t>
            </w:r>
          </w:p>
        </w:tc>
      </w:tr>
      <w:tr w14:paraId="62F36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64C6658E">
            <w:pPr>
              <w:pStyle w:val="56"/>
              <w:rPr>
                <w:rFonts w:ascii="Times New Roman" w:hAnsi="Times New Roman"/>
                <w:color w:val="auto"/>
                <w:szCs w:val="21"/>
              </w:rPr>
            </w:pPr>
          </w:p>
        </w:tc>
        <w:tc>
          <w:tcPr>
            <w:tcW w:w="2829" w:type="dxa"/>
            <w:tcBorders>
              <w:tl2br w:val="nil"/>
              <w:tr2bl w:val="nil"/>
            </w:tcBorders>
            <w:vAlign w:val="center"/>
          </w:tcPr>
          <w:p w14:paraId="0F4318F5">
            <w:pPr>
              <w:pStyle w:val="56"/>
              <w:rPr>
                <w:rFonts w:ascii="Times New Roman" w:hAnsi="Times New Roman"/>
                <w:color w:val="auto"/>
                <w:szCs w:val="21"/>
              </w:rPr>
            </w:pPr>
            <w:r>
              <w:rPr>
                <w:rFonts w:ascii="Times New Roman" w:hAnsi="Times New Roman"/>
                <w:color w:val="auto"/>
                <w:szCs w:val="21"/>
              </w:rPr>
              <w:t>岸线距离/m</w:t>
            </w:r>
          </w:p>
        </w:tc>
        <w:tc>
          <w:tcPr>
            <w:tcW w:w="3985" w:type="dxa"/>
            <w:tcBorders>
              <w:tl2br w:val="nil"/>
              <w:tr2bl w:val="nil"/>
            </w:tcBorders>
            <w:vAlign w:val="center"/>
          </w:tcPr>
          <w:p w14:paraId="42C3FFDB">
            <w:pPr>
              <w:pStyle w:val="56"/>
              <w:rPr>
                <w:rFonts w:ascii="Times New Roman" w:hAnsi="Times New Roman"/>
                <w:color w:val="auto"/>
                <w:szCs w:val="21"/>
              </w:rPr>
            </w:pPr>
            <w:r>
              <w:rPr>
                <w:rFonts w:ascii="Times New Roman" w:hAnsi="Times New Roman"/>
                <w:color w:val="auto"/>
                <w:szCs w:val="21"/>
              </w:rPr>
              <w:t>/</w:t>
            </w:r>
          </w:p>
        </w:tc>
      </w:tr>
      <w:tr w14:paraId="7FC1E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42870A6F">
            <w:pPr>
              <w:pStyle w:val="56"/>
              <w:rPr>
                <w:rFonts w:ascii="Times New Roman" w:hAnsi="Times New Roman"/>
                <w:color w:val="auto"/>
                <w:szCs w:val="21"/>
              </w:rPr>
            </w:pPr>
          </w:p>
        </w:tc>
        <w:tc>
          <w:tcPr>
            <w:tcW w:w="2829" w:type="dxa"/>
            <w:tcBorders>
              <w:tl2br w:val="nil"/>
              <w:tr2bl w:val="nil"/>
            </w:tcBorders>
            <w:vAlign w:val="center"/>
          </w:tcPr>
          <w:p w14:paraId="21159C18">
            <w:pPr>
              <w:pStyle w:val="56"/>
              <w:rPr>
                <w:rFonts w:ascii="Times New Roman" w:hAnsi="Times New Roman"/>
                <w:color w:val="auto"/>
                <w:szCs w:val="21"/>
              </w:rPr>
            </w:pPr>
            <w:r>
              <w:rPr>
                <w:rFonts w:ascii="Times New Roman" w:hAnsi="Times New Roman"/>
                <w:color w:val="auto"/>
                <w:szCs w:val="21"/>
              </w:rPr>
              <w:t>岸线方向/°</w:t>
            </w:r>
          </w:p>
        </w:tc>
        <w:tc>
          <w:tcPr>
            <w:tcW w:w="3985" w:type="dxa"/>
            <w:tcBorders>
              <w:tl2br w:val="nil"/>
              <w:tr2bl w:val="nil"/>
            </w:tcBorders>
            <w:vAlign w:val="center"/>
          </w:tcPr>
          <w:p w14:paraId="35D0380C">
            <w:pPr>
              <w:pStyle w:val="56"/>
              <w:rPr>
                <w:rFonts w:ascii="Times New Roman" w:hAnsi="Times New Roman"/>
                <w:color w:val="auto"/>
                <w:szCs w:val="21"/>
              </w:rPr>
            </w:pPr>
            <w:r>
              <w:rPr>
                <w:rFonts w:ascii="Times New Roman" w:hAnsi="Times New Roman"/>
                <w:color w:val="auto"/>
                <w:szCs w:val="21"/>
              </w:rPr>
              <w:t>/</w:t>
            </w:r>
          </w:p>
        </w:tc>
      </w:tr>
    </w:tbl>
    <w:p w14:paraId="6E6D01DD">
      <w:pPr>
        <w:ind w:firstLine="480"/>
        <w:rPr>
          <w:rFonts w:ascii="Times New Roman" w:hAnsi="Times New Roman" w:cs="Times New Roman"/>
          <w:b/>
          <w:color w:val="auto"/>
        </w:rPr>
      </w:pPr>
      <w:r>
        <w:rPr>
          <w:rFonts w:hint="eastAsia" w:ascii="Times New Roman" w:hAnsi="Times New Roman" w:eastAsia="宋体" w:cs="宋体"/>
          <w:color w:val="auto"/>
        </w:rPr>
        <w:t>⑥</w:t>
      </w:r>
      <w:r>
        <w:rPr>
          <w:rFonts w:ascii="Times New Roman" w:hAnsi="Times New Roman" w:cs="Times New Roman"/>
          <w:color w:val="auto"/>
        </w:rPr>
        <w:t>估算模型计算结果</w:t>
      </w:r>
    </w:p>
    <w:p w14:paraId="0AD7EC69">
      <w:pPr>
        <w:tabs>
          <w:tab w:val="left" w:pos="1879"/>
        </w:tabs>
        <w:spacing w:before="3"/>
        <w:ind w:right="90" w:firstLine="0" w:firstLineChars="0"/>
        <w:jc w:val="center"/>
        <w:rPr>
          <w:rFonts w:ascii="Times New Roman" w:hAnsi="Times New Roman" w:cs="Times New Roman"/>
          <w:color w:val="auto"/>
        </w:rPr>
      </w:pPr>
      <w:r>
        <w:rPr>
          <w:rFonts w:ascii="Times New Roman" w:hAnsi="Times New Roman" w:cs="Times New Roman"/>
          <w:b/>
          <w:color w:val="auto"/>
        </w:rPr>
        <w:t>表</w:t>
      </w:r>
      <w:r>
        <w:rPr>
          <w:rFonts w:ascii="Times New Roman" w:hAnsi="Times New Roman" w:cs="Times New Roman"/>
          <w:b/>
          <w:color w:val="auto"/>
          <w:spacing w:val="-62"/>
        </w:rPr>
        <w:t xml:space="preserve"> </w:t>
      </w:r>
      <w:r>
        <w:rPr>
          <w:rFonts w:ascii="Times New Roman" w:hAnsi="Times New Roman" w:eastAsia="Times New Roman" w:cs="Times New Roman"/>
          <w:b/>
          <w:color w:val="auto"/>
        </w:rPr>
        <w:t>2.</w:t>
      </w:r>
      <w:r>
        <w:rPr>
          <w:rFonts w:ascii="Times New Roman" w:hAnsi="Times New Roman" w:eastAsia="宋体" w:cs="Times New Roman"/>
          <w:b/>
          <w:color w:val="auto"/>
        </w:rPr>
        <w:t>5</w:t>
      </w:r>
      <w:r>
        <w:rPr>
          <w:rFonts w:ascii="Times New Roman" w:hAnsi="Times New Roman" w:eastAsia="Times New Roman" w:cs="Times New Roman"/>
          <w:b/>
          <w:color w:val="auto"/>
        </w:rPr>
        <w:t>-</w:t>
      </w:r>
      <w:r>
        <w:rPr>
          <w:rFonts w:ascii="Times New Roman" w:hAnsi="Times New Roman" w:eastAsia="宋体" w:cs="Times New Roman"/>
          <w:b/>
          <w:color w:val="auto"/>
        </w:rPr>
        <w:t xml:space="preserve">5    </w:t>
      </w:r>
      <w:r>
        <w:rPr>
          <w:rFonts w:ascii="Times New Roman" w:hAnsi="Times New Roman" w:cs="Times New Roman"/>
          <w:b/>
          <w:color w:val="auto"/>
        </w:rPr>
        <w:t>估算模式计算结果表</w:t>
      </w:r>
    </w:p>
    <w:tbl>
      <w:tblPr>
        <w:tblStyle w:val="35"/>
        <w:tblW w:w="908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57"/>
        <w:gridCol w:w="1315"/>
        <w:gridCol w:w="1962"/>
        <w:gridCol w:w="1569"/>
        <w:gridCol w:w="1050"/>
        <w:gridCol w:w="1131"/>
      </w:tblGrid>
      <w:tr w14:paraId="7A806B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505C25C7">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污染源名称</w:t>
            </w:r>
          </w:p>
        </w:tc>
        <w:tc>
          <w:tcPr>
            <w:tcW w:w="1315" w:type="dxa"/>
            <w:vAlign w:val="center"/>
          </w:tcPr>
          <w:p w14:paraId="58484AC6">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评价因子</w:t>
            </w:r>
          </w:p>
        </w:tc>
        <w:tc>
          <w:tcPr>
            <w:tcW w:w="1962" w:type="dxa"/>
            <w:vAlign w:val="center"/>
          </w:tcPr>
          <w:p w14:paraId="011D4CD1">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评价标准</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μg/m³</w:t>
            </w:r>
            <w:r>
              <w:rPr>
                <w:rFonts w:hint="eastAsia" w:eastAsia="宋体" w:cs="Times New Roman"/>
                <w:color w:val="auto"/>
                <w:lang w:val="en-US" w:eastAsia="zh-CN"/>
              </w:rPr>
              <w:t>）</w:t>
            </w:r>
          </w:p>
        </w:tc>
        <w:tc>
          <w:tcPr>
            <w:tcW w:w="1569" w:type="dxa"/>
            <w:vAlign w:val="center"/>
          </w:tcPr>
          <w:p w14:paraId="4B9AB203">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Cmax(μg/m³)</w:t>
            </w:r>
          </w:p>
        </w:tc>
        <w:tc>
          <w:tcPr>
            <w:tcW w:w="1050" w:type="dxa"/>
            <w:vAlign w:val="center"/>
          </w:tcPr>
          <w:p w14:paraId="4BD06EC6">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Pmax(%)</w:t>
            </w:r>
          </w:p>
        </w:tc>
        <w:tc>
          <w:tcPr>
            <w:tcW w:w="1131" w:type="dxa"/>
            <w:vAlign w:val="center"/>
          </w:tcPr>
          <w:p w14:paraId="06190444">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D10%(m)</w:t>
            </w:r>
          </w:p>
        </w:tc>
      </w:tr>
      <w:tr w14:paraId="430537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4451CCA8">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矩形面源</w:t>
            </w:r>
          </w:p>
        </w:tc>
        <w:tc>
          <w:tcPr>
            <w:tcW w:w="1315" w:type="dxa"/>
            <w:vAlign w:val="center"/>
          </w:tcPr>
          <w:p w14:paraId="5DBAC790">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S</w:t>
            </w:r>
          </w:p>
        </w:tc>
        <w:tc>
          <w:tcPr>
            <w:tcW w:w="1962" w:type="dxa"/>
            <w:vAlign w:val="center"/>
          </w:tcPr>
          <w:p w14:paraId="2C2DC479">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w:t>
            </w:r>
          </w:p>
        </w:tc>
        <w:tc>
          <w:tcPr>
            <w:tcW w:w="1569" w:type="dxa"/>
            <w:vAlign w:val="center"/>
          </w:tcPr>
          <w:p w14:paraId="3F908892">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0.8124</w:t>
            </w:r>
          </w:p>
        </w:tc>
        <w:tc>
          <w:tcPr>
            <w:tcW w:w="1050" w:type="dxa"/>
            <w:vAlign w:val="center"/>
          </w:tcPr>
          <w:p w14:paraId="61955608">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8.1236</w:t>
            </w:r>
          </w:p>
        </w:tc>
        <w:tc>
          <w:tcPr>
            <w:tcW w:w="1131" w:type="dxa"/>
            <w:vAlign w:val="center"/>
          </w:tcPr>
          <w:p w14:paraId="1515053F">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63D3FE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1CFB01C4">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矩形面源</w:t>
            </w:r>
          </w:p>
        </w:tc>
        <w:tc>
          <w:tcPr>
            <w:tcW w:w="1315" w:type="dxa"/>
            <w:vAlign w:val="center"/>
          </w:tcPr>
          <w:p w14:paraId="1CB00640">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NH</w:t>
            </w:r>
            <w:r>
              <w:rPr>
                <w:rFonts w:hint="eastAsia" w:ascii="Times New Roman" w:hAnsi="Times New Roman" w:eastAsia="宋体" w:cs="Times New Roman"/>
                <w:color w:val="auto"/>
                <w:vertAlign w:val="subscript"/>
                <w:lang w:val="en-US" w:eastAsia="zh-CN"/>
              </w:rPr>
              <w:t>3</w:t>
            </w:r>
          </w:p>
        </w:tc>
        <w:tc>
          <w:tcPr>
            <w:tcW w:w="1962" w:type="dxa"/>
            <w:vAlign w:val="center"/>
          </w:tcPr>
          <w:p w14:paraId="55815116">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200.0</w:t>
            </w:r>
          </w:p>
        </w:tc>
        <w:tc>
          <w:tcPr>
            <w:tcW w:w="1569" w:type="dxa"/>
            <w:vAlign w:val="center"/>
          </w:tcPr>
          <w:p w14:paraId="0203BEDA">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8.1236</w:t>
            </w:r>
          </w:p>
        </w:tc>
        <w:tc>
          <w:tcPr>
            <w:tcW w:w="1050" w:type="dxa"/>
            <w:vAlign w:val="center"/>
          </w:tcPr>
          <w:p w14:paraId="4F699B6E">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4.0618</w:t>
            </w:r>
          </w:p>
        </w:tc>
        <w:tc>
          <w:tcPr>
            <w:tcW w:w="1131" w:type="dxa"/>
            <w:vAlign w:val="center"/>
          </w:tcPr>
          <w:p w14:paraId="43791A4C">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68BFE7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7F45A80B">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点源</w:t>
            </w:r>
          </w:p>
        </w:tc>
        <w:tc>
          <w:tcPr>
            <w:tcW w:w="1315" w:type="dxa"/>
            <w:vAlign w:val="center"/>
          </w:tcPr>
          <w:p w14:paraId="0B599913">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PM</w:t>
            </w:r>
            <w:r>
              <w:rPr>
                <w:rFonts w:hint="eastAsia" w:ascii="Times New Roman" w:hAnsi="Times New Roman" w:eastAsia="宋体" w:cs="Times New Roman"/>
                <w:color w:val="auto"/>
                <w:vertAlign w:val="subscript"/>
                <w:lang w:val="en-US" w:eastAsia="zh-CN"/>
              </w:rPr>
              <w:t>10</w:t>
            </w:r>
          </w:p>
        </w:tc>
        <w:tc>
          <w:tcPr>
            <w:tcW w:w="1962" w:type="dxa"/>
            <w:vAlign w:val="center"/>
          </w:tcPr>
          <w:p w14:paraId="02577227">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360.0</w:t>
            </w:r>
          </w:p>
        </w:tc>
        <w:tc>
          <w:tcPr>
            <w:tcW w:w="1569" w:type="dxa"/>
            <w:vAlign w:val="center"/>
          </w:tcPr>
          <w:p w14:paraId="559F005B">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1.6601</w:t>
            </w:r>
          </w:p>
        </w:tc>
        <w:tc>
          <w:tcPr>
            <w:tcW w:w="1050" w:type="dxa"/>
            <w:vAlign w:val="center"/>
          </w:tcPr>
          <w:p w14:paraId="46762794">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0.4611</w:t>
            </w:r>
          </w:p>
        </w:tc>
        <w:tc>
          <w:tcPr>
            <w:tcW w:w="1131" w:type="dxa"/>
            <w:vAlign w:val="center"/>
          </w:tcPr>
          <w:p w14:paraId="05F07965">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7D5C39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7F8928EB">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点源</w:t>
            </w:r>
          </w:p>
        </w:tc>
        <w:tc>
          <w:tcPr>
            <w:tcW w:w="1315" w:type="dxa"/>
            <w:vAlign w:val="center"/>
          </w:tcPr>
          <w:p w14:paraId="06DB0D74">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2</w:t>
            </w:r>
          </w:p>
        </w:tc>
        <w:tc>
          <w:tcPr>
            <w:tcW w:w="1962" w:type="dxa"/>
            <w:vAlign w:val="center"/>
          </w:tcPr>
          <w:p w14:paraId="04D418C0">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500.0</w:t>
            </w:r>
          </w:p>
        </w:tc>
        <w:tc>
          <w:tcPr>
            <w:tcW w:w="1569" w:type="dxa"/>
            <w:vAlign w:val="center"/>
          </w:tcPr>
          <w:p w14:paraId="16A558F9">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2.1028</w:t>
            </w:r>
          </w:p>
        </w:tc>
        <w:tc>
          <w:tcPr>
            <w:tcW w:w="1050" w:type="dxa"/>
            <w:vAlign w:val="center"/>
          </w:tcPr>
          <w:p w14:paraId="4313E417">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0.4206</w:t>
            </w:r>
          </w:p>
        </w:tc>
        <w:tc>
          <w:tcPr>
            <w:tcW w:w="1131" w:type="dxa"/>
            <w:vAlign w:val="center"/>
          </w:tcPr>
          <w:p w14:paraId="234ED4E3">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3B6F09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3DAE81F9">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点源</w:t>
            </w:r>
          </w:p>
        </w:tc>
        <w:tc>
          <w:tcPr>
            <w:tcW w:w="1315" w:type="dxa"/>
            <w:vAlign w:val="center"/>
          </w:tcPr>
          <w:p w14:paraId="7F4B1171">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NO</w:t>
            </w:r>
            <w:r>
              <w:rPr>
                <w:rFonts w:hint="eastAsia" w:ascii="Times New Roman" w:hAnsi="Times New Roman" w:eastAsia="宋体" w:cs="Times New Roman"/>
                <w:color w:val="auto"/>
                <w:vertAlign w:val="subscript"/>
                <w:lang w:val="en-US" w:eastAsia="zh-CN"/>
              </w:rPr>
              <w:t>2</w:t>
            </w:r>
          </w:p>
        </w:tc>
        <w:tc>
          <w:tcPr>
            <w:tcW w:w="1962" w:type="dxa"/>
            <w:vAlign w:val="center"/>
          </w:tcPr>
          <w:p w14:paraId="617A60BA">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200.0</w:t>
            </w:r>
          </w:p>
        </w:tc>
        <w:tc>
          <w:tcPr>
            <w:tcW w:w="1569" w:type="dxa"/>
            <w:vAlign w:val="center"/>
          </w:tcPr>
          <w:p w14:paraId="4D3FAB43">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7.8578</w:t>
            </w:r>
          </w:p>
        </w:tc>
        <w:tc>
          <w:tcPr>
            <w:tcW w:w="1050" w:type="dxa"/>
            <w:vAlign w:val="center"/>
          </w:tcPr>
          <w:p w14:paraId="5ACD0528">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3.9289</w:t>
            </w:r>
          </w:p>
        </w:tc>
        <w:tc>
          <w:tcPr>
            <w:tcW w:w="1131" w:type="dxa"/>
            <w:vAlign w:val="center"/>
          </w:tcPr>
          <w:p w14:paraId="1BB52561">
            <w:pPr>
              <w:pStyle w:val="6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bl>
    <w:p w14:paraId="0F473071">
      <w:pPr>
        <w:ind w:firstLine="480"/>
        <w:rPr>
          <w:rFonts w:ascii="Times New Roman" w:hAnsi="Times New Roman" w:cs="Times New Roman"/>
          <w:color w:val="auto"/>
        </w:rPr>
      </w:pPr>
      <w:r>
        <w:rPr>
          <w:rFonts w:hint="eastAsia" w:ascii="Times New Roman" w:hAnsi="Times New Roman" w:eastAsia="宋体" w:cs="宋体"/>
          <w:color w:val="auto"/>
        </w:rPr>
        <w:t>⑦</w:t>
      </w:r>
      <w:r>
        <w:rPr>
          <w:rFonts w:ascii="Times New Roman" w:hAnsi="Times New Roman" w:cs="Times New Roman"/>
          <w:color w:val="auto"/>
        </w:rPr>
        <w:t>评价等级判定</w:t>
      </w:r>
    </w:p>
    <w:p w14:paraId="656A94AB">
      <w:pPr>
        <w:ind w:firstLine="480"/>
        <w:rPr>
          <w:rFonts w:ascii="Times New Roman" w:hAnsi="Times New Roman" w:cs="Times New Roman"/>
          <w:color w:val="auto"/>
        </w:rPr>
      </w:pPr>
      <w:r>
        <w:rPr>
          <w:rFonts w:ascii="Times New Roman" w:hAnsi="Times New Roman" w:cs="Times New Roman"/>
          <w:color w:val="auto"/>
          <w:lang w:bidi="zh-CN"/>
        </w:rPr>
        <w:t>根据表2.5-5可知，本项目Pmax最大值出现</w:t>
      </w:r>
      <w:r>
        <w:rPr>
          <w:rFonts w:hint="eastAsia" w:ascii="Times New Roman" w:hAnsi="Times New Roman" w:cs="Times New Roman"/>
          <w:color w:val="auto"/>
          <w:lang w:val="en-US" w:bidi="zh-CN"/>
        </w:rPr>
        <w:t>在圈舍</w:t>
      </w:r>
      <w:r>
        <w:rPr>
          <w:rFonts w:ascii="Times New Roman" w:hAnsi="Times New Roman" w:cs="Times New Roman"/>
          <w:color w:val="auto"/>
          <w:lang w:bidi="zh-CN"/>
        </w:rPr>
        <w:t>排放H</w:t>
      </w:r>
      <w:r>
        <w:rPr>
          <w:rFonts w:ascii="Times New Roman" w:hAnsi="Times New Roman" w:cs="Times New Roman"/>
          <w:color w:val="auto"/>
          <w:vertAlign w:val="subscript"/>
          <w:lang w:bidi="zh-CN"/>
        </w:rPr>
        <w:t>2</w:t>
      </w:r>
      <w:r>
        <w:rPr>
          <w:rFonts w:ascii="Times New Roman" w:hAnsi="Times New Roman" w:cs="Times New Roman"/>
          <w:color w:val="auto"/>
          <w:lang w:bidi="zh-CN"/>
        </w:rPr>
        <w:t>S</w:t>
      </w:r>
      <w:r>
        <w:rPr>
          <w:rFonts w:hint="eastAsia" w:ascii="Times New Roman" w:hAnsi="Times New Roman" w:cs="Times New Roman"/>
          <w:color w:val="auto"/>
          <w:lang w:val="en-US" w:bidi="zh-CN"/>
        </w:rPr>
        <w:t>的</w:t>
      </w:r>
      <w:r>
        <w:rPr>
          <w:rFonts w:ascii="Times New Roman" w:hAnsi="Times New Roman" w:cs="Times New Roman"/>
          <w:color w:val="auto"/>
          <w:lang w:bidi="zh-CN"/>
        </w:rPr>
        <w:t>P</w:t>
      </w:r>
      <w:r>
        <w:rPr>
          <w:rFonts w:ascii="Times New Roman" w:hAnsi="Times New Roman" w:cs="Times New Roman"/>
          <w:color w:val="auto"/>
          <w:vertAlign w:val="subscript"/>
          <w:lang w:bidi="zh-CN"/>
        </w:rPr>
        <w:t>max</w:t>
      </w:r>
      <w:r>
        <w:rPr>
          <w:rFonts w:ascii="Times New Roman" w:hAnsi="Times New Roman" w:cs="Times New Roman"/>
          <w:color w:val="auto"/>
          <w:lang w:bidi="zh-CN"/>
        </w:rPr>
        <w:t>值为</w:t>
      </w:r>
      <w:r>
        <w:rPr>
          <w:rFonts w:hint="eastAsia" w:cs="Times New Roman"/>
          <w:color w:val="auto"/>
          <w:lang w:val="en-US" w:bidi="zh-CN"/>
        </w:rPr>
        <w:t>8.1236</w:t>
      </w:r>
      <w:r>
        <w:rPr>
          <w:rFonts w:ascii="Times New Roman" w:hAnsi="Times New Roman" w:cs="Times New Roman"/>
          <w:color w:val="auto"/>
          <w:lang w:bidi="zh-CN"/>
        </w:rPr>
        <w:t>%，C</w:t>
      </w:r>
      <w:r>
        <w:rPr>
          <w:rFonts w:ascii="Times New Roman" w:hAnsi="Times New Roman" w:cs="Times New Roman"/>
          <w:color w:val="auto"/>
          <w:vertAlign w:val="subscript"/>
          <w:lang w:bidi="zh-CN"/>
        </w:rPr>
        <w:t>max</w:t>
      </w:r>
      <w:r>
        <w:rPr>
          <w:rFonts w:ascii="Times New Roman" w:hAnsi="Times New Roman" w:cs="Times New Roman"/>
          <w:color w:val="auto"/>
          <w:lang w:bidi="zh-CN"/>
        </w:rPr>
        <w:t>为</w:t>
      </w:r>
      <w:r>
        <w:rPr>
          <w:rFonts w:hint="eastAsia" w:ascii="Times New Roman" w:hAnsi="Times New Roman" w:cs="Times New Roman"/>
          <w:color w:val="auto"/>
          <w:lang w:val="en-US" w:bidi="zh-CN"/>
        </w:rPr>
        <w:t>0.</w:t>
      </w:r>
      <w:r>
        <w:rPr>
          <w:rFonts w:hint="eastAsia" w:cs="Times New Roman"/>
          <w:color w:val="auto"/>
          <w:lang w:val="en-US" w:bidi="zh-CN"/>
        </w:rPr>
        <w:t>8124</w:t>
      </w:r>
      <w:r>
        <w:rPr>
          <w:rFonts w:ascii="Times New Roman" w:hAnsi="Times New Roman" w:cs="Times New Roman"/>
          <w:color w:val="auto"/>
          <w:lang w:bidi="zh-CN"/>
        </w:rPr>
        <w:t>μg/m</w:t>
      </w:r>
      <w:r>
        <w:rPr>
          <w:rFonts w:ascii="Times New Roman" w:hAnsi="Times New Roman" w:cs="Times New Roman"/>
          <w:color w:val="auto"/>
          <w:vertAlign w:val="superscript"/>
          <w:lang w:bidi="zh-CN"/>
        </w:rPr>
        <w:t>3</w:t>
      </w:r>
      <w:r>
        <w:rPr>
          <w:rFonts w:ascii="Times New Roman" w:hAnsi="Times New Roman" w:cs="Times New Roman"/>
          <w:color w:val="auto"/>
          <w:lang w:bidi="zh-CN"/>
        </w:rPr>
        <w:t>。根据《环境影响评价技术导则 大气环境》（HJ2.2-2018）分级判据，确定本项目大气环境影响评价工作等级为二级。</w:t>
      </w:r>
    </w:p>
    <w:p w14:paraId="295004E8">
      <w:pPr>
        <w:ind w:firstLine="480"/>
        <w:rPr>
          <w:rFonts w:ascii="Times New Roman" w:hAnsi="Times New Roman" w:cs="Times New Roman"/>
          <w:color w:val="auto"/>
        </w:rPr>
      </w:pPr>
      <w:r>
        <w:rPr>
          <w:rFonts w:ascii="Times New Roman" w:hAnsi="Times New Roman" w:cs="Times New Roman"/>
          <w:color w:val="auto"/>
        </w:rPr>
        <w:t>（2）评价范围</w:t>
      </w:r>
    </w:p>
    <w:p w14:paraId="1DD1BD5C">
      <w:pPr>
        <w:ind w:firstLine="480"/>
        <w:rPr>
          <w:rFonts w:ascii="Times New Roman" w:hAnsi="Times New Roman" w:cs="Times New Roman"/>
          <w:color w:val="auto"/>
        </w:rPr>
      </w:pPr>
      <w:r>
        <w:rPr>
          <w:rFonts w:ascii="Times New Roman" w:hAnsi="Times New Roman" w:cs="Times New Roman"/>
          <w:color w:val="auto"/>
        </w:rPr>
        <w:t>按照《环境影响评价技术导则-大气环境》（HJ2.2-2018）中相关规定，本项目大气环境影响评价等级为二级，以场址为中心区域，自厂界外延边长2.5km的矩形区域作为本项目大气环境影响评价范围。</w:t>
      </w:r>
    </w:p>
    <w:p w14:paraId="2C14D073">
      <w:pPr>
        <w:pStyle w:val="5"/>
        <w:ind w:left="120"/>
        <w:rPr>
          <w:rFonts w:ascii="Times New Roman" w:hAnsi="Times New Roman" w:cs="Times New Roman"/>
          <w:color w:val="000000" w:themeColor="text1"/>
          <w14:textFill>
            <w14:solidFill>
              <w14:schemeClr w14:val="tx1"/>
            </w14:solidFill>
          </w14:textFill>
        </w:rPr>
      </w:pPr>
      <w:bookmarkStart w:id="65" w:name="_Toc483491987"/>
      <w:bookmarkStart w:id="66" w:name="_Toc490417070"/>
      <w:r>
        <w:rPr>
          <w:rFonts w:ascii="Times New Roman" w:hAnsi="Times New Roman" w:cs="Times New Roman"/>
          <w:color w:val="000000" w:themeColor="text1"/>
          <w14:textFill>
            <w14:solidFill>
              <w14:schemeClr w14:val="tx1"/>
            </w14:solidFill>
          </w14:textFill>
        </w:rPr>
        <w:t>水环境评价等级及评价范围</w:t>
      </w:r>
      <w:bookmarkEnd w:id="65"/>
      <w:bookmarkEnd w:id="66"/>
    </w:p>
    <w:p w14:paraId="4C11D78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（1）地表水评价等级及范围</w:t>
      </w:r>
    </w:p>
    <w:p w14:paraId="1732921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本项目养殖区采用干清粪工艺，无生产废水</w:t>
      </w:r>
      <w:r>
        <w:rPr>
          <w:rFonts w:hint="eastAsia" w:ascii="Times New Roman" w:hAnsi="Times New Roman" w:cs="Times New Roman"/>
          <w:color w:val="000000" w:themeColor="text1"/>
          <w:lang w:val="en-US" w:eastAsia="zh-CN"/>
          <w14:textFill>
            <w14:solidFill>
              <w14:schemeClr w14:val="tx1"/>
            </w14:solidFill>
          </w14:textFill>
        </w:rPr>
        <w:t>外排</w:t>
      </w:r>
      <w:r>
        <w:rPr>
          <w:rFonts w:ascii="Times New Roman" w:hAnsi="Times New Roman" w:cs="Times New Roman"/>
          <w:color w:val="000000" w:themeColor="text1"/>
          <w14:textFill>
            <w14:solidFill>
              <w14:schemeClr w14:val="tx1"/>
            </w14:solidFill>
          </w14:textFill>
        </w:rPr>
        <w:t>，工作人员办公生活</w:t>
      </w:r>
      <w:r>
        <w:rPr>
          <w:rFonts w:hint="eastAsia" w:ascii="Times New Roman" w:hAnsi="Times New Roman" w:cs="Times New Roman"/>
          <w:color w:val="000000" w:themeColor="text1"/>
          <w:lang w:val="en-US" w:eastAsia="zh-CN"/>
          <w14:textFill>
            <w14:solidFill>
              <w14:schemeClr w14:val="tx1"/>
            </w14:solidFill>
          </w14:textFill>
        </w:rPr>
        <w:t>集中收集至化粪池，</w:t>
      </w:r>
      <w:r>
        <w:rPr>
          <w:rFonts w:hint="eastAsia" w:cs="Times New Roman"/>
          <w:color w:val="000000" w:themeColor="text1"/>
          <w:lang w:val="en-US" w:eastAsia="zh-CN"/>
          <w14:textFill>
            <w14:solidFill>
              <w14:schemeClr w14:val="tx1"/>
            </w14:solidFill>
          </w14:textFill>
        </w:rPr>
        <w:t>定期抽排到污水处理厂</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lang w:val="zh-CN"/>
          <w14:textFill>
            <w14:solidFill>
              <w14:schemeClr w14:val="tx1"/>
            </w14:solidFill>
          </w14:textFill>
        </w:rPr>
        <w:t>本项目与地表水体无直接水力联系，不会对周围地表水环境产生影响</w:t>
      </w:r>
      <w:r>
        <w:rPr>
          <w:rFonts w:hint="eastAsia" w:ascii="Times New Roman" w:hAnsi="Times New Roman" w:cs="Times New Roman"/>
          <w:color w:val="000000" w:themeColor="text1"/>
          <w:lang w:val="zh-CN"/>
          <w14:textFill>
            <w14:solidFill>
              <w14:schemeClr w14:val="tx1"/>
            </w14:solidFill>
          </w14:textFill>
        </w:rPr>
        <w:t>，</w:t>
      </w:r>
      <w:r>
        <w:rPr>
          <w:rFonts w:hint="eastAsia" w:ascii="Times New Roman" w:hAnsi="Times New Roman" w:eastAsia="宋体" w:cs="宋体"/>
          <w:color w:val="000000"/>
          <w:kern w:val="0"/>
          <w:sz w:val="24"/>
          <w:szCs w:val="24"/>
          <w:lang w:val="en-US" w:eastAsia="zh-CN" w:bidi="ar"/>
        </w:rPr>
        <w:t>本项目按三级</w:t>
      </w:r>
      <w:r>
        <w:rPr>
          <w:rFonts w:hint="default" w:ascii="Times New Roman" w:hAnsi="Times New Roman" w:eastAsia="宋体" w:cs="Times New Roman"/>
          <w:color w:val="000000"/>
          <w:kern w:val="0"/>
          <w:sz w:val="24"/>
          <w:szCs w:val="24"/>
          <w:lang w:val="en-US" w:eastAsia="zh-CN" w:bidi="ar"/>
        </w:rPr>
        <w:t>B</w:t>
      </w:r>
      <w:r>
        <w:rPr>
          <w:rFonts w:hint="eastAsia" w:ascii="Times New Roman" w:hAnsi="Times New Roman" w:eastAsia="宋体" w:cs="宋体"/>
          <w:color w:val="000000"/>
          <w:kern w:val="0"/>
          <w:sz w:val="24"/>
          <w:szCs w:val="24"/>
          <w:lang w:val="en-US" w:eastAsia="zh-CN" w:bidi="ar"/>
        </w:rPr>
        <w:t>评价</w:t>
      </w:r>
      <w:r>
        <w:rPr>
          <w:rFonts w:ascii="Times New Roman" w:hAnsi="Times New Roman" w:cs="Times New Roman"/>
          <w:color w:val="000000" w:themeColor="text1"/>
          <w:lang w:val="zh-CN"/>
          <w14:textFill>
            <w14:solidFill>
              <w14:schemeClr w14:val="tx1"/>
            </w14:solidFill>
          </w14:textFill>
        </w:rPr>
        <w:t>。</w:t>
      </w:r>
    </w:p>
    <w:p w14:paraId="4D8CEB4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（2）地下水评价等级及范围</w:t>
      </w:r>
    </w:p>
    <w:p w14:paraId="41D6DD8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评价等级</w:t>
      </w:r>
    </w:p>
    <w:p w14:paraId="315CE419">
      <w:pPr>
        <w:ind w:firstLine="480"/>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地下水环境》（HJ610-2016），地下水环境影响工作等级按表2.5-6确定划分。项目类别按《环境影响评价技术导则地下水环境》（HJ610-2016）中的附录A判别，属于地下水影响评价Ⅲ类项目。环境敏感程度按该导则中规定的内容判别，具体见2.5-7，经调查项目区及周边无集中式饮用水源地分布，无分散式饮用水水源地，无特殊地下水资源分布，因此，地下水属不敏感区，据此确定本项目地下水评价等级为三级。</w:t>
      </w:r>
    </w:p>
    <w:p w14:paraId="4D640769">
      <w:pPr>
        <w:pStyle w:val="61"/>
        <w:spacing w:beforeLines="0" w:afterLines="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表2.5-6    评价工作等级分级表</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14:paraId="4A13E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single" w:color="auto" w:sz="4" w:space="0"/>
            </w:tcBorders>
            <w:vAlign w:val="center"/>
          </w:tcPr>
          <w:p w14:paraId="34840CF8">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项目类别</w:t>
            </w:r>
          </w:p>
          <w:p w14:paraId="157DEA2C">
            <w:pPr>
              <w:pStyle w:val="6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环境敏感程度</w:t>
            </w:r>
          </w:p>
        </w:tc>
        <w:tc>
          <w:tcPr>
            <w:tcW w:w="2265" w:type="dxa"/>
            <w:tcBorders>
              <w:tl2br w:val="nil"/>
              <w:tr2bl w:val="nil"/>
            </w:tcBorders>
            <w:vAlign w:val="center"/>
          </w:tcPr>
          <w:p w14:paraId="1849783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Ⅰ类项目</w:t>
            </w:r>
          </w:p>
        </w:tc>
        <w:tc>
          <w:tcPr>
            <w:tcW w:w="2265" w:type="dxa"/>
            <w:tcBorders>
              <w:tl2br w:val="nil"/>
              <w:tr2bl w:val="nil"/>
            </w:tcBorders>
            <w:vAlign w:val="center"/>
          </w:tcPr>
          <w:p w14:paraId="27BCCC3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Ⅱ类项目</w:t>
            </w:r>
          </w:p>
        </w:tc>
        <w:tc>
          <w:tcPr>
            <w:tcW w:w="2265" w:type="dxa"/>
            <w:tcBorders>
              <w:tl2br w:val="nil"/>
              <w:tr2bl w:val="nil"/>
            </w:tcBorders>
            <w:vAlign w:val="center"/>
          </w:tcPr>
          <w:p w14:paraId="2C02C8E3">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Ⅲ类项目</w:t>
            </w:r>
          </w:p>
        </w:tc>
      </w:tr>
      <w:tr w14:paraId="6D429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nil"/>
              <w:tr2bl w:val="nil"/>
            </w:tcBorders>
            <w:vAlign w:val="center"/>
          </w:tcPr>
          <w:p w14:paraId="71EC3AEB">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敏感</w:t>
            </w:r>
          </w:p>
        </w:tc>
        <w:tc>
          <w:tcPr>
            <w:tcW w:w="2265" w:type="dxa"/>
            <w:tcBorders>
              <w:tl2br w:val="nil"/>
              <w:tr2bl w:val="nil"/>
            </w:tcBorders>
            <w:vAlign w:val="center"/>
          </w:tcPr>
          <w:p w14:paraId="7C14BF67">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w:t>
            </w:r>
          </w:p>
        </w:tc>
        <w:tc>
          <w:tcPr>
            <w:tcW w:w="2265" w:type="dxa"/>
            <w:tcBorders>
              <w:tl2br w:val="nil"/>
              <w:tr2bl w:val="nil"/>
            </w:tcBorders>
            <w:vAlign w:val="center"/>
          </w:tcPr>
          <w:p w14:paraId="4BD1A2FF">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w:t>
            </w:r>
          </w:p>
        </w:tc>
        <w:tc>
          <w:tcPr>
            <w:tcW w:w="2265" w:type="dxa"/>
            <w:tcBorders>
              <w:tl2br w:val="nil"/>
              <w:tr2bl w:val="nil"/>
            </w:tcBorders>
            <w:vAlign w:val="center"/>
          </w:tcPr>
          <w:p w14:paraId="14CD28BA">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二</w:t>
            </w:r>
          </w:p>
        </w:tc>
      </w:tr>
      <w:tr w14:paraId="74ED5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nil"/>
              <w:tr2bl w:val="nil"/>
            </w:tcBorders>
            <w:vAlign w:val="center"/>
          </w:tcPr>
          <w:p w14:paraId="33C6A59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较敏感</w:t>
            </w:r>
          </w:p>
        </w:tc>
        <w:tc>
          <w:tcPr>
            <w:tcW w:w="2265" w:type="dxa"/>
            <w:tcBorders>
              <w:tl2br w:val="nil"/>
              <w:tr2bl w:val="nil"/>
            </w:tcBorders>
            <w:vAlign w:val="center"/>
          </w:tcPr>
          <w:p w14:paraId="621F37A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w:t>
            </w:r>
          </w:p>
        </w:tc>
        <w:tc>
          <w:tcPr>
            <w:tcW w:w="2265" w:type="dxa"/>
            <w:tcBorders>
              <w:tl2br w:val="nil"/>
              <w:tr2bl w:val="nil"/>
            </w:tcBorders>
            <w:vAlign w:val="center"/>
          </w:tcPr>
          <w:p w14:paraId="141F9621">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二</w:t>
            </w:r>
          </w:p>
        </w:tc>
        <w:tc>
          <w:tcPr>
            <w:tcW w:w="2265" w:type="dxa"/>
            <w:tcBorders>
              <w:tl2br w:val="nil"/>
              <w:tr2bl w:val="nil"/>
            </w:tcBorders>
            <w:vAlign w:val="center"/>
          </w:tcPr>
          <w:p w14:paraId="762AFEA6">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三</w:t>
            </w:r>
          </w:p>
        </w:tc>
      </w:tr>
      <w:tr w14:paraId="50574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265" w:type="dxa"/>
            <w:tcBorders>
              <w:tl2br w:val="nil"/>
              <w:tr2bl w:val="nil"/>
            </w:tcBorders>
            <w:vAlign w:val="center"/>
          </w:tcPr>
          <w:p w14:paraId="5DFEE576">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不敏感</w:t>
            </w:r>
          </w:p>
        </w:tc>
        <w:tc>
          <w:tcPr>
            <w:tcW w:w="2265" w:type="dxa"/>
            <w:tcBorders>
              <w:tl2br w:val="nil"/>
              <w:tr2bl w:val="nil"/>
            </w:tcBorders>
            <w:vAlign w:val="center"/>
          </w:tcPr>
          <w:p w14:paraId="3FDBA465">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二</w:t>
            </w:r>
          </w:p>
        </w:tc>
        <w:tc>
          <w:tcPr>
            <w:tcW w:w="2265" w:type="dxa"/>
            <w:tcBorders>
              <w:tl2br w:val="nil"/>
              <w:tr2bl w:val="nil"/>
            </w:tcBorders>
            <w:vAlign w:val="center"/>
          </w:tcPr>
          <w:p w14:paraId="0108667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三</w:t>
            </w:r>
          </w:p>
        </w:tc>
        <w:tc>
          <w:tcPr>
            <w:tcW w:w="2265" w:type="dxa"/>
            <w:tcBorders>
              <w:tl2br w:val="nil"/>
              <w:tr2bl w:val="nil"/>
            </w:tcBorders>
            <w:vAlign w:val="center"/>
          </w:tcPr>
          <w:p w14:paraId="3F133800">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三</w:t>
            </w:r>
          </w:p>
        </w:tc>
      </w:tr>
    </w:tbl>
    <w:p w14:paraId="34A09807">
      <w:pPr>
        <w:pStyle w:val="61"/>
        <w:spacing w:beforeLines="0" w:afterLines="0"/>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表2.5-7    地下水环境敏感程度分级表</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8"/>
        <w:gridCol w:w="7872"/>
      </w:tblGrid>
      <w:tr w14:paraId="516DB9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78F2AEA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敏感程度</w:t>
            </w:r>
          </w:p>
        </w:tc>
        <w:tc>
          <w:tcPr>
            <w:tcW w:w="7872" w:type="dxa"/>
            <w:tcBorders>
              <w:tl2br w:val="nil"/>
              <w:tr2bl w:val="nil"/>
            </w:tcBorders>
            <w:vAlign w:val="center"/>
          </w:tcPr>
          <w:p w14:paraId="1545A3E1">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地下水环境敏感特征</w:t>
            </w:r>
          </w:p>
        </w:tc>
      </w:tr>
      <w:tr w14:paraId="1FF113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4F556BD9">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敏感</w:t>
            </w:r>
          </w:p>
        </w:tc>
        <w:tc>
          <w:tcPr>
            <w:tcW w:w="7872" w:type="dxa"/>
            <w:tcBorders>
              <w:tl2br w:val="nil"/>
              <w:tr2bl w:val="nil"/>
            </w:tcBorders>
            <w:vAlign w:val="center"/>
          </w:tcPr>
          <w:p w14:paraId="6ACC3345">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集中式饮用水水源（包括已建成的在用、备用、应急水源，在建和规划的饮用水水源）准保护区；除集中式饮用水水源以外的国家或地方政府设定的与地下水环境</w:t>
            </w:r>
            <w:r>
              <w:rPr>
                <w:rFonts w:hint="eastAsia" w:eastAsia="宋体" w:cs="Times New Roman"/>
                <w:color w:val="000000" w:themeColor="text1"/>
                <w:lang w:eastAsia="zh-CN"/>
                <w14:textFill>
                  <w14:solidFill>
                    <w14:schemeClr w14:val="tx1"/>
                  </w14:solidFill>
                </w14:textFill>
              </w:rPr>
              <w:t>相关的其他</w:t>
            </w:r>
            <w:r>
              <w:rPr>
                <w:rFonts w:ascii="Times New Roman" w:hAnsi="Times New Roman" w:eastAsia="宋体" w:cs="Times New Roman"/>
                <w:color w:val="000000" w:themeColor="text1"/>
                <w14:textFill>
                  <w14:solidFill>
                    <w14:schemeClr w14:val="tx1"/>
                  </w14:solidFill>
                </w14:textFill>
              </w:rPr>
              <w:t>保护区，如热水、矿泉水、温泉等特殊地下水资源保护区。</w:t>
            </w:r>
          </w:p>
        </w:tc>
      </w:tr>
      <w:tr w14:paraId="72B686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39907CD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较敏感</w:t>
            </w:r>
          </w:p>
        </w:tc>
        <w:tc>
          <w:tcPr>
            <w:tcW w:w="7872" w:type="dxa"/>
            <w:tcBorders>
              <w:tl2br w:val="nil"/>
              <w:tr2bl w:val="nil"/>
            </w:tcBorders>
            <w:vAlign w:val="center"/>
          </w:tcPr>
          <w:p w14:paraId="208E6262">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14:paraId="52C3CD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88" w:type="dxa"/>
            <w:tcBorders>
              <w:tl2br w:val="nil"/>
              <w:tr2bl w:val="nil"/>
            </w:tcBorders>
            <w:vAlign w:val="center"/>
          </w:tcPr>
          <w:p w14:paraId="6AE51584">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不敏感</w:t>
            </w:r>
          </w:p>
        </w:tc>
        <w:tc>
          <w:tcPr>
            <w:tcW w:w="7872" w:type="dxa"/>
            <w:tcBorders>
              <w:tl2br w:val="nil"/>
              <w:tr2bl w:val="nil"/>
            </w:tcBorders>
            <w:vAlign w:val="center"/>
          </w:tcPr>
          <w:p w14:paraId="46F1FA9C">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上述地区之外的其它地区。</w:t>
            </w:r>
          </w:p>
        </w:tc>
      </w:tr>
    </w:tbl>
    <w:p w14:paraId="6A9EF0A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评价范围</w:t>
      </w:r>
    </w:p>
    <w:p w14:paraId="2326B60E">
      <w:pPr>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本项目评价范围采用查表法得到，</w:t>
      </w:r>
      <w:r>
        <w:rPr>
          <w:rFonts w:ascii="Times New Roman" w:hAnsi="Times New Roman" w:cs="Times New Roman"/>
          <w:color w:val="000000" w:themeColor="text1"/>
          <w:szCs w:val="24"/>
          <w14:textFill>
            <w14:solidFill>
              <w14:schemeClr w14:val="tx1"/>
            </w14:solidFill>
          </w14:textFill>
        </w:rPr>
        <w:t>本项目地下水评价等级为三级，评价范围</w:t>
      </w:r>
      <w:r>
        <w:rPr>
          <w:rFonts w:hint="eastAsia" w:ascii="Times New Roman" w:hAnsi="Times New Roman" w:cs="Times New Roman"/>
          <w:color w:val="000000" w:themeColor="text1"/>
          <w:szCs w:val="24"/>
          <w:lang w:val="en-US" w:eastAsia="zh-CN"/>
          <w14:textFill>
            <w14:solidFill>
              <w14:schemeClr w14:val="tx1"/>
            </w14:solidFill>
          </w14:textFill>
        </w:rPr>
        <w:t>分别</w:t>
      </w:r>
      <w:r>
        <w:rPr>
          <w:rFonts w:ascii="Times New Roman" w:hAnsi="Times New Roman" w:cs="Times New Roman"/>
          <w:color w:val="000000" w:themeColor="text1"/>
          <w:szCs w:val="24"/>
          <w14:textFill>
            <w14:solidFill>
              <w14:schemeClr w14:val="tx1"/>
            </w14:solidFill>
          </w14:textFill>
        </w:rPr>
        <w:t>以养殖区为中心，以地下水流向（北—南）为中轴线，</w:t>
      </w:r>
      <w:r>
        <w:rPr>
          <w:rFonts w:hint="eastAsia" w:ascii="Times New Roman" w:hAnsi="Times New Roman" w:cs="Times New Roman"/>
          <w:color w:val="000000" w:themeColor="text1"/>
          <w:szCs w:val="24"/>
          <w:lang w:val="en-US" w:eastAsia="zh-CN"/>
          <w14:textFill>
            <w14:solidFill>
              <w14:schemeClr w14:val="tx1"/>
            </w14:solidFill>
          </w14:textFill>
        </w:rPr>
        <w:t>南</w:t>
      </w:r>
      <w:r>
        <w:rPr>
          <w:rFonts w:ascii="Times New Roman" w:hAnsi="Times New Roman" w:cs="Times New Roman"/>
          <w:color w:val="000000" w:themeColor="text1"/>
          <w:szCs w:val="24"/>
          <w14:textFill>
            <w14:solidFill>
              <w14:schemeClr w14:val="tx1"/>
            </w14:solidFill>
          </w14:textFill>
        </w:rPr>
        <w:t>侧边界向外延2km，东、西、</w:t>
      </w:r>
      <w:r>
        <w:rPr>
          <w:rFonts w:hint="eastAsia" w:ascii="Times New Roman" w:hAnsi="Times New Roman" w:cs="Times New Roman"/>
          <w:color w:val="000000" w:themeColor="text1"/>
          <w:szCs w:val="24"/>
          <w:lang w:val="en-US" w:eastAsia="zh-CN"/>
          <w14:textFill>
            <w14:solidFill>
              <w14:schemeClr w14:val="tx1"/>
            </w14:solidFill>
          </w14:textFill>
        </w:rPr>
        <w:t>北</w:t>
      </w:r>
      <w:r>
        <w:rPr>
          <w:rFonts w:ascii="Times New Roman" w:hAnsi="Times New Roman" w:cs="Times New Roman"/>
          <w:color w:val="000000" w:themeColor="text1"/>
          <w:szCs w:val="24"/>
          <w14:textFill>
            <w14:solidFill>
              <w14:schemeClr w14:val="tx1"/>
            </w14:solidFill>
          </w14:textFill>
        </w:rPr>
        <w:t>边界各外延1km，面积约为6km</w:t>
      </w:r>
      <w:r>
        <w:rPr>
          <w:rFonts w:ascii="Times New Roman" w:hAnsi="Times New Roman" w:cs="Times New Roman"/>
          <w:color w:val="000000" w:themeColor="text1"/>
          <w:szCs w:val="24"/>
          <w:vertAlign w:val="super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的矩形区域。</w:t>
      </w:r>
    </w:p>
    <w:p w14:paraId="304DFADF">
      <w:pPr>
        <w:pStyle w:val="5"/>
        <w:ind w:left="120"/>
        <w:rPr>
          <w:rFonts w:ascii="Times New Roman" w:hAnsi="Times New Roman" w:cs="Times New Roman"/>
          <w:color w:val="000000" w:themeColor="text1"/>
          <w14:textFill>
            <w14:solidFill>
              <w14:schemeClr w14:val="tx1"/>
            </w14:solidFill>
          </w14:textFill>
        </w:rPr>
      </w:pPr>
      <w:bookmarkStart w:id="67" w:name="_Toc483491988"/>
      <w:bookmarkStart w:id="68" w:name="_Toc490417071"/>
      <w:r>
        <w:rPr>
          <w:rFonts w:ascii="Times New Roman" w:hAnsi="Times New Roman" w:cs="Times New Roman"/>
          <w:color w:val="000000" w:themeColor="text1"/>
          <w14:textFill>
            <w14:solidFill>
              <w14:schemeClr w14:val="tx1"/>
            </w14:solidFill>
          </w14:textFill>
        </w:rPr>
        <w:t>声环境评价工作等级及范围</w:t>
      </w:r>
      <w:bookmarkEnd w:id="67"/>
      <w:bookmarkEnd w:id="68"/>
    </w:p>
    <w:p w14:paraId="645FEA3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评价等级</w:t>
      </w:r>
    </w:p>
    <w:p w14:paraId="56750D0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声环境》（HJ2.4-2021）规定，噪声环境影响评价级别的划分是根据建设项目所在区域的声环境功能区类别，建设项目建设前后所在区域的声环境质量变化程度和受建设项目影响的人口数量确定级别。</w:t>
      </w:r>
    </w:p>
    <w:p w14:paraId="3337FB6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1）评价范围内有适用于（GB3096-2008）规定的0类声环境功能区域，或建设项目建设前后评价范围内声环境保护目标噪声级增量达到5dB（A）[不含5dB（A）]，或受影响人口数量显著增加时，按一级评价。</w:t>
      </w:r>
    </w:p>
    <w:p w14:paraId="0F681F4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2）建设项目所处的声环境功能区为（GB3096-2008）规定的1类、2类地区，或建设项目建设前后评价范围内声环境保护目标噪声级增高量达3～5dB（A）[含5dB（A）]，或受噪声影响人口数量增加较多时，按二级评价。</w:t>
      </w:r>
    </w:p>
    <w:p w14:paraId="702FED7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3）建设项目所处的声环境功能区为（GB3096-2008）规定的3类、4类地区，或建设项目建设前后评价范围内声环境保护目标噪声级增高量在3dB(A</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以下[不含3dB（A）]，且受影响人口数量变化不大时，按三级评价。</w:t>
      </w:r>
    </w:p>
    <w:p w14:paraId="6E41D37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4）在确定评价工作等级时，如果建设项目符合两个等级的划分原则，按较高等级评价。</w:t>
      </w:r>
    </w:p>
    <w:p w14:paraId="47C21E6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本项目评价区域为《声环境质量标准》（GB3096-2008）规定</w:t>
      </w:r>
      <w:r>
        <w:rPr>
          <w:rFonts w:hint="eastAsia"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类标准区域，</w:t>
      </w:r>
      <w:r>
        <w:rPr>
          <w:rFonts w:hint="eastAsia" w:cs="Times New Roman"/>
          <w:color w:val="000000" w:themeColor="text1"/>
          <w:lang w:val="en-US" w:eastAsia="zh-CN"/>
          <w14:textFill>
            <w14:solidFill>
              <w14:schemeClr w14:val="tx1"/>
            </w14:solidFill>
          </w14:textFill>
        </w:rPr>
        <w:t>项目周边评价范围无敏感目标</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因此判定对敏感目标噪声增加值</w:t>
      </w:r>
      <w:r>
        <w:rPr>
          <w:rFonts w:ascii="Times New Roman" w:hAnsi="Times New Roman" w:cs="Times New Roman"/>
          <w:color w:val="000000" w:themeColor="text1"/>
          <w14:textFill>
            <w14:solidFill>
              <w14:schemeClr w14:val="tx1"/>
            </w14:solidFill>
          </w14:textFill>
        </w:rPr>
        <w:t>小于</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dB（A）且受影响的人口无明显变化，按照《环境影响评价技术导则-声环境》（HJ2.4-2021）中的有关规定，确定本项目声环境评价工作等级为</w:t>
      </w:r>
      <w:r>
        <w:rPr>
          <w:rFonts w:hint="eastAsia" w:cs="Times New Roman"/>
          <w:color w:val="000000" w:themeColor="text1"/>
          <w:lang w:val="en-US" w:eastAsia="zh-CN"/>
          <w14:textFill>
            <w14:solidFill>
              <w14:schemeClr w14:val="tx1"/>
            </w14:solidFill>
          </w14:textFill>
        </w:rPr>
        <w:t>三</w:t>
      </w:r>
      <w:r>
        <w:rPr>
          <w:rFonts w:ascii="Times New Roman" w:hAnsi="Times New Roman" w:cs="Times New Roman"/>
          <w:color w:val="000000" w:themeColor="text1"/>
          <w14:textFill>
            <w14:solidFill>
              <w14:schemeClr w14:val="tx1"/>
            </w14:solidFill>
          </w14:textFill>
        </w:rPr>
        <w:t>级。</w:t>
      </w:r>
    </w:p>
    <w:p w14:paraId="28D202C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评价范围</w:t>
      </w:r>
    </w:p>
    <w:p w14:paraId="4A9159A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根据《环境影响评价技术导则-声环境》（HJ2.4-2021）对项目声环境影响评价范围的确定原则，声环境评价范围为养殖区厂界向外200m。</w:t>
      </w:r>
    </w:p>
    <w:p w14:paraId="485FD77E">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土壤环境评价工作等级及范围</w:t>
      </w:r>
    </w:p>
    <w:p w14:paraId="0B123E3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影响类型判定</w:t>
      </w:r>
    </w:p>
    <w:p w14:paraId="168C0D4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土壤环境（试行）》（HJ964-2018）</w:t>
      </w:r>
      <w:r>
        <w:rPr>
          <w:rFonts w:hint="eastAsia" w:cs="Times New Roman"/>
          <w:color w:val="000000" w:themeColor="text1"/>
          <w:lang w:eastAsia="zh-CN"/>
          <w14:textFill>
            <w14:solidFill>
              <w14:schemeClr w14:val="tx1"/>
            </w14:solidFill>
          </w14:textFill>
        </w:rPr>
        <w:t>，以</w:t>
      </w:r>
      <w:r>
        <w:rPr>
          <w:rFonts w:ascii="Times New Roman" w:hAnsi="Times New Roman" w:cs="Times New Roman"/>
          <w:color w:val="000000" w:themeColor="text1"/>
          <w14:textFill>
            <w14:solidFill>
              <w14:schemeClr w14:val="tx1"/>
            </w14:solidFill>
          </w14:textFill>
        </w:rPr>
        <w:t>及建设项目对土壤环境可能产生的影响，将土壤环境影响类别划分为生态影响型和污染影响型，其中导则所指的土壤环境生态影响重点指土壤环境的酸化、盐化和碱化等，本项目主要考虑养殖区产生的</w:t>
      </w:r>
      <w:r>
        <w:rPr>
          <w:rFonts w:hint="eastAsia" w:ascii="Times New Roman" w:hAnsi="Times New Roman" w:cs="Times New Roman"/>
          <w:color w:val="000000" w:themeColor="text1"/>
          <w:lang w:val="en-US" w:eastAsia="zh-CN"/>
          <w14:textFill>
            <w14:solidFill>
              <w14:schemeClr w14:val="tx1"/>
            </w14:solidFill>
          </w14:textFill>
        </w:rPr>
        <w:t>家禽</w:t>
      </w:r>
      <w:r>
        <w:rPr>
          <w:rFonts w:hint="eastAsia" w:ascii="Times New Roman" w:hAnsi="Times New Roman" w:cs="Times New Roman"/>
          <w:color w:val="000000" w:themeColor="text1"/>
          <w:lang w:eastAsia="zh-CN"/>
          <w14:textFill>
            <w14:solidFill>
              <w14:schemeClr w14:val="tx1"/>
            </w14:solidFill>
          </w14:textFill>
        </w:rPr>
        <w:t>粪</w:t>
      </w:r>
      <w:r>
        <w:rPr>
          <w:rFonts w:ascii="Times New Roman" w:hAnsi="Times New Roman" w:cs="Times New Roman"/>
          <w:color w:val="000000" w:themeColor="text1"/>
          <w14:textFill>
            <w14:solidFill>
              <w14:schemeClr w14:val="tx1"/>
            </w14:solidFill>
          </w14:textFill>
        </w:rPr>
        <w:t>对土壤的影响，属于污染影响类项目。</w:t>
      </w:r>
    </w:p>
    <w:p w14:paraId="5839861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占地规模类型判定</w:t>
      </w:r>
    </w:p>
    <w:p w14:paraId="4F452C3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按永久占地的面积分为：大型、中型、小型。</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项目总占地面积</w:t>
      </w:r>
      <w:r>
        <w:rPr>
          <w:rFonts w:hint="eastAsia" w:cs="Times New Roman"/>
          <w:color w:val="000000" w:themeColor="text1"/>
          <w:lang w:val="en-US" w:eastAsia="zh-CN"/>
          <w14:textFill>
            <w14:solidFill>
              <w14:schemeClr w14:val="tx1"/>
            </w14:solidFill>
          </w14:textFill>
        </w:rPr>
        <w:t>13.38</w:t>
      </w:r>
      <w:r>
        <w:rPr>
          <w:rFonts w:hint="eastAsia" w:ascii="Times New Roman" w:hAnsi="Times New Roman" w:cs="Times New Roman"/>
          <w:color w:val="000000" w:themeColor="text1"/>
          <w:lang w:val="en-US" w:eastAsia="zh-CN"/>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，在</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50hm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范围内，因此本项目占地规模判定为</w:t>
      </w:r>
      <w:r>
        <w:rPr>
          <w:rFonts w:hint="eastAsia" w:ascii="Times New Roman" w:hAnsi="Times New Roman" w:cs="Times New Roman"/>
          <w:color w:val="000000" w:themeColor="text1"/>
          <w:lang w:val="en-US" w:eastAsia="zh-CN"/>
          <w14:textFill>
            <w14:solidFill>
              <w14:schemeClr w14:val="tx1"/>
            </w14:solidFill>
          </w14:textFill>
        </w:rPr>
        <w:t>中</w:t>
      </w:r>
      <w:r>
        <w:rPr>
          <w:rFonts w:ascii="Times New Roman" w:hAnsi="Times New Roman" w:cs="Times New Roman"/>
          <w:color w:val="000000" w:themeColor="text1"/>
          <w14:textFill>
            <w14:solidFill>
              <w14:schemeClr w14:val="tx1"/>
            </w14:solidFill>
          </w14:textFill>
        </w:rPr>
        <w:t>型。</w:t>
      </w:r>
    </w:p>
    <w:p w14:paraId="51D4A1B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3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土壤环境敏感程度判定</w:t>
      </w:r>
    </w:p>
    <w:p w14:paraId="7525880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土壤环境（试行）》（HJ964-2018）表3确定建设项目所在地周边土壤环境敏感程度分为敏感、较敏感、不敏感，分级原则见表2.5-8。</w:t>
      </w:r>
    </w:p>
    <w:p w14:paraId="61C44CAC">
      <w:pPr>
        <w:pStyle w:val="61"/>
        <w:spacing w:beforeLines="0" w:afterLines="0"/>
        <w:rPr>
          <w:rFonts w:ascii="Times New Roman" w:hAnsi="Times New Roman" w:cs="Times New Roman"/>
          <w:color w:val="000000" w:themeColor="text1"/>
          <w:lang w:val="zh-CN"/>
          <w14:textFill>
            <w14:solidFill>
              <w14:schemeClr w14:val="tx1"/>
            </w14:solidFill>
          </w14:textFill>
        </w:rPr>
      </w:pPr>
      <w:r>
        <w:rPr>
          <w:rFonts w:ascii="Times New Roman" w:hAnsi="Times New Roman" w:eastAsia="宋体" w:cs="Times New Roman"/>
          <w:b/>
          <w:bCs/>
          <w:color w:val="000000" w:themeColor="text1"/>
          <w:lang w:val="zh-CN"/>
          <w14:textFill>
            <w14:solidFill>
              <w14:schemeClr w14:val="tx1"/>
            </w14:solidFill>
          </w14:textFill>
        </w:rPr>
        <w:t>表2.5-</w:t>
      </w:r>
      <w:r>
        <w:rPr>
          <w:rFonts w:ascii="Times New Roman" w:hAnsi="Times New Roman" w:eastAsia="宋体" w:cs="Times New Roman"/>
          <w:b/>
          <w:bCs/>
          <w:color w:val="000000" w:themeColor="text1"/>
          <w14:textFill>
            <w14:solidFill>
              <w14:schemeClr w14:val="tx1"/>
            </w14:solidFill>
          </w14:textFill>
        </w:rPr>
        <w:t>8</w:t>
      </w:r>
      <w:r>
        <w:rPr>
          <w:rFonts w:ascii="Times New Roman" w:hAnsi="Times New Roman" w:eastAsia="宋体" w:cs="Times New Roman"/>
          <w:b/>
          <w:bCs/>
          <w:color w:val="000000" w:themeColor="text1"/>
          <w:lang w:val="zh-CN"/>
          <w14:textFill>
            <w14:solidFill>
              <w14:schemeClr w14:val="tx1"/>
            </w14:solidFill>
          </w14:textFill>
        </w:rPr>
        <w:t xml:space="preserve">    污染影响型敏感程度分级</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20"/>
        <w:gridCol w:w="7524"/>
      </w:tblGrid>
      <w:tr w14:paraId="0FA520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46C55833">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敏感程度</w:t>
            </w:r>
          </w:p>
        </w:tc>
        <w:tc>
          <w:tcPr>
            <w:tcW w:w="7524" w:type="dxa"/>
            <w:tcBorders>
              <w:tl2br w:val="nil"/>
              <w:tr2bl w:val="nil"/>
            </w:tcBorders>
            <w:vAlign w:val="center"/>
          </w:tcPr>
          <w:p w14:paraId="5BA0978D">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判别依据</w:t>
            </w:r>
          </w:p>
        </w:tc>
      </w:tr>
      <w:tr w14:paraId="69DA54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0D86E7C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敏感</w:t>
            </w:r>
          </w:p>
        </w:tc>
        <w:tc>
          <w:tcPr>
            <w:tcW w:w="7524" w:type="dxa"/>
            <w:tcBorders>
              <w:tl2br w:val="nil"/>
              <w:tr2bl w:val="nil"/>
            </w:tcBorders>
            <w:vAlign w:val="center"/>
          </w:tcPr>
          <w:p w14:paraId="270E38A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建设项目周边存在耕地、园地、牧草地、饮用水水源或居民区、学校、医院、疗养院等土壤环境敏感目标的</w:t>
            </w:r>
          </w:p>
        </w:tc>
      </w:tr>
      <w:tr w14:paraId="2F595D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26A165F4">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较敏感</w:t>
            </w:r>
          </w:p>
        </w:tc>
        <w:tc>
          <w:tcPr>
            <w:tcW w:w="7524" w:type="dxa"/>
            <w:tcBorders>
              <w:tl2br w:val="nil"/>
              <w:tr2bl w:val="nil"/>
            </w:tcBorders>
            <w:vAlign w:val="center"/>
          </w:tcPr>
          <w:p w14:paraId="0BA60E27">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建设项目周边存在其他土壤环境敏感目标的</w:t>
            </w:r>
          </w:p>
        </w:tc>
      </w:tr>
      <w:tr w14:paraId="7C9C20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320" w:type="dxa"/>
            <w:tcBorders>
              <w:tl2br w:val="nil"/>
              <w:tr2bl w:val="nil"/>
            </w:tcBorders>
            <w:vAlign w:val="center"/>
          </w:tcPr>
          <w:p w14:paraId="043131C9">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不敏感</w:t>
            </w:r>
          </w:p>
        </w:tc>
        <w:tc>
          <w:tcPr>
            <w:tcW w:w="7524" w:type="dxa"/>
            <w:tcBorders>
              <w:tl2br w:val="nil"/>
              <w:tr2bl w:val="nil"/>
            </w:tcBorders>
            <w:vAlign w:val="center"/>
          </w:tcPr>
          <w:p w14:paraId="42B8F279">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其他情况</w:t>
            </w:r>
          </w:p>
        </w:tc>
      </w:tr>
    </w:tbl>
    <w:p w14:paraId="31B23F5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950m有农户1户，附近其他土地均为塔克尔穆库尔沙地，可判定项目评价范围内无上述敏感目标，</w:t>
      </w:r>
      <w:r>
        <w:rPr>
          <w:rFonts w:ascii="Times New Roman" w:hAnsi="Times New Roman" w:cs="Times New Roman"/>
          <w:color w:val="000000" w:themeColor="text1"/>
          <w14:textFill>
            <w14:solidFill>
              <w14:schemeClr w14:val="tx1"/>
            </w14:solidFill>
          </w14:textFill>
        </w:rPr>
        <w:t>因此本项目敏感程度属于</w:t>
      </w:r>
      <w:r>
        <w:rPr>
          <w:rFonts w:hint="eastAsia" w:cs="Times New Roman"/>
          <w:color w:val="000000" w:themeColor="text1"/>
          <w:lang w:val="en-US" w:eastAsia="zh-CN"/>
          <w14:textFill>
            <w14:solidFill>
              <w14:schemeClr w14:val="tx1"/>
            </w14:solidFill>
          </w14:textFill>
        </w:rPr>
        <w:t>不</w:t>
      </w:r>
      <w:r>
        <w:rPr>
          <w:rFonts w:ascii="Times New Roman" w:hAnsi="Times New Roman" w:cs="Times New Roman"/>
          <w:color w:val="000000" w:themeColor="text1"/>
          <w14:textFill>
            <w14:solidFill>
              <w14:schemeClr w14:val="tx1"/>
            </w14:solidFill>
          </w14:textFill>
        </w:rPr>
        <w:t>敏感</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污染类项目三级评价范围50m</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14:paraId="09D2482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4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土壤环境影响评价项目类别判定</w:t>
      </w:r>
    </w:p>
    <w:p w14:paraId="0594B00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本项目为畜禽养殖场建设项目，根据《环境影响评价技术导则 土壤环境（试行）》（HJ964-2018）中附录A土壤环境影响评价项目类别表，本项目为农林牧渔业中年出栏生猪5000头（其他畜禽种类折合猪的养殖规模）及以上的畜禽养殖场或养殖小区，</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w:t>
      </w:r>
      <w:r>
        <w:rPr>
          <w:rFonts w:hint="eastAsia" w:ascii="Times New Roman" w:hAnsi="Times New Roman" w:cs="Times New Roman"/>
          <w:color w:val="000000" w:themeColor="text1"/>
          <w:lang w:val="en-US" w:eastAsia="zh-CN"/>
          <w14:textFill>
            <w14:solidFill>
              <w14:schemeClr w14:val="tx1"/>
            </w14:solidFill>
          </w14:textFill>
        </w:rPr>
        <w:t>总计</w:t>
      </w:r>
      <w:r>
        <w:rPr>
          <w:rFonts w:hint="eastAsia" w:cs="Times New Roman"/>
          <w:color w:val="000000" w:themeColor="text1"/>
          <w:lang w:val="en-US" w:eastAsia="zh-CN"/>
          <w14:textFill>
            <w14:solidFill>
              <w14:schemeClr w14:val="tx1"/>
            </w14:solidFill>
          </w14:textFill>
        </w:rPr>
        <w:t>存栏</w:t>
      </w:r>
      <w:r>
        <w:rPr>
          <w:rFonts w:ascii="Times New Roman" w:hAnsi="Times New Roman" w:cs="Times New Roman"/>
          <w:color w:val="000000" w:themeColor="text1"/>
          <w14:textFill>
            <w14:solidFill>
              <w14:schemeClr w14:val="tx1"/>
            </w14:solidFill>
          </w14:textFill>
        </w:rPr>
        <w:t>量</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lang w:val="en-US" w:eastAsia="zh-CN"/>
          <w14:textFill>
            <w14:solidFill>
              <w14:schemeClr w14:val="tx1"/>
            </w14:solidFill>
          </w14:textFill>
        </w:rPr>
        <w:t>万只种鸭</w:t>
      </w:r>
      <w:r>
        <w:rPr>
          <w:rFonts w:ascii="Times New Roman" w:hAnsi="Times New Roman" w:cs="Times New Roman"/>
          <w:color w:val="000000" w:themeColor="text1"/>
          <w14:textFill>
            <w14:solidFill>
              <w14:schemeClr w14:val="tx1"/>
            </w14:solidFill>
          </w14:textFill>
        </w:rPr>
        <w:t>，折合成生猪为</w:t>
      </w:r>
      <w:r>
        <w:rPr>
          <w:rFonts w:hint="eastAsia" w:cs="Times New Roman"/>
          <w:color w:val="000000" w:themeColor="text1"/>
          <w:lang w:val="en-US" w:eastAsia="zh-CN"/>
          <w14:textFill>
            <w14:solidFill>
              <w14:schemeClr w14:val="tx1"/>
            </w14:solidFill>
          </w14:textFill>
        </w:rPr>
        <w:t>6000</w:t>
      </w:r>
      <w:r>
        <w:rPr>
          <w:rFonts w:ascii="Times New Roman" w:hAnsi="Times New Roman" w:cs="Times New Roman"/>
          <w:color w:val="000000" w:themeColor="text1"/>
          <w14:textFill>
            <w14:solidFill>
              <w14:schemeClr w14:val="tx1"/>
            </w14:solidFill>
          </w14:textFill>
        </w:rPr>
        <w:t>头，属于Ⅲ类建设项目。</w:t>
      </w:r>
    </w:p>
    <w:p w14:paraId="0E32167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5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⑤</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土壤环境评价等级判定</w:t>
      </w:r>
    </w:p>
    <w:p w14:paraId="2516FB8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根据土壤环境影响评价项目类别、占地规模与敏感程度划分评价工作等级，详见表2.5-9。</w:t>
      </w:r>
    </w:p>
    <w:p w14:paraId="524119AA">
      <w:pPr>
        <w:pStyle w:val="61"/>
        <w:spacing w:beforeLines="0" w:afterLines="0"/>
        <w:rPr>
          <w:rFonts w:ascii="Times New Roman" w:hAnsi="Times New Roman" w:eastAsia="宋体" w:cs="Times New Roman"/>
          <w:b/>
          <w:bCs/>
          <w:color w:val="000000" w:themeColor="text1"/>
          <w:lang w:val="zh-CN"/>
          <w14:textFill>
            <w14:solidFill>
              <w14:schemeClr w14:val="tx1"/>
            </w14:solidFill>
          </w14:textFill>
        </w:rPr>
      </w:pPr>
      <w:r>
        <w:rPr>
          <w:rFonts w:ascii="Times New Roman" w:hAnsi="Times New Roman" w:eastAsia="宋体" w:cs="Times New Roman"/>
          <w:b/>
          <w:bCs/>
          <w:color w:val="000000" w:themeColor="text1"/>
          <w:lang w:val="zh-CN"/>
          <w14:textFill>
            <w14:solidFill>
              <w14:schemeClr w14:val="tx1"/>
            </w14:solidFill>
          </w14:textFill>
        </w:rPr>
        <w:t>表2.5</w:t>
      </w:r>
      <w:r>
        <w:rPr>
          <w:rFonts w:ascii="Times New Roman" w:hAnsi="Times New Roman" w:eastAsia="宋体" w:cs="Times New Roman"/>
          <w:b/>
          <w:bCs/>
          <w:color w:val="000000" w:themeColor="text1"/>
          <w14:textFill>
            <w14:solidFill>
              <w14:schemeClr w14:val="tx1"/>
            </w14:solidFill>
          </w14:textFill>
        </w:rPr>
        <w:t>-9</w:t>
      </w:r>
      <w:r>
        <w:rPr>
          <w:rFonts w:ascii="Times New Roman" w:hAnsi="Times New Roman" w:eastAsia="宋体" w:cs="Times New Roman"/>
          <w:b/>
          <w:bCs/>
          <w:color w:val="000000" w:themeColor="text1"/>
          <w:lang w:val="zh-CN"/>
          <w14:textFill>
            <w14:solidFill>
              <w14:schemeClr w14:val="tx1"/>
            </w14:solidFill>
          </w14:textFill>
        </w:rPr>
        <w:t xml:space="preserve">    污染影响型评价工作等级划分表</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65"/>
        <w:gridCol w:w="760"/>
        <w:gridCol w:w="806"/>
        <w:gridCol w:w="699"/>
        <w:gridCol w:w="823"/>
        <w:gridCol w:w="709"/>
        <w:gridCol w:w="733"/>
        <w:gridCol w:w="726"/>
        <w:gridCol w:w="749"/>
        <w:gridCol w:w="790"/>
      </w:tblGrid>
      <w:tr w14:paraId="3C87F5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vMerge w:val="restart"/>
            <w:tcBorders>
              <w:tl2br w:val="nil"/>
              <w:tr2bl w:val="nil"/>
            </w:tcBorders>
            <w:vAlign w:val="center"/>
          </w:tcPr>
          <w:p w14:paraId="0C945B92">
            <w:pPr>
              <w:pStyle w:val="56"/>
              <w:jc w:val="center"/>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敏感程度</w:t>
            </w:r>
          </w:p>
          <w:p w14:paraId="2932756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评价工作等级</w:t>
            </w:r>
          </w:p>
          <w:p w14:paraId="7EA1276C">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敏感程</w:t>
            </w:r>
          </w:p>
          <w:p w14:paraId="2B53358D">
            <w:pPr>
              <w:pStyle w:val="56"/>
              <w:jc w:val="center"/>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评价等级</w:t>
            </w:r>
          </w:p>
          <w:p w14:paraId="171D32F5">
            <w:pPr>
              <w:pStyle w:val="56"/>
              <w:jc w:val="center"/>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占地规模</w:t>
            </w:r>
          </w:p>
        </w:tc>
        <w:tc>
          <w:tcPr>
            <w:tcW w:w="2265" w:type="dxa"/>
            <w:gridSpan w:val="3"/>
            <w:tcBorders>
              <w:tl2br w:val="nil"/>
              <w:tr2bl w:val="nil"/>
            </w:tcBorders>
            <w:vAlign w:val="center"/>
          </w:tcPr>
          <w:p w14:paraId="59EC3C6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Ⅰ类</w:t>
            </w:r>
          </w:p>
        </w:tc>
        <w:tc>
          <w:tcPr>
            <w:tcW w:w="2265" w:type="dxa"/>
            <w:gridSpan w:val="3"/>
            <w:tcBorders>
              <w:tl2br w:val="nil"/>
              <w:tr2bl w:val="nil"/>
            </w:tcBorders>
            <w:vAlign w:val="center"/>
          </w:tcPr>
          <w:p w14:paraId="0109D6DF">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Ⅱ类</w:t>
            </w:r>
          </w:p>
        </w:tc>
        <w:tc>
          <w:tcPr>
            <w:tcW w:w="2265" w:type="dxa"/>
            <w:gridSpan w:val="3"/>
            <w:tcBorders>
              <w:tl2br w:val="nil"/>
              <w:tr2bl w:val="nil"/>
            </w:tcBorders>
            <w:vAlign w:val="center"/>
          </w:tcPr>
          <w:p w14:paraId="6771BF25">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Ⅲ类</w:t>
            </w:r>
          </w:p>
        </w:tc>
      </w:tr>
      <w:tr w14:paraId="303677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4" w:hRule="atLeast"/>
          <w:jc w:val="center"/>
        </w:trPr>
        <w:tc>
          <w:tcPr>
            <w:tcW w:w="2265" w:type="dxa"/>
            <w:vMerge w:val="continue"/>
            <w:tcBorders>
              <w:tl2br w:val="nil"/>
              <w:tr2bl w:val="nil"/>
            </w:tcBorders>
            <w:vAlign w:val="center"/>
          </w:tcPr>
          <w:p w14:paraId="62D334FB">
            <w:pPr>
              <w:pStyle w:val="56"/>
              <w:jc w:val="center"/>
              <w:rPr>
                <w:rFonts w:ascii="Times New Roman" w:hAnsi="Times New Roman"/>
                <w:color w:val="000000" w:themeColor="text1"/>
                <w:szCs w:val="21"/>
                <w14:textFill>
                  <w14:solidFill>
                    <w14:schemeClr w14:val="tx1"/>
                  </w14:solidFill>
                </w14:textFill>
              </w:rPr>
            </w:pPr>
          </w:p>
        </w:tc>
        <w:tc>
          <w:tcPr>
            <w:tcW w:w="760" w:type="dxa"/>
            <w:tcBorders>
              <w:tl2br w:val="nil"/>
              <w:tr2bl w:val="nil"/>
            </w:tcBorders>
            <w:vAlign w:val="center"/>
          </w:tcPr>
          <w:p w14:paraId="65C1D7D0">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大</w:t>
            </w:r>
          </w:p>
        </w:tc>
        <w:tc>
          <w:tcPr>
            <w:tcW w:w="806" w:type="dxa"/>
            <w:tcBorders>
              <w:tl2br w:val="nil"/>
              <w:tr2bl w:val="nil"/>
            </w:tcBorders>
            <w:vAlign w:val="center"/>
          </w:tcPr>
          <w:p w14:paraId="348E1D7B">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中</w:t>
            </w:r>
          </w:p>
        </w:tc>
        <w:tc>
          <w:tcPr>
            <w:tcW w:w="699" w:type="dxa"/>
            <w:tcBorders>
              <w:tl2br w:val="nil"/>
              <w:tr2bl w:val="nil"/>
            </w:tcBorders>
            <w:vAlign w:val="center"/>
          </w:tcPr>
          <w:p w14:paraId="2AE13D31">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小</w:t>
            </w:r>
          </w:p>
        </w:tc>
        <w:tc>
          <w:tcPr>
            <w:tcW w:w="823" w:type="dxa"/>
            <w:tcBorders>
              <w:tl2br w:val="nil"/>
              <w:tr2bl w:val="nil"/>
            </w:tcBorders>
            <w:vAlign w:val="center"/>
          </w:tcPr>
          <w:p w14:paraId="5F305C11">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大</w:t>
            </w:r>
          </w:p>
        </w:tc>
        <w:tc>
          <w:tcPr>
            <w:tcW w:w="709" w:type="dxa"/>
            <w:tcBorders>
              <w:tl2br w:val="nil"/>
              <w:tr2bl w:val="nil"/>
            </w:tcBorders>
            <w:vAlign w:val="center"/>
          </w:tcPr>
          <w:p w14:paraId="788AC97E">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中</w:t>
            </w:r>
          </w:p>
        </w:tc>
        <w:tc>
          <w:tcPr>
            <w:tcW w:w="733" w:type="dxa"/>
            <w:tcBorders>
              <w:tl2br w:val="nil"/>
              <w:tr2bl w:val="nil"/>
            </w:tcBorders>
            <w:vAlign w:val="center"/>
          </w:tcPr>
          <w:p w14:paraId="0145812C">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小</w:t>
            </w:r>
          </w:p>
        </w:tc>
        <w:tc>
          <w:tcPr>
            <w:tcW w:w="726" w:type="dxa"/>
            <w:tcBorders>
              <w:tl2br w:val="nil"/>
              <w:tr2bl w:val="nil"/>
            </w:tcBorders>
            <w:vAlign w:val="center"/>
          </w:tcPr>
          <w:p w14:paraId="5121E69C">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大</w:t>
            </w:r>
          </w:p>
        </w:tc>
        <w:tc>
          <w:tcPr>
            <w:tcW w:w="749" w:type="dxa"/>
            <w:tcBorders>
              <w:tl2br w:val="nil"/>
              <w:tr2bl w:val="nil"/>
            </w:tcBorders>
            <w:vAlign w:val="center"/>
          </w:tcPr>
          <w:p w14:paraId="21B71BF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中</w:t>
            </w:r>
          </w:p>
        </w:tc>
        <w:tc>
          <w:tcPr>
            <w:tcW w:w="790" w:type="dxa"/>
            <w:tcBorders>
              <w:tl2br w:val="nil"/>
              <w:tr2bl w:val="nil"/>
            </w:tcBorders>
            <w:vAlign w:val="center"/>
          </w:tcPr>
          <w:p w14:paraId="01D289DD">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小</w:t>
            </w:r>
          </w:p>
        </w:tc>
      </w:tr>
      <w:tr w14:paraId="026A5B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tcBorders>
              <w:tl2br w:val="nil"/>
              <w:tr2bl w:val="nil"/>
            </w:tcBorders>
            <w:vAlign w:val="center"/>
          </w:tcPr>
          <w:p w14:paraId="494E3891">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敏感</w:t>
            </w:r>
          </w:p>
        </w:tc>
        <w:tc>
          <w:tcPr>
            <w:tcW w:w="760" w:type="dxa"/>
            <w:tcBorders>
              <w:tl2br w:val="nil"/>
              <w:tr2bl w:val="nil"/>
            </w:tcBorders>
            <w:vAlign w:val="center"/>
          </w:tcPr>
          <w:p w14:paraId="79A9E2A3">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一级</w:t>
            </w:r>
          </w:p>
        </w:tc>
        <w:tc>
          <w:tcPr>
            <w:tcW w:w="806" w:type="dxa"/>
            <w:tcBorders>
              <w:tl2br w:val="nil"/>
              <w:tr2bl w:val="nil"/>
            </w:tcBorders>
            <w:vAlign w:val="center"/>
          </w:tcPr>
          <w:p w14:paraId="2536245F">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一级</w:t>
            </w:r>
          </w:p>
        </w:tc>
        <w:tc>
          <w:tcPr>
            <w:tcW w:w="699" w:type="dxa"/>
            <w:tcBorders>
              <w:tl2br w:val="nil"/>
              <w:tr2bl w:val="nil"/>
            </w:tcBorders>
            <w:vAlign w:val="center"/>
          </w:tcPr>
          <w:p w14:paraId="4C2A310D">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一级</w:t>
            </w:r>
          </w:p>
        </w:tc>
        <w:tc>
          <w:tcPr>
            <w:tcW w:w="823" w:type="dxa"/>
            <w:tcBorders>
              <w:tl2br w:val="nil"/>
              <w:tr2bl w:val="nil"/>
            </w:tcBorders>
            <w:vAlign w:val="center"/>
          </w:tcPr>
          <w:p w14:paraId="7B4CBDA7">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09" w:type="dxa"/>
            <w:tcBorders>
              <w:tl2br w:val="nil"/>
              <w:tr2bl w:val="nil"/>
            </w:tcBorders>
            <w:vAlign w:val="center"/>
          </w:tcPr>
          <w:p w14:paraId="5C599EA2">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33" w:type="dxa"/>
            <w:tcBorders>
              <w:tl2br w:val="nil"/>
              <w:tr2bl w:val="nil"/>
            </w:tcBorders>
            <w:vAlign w:val="center"/>
          </w:tcPr>
          <w:p w14:paraId="32B8ADE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26" w:type="dxa"/>
            <w:tcBorders>
              <w:tl2br w:val="nil"/>
              <w:tr2bl w:val="nil"/>
            </w:tcBorders>
            <w:vAlign w:val="center"/>
          </w:tcPr>
          <w:p w14:paraId="7A0C784B">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w:t>
            </w:r>
          </w:p>
        </w:tc>
        <w:tc>
          <w:tcPr>
            <w:tcW w:w="749" w:type="dxa"/>
            <w:tcBorders>
              <w:tl2br w:val="nil"/>
              <w:tr2bl w:val="nil"/>
            </w:tcBorders>
            <w:vAlign w:val="center"/>
          </w:tcPr>
          <w:p w14:paraId="4ACB561D">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w:t>
            </w:r>
          </w:p>
        </w:tc>
        <w:tc>
          <w:tcPr>
            <w:tcW w:w="790" w:type="dxa"/>
            <w:tcBorders>
              <w:tl2br w:val="nil"/>
              <w:tr2bl w:val="nil"/>
            </w:tcBorders>
            <w:vAlign w:val="center"/>
          </w:tcPr>
          <w:p w14:paraId="0892A52F">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w:t>
            </w:r>
          </w:p>
        </w:tc>
      </w:tr>
      <w:tr w14:paraId="117466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tcBorders>
              <w:tl2br w:val="nil"/>
              <w:tr2bl w:val="nil"/>
            </w:tcBorders>
            <w:vAlign w:val="center"/>
          </w:tcPr>
          <w:p w14:paraId="6F6A2750">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较敏感</w:t>
            </w:r>
          </w:p>
        </w:tc>
        <w:tc>
          <w:tcPr>
            <w:tcW w:w="760" w:type="dxa"/>
            <w:tcBorders>
              <w:tl2br w:val="nil"/>
              <w:tr2bl w:val="nil"/>
            </w:tcBorders>
            <w:vAlign w:val="center"/>
          </w:tcPr>
          <w:p w14:paraId="02FFD0B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一级</w:t>
            </w:r>
          </w:p>
        </w:tc>
        <w:tc>
          <w:tcPr>
            <w:tcW w:w="806" w:type="dxa"/>
            <w:tcBorders>
              <w:tl2br w:val="nil"/>
              <w:tr2bl w:val="nil"/>
            </w:tcBorders>
            <w:vAlign w:val="center"/>
          </w:tcPr>
          <w:p w14:paraId="71E5D573">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一级</w:t>
            </w:r>
          </w:p>
        </w:tc>
        <w:tc>
          <w:tcPr>
            <w:tcW w:w="699" w:type="dxa"/>
            <w:tcBorders>
              <w:tl2br w:val="nil"/>
              <w:tr2bl w:val="nil"/>
            </w:tcBorders>
            <w:vAlign w:val="center"/>
          </w:tcPr>
          <w:p w14:paraId="0150DA9C">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823" w:type="dxa"/>
            <w:tcBorders>
              <w:tl2br w:val="nil"/>
              <w:tr2bl w:val="nil"/>
            </w:tcBorders>
            <w:vAlign w:val="center"/>
          </w:tcPr>
          <w:p w14:paraId="57D10332">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09" w:type="dxa"/>
            <w:tcBorders>
              <w:tl2br w:val="nil"/>
              <w:tr2bl w:val="nil"/>
            </w:tcBorders>
            <w:vAlign w:val="center"/>
          </w:tcPr>
          <w:p w14:paraId="59C9B04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33" w:type="dxa"/>
            <w:tcBorders>
              <w:tl2br w:val="nil"/>
              <w:tr2bl w:val="nil"/>
            </w:tcBorders>
            <w:vAlign w:val="center"/>
          </w:tcPr>
          <w:p w14:paraId="7D55A7AE">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26" w:type="dxa"/>
            <w:tcBorders>
              <w:tl2br w:val="nil"/>
              <w:tr2bl w:val="nil"/>
            </w:tcBorders>
            <w:vAlign w:val="center"/>
          </w:tcPr>
          <w:p w14:paraId="7550B3C4">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w:t>
            </w:r>
          </w:p>
        </w:tc>
        <w:tc>
          <w:tcPr>
            <w:tcW w:w="749" w:type="dxa"/>
            <w:tcBorders>
              <w:tl2br w:val="nil"/>
              <w:tr2bl w:val="nil"/>
            </w:tcBorders>
            <w:vAlign w:val="center"/>
          </w:tcPr>
          <w:p w14:paraId="11287964">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w:t>
            </w:r>
          </w:p>
        </w:tc>
        <w:tc>
          <w:tcPr>
            <w:tcW w:w="790" w:type="dxa"/>
            <w:tcBorders>
              <w:tl2br w:val="nil"/>
              <w:tr2bl w:val="nil"/>
            </w:tcBorders>
            <w:vAlign w:val="center"/>
          </w:tcPr>
          <w:p w14:paraId="4BE64143">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14:paraId="4815F9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2265" w:type="dxa"/>
            <w:tcBorders>
              <w:tl2br w:val="nil"/>
              <w:tr2bl w:val="nil"/>
            </w:tcBorders>
            <w:vAlign w:val="center"/>
          </w:tcPr>
          <w:p w14:paraId="600CEFBE">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不敏感</w:t>
            </w:r>
          </w:p>
        </w:tc>
        <w:tc>
          <w:tcPr>
            <w:tcW w:w="760" w:type="dxa"/>
            <w:tcBorders>
              <w:tl2br w:val="nil"/>
              <w:tr2bl w:val="nil"/>
            </w:tcBorders>
            <w:vAlign w:val="center"/>
          </w:tcPr>
          <w:p w14:paraId="3A8A84D9">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一级</w:t>
            </w:r>
          </w:p>
        </w:tc>
        <w:tc>
          <w:tcPr>
            <w:tcW w:w="806" w:type="dxa"/>
            <w:tcBorders>
              <w:tl2br w:val="nil"/>
              <w:tr2bl w:val="nil"/>
            </w:tcBorders>
            <w:vAlign w:val="center"/>
          </w:tcPr>
          <w:p w14:paraId="0D5771B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699" w:type="dxa"/>
            <w:tcBorders>
              <w:tl2br w:val="nil"/>
              <w:tr2bl w:val="nil"/>
            </w:tcBorders>
            <w:vAlign w:val="center"/>
          </w:tcPr>
          <w:p w14:paraId="706ECFEE">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823" w:type="dxa"/>
            <w:tcBorders>
              <w:tl2br w:val="nil"/>
              <w:tr2bl w:val="nil"/>
            </w:tcBorders>
            <w:vAlign w:val="center"/>
          </w:tcPr>
          <w:p w14:paraId="3E40E2EB">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09" w:type="dxa"/>
            <w:tcBorders>
              <w:tl2br w:val="nil"/>
              <w:tr2bl w:val="nil"/>
            </w:tcBorders>
            <w:vAlign w:val="center"/>
          </w:tcPr>
          <w:p w14:paraId="572AD01A">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w:t>
            </w:r>
          </w:p>
        </w:tc>
        <w:tc>
          <w:tcPr>
            <w:tcW w:w="733" w:type="dxa"/>
            <w:tcBorders>
              <w:tl2br w:val="nil"/>
              <w:tr2bl w:val="nil"/>
            </w:tcBorders>
            <w:vAlign w:val="center"/>
          </w:tcPr>
          <w:p w14:paraId="45115025">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w:t>
            </w:r>
          </w:p>
        </w:tc>
        <w:tc>
          <w:tcPr>
            <w:tcW w:w="726" w:type="dxa"/>
            <w:tcBorders>
              <w:tl2br w:val="nil"/>
              <w:tr2bl w:val="nil"/>
            </w:tcBorders>
            <w:vAlign w:val="center"/>
          </w:tcPr>
          <w:p w14:paraId="44D43883">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w:t>
            </w:r>
          </w:p>
        </w:tc>
        <w:tc>
          <w:tcPr>
            <w:tcW w:w="749" w:type="dxa"/>
            <w:tcBorders>
              <w:tl2br w:val="nil"/>
              <w:tr2bl w:val="nil"/>
            </w:tcBorders>
            <w:vAlign w:val="center"/>
          </w:tcPr>
          <w:p w14:paraId="44963B60">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790" w:type="dxa"/>
            <w:tcBorders>
              <w:tl2br w:val="nil"/>
              <w:tr2bl w:val="nil"/>
            </w:tcBorders>
            <w:vAlign w:val="center"/>
          </w:tcPr>
          <w:p w14:paraId="40DE8287">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14:paraId="095E87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9060" w:type="dxa"/>
            <w:gridSpan w:val="10"/>
            <w:tcBorders>
              <w:tl2br w:val="nil"/>
              <w:tr2bl w:val="nil"/>
            </w:tcBorders>
            <w:vAlign w:val="center"/>
          </w:tcPr>
          <w:p w14:paraId="01B6C6C4">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注：“</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”表示可不开展土壤环境影响评价工作。</w:t>
            </w:r>
          </w:p>
        </w:tc>
      </w:tr>
    </w:tbl>
    <w:p w14:paraId="522B63A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土壤环境（试行）》（HJ964-2018）确定本项目为III类建设项目，占地规模为</w:t>
      </w:r>
      <w:r>
        <w:rPr>
          <w:rFonts w:hint="eastAsia" w:ascii="Times New Roman" w:hAnsi="Times New Roman" w:cs="Times New Roman"/>
          <w:color w:val="000000" w:themeColor="text1"/>
          <w:lang w:val="en-US" w:eastAsia="zh-CN"/>
          <w14:textFill>
            <w14:solidFill>
              <w14:schemeClr w14:val="tx1"/>
            </w14:solidFill>
          </w14:textFill>
        </w:rPr>
        <w:t>中</w:t>
      </w:r>
      <w:r>
        <w:rPr>
          <w:rFonts w:ascii="Times New Roman" w:hAnsi="Times New Roman" w:cs="Times New Roman"/>
          <w:color w:val="000000" w:themeColor="text1"/>
          <w14:textFill>
            <w14:solidFill>
              <w14:schemeClr w14:val="tx1"/>
            </w14:solidFill>
          </w14:textFill>
        </w:rPr>
        <w:t>型，环境敏感程度为</w:t>
      </w:r>
      <w:r>
        <w:rPr>
          <w:rFonts w:hint="eastAsia" w:cs="Times New Roman"/>
          <w:color w:val="000000" w:themeColor="text1"/>
          <w:lang w:val="en-US" w:eastAsia="zh-CN"/>
          <w14:textFill>
            <w14:solidFill>
              <w14:schemeClr w14:val="tx1"/>
            </w14:solidFill>
          </w14:textFill>
        </w:rPr>
        <w:t>不</w:t>
      </w:r>
      <w:r>
        <w:rPr>
          <w:rFonts w:ascii="Times New Roman" w:hAnsi="Times New Roman" w:cs="Times New Roman"/>
          <w:color w:val="000000" w:themeColor="text1"/>
          <w14:textFill>
            <w14:solidFill>
              <w14:schemeClr w14:val="tx1"/>
            </w14:solidFill>
          </w14:textFill>
        </w:rPr>
        <w:t>敏感，</w:t>
      </w:r>
      <w:r>
        <w:rPr>
          <w:rFonts w:hint="eastAsia" w:cs="Times New Roman"/>
          <w:color w:val="000000" w:themeColor="text1"/>
          <w:lang w:val="en-US" w:eastAsia="zh-CN"/>
          <w14:textFill>
            <w14:solidFill>
              <w14:schemeClr w14:val="tx1"/>
            </w14:solidFill>
          </w14:textFill>
        </w:rPr>
        <w:t>因此本项目不开展土壤环境影响评价</w:t>
      </w:r>
      <w:r>
        <w:rPr>
          <w:rFonts w:ascii="Times New Roman" w:hAnsi="Times New Roman" w:cs="Times New Roman"/>
          <w:color w:val="000000" w:themeColor="text1"/>
          <w14:textFill>
            <w14:solidFill>
              <w14:schemeClr w14:val="tx1"/>
            </w14:solidFill>
          </w14:textFill>
        </w:rPr>
        <w:t>。</w:t>
      </w:r>
    </w:p>
    <w:p w14:paraId="7E58F381">
      <w:pPr>
        <w:pStyle w:val="5"/>
        <w:ind w:left="120"/>
        <w:rPr>
          <w:rFonts w:ascii="Times New Roman" w:hAnsi="Times New Roman" w:cs="Times New Roman"/>
          <w:color w:val="000000" w:themeColor="text1"/>
          <w14:textFill>
            <w14:solidFill>
              <w14:schemeClr w14:val="tx1"/>
            </w14:solidFill>
          </w14:textFill>
        </w:rPr>
      </w:pPr>
      <w:bookmarkStart w:id="69" w:name="_Toc490417072"/>
      <w:bookmarkStart w:id="70" w:name="_Toc483491989"/>
      <w:r>
        <w:rPr>
          <w:rFonts w:ascii="Times New Roman" w:hAnsi="Times New Roman" w:cs="Times New Roman"/>
          <w:color w:val="000000" w:themeColor="text1"/>
          <w14:textFill>
            <w14:solidFill>
              <w14:schemeClr w14:val="tx1"/>
            </w14:solidFill>
          </w14:textFill>
        </w:rPr>
        <w:t>生态评价工作等级及范围</w:t>
      </w:r>
      <w:bookmarkEnd w:id="69"/>
      <w:bookmarkEnd w:id="70"/>
    </w:p>
    <w:p w14:paraId="4E2B8C8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评价等级</w:t>
      </w:r>
    </w:p>
    <w:p w14:paraId="3877971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生态影响》（HJ19—2022）规定，依据建设项目影响区域的生态敏感性和影响程度，评价等级划分为一级、二级和三级。</w:t>
      </w:r>
    </w:p>
    <w:p w14:paraId="06CB0DF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（1）涉及国家公园、自然保护区、世界自然遗产、重要生境时，评价等级为一级；</w:t>
      </w:r>
    </w:p>
    <w:p w14:paraId="5D35214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（2）涉及自然公园时，评价等级为二级；</w:t>
      </w:r>
    </w:p>
    <w:p w14:paraId="68B505D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（3）涉及生态保护红线时，评价等级不低于二级；</w:t>
      </w:r>
    </w:p>
    <w:p w14:paraId="799FAAD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（4）根据HJ2.3判断属于水文要素影响型且地表水评价等级不低于二级的建设项目，生态影响评价等级不低于二级；</w:t>
      </w:r>
    </w:p>
    <w:p w14:paraId="6319D9D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（5）根据HJ610、HJ964判断地下水水位或土壤影响范围内分布有天然林、公益林、湿地等生态保护目标的建设项目，生态影响评价等级不低于二级；</w:t>
      </w:r>
    </w:p>
    <w:p w14:paraId="32398DC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（6）当工程占地规模大于20km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时（包括永久和临时占用陆域和水域），评价等级不低于二级；改扩建项目的占地范围以新增占地（包括陆域和水域）确定；</w:t>
      </w:r>
    </w:p>
    <w:p w14:paraId="01D0007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（7）除本条（1）（2）（3）（4）（5）（6）以外的情况，评价等级为三级；</w:t>
      </w:r>
    </w:p>
    <w:p w14:paraId="1ED3C47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（8）当评价等级判定同时符合上述多种情况时，应采用其中最高的评价等级。</w:t>
      </w:r>
    </w:p>
    <w:p w14:paraId="1A9A16E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lang w:eastAsia="zh-CN"/>
          <w14:textFill>
            <w14:solidFill>
              <w14:schemeClr w14:val="tx1"/>
            </w14:solidFill>
          </w14:textFill>
        </w:rPr>
        <w:t>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w:t>
      </w:r>
      <w:r>
        <w:rPr>
          <w:rFonts w:ascii="Times New Roman" w:hAnsi="Times New Roman" w:cs="Times New Roman"/>
          <w:color w:val="000000" w:themeColor="text1"/>
          <w14:textFill>
            <w14:solidFill>
              <w14:schemeClr w14:val="tx1"/>
            </w14:solidFill>
          </w14:textFill>
        </w:rPr>
        <w:t>项目不涉及国家公园、自然保护区、世界自然遗产、重要生境，不涉及自然公园及生态保护红线；根据HJ 610、HJ 964，项目区地下水水位或土壤影响范围内无天然林、公益林</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湿地等生态保护目标分布；</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项目总占地面积</w:t>
      </w:r>
      <w:r>
        <w:rPr>
          <w:rFonts w:hint="eastAsia" w:ascii="Times New Roman" w:hAnsi="Times New Roman" w:cs="Times New Roman"/>
          <w:color w:val="000000" w:themeColor="text1"/>
          <w:lang w:val="en-US" w:eastAsia="zh-CN"/>
          <w14:textFill>
            <w14:solidFill>
              <w14:schemeClr w14:val="tx1"/>
            </w14:solidFill>
          </w14:textFill>
        </w:rPr>
        <w:t>18.9683h</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，根据《环境影响评价技术导则—生态影响》（HJ19—2022）确定本项目评价等级为三级。</w:t>
      </w:r>
    </w:p>
    <w:p w14:paraId="071391C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GB3 \* MERGEFORMAT </w:instrText>
      </w:r>
      <w:r>
        <w:rPr>
          <w:rFonts w:ascii="Times New Roman" w:hAnsi="Times New Roman" w:cs="Times New Roman"/>
          <w:color w:val="000000" w:themeColor="text1"/>
          <w14:textFill>
            <w14:solidFill>
              <w14:schemeClr w14:val="tx1"/>
            </w14:solidFill>
          </w14:textFill>
        </w:rPr>
        <w:fldChar w:fldCharType="separate"/>
      </w: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评价范围</w:t>
      </w:r>
    </w:p>
    <w:p w14:paraId="38AE52E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根据《环境影响评价技术导则—生态影响》（HJ19-2022）确定本项目生态评价等级为三级，生态环境评价范围为养殖基地厂界向外延500m范围。</w:t>
      </w:r>
    </w:p>
    <w:p w14:paraId="2703C648">
      <w:pPr>
        <w:pStyle w:val="5"/>
        <w:ind w:left="120"/>
        <w:rPr>
          <w:rFonts w:ascii="Times New Roman" w:hAnsi="Times New Roman" w:cs="Times New Roman"/>
          <w:color w:val="000000" w:themeColor="text1"/>
          <w14:textFill>
            <w14:solidFill>
              <w14:schemeClr w14:val="tx1"/>
            </w14:solidFill>
          </w14:textFill>
        </w:rPr>
      </w:pPr>
      <w:bookmarkStart w:id="71" w:name="_Toc490417073"/>
      <w:bookmarkStart w:id="72" w:name="_Toc483491990"/>
      <w:r>
        <w:rPr>
          <w:rFonts w:ascii="Times New Roman" w:hAnsi="Times New Roman" w:cs="Times New Roman"/>
          <w:color w:val="000000" w:themeColor="text1"/>
          <w14:textFill>
            <w14:solidFill>
              <w14:schemeClr w14:val="tx1"/>
            </w14:solidFill>
          </w14:textFill>
        </w:rPr>
        <w:t>环境风险评价工作等级及范围</w:t>
      </w:r>
      <w:bookmarkEnd w:id="71"/>
      <w:bookmarkEnd w:id="72"/>
    </w:p>
    <w:p w14:paraId="42E92A0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（1）评价等级</w:t>
      </w:r>
    </w:p>
    <w:p w14:paraId="4F15CC4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按照《建设项目环境风险评价技术导则》（HJ 169-2018</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中的有关规定，风险评价工作等级划分如下表：</w:t>
      </w:r>
    </w:p>
    <w:p w14:paraId="221139B0">
      <w:pPr>
        <w:pStyle w:val="31"/>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表2.5-10    风险评价工作等级</w:t>
      </w:r>
    </w:p>
    <w:tbl>
      <w:tblPr>
        <w:tblStyle w:val="35"/>
        <w:tblW w:w="90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599"/>
        <w:gridCol w:w="2173"/>
        <w:gridCol w:w="1886"/>
        <w:gridCol w:w="1698"/>
      </w:tblGrid>
      <w:tr w14:paraId="00F211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1704" w:type="dxa"/>
            <w:tcBorders>
              <w:tl2br w:val="nil"/>
              <w:tr2bl w:val="nil"/>
            </w:tcBorders>
            <w:vAlign w:val="center"/>
          </w:tcPr>
          <w:p w14:paraId="6B1EE6D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环境风险潜势</w:t>
            </w:r>
          </w:p>
        </w:tc>
        <w:tc>
          <w:tcPr>
            <w:tcW w:w="1599" w:type="dxa"/>
            <w:tcBorders>
              <w:tl2br w:val="nil"/>
              <w:tr2bl w:val="nil"/>
            </w:tcBorders>
            <w:vAlign w:val="center"/>
          </w:tcPr>
          <w:p w14:paraId="40E1CA6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Ⅳ、Ⅳ +</w:t>
            </w:r>
          </w:p>
        </w:tc>
        <w:tc>
          <w:tcPr>
            <w:tcW w:w="2173" w:type="dxa"/>
            <w:tcBorders>
              <w:tl2br w:val="nil"/>
              <w:tr2bl w:val="nil"/>
            </w:tcBorders>
            <w:vAlign w:val="center"/>
          </w:tcPr>
          <w:p w14:paraId="4A2E5E1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Ⅲ</w:t>
            </w:r>
          </w:p>
        </w:tc>
        <w:tc>
          <w:tcPr>
            <w:tcW w:w="1886" w:type="dxa"/>
            <w:tcBorders>
              <w:tl2br w:val="nil"/>
              <w:tr2bl w:val="nil"/>
            </w:tcBorders>
            <w:vAlign w:val="center"/>
          </w:tcPr>
          <w:p w14:paraId="7E20ADC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Ⅱ</w:t>
            </w:r>
          </w:p>
        </w:tc>
        <w:tc>
          <w:tcPr>
            <w:tcW w:w="1698" w:type="dxa"/>
            <w:tcBorders>
              <w:tl2br w:val="nil"/>
              <w:tr2bl w:val="nil"/>
            </w:tcBorders>
            <w:vAlign w:val="center"/>
          </w:tcPr>
          <w:p w14:paraId="1FBDE96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Ⅰ</w:t>
            </w:r>
          </w:p>
        </w:tc>
      </w:tr>
      <w:tr w14:paraId="4CEE47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1704" w:type="dxa"/>
            <w:tcBorders>
              <w:tl2br w:val="nil"/>
              <w:tr2bl w:val="nil"/>
            </w:tcBorders>
            <w:vAlign w:val="center"/>
          </w:tcPr>
          <w:p w14:paraId="6A15D3A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评价工作等级</w:t>
            </w:r>
          </w:p>
        </w:tc>
        <w:tc>
          <w:tcPr>
            <w:tcW w:w="1599" w:type="dxa"/>
            <w:tcBorders>
              <w:tl2br w:val="nil"/>
              <w:tr2bl w:val="nil"/>
            </w:tcBorders>
            <w:vAlign w:val="center"/>
          </w:tcPr>
          <w:p w14:paraId="1A6BCFE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w:t>
            </w:r>
          </w:p>
        </w:tc>
        <w:tc>
          <w:tcPr>
            <w:tcW w:w="2173" w:type="dxa"/>
            <w:tcBorders>
              <w:tl2br w:val="nil"/>
              <w:tr2bl w:val="nil"/>
            </w:tcBorders>
            <w:vAlign w:val="center"/>
          </w:tcPr>
          <w:p w14:paraId="64A5336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w:t>
            </w:r>
          </w:p>
        </w:tc>
        <w:tc>
          <w:tcPr>
            <w:tcW w:w="1886" w:type="dxa"/>
            <w:tcBorders>
              <w:tl2br w:val="nil"/>
              <w:tr2bl w:val="nil"/>
            </w:tcBorders>
            <w:vAlign w:val="center"/>
          </w:tcPr>
          <w:p w14:paraId="4491F6E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w:t>
            </w:r>
          </w:p>
        </w:tc>
        <w:tc>
          <w:tcPr>
            <w:tcW w:w="1698" w:type="dxa"/>
            <w:tcBorders>
              <w:tl2br w:val="nil"/>
              <w:tr2bl w:val="nil"/>
            </w:tcBorders>
            <w:vAlign w:val="center"/>
          </w:tcPr>
          <w:p w14:paraId="2B89A44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简单分析</w:t>
            </w:r>
          </w:p>
        </w:tc>
      </w:tr>
      <w:tr w14:paraId="56F3A4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9060" w:type="dxa"/>
            <w:gridSpan w:val="5"/>
            <w:tcBorders>
              <w:tl2br w:val="nil"/>
              <w:tr2bl w:val="nil"/>
            </w:tcBorders>
            <w:vAlign w:val="center"/>
          </w:tcPr>
          <w:p w14:paraId="6B0BA01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 是相对于详细评价工作内容而言，在描述危险物质、环境影响途径、环境危害后果、风险防范措施等方面给出定性的说明。</w:t>
            </w:r>
          </w:p>
        </w:tc>
      </w:tr>
    </w:tbl>
    <w:p w14:paraId="5126B59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根据《建设项目环境风险评价导则》（HJ 169-2018）附录B和附录C，本项目不涉及危险物质，环境风险潜势分析为Ⅰ，风险评价等级为简单分析。</w:t>
      </w:r>
    </w:p>
    <w:p w14:paraId="6AD4302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（2）评价范围</w:t>
      </w:r>
    </w:p>
    <w:p w14:paraId="61BA33F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根据《建设项目环境风险评价技术导则》（HJ</w:t>
      </w:r>
      <w:r>
        <w:rPr>
          <w:rFonts w:hint="eastAsia"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T169-2018）评价范围的规定，项目环境风险潜势为Ⅰ，仅进行简单分析，不设置评价范围。</w:t>
      </w:r>
    </w:p>
    <w:p w14:paraId="346A1F23">
      <w:pPr>
        <w:pStyle w:val="4"/>
        <w:ind w:left="120"/>
        <w:rPr>
          <w:rFonts w:ascii="Times New Roman" w:hAnsi="Times New Roman" w:cs="Times New Roman"/>
          <w:color w:val="000000" w:themeColor="text1"/>
          <w:lang w:val="en-GB"/>
          <w14:textFill>
            <w14:solidFill>
              <w14:schemeClr w14:val="tx1"/>
            </w14:solidFill>
          </w14:textFill>
        </w:rPr>
      </w:pPr>
      <w:bookmarkStart w:id="73" w:name="_Toc490417075"/>
      <w:bookmarkStart w:id="74" w:name="_Toc14087"/>
      <w:bookmarkStart w:id="75" w:name="_Toc483491994"/>
      <w:r>
        <w:rPr>
          <w:rFonts w:ascii="Times New Roman" w:hAnsi="Times New Roman" w:cs="Times New Roman"/>
          <w:color w:val="000000" w:themeColor="text1"/>
          <w:lang w:val="en-GB"/>
          <w14:textFill>
            <w14:solidFill>
              <w14:schemeClr w14:val="tx1"/>
            </w14:solidFill>
          </w14:textFill>
        </w:rPr>
        <w:t>主要环境保护目标</w:t>
      </w:r>
      <w:bookmarkEnd w:id="73"/>
      <w:bookmarkEnd w:id="74"/>
      <w:bookmarkEnd w:id="75"/>
    </w:p>
    <w:p w14:paraId="20A1EC9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2.5</w:t>
      </w:r>
      <w:r>
        <w:rPr>
          <w:rFonts w:ascii="Times New Roman" w:hAnsi="Times New Roman" w:cs="Times New Roman"/>
          <w:color w:val="auto"/>
        </w:rPr>
        <w:t>km范围内无城镇居民区、文化教育科学研究区等人口集中区域，不涉及风景名胜区、自然保护区的核心区和缓冲区。中心地理坐标为东经：</w:t>
      </w:r>
      <w:r>
        <w:rPr>
          <w:rFonts w:hint="eastAsia" w:ascii="Times New Roman" w:hAnsi="Times New Roman" w:cs="Times New Roman"/>
          <w:color w:val="auto"/>
          <w:lang w:val="en-US" w:eastAsia="zh-CN"/>
        </w:rPr>
        <w:t>80</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22.165</w:t>
      </w:r>
      <w:r>
        <w:rPr>
          <w:rFonts w:ascii="Times New Roman" w:hAnsi="Times New Roman" w:cs="Times New Roman"/>
          <w:color w:val="auto"/>
        </w:rPr>
        <w:t>″，北纬：</w:t>
      </w:r>
      <w:bookmarkStart w:id="76" w:name="OLE_LINK5"/>
      <w:r>
        <w:rPr>
          <w:rFonts w:hint="eastAsia" w:ascii="Times New Roman" w:hAnsi="Times New Roman" w:cs="Times New Roman"/>
          <w:color w:val="auto"/>
          <w:lang w:val="en-US" w:eastAsia="zh-CN"/>
        </w:rPr>
        <w:t>4</w:t>
      </w:r>
      <w:r>
        <w:rPr>
          <w:rFonts w:hint="eastAsia" w:cs="Times New Roman"/>
          <w:color w:val="auto"/>
          <w:lang w:val="en-US" w:eastAsia="zh-CN"/>
        </w:rPr>
        <w:t>3</w:t>
      </w:r>
      <w:r>
        <w:rPr>
          <w:rFonts w:ascii="Times New Roman" w:hAnsi="Times New Roman" w:cs="Times New Roman"/>
          <w:color w:val="auto"/>
        </w:rPr>
        <w:t>°</w:t>
      </w:r>
      <w:r>
        <w:rPr>
          <w:rFonts w:hint="eastAsia" w:cs="Times New Roman"/>
          <w:color w:val="auto"/>
          <w:lang w:val="en-US" w:eastAsia="zh-CN"/>
        </w:rPr>
        <w:t>55</w:t>
      </w:r>
      <w:r>
        <w:rPr>
          <w:rFonts w:ascii="Times New Roman" w:hAnsi="Times New Roman" w:cs="Times New Roman"/>
          <w:color w:val="auto"/>
        </w:rPr>
        <w:t>′</w:t>
      </w:r>
      <w:r>
        <w:rPr>
          <w:rFonts w:hint="eastAsia" w:cs="Times New Roman"/>
          <w:color w:val="auto"/>
          <w:lang w:val="en-US" w:eastAsia="zh-CN"/>
        </w:rPr>
        <w:t>08</w:t>
      </w:r>
      <w:r>
        <w:rPr>
          <w:rFonts w:hint="eastAsia" w:ascii="Times New Roman" w:hAnsi="Times New Roman" w:cs="Times New Roman"/>
          <w:color w:val="auto"/>
          <w:lang w:val="en-US" w:eastAsia="zh-CN"/>
        </w:rPr>
        <w:t>.</w:t>
      </w:r>
      <w:r>
        <w:rPr>
          <w:rFonts w:hint="eastAsia" w:cs="Times New Roman"/>
          <w:color w:val="auto"/>
          <w:lang w:val="en-US" w:eastAsia="zh-CN"/>
        </w:rPr>
        <w:t>278</w:t>
      </w:r>
      <w:bookmarkEnd w:id="76"/>
      <w:r>
        <w:rPr>
          <w:rFonts w:ascii="Times New Roman" w:hAnsi="Times New Roman" w:cs="Times New Roman"/>
          <w:color w:val="auto"/>
        </w:rPr>
        <w:t>″。</w:t>
      </w:r>
    </w:p>
    <w:p w14:paraId="5E3D7A0E">
      <w:pPr>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本项目环境保护目标分布情况见表2.6-1，敏感目标分布图见</w:t>
      </w:r>
      <w:r>
        <w:rPr>
          <w:rFonts w:hint="eastAsia" w:ascii="Times New Roman" w:hAnsi="Times New Roman" w:cs="Times New Roman"/>
          <w:color w:val="000000" w:themeColor="text1"/>
          <w:lang w:val="en-US" w:eastAsia="zh-CN"/>
          <w14:textFill>
            <w14:solidFill>
              <w14:schemeClr w14:val="tx1"/>
            </w14:solidFill>
          </w14:textFill>
        </w:rPr>
        <w:t>附图</w:t>
      </w:r>
      <w:r>
        <w:rPr>
          <w:rFonts w:hint="eastAsia" w:ascii="Times New Roman" w:hAnsi="Times New Roman" w:cs="Times New Roman"/>
          <w:color w:val="000000" w:themeColor="text1"/>
          <w:lang w:eastAsia="zh-CN"/>
          <w14:textFill>
            <w14:solidFill>
              <w14:schemeClr w14:val="tx1"/>
            </w14:solidFill>
          </w14:textFill>
        </w:rPr>
        <w:t>。</w:t>
      </w:r>
    </w:p>
    <w:p w14:paraId="6B0AB888">
      <w:pPr>
        <w:pStyle w:val="61"/>
        <w:spacing w:before="32" w:after="32"/>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表2.6-1    环境保护目标分布表</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953"/>
        <w:gridCol w:w="794"/>
        <w:gridCol w:w="831"/>
        <w:gridCol w:w="751"/>
        <w:gridCol w:w="1107"/>
        <w:gridCol w:w="949"/>
        <w:gridCol w:w="1910"/>
        <w:gridCol w:w="2085"/>
      </w:tblGrid>
      <w:tr w14:paraId="71BC0E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508" w:type="pct"/>
            <w:tcBorders>
              <w:tl2br w:val="nil"/>
              <w:tr2bl w:val="nil"/>
            </w:tcBorders>
            <w:vAlign w:val="center"/>
          </w:tcPr>
          <w:p w14:paraId="1A3FCA9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类别</w:t>
            </w:r>
          </w:p>
        </w:tc>
        <w:tc>
          <w:tcPr>
            <w:tcW w:w="423" w:type="pct"/>
            <w:tcBorders>
              <w:tl2br w:val="nil"/>
              <w:tr2bl w:val="nil"/>
            </w:tcBorders>
            <w:vAlign w:val="center"/>
          </w:tcPr>
          <w:p w14:paraId="3E33263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环保目标</w:t>
            </w:r>
          </w:p>
        </w:tc>
        <w:tc>
          <w:tcPr>
            <w:tcW w:w="442" w:type="pct"/>
            <w:tcBorders>
              <w:tl2br w:val="nil"/>
              <w:tr2bl w:val="nil"/>
            </w:tcBorders>
            <w:vAlign w:val="center"/>
          </w:tcPr>
          <w:p w14:paraId="3F9C15D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户数</w:t>
            </w:r>
          </w:p>
          <w:p w14:paraId="32B3936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（户）</w:t>
            </w:r>
          </w:p>
        </w:tc>
        <w:tc>
          <w:tcPr>
            <w:tcW w:w="400" w:type="pct"/>
            <w:tcBorders>
              <w:tl2br w:val="nil"/>
              <w:tr2bl w:val="nil"/>
            </w:tcBorders>
            <w:vAlign w:val="center"/>
          </w:tcPr>
          <w:p w14:paraId="2EC21E5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人数</w:t>
            </w:r>
          </w:p>
          <w:p w14:paraId="3866389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（人）</w:t>
            </w:r>
          </w:p>
        </w:tc>
        <w:tc>
          <w:tcPr>
            <w:tcW w:w="590" w:type="pct"/>
            <w:tcBorders>
              <w:tl2br w:val="nil"/>
              <w:tr2bl w:val="nil"/>
            </w:tcBorders>
            <w:vAlign w:val="center"/>
          </w:tcPr>
          <w:p w14:paraId="181C5DD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方位及外边界最近距离</w:t>
            </w:r>
          </w:p>
        </w:tc>
        <w:tc>
          <w:tcPr>
            <w:tcW w:w="505" w:type="pct"/>
            <w:tcBorders>
              <w:tl2br w:val="nil"/>
              <w:tr2bl w:val="nil"/>
            </w:tcBorders>
            <w:vAlign w:val="center"/>
          </w:tcPr>
          <w:p w14:paraId="2499541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环境功能区</w:t>
            </w:r>
          </w:p>
        </w:tc>
        <w:tc>
          <w:tcPr>
            <w:tcW w:w="1017" w:type="pct"/>
            <w:tcBorders>
              <w:tl2br w:val="nil"/>
              <w:tr2bl w:val="nil"/>
            </w:tcBorders>
            <w:vAlign w:val="center"/>
          </w:tcPr>
          <w:p w14:paraId="143FBEF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地理坐标</w:t>
            </w:r>
          </w:p>
        </w:tc>
        <w:tc>
          <w:tcPr>
            <w:tcW w:w="1111" w:type="pct"/>
            <w:tcBorders>
              <w:tl2br w:val="nil"/>
              <w:tr2bl w:val="nil"/>
            </w:tcBorders>
            <w:vAlign w:val="center"/>
          </w:tcPr>
          <w:p w14:paraId="2D305D1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执行标准或目标值</w:t>
            </w:r>
          </w:p>
        </w:tc>
      </w:tr>
      <w:tr w14:paraId="4235CD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508" w:type="pct"/>
            <w:tcBorders>
              <w:tl2br w:val="nil"/>
              <w:tr2bl w:val="nil"/>
            </w:tcBorders>
            <w:vAlign w:val="center"/>
          </w:tcPr>
          <w:p w14:paraId="337757C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环境空气</w:t>
            </w:r>
          </w:p>
        </w:tc>
        <w:tc>
          <w:tcPr>
            <w:tcW w:w="423" w:type="pct"/>
            <w:tcBorders>
              <w:tl2br w:val="nil"/>
              <w:tr2bl w:val="nil"/>
            </w:tcBorders>
            <w:vAlign w:val="center"/>
          </w:tcPr>
          <w:p w14:paraId="125AB40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第四师63团6连连部居民</w:t>
            </w:r>
          </w:p>
        </w:tc>
        <w:tc>
          <w:tcPr>
            <w:tcW w:w="442" w:type="pct"/>
            <w:tcBorders>
              <w:tl2br w:val="nil"/>
              <w:tr2bl w:val="nil"/>
            </w:tcBorders>
            <w:vAlign w:val="center"/>
          </w:tcPr>
          <w:p w14:paraId="582F38C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ascii="Times New Roman" w:hAnsi="Times New Roman"/>
                <w:color w:val="000000" w:themeColor="text1"/>
                <w:szCs w:val="21"/>
                <w:lang w:val="en-US" w:eastAsia="zh-CN"/>
                <w14:textFill>
                  <w14:solidFill>
                    <w14:schemeClr w14:val="tx1"/>
                  </w14:solidFill>
                </w14:textFill>
              </w:rPr>
              <w:t>户</w:t>
            </w:r>
          </w:p>
        </w:tc>
        <w:tc>
          <w:tcPr>
            <w:tcW w:w="400" w:type="pct"/>
            <w:tcBorders>
              <w:tl2br w:val="nil"/>
              <w:tr2bl w:val="nil"/>
            </w:tcBorders>
            <w:vAlign w:val="center"/>
          </w:tcPr>
          <w:p w14:paraId="3CF6F98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590" w:type="pct"/>
            <w:tcBorders>
              <w:tl2br w:val="nil"/>
              <w:tr2bl w:val="nil"/>
            </w:tcBorders>
            <w:vAlign w:val="center"/>
          </w:tcPr>
          <w:p w14:paraId="19DAA831">
            <w:pPr>
              <w:pStyle w:val="56"/>
              <w:rPr>
                <w:rFonts w:ascii="Times New Roman" w:hAnsi="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东侧950</w:t>
            </w:r>
            <w:r>
              <w:rPr>
                <w:rFonts w:hint="eastAsia" w:ascii="Times New Roman" w:hAnsi="Times New Roman" w:cs="Times New Roman"/>
                <w:color w:val="000000" w:themeColor="text1"/>
                <w:lang w:val="en-US" w:eastAsia="zh-CN"/>
                <w14:textFill>
                  <w14:solidFill>
                    <w14:schemeClr w14:val="tx1"/>
                  </w14:solidFill>
                </w14:textFill>
              </w:rPr>
              <w:t>m</w:t>
            </w:r>
          </w:p>
        </w:tc>
        <w:tc>
          <w:tcPr>
            <w:tcW w:w="505" w:type="pct"/>
            <w:tcBorders>
              <w:tl2br w:val="nil"/>
              <w:tr2bl w:val="nil"/>
            </w:tcBorders>
            <w:vAlign w:val="center"/>
          </w:tcPr>
          <w:p w14:paraId="7A2BC09F">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二类区</w:t>
            </w:r>
          </w:p>
        </w:tc>
        <w:tc>
          <w:tcPr>
            <w:tcW w:w="1017" w:type="pct"/>
            <w:tcBorders>
              <w:tl2br w:val="nil"/>
              <w:tr2bl w:val="nil"/>
            </w:tcBorders>
            <w:vAlign w:val="center"/>
          </w:tcPr>
          <w:p w14:paraId="38A11220">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E</w:t>
            </w:r>
            <w:r>
              <w:rPr>
                <w:rFonts w:hint="eastAsia" w:ascii="Times New Roman" w:hAnsi="Times New Roman" w:cs="Times New Roman"/>
                <w:color w:val="auto"/>
                <w:lang w:val="en-US" w:eastAsia="zh-CN"/>
              </w:rPr>
              <w:t>80</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55.121</w:t>
            </w:r>
            <w:r>
              <w:rPr>
                <w:rFonts w:ascii="Times New Roman" w:hAnsi="Times New Roman" w:cs="Times New Roman"/>
                <w:color w:val="auto"/>
              </w:rPr>
              <w:t>″</w:t>
            </w:r>
            <w:r>
              <w:rPr>
                <w:rFonts w:hint="default" w:ascii="Times New Roman" w:hAnsi="Times New Roman" w:eastAsia="宋体" w:cs="Times New Roman"/>
                <w:color w:val="000000" w:themeColor="text1"/>
                <w:szCs w:val="21"/>
                <w:lang w:val="en-US" w:eastAsia="zh-CN"/>
                <w14:textFill>
                  <w14:solidFill>
                    <w14:schemeClr w14:val="tx1"/>
                  </w14:solidFill>
                </w14:textFill>
              </w:rPr>
              <w:t>, N</w:t>
            </w:r>
            <w:r>
              <w:rPr>
                <w:rFonts w:hint="eastAsia" w:ascii="Times New Roman" w:hAnsi="Times New Roman" w:cs="Times New Roman"/>
                <w:color w:val="auto"/>
                <w:lang w:val="en-US" w:eastAsia="zh-CN"/>
              </w:rPr>
              <w:t>4</w:t>
            </w:r>
            <w:r>
              <w:rPr>
                <w:rFonts w:hint="eastAsia" w:cs="Times New Roman"/>
                <w:color w:val="auto"/>
                <w:lang w:val="en-US" w:eastAsia="zh-CN"/>
              </w:rPr>
              <w:t>3</w:t>
            </w:r>
            <w:r>
              <w:rPr>
                <w:rFonts w:ascii="Times New Roman" w:hAnsi="Times New Roman" w:cs="Times New Roman"/>
                <w:color w:val="auto"/>
              </w:rPr>
              <w:t>°</w:t>
            </w:r>
            <w:r>
              <w:rPr>
                <w:rFonts w:hint="eastAsia" w:cs="Times New Roman"/>
                <w:color w:val="auto"/>
                <w:lang w:val="en-US" w:eastAsia="zh-CN"/>
              </w:rPr>
              <w:t>55</w:t>
            </w:r>
            <w:r>
              <w:rPr>
                <w:rFonts w:ascii="Times New Roman" w:hAnsi="Times New Roman" w:cs="Times New Roman"/>
                <w:color w:val="auto"/>
              </w:rPr>
              <w:t>′</w:t>
            </w:r>
            <w:r>
              <w:rPr>
                <w:rFonts w:hint="eastAsia" w:cs="Times New Roman"/>
                <w:color w:val="auto"/>
                <w:lang w:val="en-US" w:eastAsia="zh-CN"/>
              </w:rPr>
              <w:t>24.151</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111" w:type="pct"/>
            <w:tcBorders>
              <w:tl2br w:val="nil"/>
              <w:tr2bl w:val="nil"/>
            </w:tcBorders>
            <w:vAlign w:val="center"/>
          </w:tcPr>
          <w:p w14:paraId="57A741CF">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《环境空气质量标准》（GB3095-2012）二级</w:t>
            </w:r>
            <w:r>
              <w:rPr>
                <w:rFonts w:hint="eastAsia" w:ascii="Times New Roman" w:hAnsi="Times New Roman" w:eastAsia="宋体" w:cs="Times New Roman"/>
                <w:color w:val="000000" w:themeColor="text1"/>
                <w:szCs w:val="21"/>
                <w:lang w:val="en-US" w:eastAsia="zh-CN"/>
                <w14:textFill>
                  <w14:solidFill>
                    <w14:schemeClr w14:val="tx1"/>
                  </w14:solidFill>
                </w14:textFill>
              </w:rPr>
              <w:t>标准；</w:t>
            </w:r>
            <w:r>
              <w:rPr>
                <w:rFonts w:hint="default" w:ascii="Times New Roman" w:hAnsi="Times New Roman" w:eastAsia="宋体" w:cs="Times New Roman"/>
                <w:color w:val="000000" w:themeColor="text1"/>
                <w:szCs w:val="21"/>
                <w:lang w:val="en-US" w:eastAsia="zh-CN"/>
                <w14:textFill>
                  <w14:solidFill>
                    <w14:schemeClr w14:val="tx1"/>
                  </w14:solidFill>
                </w14:textFill>
              </w:rPr>
              <w:t>NH3、H2S执行</w:t>
            </w:r>
            <w:r>
              <w:rPr>
                <w:rFonts w:hint="eastAsia" w:ascii="Times New Roman" w:hAnsi="Times New Roman" w:eastAsia="宋体" w:cs="Times New Roman"/>
                <w:color w:val="000000" w:themeColor="text1"/>
                <w:szCs w:val="21"/>
                <w:lang w:val="en-US" w:eastAsia="zh-CN"/>
                <w14:textFill>
                  <w14:solidFill>
                    <w14:schemeClr w14:val="tx1"/>
                  </w14:solidFill>
                </w14:textFill>
              </w:rPr>
              <w:t>《环境影响评价技术导则</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大气环境》（HJ2.2-2018</w:t>
            </w:r>
            <w:r>
              <w:rPr>
                <w:rFonts w:hint="eastAsia" w:ascii="Times New Roman" w:hAnsi="Times New Roman" w:eastAsia="宋体" w:cs="Times New Roman"/>
                <w:color w:val="000000" w:themeColor="text1"/>
                <w:szCs w:val="21"/>
                <w:lang w:val="en-US" w:eastAsia="zh-CN"/>
                <w14:textFill>
                  <w14:solidFill>
                    <w14:schemeClr w14:val="tx1"/>
                  </w14:solidFill>
                </w14:textFill>
              </w:rPr>
              <w:t>）附录</w:t>
            </w:r>
            <w:r>
              <w:rPr>
                <w:rFonts w:hint="default" w:ascii="Times New Roman" w:hAnsi="Times New Roman" w:eastAsia="宋体" w:cs="Times New Roman"/>
                <w:color w:val="000000" w:themeColor="text1"/>
                <w:szCs w:val="21"/>
                <w:lang w:val="en-US" w:eastAsia="zh-CN"/>
                <w14:textFill>
                  <w14:solidFill>
                    <w14:schemeClr w14:val="tx1"/>
                  </w14:solidFill>
                </w14:textFill>
              </w:rPr>
              <w:t>D</w:t>
            </w:r>
            <w:r>
              <w:rPr>
                <w:rFonts w:hint="eastAsia" w:ascii="Times New Roman" w:hAnsi="Times New Roman" w:eastAsia="宋体" w:cs="Times New Roman"/>
                <w:color w:val="000000" w:themeColor="text1"/>
                <w:szCs w:val="21"/>
                <w:lang w:val="en-US" w:eastAsia="zh-CN"/>
                <w14:textFill>
                  <w14:solidFill>
                    <w14:schemeClr w14:val="tx1"/>
                  </w14:solidFill>
                </w14:textFill>
              </w:rPr>
              <w:t>标准</w:t>
            </w:r>
          </w:p>
        </w:tc>
      </w:tr>
      <w:tr w14:paraId="1FB6CE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508" w:type="pct"/>
            <w:tcBorders>
              <w:tl2br w:val="nil"/>
              <w:tr2bl w:val="nil"/>
            </w:tcBorders>
            <w:vAlign w:val="center"/>
          </w:tcPr>
          <w:p w14:paraId="54A6523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土壤</w:t>
            </w:r>
          </w:p>
        </w:tc>
        <w:tc>
          <w:tcPr>
            <w:tcW w:w="423" w:type="pct"/>
            <w:tcBorders>
              <w:tl2br w:val="nil"/>
              <w:tr2bl w:val="nil"/>
            </w:tcBorders>
            <w:vAlign w:val="center"/>
          </w:tcPr>
          <w:p w14:paraId="30E460A3">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周边农田</w:t>
            </w:r>
          </w:p>
        </w:tc>
        <w:tc>
          <w:tcPr>
            <w:tcW w:w="442" w:type="pct"/>
            <w:tcBorders>
              <w:tl2br w:val="nil"/>
              <w:tr2bl w:val="nil"/>
            </w:tcBorders>
            <w:vAlign w:val="center"/>
          </w:tcPr>
          <w:p w14:paraId="791ECBE3">
            <w:pPr>
              <w:pStyle w:val="56"/>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00" w:type="pct"/>
            <w:tcBorders>
              <w:tl2br w:val="nil"/>
              <w:tr2bl w:val="nil"/>
            </w:tcBorders>
            <w:vAlign w:val="center"/>
          </w:tcPr>
          <w:p w14:paraId="3AD9350A">
            <w:pPr>
              <w:pStyle w:val="56"/>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590" w:type="pct"/>
            <w:tcBorders>
              <w:tl2br w:val="nil"/>
              <w:tr2bl w:val="nil"/>
            </w:tcBorders>
            <w:vAlign w:val="center"/>
          </w:tcPr>
          <w:p w14:paraId="7B11037D">
            <w:pPr>
              <w:pStyle w:val="56"/>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北侧最近60m</w:t>
            </w:r>
          </w:p>
        </w:tc>
        <w:tc>
          <w:tcPr>
            <w:tcW w:w="505" w:type="pct"/>
            <w:tcBorders>
              <w:tl2br w:val="nil"/>
              <w:tr2bl w:val="nil"/>
            </w:tcBorders>
            <w:vAlign w:val="center"/>
          </w:tcPr>
          <w:p w14:paraId="61D4044F">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耕地</w:t>
            </w:r>
          </w:p>
        </w:tc>
        <w:tc>
          <w:tcPr>
            <w:tcW w:w="1017" w:type="pct"/>
            <w:tcBorders>
              <w:tl2br w:val="nil"/>
              <w:tr2bl w:val="nil"/>
            </w:tcBorders>
            <w:vAlign w:val="center"/>
          </w:tcPr>
          <w:p w14:paraId="314820AC">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111" w:type="pct"/>
            <w:tcBorders>
              <w:tl2br w:val="nil"/>
              <w:tr2bl w:val="nil"/>
            </w:tcBorders>
            <w:vAlign w:val="center"/>
          </w:tcPr>
          <w:p w14:paraId="3E4388E0">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土壤环境质量 农用地土壤污染风险管控标准（试行）</w:t>
            </w:r>
            <w:r>
              <w:rPr>
                <w:rFonts w:hint="eastAsia" w:ascii="Times New Roman" w:hAnsi="Times New Roman" w:cs="Times New Roman"/>
                <w:color w:val="000000" w:themeColor="text1"/>
                <w:szCs w:val="21"/>
                <w:lang w:val="en-US" w:eastAsia="zh-CN"/>
                <w14:textFill>
                  <w14:solidFill>
                    <w14:schemeClr w14:val="tx1"/>
                  </w14:solidFill>
                </w14:textFill>
              </w:rPr>
              <w:t>》（GB15618-2018）</w:t>
            </w:r>
          </w:p>
        </w:tc>
      </w:tr>
      <w:tr w14:paraId="2152C0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5000" w:type="pct"/>
            <w:gridSpan w:val="8"/>
            <w:tcBorders>
              <w:tl2br w:val="nil"/>
              <w:tr2bl w:val="nil"/>
            </w:tcBorders>
            <w:vAlign w:val="center"/>
          </w:tcPr>
          <w:p w14:paraId="0A75B4CA">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sz w:val="24"/>
              </w:rPr>
              <mc:AlternateContent>
                <mc:Choice Requires="wps">
                  <w:drawing>
                    <wp:anchor distT="0" distB="0" distL="114300" distR="114300" simplePos="0" relativeHeight="251691008" behindDoc="0" locked="0" layoutInCell="1" allowOverlap="1">
                      <wp:simplePos x="0" y="0"/>
                      <wp:positionH relativeFrom="column">
                        <wp:posOffset>1549400</wp:posOffset>
                      </wp:positionH>
                      <wp:positionV relativeFrom="paragraph">
                        <wp:posOffset>569595</wp:posOffset>
                      </wp:positionV>
                      <wp:extent cx="330835" cy="236220"/>
                      <wp:effectExtent l="4445" t="4445" r="7620" b="6985"/>
                      <wp:wrapNone/>
                      <wp:docPr id="130" name="文本框 130"/>
                      <wp:cNvGraphicFramePr/>
                      <a:graphic xmlns:a="http://schemas.openxmlformats.org/drawingml/2006/main">
                        <a:graphicData uri="http://schemas.microsoft.com/office/word/2010/wordprocessingShape">
                          <wps:wsp>
                            <wps:cNvSpPr txBox="1"/>
                            <wps:spPr>
                              <a:xfrm>
                                <a:off x="0" y="0"/>
                                <a:ext cx="330835" cy="2362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621174">
                                  <w:pPr>
                                    <w:ind w:left="0" w:leftChars="0" w:firstLine="0" w:firstLineChars="0"/>
                                    <w:rPr>
                                      <w:rFonts w:hint="default" w:eastAsiaTheme="minorEastAsia"/>
                                      <w:color w:val="FF0000"/>
                                      <w:lang w:val="en-US" w:eastAsia="zh-CN"/>
                                    </w:rPr>
                                  </w:pPr>
                                  <w:r>
                                    <w:rPr>
                                      <w:rFonts w:hint="eastAsia"/>
                                      <w:color w:val="FF0000"/>
                                      <w:lang w:val="en-US" w:eastAsia="zh-CN"/>
                                    </w:rPr>
                                    <w:t>农田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122pt;margin-top:44.85pt;height:18.6pt;width:26.05pt;z-index:251691008;v-text-anchor:middle;mso-width-relative:page;mso-height-relative:page;" filled="f" stroked="t" coordsize="21600,21600" o:gfxdata="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kBVGfbAAAACgEAAA8AAAAA&#10;AAAAAQAgAAAAIgAAAGRycy9kb3ducmV2LnhtbFBLAQIUABQAAAAIAIdO4kAk0HNSSgIAAIMEAAAO&#10;AAAAAAAAAAEAIAAAACoBAABkcnMvZTJvRG9jLnhtbFBLBQYAAAAABgAGAFkBAADmBQAAAAA=&#10;">
                      <v:fill on="f" focussize="0,0"/>
                      <v:stroke weight="0.5pt" color="#000000 [3204]" joinstyle="round"/>
                      <v:imagedata o:title=""/>
                      <o:lock v:ext="edit" aspectratio="f"/>
                      <v:textbox inset="0mm,0mm,0mm,0mm">
                        <w:txbxContent>
                          <w:p w14:paraId="6E621174">
                            <w:pPr>
                              <w:ind w:left="0" w:leftChars="0" w:firstLine="0" w:firstLineChars="0"/>
                              <w:rPr>
                                <w:rFonts w:hint="default" w:eastAsiaTheme="minorEastAsia"/>
                                <w:color w:val="FF0000"/>
                                <w:lang w:val="en-US" w:eastAsia="zh-CN"/>
                              </w:rPr>
                            </w:pPr>
                            <w:r>
                              <w:rPr>
                                <w:rFonts w:hint="eastAsia"/>
                                <w:color w:val="FF0000"/>
                                <w:lang w:val="en-US" w:eastAsia="zh-CN"/>
                              </w:rPr>
                              <w:t>农田</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1397000</wp:posOffset>
                      </wp:positionH>
                      <wp:positionV relativeFrom="paragraph">
                        <wp:posOffset>1092200</wp:posOffset>
                      </wp:positionV>
                      <wp:extent cx="153035" cy="183515"/>
                      <wp:effectExtent l="4445" t="4445" r="13970" b="21590"/>
                      <wp:wrapNone/>
                      <wp:docPr id="129" name="文本框 129"/>
                      <wp:cNvGraphicFramePr/>
                      <a:graphic xmlns:a="http://schemas.openxmlformats.org/drawingml/2006/main">
                        <a:graphicData uri="http://schemas.microsoft.com/office/word/2010/wordprocessingShape">
                          <wps:wsp>
                            <wps:cNvSpPr txBox="1"/>
                            <wps:spPr>
                              <a:xfrm>
                                <a:off x="2240915" y="3523615"/>
                                <a:ext cx="153035" cy="1835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730CDA">
                                  <w:pPr>
                                    <w:ind w:left="0" w:leftChars="0" w:firstLine="0" w:firstLineChars="0"/>
                                    <w:rPr>
                                      <w:rFonts w:hint="default" w:eastAsiaTheme="minorEastAsia"/>
                                      <w:color w:val="FF0000"/>
                                      <w:lang w:val="en-US" w:eastAsia="zh-CN"/>
                                    </w:rPr>
                                  </w:pPr>
                                  <w:r>
                                    <w:rPr>
                                      <w:rFonts w:hint="eastAsia"/>
                                      <w:color w:val="FF0000"/>
                                      <w:lang w:val="en-US" w:eastAsia="zh-CN"/>
                                    </w:rPr>
                                    <w:t>60m</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0pt;margin-top:86pt;height:14.45pt;width:12.05pt;mso-wrap-style:none;z-index:251689984;mso-width-relative:page;mso-height-relative:page;" filled="f" stroked="t" coordsize="21600,21600" o:gfxdata="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9Io49oAAAALAQAA&#10;DwAAAAAAAAABACAAAAAiAAAAZHJzL2Rvd25yZXYueG1sUEsBAhQAFAAAAAgAh07iQIRCPZhQAgAA&#10;iwQAAA4AAAAAAAAAAQAgAAAAKQEAAGRycy9lMm9Eb2MueG1sUEsFBgAAAAAGAAYAWQEAAOsFAAAA&#10;AA==&#10;">
                      <v:fill on="f" focussize="0,0"/>
                      <v:stroke weight="0.5pt" color="#000000 [3204]" joinstyle="round"/>
                      <v:imagedata o:title=""/>
                      <o:lock v:ext="edit" aspectratio="f"/>
                      <v:textbox inset="0mm,0mm,0mm,0mm">
                        <w:txbxContent>
                          <w:p w14:paraId="56730CDA">
                            <w:pPr>
                              <w:ind w:left="0" w:leftChars="0" w:firstLine="0" w:firstLineChars="0"/>
                              <w:rPr>
                                <w:rFonts w:hint="default" w:eastAsiaTheme="minorEastAsia"/>
                                <w:color w:val="FF0000"/>
                                <w:lang w:val="en-US" w:eastAsia="zh-CN"/>
                              </w:rPr>
                            </w:pPr>
                            <w:r>
                              <w:rPr>
                                <w:rFonts w:hint="eastAsia"/>
                                <w:color w:val="FF0000"/>
                                <w:lang w:val="en-US" w:eastAsia="zh-CN"/>
                              </w:rPr>
                              <w:t>60m</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1335405</wp:posOffset>
                      </wp:positionH>
                      <wp:positionV relativeFrom="paragraph">
                        <wp:posOffset>1115060</wp:posOffset>
                      </wp:positionV>
                      <wp:extent cx="17145" cy="164465"/>
                      <wp:effectExtent l="6350" t="635" r="14605" b="6350"/>
                      <wp:wrapNone/>
                      <wp:docPr id="128" name="直接连接符 128"/>
                      <wp:cNvGraphicFramePr/>
                      <a:graphic xmlns:a="http://schemas.openxmlformats.org/drawingml/2006/main">
                        <a:graphicData uri="http://schemas.microsoft.com/office/word/2010/wordprocessingShape">
                          <wps:wsp>
                            <wps:cNvCnPr/>
                            <wps:spPr>
                              <a:xfrm>
                                <a:off x="2162810" y="3488690"/>
                                <a:ext cx="17145" cy="164465"/>
                              </a:xfrm>
                              <a:prstGeom prst="line">
                                <a:avLst/>
                              </a:prstGeom>
                              <a:ln w="12700" cmpd="sng">
                                <a:solidFill>
                                  <a:srgbClr val="FF0000"/>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15pt;margin-top:87.8pt;height:12.95pt;width:1.35pt;z-index:251688960;mso-width-relative:page;mso-height-relative:page;" filled="f" stroked="t" coordsize="21600,21600" o:gfxdata="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f0p2QAAAAsBAAAPAAAAAAAAAAEAIAAAACIAAABkcnMvZG93bnJl&#10;di54bWxQSwECFAAUAAAACACHTuJAWj9px/wBAADGAwAADgAAAAAAAAABACAAAAAoAQAAZHJzL2Uy&#10;b0RvYy54bWxQSwUGAAAAAAYABgBZAQAAlgUAAAAA&#10;">
                      <v:fill on="f" focussize="0,0"/>
                      <v:stroke weight="1pt" color="#FF0000 [3204]" joinstyle="round"/>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4422775</wp:posOffset>
                      </wp:positionH>
                      <wp:positionV relativeFrom="paragraph">
                        <wp:posOffset>341630</wp:posOffset>
                      </wp:positionV>
                      <wp:extent cx="278130" cy="259080"/>
                      <wp:effectExtent l="4445" t="4445" r="22225" b="22225"/>
                      <wp:wrapNone/>
                      <wp:docPr id="11" name="文本框 11"/>
                      <wp:cNvGraphicFramePr/>
                      <a:graphic xmlns:a="http://schemas.openxmlformats.org/drawingml/2006/main">
                        <a:graphicData uri="http://schemas.microsoft.com/office/word/2010/wordprocessingShape">
                          <wps:wsp>
                            <wps:cNvSpPr txBox="1"/>
                            <wps:spPr>
                              <a:xfrm>
                                <a:off x="5342890" y="7549515"/>
                                <a:ext cx="278130" cy="2590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9F0D6B">
                                  <w:pPr>
                                    <w:ind w:left="0" w:leftChars="0" w:firstLine="0" w:firstLineChars="0"/>
                                    <w:rPr>
                                      <w:rFonts w:hint="default" w:eastAsiaTheme="minorEastAsia"/>
                                      <w:color w:val="FF0000"/>
                                      <w:sz w:val="15"/>
                                      <w:szCs w:val="15"/>
                                      <w:lang w:val="en-US" w:eastAsia="zh-CN"/>
                                    </w:rPr>
                                  </w:pPr>
                                  <w:r>
                                    <w:rPr>
                                      <w:rFonts w:hint="eastAsia"/>
                                      <w:color w:val="FF0000"/>
                                      <w:sz w:val="15"/>
                                      <w:szCs w:val="15"/>
                                      <w:lang w:val="en-US" w:eastAsia="zh-CN"/>
                                    </w:rPr>
                                    <w:t>950m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8.25pt;margin-top:26.9pt;height:20.4pt;width:21.9pt;z-index:251678720;mso-width-relative:page;mso-height-relative:page;" filled="f" stroked="t" coordsize="21600,21600" o:gfxdata="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BhdrtsA&#10;AAAJAQAADwAAAAAAAAABACAAAAAiAAAAZHJzL2Rvd25yZXYueG1sUEsBAhQAFAAAAAgAh07iQAz4&#10;BTVVAgAAiwQAAA4AAAAAAAAAAQAgAAAAKgEAAGRycy9lMm9Eb2MueG1sUEsFBgAAAAAGAAYAWQEA&#10;APEFAAAAAA==&#10;">
                      <v:fill on="f" focussize="0,0"/>
                      <v:stroke weight="0.5pt" color="#000000 [3204]" joinstyle="round"/>
                      <v:imagedata o:title=""/>
                      <o:lock v:ext="edit" aspectratio="f"/>
                      <v:textbox inset="0mm,0mm,0mm,0mm">
                        <w:txbxContent>
                          <w:p w14:paraId="189F0D6B">
                            <w:pPr>
                              <w:ind w:left="0" w:leftChars="0" w:firstLine="0" w:firstLineChars="0"/>
                              <w:rPr>
                                <w:rFonts w:hint="default" w:eastAsiaTheme="minorEastAsia"/>
                                <w:color w:val="FF0000"/>
                                <w:sz w:val="15"/>
                                <w:szCs w:val="15"/>
                                <w:lang w:val="en-US" w:eastAsia="zh-CN"/>
                              </w:rPr>
                            </w:pPr>
                            <w:r>
                              <w:rPr>
                                <w:rFonts w:hint="eastAsia"/>
                                <w:color w:val="FF0000"/>
                                <w:sz w:val="15"/>
                                <w:szCs w:val="15"/>
                                <w:lang w:val="en-US" w:eastAsia="zh-CN"/>
                              </w:rPr>
                              <w:t>950m</w:t>
                            </w:r>
                          </w:p>
                        </w:txbxContent>
                      </v:textbox>
                    </v:shape>
                  </w:pict>
                </mc:Fallback>
              </mc:AlternateContent>
            </w:r>
            <w:r>
              <w:rPr>
                <w:rFonts w:ascii="宋体" w:hAnsi="宋体" w:eastAsia="宋体" w:cs="宋体"/>
                <w:sz w:val="24"/>
                <w:szCs w:val="24"/>
              </w:rPr>
              <w:drawing>
                <wp:inline distT="0" distB="0" distL="114300" distR="114300">
                  <wp:extent cx="4356100" cy="2423795"/>
                  <wp:effectExtent l="0" t="0" r="6350" b="14605"/>
                  <wp:docPr id="1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IMG_256"/>
                          <pic:cNvPicPr>
                            <a:picLocks noChangeAspect="1"/>
                          </pic:cNvPicPr>
                        </pic:nvPicPr>
                        <pic:blipFill>
                          <a:blip r:embed="rId28"/>
                          <a:stretch>
                            <a:fillRect/>
                          </a:stretch>
                        </pic:blipFill>
                        <pic:spPr>
                          <a:xfrm>
                            <a:off x="0" y="0"/>
                            <a:ext cx="4356100" cy="2423795"/>
                          </a:xfrm>
                          <a:prstGeom prst="rect">
                            <a:avLst/>
                          </a:prstGeom>
                          <a:noFill/>
                          <a:ln w="9525">
                            <a:noFill/>
                          </a:ln>
                        </pic:spPr>
                      </pic:pic>
                    </a:graphicData>
                  </a:graphic>
                </wp:inline>
              </w:drawing>
            </w:r>
          </w:p>
        </w:tc>
      </w:tr>
    </w:tbl>
    <w:p w14:paraId="57FA5BBF">
      <w:pPr>
        <w:widowControl/>
        <w:spacing w:line="240" w:lineRule="auto"/>
        <w:ind w:firstLine="0" w:firstLineChars="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bookmarkStart w:id="77" w:name="_Toc490417076"/>
      <w:bookmarkStart w:id="78" w:name="_Toc483491995"/>
    </w:p>
    <w:bookmarkEnd w:id="77"/>
    <w:bookmarkEnd w:id="78"/>
    <w:p w14:paraId="152609AC">
      <w:pPr>
        <w:pStyle w:val="46"/>
        <w:ind w:firstLine="480"/>
        <w:rPr>
          <w:rFonts w:ascii="Times New Roman" w:hAnsi="Times New Roman" w:cs="Times New Roman"/>
          <w:color w:val="000000" w:themeColor="text1"/>
          <w14:textFill>
            <w14:solidFill>
              <w14:schemeClr w14:val="tx1"/>
            </w14:solidFill>
          </w14:textFill>
        </w:rPr>
        <w:sectPr>
          <w:headerReference r:id="rId14" w:type="default"/>
          <w:pgSz w:w="11910" w:h="16840"/>
          <w:pgMar w:top="1360" w:right="1280" w:bottom="1440" w:left="1300" w:header="936" w:footer="850" w:gutter="0"/>
          <w:pgBorders>
            <w:top w:val="none" w:sz="0" w:space="0"/>
            <w:left w:val="none" w:sz="0" w:space="0"/>
            <w:bottom w:val="none" w:sz="0" w:space="0"/>
            <w:right w:val="none" w:sz="0" w:space="0"/>
          </w:pgBorders>
          <w:cols w:space="720" w:num="1"/>
        </w:sectPr>
      </w:pPr>
      <w:bookmarkStart w:id="79" w:name="3.8项目合理性分析"/>
      <w:bookmarkEnd w:id="79"/>
      <w:bookmarkStart w:id="80" w:name="_bookmark23"/>
      <w:bookmarkEnd w:id="80"/>
    </w:p>
    <w:p w14:paraId="60416657">
      <w:pPr>
        <w:pStyle w:val="3"/>
        <w:rPr>
          <w:rFonts w:ascii="Times New Roman" w:hAnsi="Times New Roman" w:cs="Times New Roman"/>
          <w:color w:val="000000" w:themeColor="text1"/>
          <w14:textFill>
            <w14:solidFill>
              <w14:schemeClr w14:val="tx1"/>
            </w14:solidFill>
          </w14:textFill>
        </w:rPr>
      </w:pPr>
      <w:bookmarkStart w:id="81" w:name="_Toc26444"/>
      <w:r>
        <w:rPr>
          <w:rFonts w:ascii="Times New Roman" w:hAnsi="Times New Roman" w:cs="Times New Roman"/>
          <w:color w:val="000000" w:themeColor="text1"/>
          <w14:textFill>
            <w14:solidFill>
              <w14:schemeClr w14:val="tx1"/>
            </w14:solidFill>
          </w14:textFill>
        </w:rPr>
        <w:t>建设项目工程分析</w:t>
      </w:r>
      <w:bookmarkEnd w:id="81"/>
    </w:p>
    <w:p w14:paraId="2F102BE4">
      <w:pPr>
        <w:pStyle w:val="4"/>
        <w:ind w:left="120"/>
        <w:rPr>
          <w:rFonts w:ascii="Times New Roman" w:hAnsi="Times New Roman" w:cs="Times New Roman"/>
          <w:color w:val="000000" w:themeColor="text1"/>
          <w:lang w:val="en-GB"/>
          <w14:textFill>
            <w14:solidFill>
              <w14:schemeClr w14:val="tx1"/>
            </w14:solidFill>
          </w14:textFill>
        </w:rPr>
      </w:pPr>
      <w:bookmarkStart w:id="82" w:name="_Toc16686"/>
      <w:r>
        <w:rPr>
          <w:rFonts w:ascii="Times New Roman" w:hAnsi="Times New Roman" w:cs="Times New Roman"/>
          <w:color w:val="000000" w:themeColor="text1"/>
          <w:lang w:val="en-GB"/>
          <w14:textFill>
            <w14:solidFill>
              <w14:schemeClr w14:val="tx1"/>
            </w14:solidFill>
          </w14:textFill>
        </w:rPr>
        <w:t>建设项目概况</w:t>
      </w:r>
      <w:bookmarkEnd w:id="82"/>
    </w:p>
    <w:p w14:paraId="7EA60F7F">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项目基本情况</w:t>
      </w:r>
    </w:p>
    <w:p w14:paraId="325B6705">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（1）项目名称：</w:t>
      </w:r>
      <w:r>
        <w:rPr>
          <w:rFonts w:hint="eastAsia" w:cs="Times New Roman"/>
          <w:color w:val="000000" w:themeColor="text1"/>
          <w:lang w:eastAsia="zh-CN"/>
          <w14:textFill>
            <w14:solidFill>
              <w14:schemeClr w14:val="tx1"/>
            </w14:solidFill>
          </w14:textFill>
        </w:rPr>
        <w:t>第四师</w:t>
      </w:r>
      <w:r>
        <w:rPr>
          <w:rFonts w:hint="eastAsia" w:cs="Times New Roman"/>
          <w:color w:val="000000" w:themeColor="text1"/>
          <w:lang w:val="en-US" w:eastAsia="zh-CN"/>
          <w14:textFill>
            <w14:solidFill>
              <w14:schemeClr w14:val="tx1"/>
            </w14:solidFill>
          </w14:textFill>
        </w:rPr>
        <w:t>63团种禽养殖基地建设项目</w:t>
      </w:r>
    </w:p>
    <w:p w14:paraId="09297348">
      <w:pPr>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（2）建设单位：</w:t>
      </w:r>
      <w:r>
        <w:rPr>
          <w:rFonts w:hint="eastAsia" w:cs="Times New Roman"/>
          <w:color w:val="000000" w:themeColor="text1"/>
          <w:lang w:eastAsia="zh-CN"/>
          <w14:textFill>
            <w14:solidFill>
              <w14:schemeClr w14:val="tx1"/>
            </w14:solidFill>
          </w14:textFill>
        </w:rPr>
        <w:t>新疆鼎成农业科技有限公司</w:t>
      </w:r>
    </w:p>
    <w:p w14:paraId="47F99189">
      <w:pPr>
        <w:ind w:firstLine="48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（3）建设性质：</w:t>
      </w:r>
      <w:r>
        <w:rPr>
          <w:rFonts w:hint="eastAsia" w:ascii="Times New Roman" w:hAnsi="Times New Roman" w:cs="Times New Roman"/>
          <w:color w:val="000000" w:themeColor="text1"/>
          <w:lang w:val="en-US" w:eastAsia="zh-CN"/>
          <w14:textFill>
            <w14:solidFill>
              <w14:schemeClr w14:val="tx1"/>
            </w14:solidFill>
          </w14:textFill>
        </w:rPr>
        <w:t>扩建</w:t>
      </w:r>
    </w:p>
    <w:p w14:paraId="1624B1FC">
      <w:pPr>
        <w:ind w:firstLine="480"/>
        <w:rPr>
          <w:rFonts w:hint="eastAsia" w:cs="Times New Roman"/>
          <w:color w:val="auto"/>
          <w:lang w:val="en-US" w:eastAsia="zh-CN"/>
        </w:rPr>
      </w:pPr>
      <w:r>
        <w:rPr>
          <w:rFonts w:ascii="Times New Roman" w:hAnsi="Times New Roman" w:cs="Times New Roman"/>
          <w:color w:val="000000" w:themeColor="text1"/>
          <w14:textFill>
            <w14:solidFill>
              <w14:schemeClr w14:val="tx1"/>
            </w14:solidFill>
          </w14:textFill>
        </w:rPr>
        <w:t>（4）建设地点：</w:t>
      </w:r>
      <w:r>
        <w:rPr>
          <w:rFonts w:ascii="Times New Roman" w:hAnsi="Times New Roman" w:cs="Times New Roman"/>
          <w:color w:val="auto"/>
        </w:rPr>
        <w:t>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w:t>
      </w:r>
    </w:p>
    <w:p w14:paraId="60C1EC1E">
      <w:pPr>
        <w:ind w:firstLine="48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auto"/>
          <w:lang w:val="en-US" w:eastAsia="zh-CN"/>
        </w:rPr>
        <w:t>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2.5</w:t>
      </w:r>
      <w:r>
        <w:rPr>
          <w:rFonts w:ascii="Times New Roman" w:hAnsi="Times New Roman" w:cs="Times New Roman"/>
          <w:color w:val="auto"/>
        </w:rPr>
        <w:t>km范围内无城镇居民区、文化教育科学研究区等人口集中区域，不涉及风景名胜区、自然保护区的核心区和缓冲区。中心地理坐标为东经：</w:t>
      </w:r>
      <w:r>
        <w:rPr>
          <w:rFonts w:hint="eastAsia" w:ascii="Times New Roman" w:hAnsi="Times New Roman" w:cs="Times New Roman"/>
          <w:color w:val="auto"/>
          <w:lang w:val="en-US" w:eastAsia="zh-CN"/>
        </w:rPr>
        <w:t>80</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22.165</w:t>
      </w:r>
      <w:r>
        <w:rPr>
          <w:rFonts w:ascii="Times New Roman" w:hAnsi="Times New Roman" w:cs="Times New Roman"/>
          <w:color w:val="auto"/>
        </w:rPr>
        <w:t>″，北纬：</w:t>
      </w:r>
      <w:r>
        <w:rPr>
          <w:rFonts w:hint="eastAsia" w:ascii="Times New Roman" w:hAnsi="Times New Roman" w:cs="Times New Roman"/>
          <w:color w:val="auto"/>
          <w:lang w:val="en-US" w:eastAsia="zh-CN"/>
        </w:rPr>
        <w:t>4</w:t>
      </w:r>
      <w:r>
        <w:rPr>
          <w:rFonts w:hint="eastAsia" w:cs="Times New Roman"/>
          <w:color w:val="auto"/>
          <w:lang w:val="en-US" w:eastAsia="zh-CN"/>
        </w:rPr>
        <w:t>3</w:t>
      </w:r>
      <w:r>
        <w:rPr>
          <w:rFonts w:ascii="Times New Roman" w:hAnsi="Times New Roman" w:cs="Times New Roman"/>
          <w:color w:val="auto"/>
        </w:rPr>
        <w:t>°</w:t>
      </w:r>
      <w:r>
        <w:rPr>
          <w:rFonts w:hint="eastAsia" w:cs="Times New Roman"/>
          <w:color w:val="auto"/>
          <w:lang w:val="en-US" w:eastAsia="zh-CN"/>
        </w:rPr>
        <w:t>55</w:t>
      </w:r>
      <w:r>
        <w:rPr>
          <w:rFonts w:ascii="Times New Roman" w:hAnsi="Times New Roman" w:cs="Times New Roman"/>
          <w:color w:val="auto"/>
        </w:rPr>
        <w:t>′</w:t>
      </w:r>
      <w:r>
        <w:rPr>
          <w:rFonts w:hint="eastAsia" w:cs="Times New Roman"/>
          <w:color w:val="auto"/>
          <w:lang w:val="en-US" w:eastAsia="zh-CN"/>
        </w:rPr>
        <w:t>08</w:t>
      </w:r>
      <w:r>
        <w:rPr>
          <w:rFonts w:hint="eastAsia" w:ascii="Times New Roman" w:hAnsi="Times New Roman" w:cs="Times New Roman"/>
          <w:color w:val="auto"/>
          <w:lang w:val="en-US" w:eastAsia="zh-CN"/>
        </w:rPr>
        <w:t>.</w:t>
      </w:r>
      <w:r>
        <w:rPr>
          <w:rFonts w:hint="eastAsia" w:cs="Times New Roman"/>
          <w:color w:val="auto"/>
          <w:lang w:val="en-US" w:eastAsia="zh-CN"/>
        </w:rPr>
        <w:t>278</w:t>
      </w:r>
      <w:r>
        <w:rPr>
          <w:rFonts w:ascii="Times New Roman" w:hAnsi="Times New Roman" w:cs="Times New Roman"/>
          <w:color w:val="auto"/>
        </w:rPr>
        <w:t>″。</w:t>
      </w:r>
    </w:p>
    <w:p w14:paraId="121BD80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（5）劳动定员和工作制度：项目定员</w:t>
      </w:r>
      <w:r>
        <w:rPr>
          <w:rFonts w:hint="eastAsia" w:cs="Times New Roman"/>
          <w:color w:val="000000" w:themeColor="text1"/>
          <w:lang w:val="en-US" w:eastAsia="zh-CN"/>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人，</w:t>
      </w:r>
      <w:r>
        <w:rPr>
          <w:rFonts w:hint="eastAsia" w:ascii="Times New Roman" w:hAnsi="Times New Roman" w:cs="Times New Roman"/>
          <w:color w:val="000000" w:themeColor="text1"/>
          <w:lang w:val="en-US" w:eastAsia="zh-CN"/>
          <w14:textFill>
            <w14:solidFill>
              <w14:schemeClr w14:val="tx1"/>
            </w14:solidFill>
          </w14:textFill>
        </w:rPr>
        <w:t>均在场内食宿，</w:t>
      </w:r>
      <w:r>
        <w:rPr>
          <w:rFonts w:ascii="Times New Roman" w:hAnsi="Times New Roman" w:cs="Times New Roman"/>
          <w:color w:val="000000" w:themeColor="text1"/>
          <w14:textFill>
            <w14:solidFill>
              <w14:schemeClr w14:val="tx1"/>
            </w14:solidFill>
          </w14:textFill>
        </w:rPr>
        <w:t>全年工作365d，</w:t>
      </w:r>
      <w:r>
        <w:rPr>
          <w:rFonts w:hint="eastAsia" w:ascii="Times New Roman" w:hAnsi="Times New Roman" w:cs="Times New Roman"/>
          <w:color w:val="000000" w:themeColor="text1"/>
          <w:lang w:val="en-US" w:eastAsia="zh-CN"/>
          <w14:textFill>
            <w14:solidFill>
              <w14:schemeClr w14:val="tx1"/>
            </w14:solidFill>
          </w14:textFill>
        </w:rPr>
        <w:t>三班制，每班工作8小时</w:t>
      </w:r>
      <w:r>
        <w:rPr>
          <w:rFonts w:ascii="Times New Roman" w:hAnsi="Times New Roman" w:cs="Times New Roman"/>
          <w:color w:val="000000" w:themeColor="text1"/>
          <w14:textFill>
            <w14:solidFill>
              <w14:schemeClr w14:val="tx1"/>
            </w14:solidFill>
          </w14:textFill>
        </w:rPr>
        <w:t>。</w:t>
      </w:r>
    </w:p>
    <w:p w14:paraId="702B77F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（6）项目实施进度：</w:t>
      </w:r>
    </w:p>
    <w:p w14:paraId="765A6145">
      <w:pPr>
        <w:pStyle w:val="11"/>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项目计划</w:t>
      </w:r>
      <w:r>
        <w:rPr>
          <w:rFonts w:hint="eastAsia" w:ascii="Times New Roman" w:hAnsi="Times New Roman" w:cs="Times New Roman" w:eastAsiaTheme="minorEastAsia"/>
          <w:color w:val="000000" w:themeColor="text1"/>
          <w:kern w:val="2"/>
          <w:sz w:val="24"/>
          <w:szCs w:val="22"/>
          <w:lang w:val="en-US" w:eastAsia="zh-CN" w:bidi="ar-SA"/>
          <w14:textFill>
            <w14:solidFill>
              <w14:schemeClr w14:val="tx1"/>
            </w14:solidFill>
          </w14:textFill>
        </w:rPr>
        <w:t>于2025年5月开工建设，2025年9月完工，预计2025年10月投入运行，施工期共计5个月。</w:t>
      </w:r>
    </w:p>
    <w:p w14:paraId="17A5EAD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（7）项目投资：本</w:t>
      </w:r>
      <w:r>
        <w:rPr>
          <w:rFonts w:hint="eastAsia" w:ascii="Times New Roman" w:hAnsi="Times New Roman" w:cs="Times New Roman"/>
          <w:color w:val="000000" w:themeColor="text1"/>
          <w:lang w:val="en-US" w:eastAsia="zh-CN"/>
          <w14:textFill>
            <w14:solidFill>
              <w14:schemeClr w14:val="tx1"/>
            </w14:solidFill>
          </w14:textFill>
        </w:rPr>
        <w:t>期</w:t>
      </w:r>
      <w:r>
        <w:rPr>
          <w:rFonts w:ascii="Times New Roman" w:hAnsi="Times New Roman" w:cs="Times New Roman"/>
          <w:color w:val="000000" w:themeColor="text1"/>
          <w14:textFill>
            <w14:solidFill>
              <w14:schemeClr w14:val="tx1"/>
            </w14:solidFill>
          </w14:textFill>
        </w:rPr>
        <w:t>项目总投资为</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000</w:t>
      </w:r>
      <w:r>
        <w:rPr>
          <w:rFonts w:ascii="Times New Roman" w:hAnsi="Times New Roman" w:cs="Times New Roman"/>
          <w:color w:val="000000" w:themeColor="text1"/>
          <w14:textFill>
            <w14:solidFill>
              <w14:schemeClr w14:val="tx1"/>
            </w14:solidFill>
          </w14:textFill>
        </w:rPr>
        <w:t>万元，</w:t>
      </w:r>
      <w:r>
        <w:rPr>
          <w:rFonts w:hint="eastAsia" w:ascii="Times New Roman" w:hAnsi="Times New Roman" w:cs="Times New Roman"/>
          <w:color w:val="000000" w:themeColor="text1"/>
          <w:lang w:val="en-US" w:eastAsia="zh-CN"/>
          <w14:textFill>
            <w14:solidFill>
              <w14:schemeClr w14:val="tx1"/>
            </w14:solidFill>
          </w14:textFill>
        </w:rPr>
        <w:t>全部由</w:t>
      </w:r>
      <w:r>
        <w:rPr>
          <w:rFonts w:ascii="Times New Roman" w:hAnsi="Times New Roman" w:cs="Times New Roman"/>
          <w:color w:val="000000" w:themeColor="text1"/>
          <w14:textFill>
            <w14:solidFill>
              <w14:schemeClr w14:val="tx1"/>
            </w14:solidFill>
          </w14:textFill>
        </w:rPr>
        <w:t>建设单位自筹。</w:t>
      </w:r>
    </w:p>
    <w:p w14:paraId="50BCE3C2">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建设规模</w:t>
      </w:r>
    </w:p>
    <w:p w14:paraId="0F83324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w:t>
      </w:r>
      <w:r>
        <w:rPr>
          <w:rFonts w:hint="eastAsia" w:ascii="Times New Roman" w:hAnsi="Times New Roman" w:cs="Times New Roman"/>
          <w:color w:val="000000" w:themeColor="text1"/>
          <w:lang w:val="en-US" w:eastAsia="zh-CN"/>
          <w14:textFill>
            <w14:solidFill>
              <w14:schemeClr w14:val="tx1"/>
            </w14:solidFill>
          </w14:textFill>
        </w:rPr>
        <w:t>期</w:t>
      </w:r>
      <w:r>
        <w:rPr>
          <w:rFonts w:ascii="Times New Roman" w:hAnsi="Times New Roman" w:cs="Times New Roman"/>
          <w:color w:val="000000" w:themeColor="text1"/>
          <w14:textFill>
            <w14:solidFill>
              <w14:schemeClr w14:val="tx1"/>
            </w14:solidFill>
          </w14:textFill>
        </w:rPr>
        <w:t>项目总占地面积</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3.38</w:t>
      </w:r>
      <w:r>
        <w:rPr>
          <w:rFonts w:hint="eastAsia" w:ascii="Times New Roman" w:hAnsi="Times New Roman" w:cs="Times New Roman"/>
          <w:color w:val="000000" w:themeColor="text1"/>
          <w:lang w:val="en-US" w:eastAsia="zh-CN"/>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vertAlign w:val="baseline"/>
          <w:lang w:eastAsia="zh-CN"/>
          <w14:textFill>
            <w14:solidFill>
              <w14:schemeClr w14:val="tx1"/>
            </w14:solidFill>
          </w14:textFill>
        </w:rPr>
        <w:t>，</w:t>
      </w:r>
      <w:r>
        <w:rPr>
          <w:rFonts w:hint="eastAsia" w:cs="Times New Roman"/>
          <w:color w:val="000000" w:themeColor="text1"/>
          <w:vertAlign w:val="baseline"/>
          <w:lang w:val="en-US" w:eastAsia="zh-CN"/>
          <w14:textFill>
            <w14:solidFill>
              <w14:schemeClr w14:val="tx1"/>
            </w14:solidFill>
          </w14:textFill>
        </w:rPr>
        <w:t>合200.688亩</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项目年存栏</w:t>
      </w:r>
      <w:r>
        <w:rPr>
          <w:rFonts w:hint="eastAsia" w:ascii="Times New Roman" w:hAnsi="Times New Roman" w:cs="Times New Roman"/>
          <w:color w:val="000000" w:themeColor="text1"/>
          <w:lang w:val="en-US" w:eastAsia="zh-CN"/>
          <w14:textFill>
            <w14:solidFill>
              <w14:schemeClr w14:val="tx1"/>
            </w14:solidFill>
          </w14:textFill>
        </w:rPr>
        <w:t>种</w:t>
      </w:r>
      <w:r>
        <w:rPr>
          <w:rFonts w:hint="eastAsia" w:cs="Times New Roman"/>
          <w:color w:val="000000" w:themeColor="text1"/>
          <w:lang w:val="en-US" w:eastAsia="zh-CN"/>
          <w14:textFill>
            <w14:solidFill>
              <w14:schemeClr w14:val="tx1"/>
            </w14:solidFill>
          </w14:textFill>
        </w:rPr>
        <w:t>蛋</w:t>
      </w:r>
      <w:r>
        <w:rPr>
          <w:rFonts w:hint="eastAsia" w:ascii="Times New Roman" w:hAnsi="Times New Roman" w:cs="Times New Roman"/>
          <w:color w:val="000000" w:themeColor="text1"/>
          <w:lang w:val="en-US" w:eastAsia="zh-CN"/>
          <w14:textFill>
            <w14:solidFill>
              <w14:schemeClr w14:val="tx1"/>
            </w14:solidFill>
          </w14:textFill>
        </w:rPr>
        <w:t>鸭</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lang w:val="en-US" w:eastAsia="zh-CN"/>
          <w14:textFill>
            <w14:solidFill>
              <w14:schemeClr w14:val="tx1"/>
            </w14:solidFill>
          </w14:textFill>
        </w:rPr>
        <w:t>万只</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平均2年更换</w:t>
      </w:r>
      <w:r>
        <w:rPr>
          <w:rFonts w:ascii="Times New Roman" w:hAnsi="Times New Roman" w:cs="Times New Roman"/>
          <w:color w:val="000000" w:themeColor="text1"/>
          <w14:textFill>
            <w14:solidFill>
              <w14:schemeClr w14:val="tx1"/>
            </w14:solidFill>
          </w14:textFill>
        </w:rPr>
        <w:t>1次。</w:t>
      </w:r>
    </w:p>
    <w:p w14:paraId="2B12ECA0">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工程建设内容</w:t>
      </w:r>
    </w:p>
    <w:p w14:paraId="4A5DE99E">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工程主要建设内容包括</w:t>
      </w:r>
      <w:r>
        <w:rPr>
          <w:rFonts w:hint="eastAsia" w:cs="Times New Roman"/>
          <w:color w:val="000000" w:themeColor="text1"/>
          <w:lang w:val="en-US" w:eastAsia="zh-CN"/>
          <w14:textFill>
            <w14:solidFill>
              <w14:schemeClr w14:val="tx1"/>
            </w14:solidFill>
          </w14:textFill>
        </w:rPr>
        <w:t>鸭舍30座</w:t>
      </w:r>
      <w:r>
        <w:rPr>
          <w:rFonts w:ascii="Times New Roman" w:hAnsi="Times New Roman" w:cs="Times New Roman"/>
          <w:color w:val="000000" w:themeColor="text1"/>
          <w14:textFill>
            <w14:solidFill>
              <w14:schemeClr w14:val="tx1"/>
            </w14:solidFill>
          </w14:textFill>
        </w:rPr>
        <w:t>及</w:t>
      </w:r>
      <w:r>
        <w:rPr>
          <w:rFonts w:hint="eastAsia" w:ascii="Times New Roman" w:hAnsi="Times New Roman" w:cs="Times New Roman"/>
          <w:color w:val="000000" w:themeColor="text1"/>
          <w:lang w:val="en-US" w:eastAsia="zh-CN"/>
          <w14:textFill>
            <w14:solidFill>
              <w14:schemeClr w14:val="tx1"/>
            </w14:solidFill>
          </w14:textFill>
        </w:rPr>
        <w:t>种鸭</w:t>
      </w:r>
      <w:r>
        <w:rPr>
          <w:rFonts w:hint="eastAsia" w:cs="Times New Roman"/>
          <w:color w:val="000000" w:themeColor="text1"/>
          <w:lang w:eastAsia="zh-CN"/>
          <w14:textFill>
            <w14:solidFill>
              <w14:schemeClr w14:val="tx1"/>
            </w14:solidFill>
          </w14:textFill>
        </w:rPr>
        <w:t>活动场地</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蛋库、锅炉房、管理用房、粪污暂存和处理设施、污水处理设施等</w:t>
      </w:r>
      <w:r>
        <w:rPr>
          <w:rFonts w:ascii="Times New Roman" w:hAnsi="Times New Roman" w:cs="Times New Roman"/>
          <w:color w:val="000000" w:themeColor="text1"/>
          <w14:textFill>
            <w14:solidFill>
              <w14:schemeClr w14:val="tx1"/>
            </w14:solidFill>
          </w14:textFill>
        </w:rPr>
        <w:t>。本项目组成主要包括：主体工程、辅助工程、储运工程、公用工程和环保工程。工程组成详见表</w:t>
      </w:r>
      <w:r>
        <w:rPr>
          <w:rFonts w:hint="eastAsia"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.1-1。</w:t>
      </w:r>
    </w:p>
    <w:p w14:paraId="7CC6F577">
      <w:pPr>
        <w:pStyle w:val="11"/>
        <w:rPr>
          <w:rFonts w:ascii="Times New Roman" w:hAnsi="Times New Roman"/>
          <w:color w:val="000000" w:themeColor="text1"/>
          <w14:textFill>
            <w14:solidFill>
              <w14:schemeClr w14:val="tx1"/>
            </w14:solidFill>
          </w14:textFill>
        </w:rPr>
      </w:pPr>
    </w:p>
    <w:p w14:paraId="11C0BBAA">
      <w:pPr>
        <w:pStyle w:val="61"/>
        <w:spacing w:before="32" w:after="32"/>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.1-1    项目建设内容组成表</w:t>
      </w:r>
    </w:p>
    <w:tbl>
      <w:tblPr>
        <w:tblStyle w:val="35"/>
        <w:tblW w:w="895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198"/>
        <w:gridCol w:w="1559"/>
        <w:gridCol w:w="6201"/>
      </w:tblGrid>
      <w:tr w14:paraId="10FB01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tcBorders>
              <w:tl2br w:val="nil"/>
              <w:tr2bl w:val="nil"/>
            </w:tcBorders>
            <w:vAlign w:val="center"/>
          </w:tcPr>
          <w:p w14:paraId="35BEC2BF">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工程类别</w:t>
            </w:r>
          </w:p>
        </w:tc>
        <w:tc>
          <w:tcPr>
            <w:tcW w:w="1559" w:type="dxa"/>
            <w:tcBorders>
              <w:tl2br w:val="nil"/>
              <w:tr2bl w:val="nil"/>
            </w:tcBorders>
            <w:vAlign w:val="center"/>
          </w:tcPr>
          <w:p w14:paraId="3D6EAC1F">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项目名称</w:t>
            </w:r>
          </w:p>
        </w:tc>
        <w:tc>
          <w:tcPr>
            <w:tcW w:w="6201" w:type="dxa"/>
            <w:tcBorders>
              <w:tl2br w:val="nil"/>
              <w:tr2bl w:val="nil"/>
            </w:tcBorders>
            <w:vAlign w:val="center"/>
          </w:tcPr>
          <w:p w14:paraId="641FCA0F">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项目内容</w:t>
            </w:r>
          </w:p>
        </w:tc>
      </w:tr>
      <w:tr w14:paraId="1038D2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tcBorders>
              <w:tl2br w:val="nil"/>
              <w:tr2bl w:val="nil"/>
            </w:tcBorders>
            <w:vAlign w:val="center"/>
          </w:tcPr>
          <w:p w14:paraId="748611EC">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主体工程</w:t>
            </w:r>
          </w:p>
        </w:tc>
        <w:tc>
          <w:tcPr>
            <w:tcW w:w="1559" w:type="dxa"/>
            <w:tcBorders>
              <w:tl2br w:val="nil"/>
              <w:tr2bl w:val="nil"/>
            </w:tcBorders>
            <w:vAlign w:val="center"/>
          </w:tcPr>
          <w:p w14:paraId="0E5DB422">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种鸭养殖</w:t>
            </w:r>
          </w:p>
        </w:tc>
        <w:tc>
          <w:tcPr>
            <w:tcW w:w="6201" w:type="dxa"/>
            <w:tcBorders>
              <w:tl2br w:val="nil"/>
              <w:tr2bl w:val="nil"/>
            </w:tcBorders>
            <w:vAlign w:val="center"/>
          </w:tcPr>
          <w:p w14:paraId="64F32F2C">
            <w:pPr>
              <w:pStyle w:val="6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本项目区建设种鸭养殖棚30个，分南北两个区域，</w:t>
            </w:r>
            <w:r>
              <w:rPr>
                <w:rFonts w:hint="eastAsia" w:cs="Times New Roman"/>
                <w:color w:val="000000" w:themeColor="text1"/>
                <w:lang w:val="en-US" w:eastAsia="zh-CN"/>
                <w14:textFill>
                  <w14:solidFill>
                    <w14:schemeClr w14:val="tx1"/>
                  </w14:solidFill>
                </w14:textFill>
              </w:rPr>
              <w:t>含办公用房，总</w:t>
            </w:r>
            <w:r>
              <w:rPr>
                <w:rFonts w:hint="eastAsia" w:ascii="Times New Roman" w:hAnsi="Times New Roman" w:cs="Times New Roman"/>
                <w:color w:val="000000" w:themeColor="text1"/>
                <w:lang w:val="en-US" w:eastAsia="zh-CN"/>
                <w14:textFill>
                  <w14:solidFill>
                    <w14:schemeClr w14:val="tx1"/>
                  </w14:solidFill>
                </w14:textFill>
              </w:rPr>
              <w:t>建筑面积</w:t>
            </w:r>
            <w:r>
              <w:rPr>
                <w:rFonts w:hint="eastAsia" w:cs="Times New Roman"/>
                <w:color w:val="000000" w:themeColor="text1"/>
                <w:lang w:val="en-US" w:eastAsia="zh-CN"/>
                <w14:textFill>
                  <w14:solidFill>
                    <w14:schemeClr w14:val="tx1"/>
                  </w14:solidFill>
                </w14:textFill>
              </w:rPr>
              <w:t>约</w:t>
            </w:r>
            <w:r>
              <w:rPr>
                <w:rFonts w:hint="eastAsia" w:ascii="Times New Roman" w:hAnsi="Times New Roman" w:cs="Times New Roman"/>
                <w:color w:val="000000" w:themeColor="text1"/>
                <w:lang w:val="en-US" w:eastAsia="zh-CN"/>
                <w14:textFill>
                  <w14:solidFill>
                    <w14:schemeClr w14:val="tx1"/>
                  </w14:solidFill>
                </w14:textFill>
              </w:rPr>
              <w:t>53000m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lang w:val="zh-CN"/>
                <w14:textFill>
                  <w14:solidFill>
                    <w14:schemeClr w14:val="tx1"/>
                  </w14:solidFill>
                </w14:textFill>
              </w:rPr>
              <w:t>均为封闭式轻钢结构</w:t>
            </w:r>
            <w:r>
              <w:rPr>
                <w:rFonts w:hint="eastAsia"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lang w:val="zh-CN"/>
                <w14:textFill>
                  <w14:solidFill>
                    <w14:schemeClr w14:val="tx1"/>
                  </w14:solidFill>
                </w14:textFill>
              </w:rPr>
              <w:t>地面采用水泥砂浆地面并铺设垫草料</w:t>
            </w:r>
            <w:r>
              <w:rPr>
                <w:rFonts w:hint="eastAsia"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lang w:val="zh-CN"/>
                <w14:textFill>
                  <w14:solidFill>
                    <w14:schemeClr w14:val="tx1"/>
                  </w14:solidFill>
                </w14:textFill>
              </w:rPr>
              <w:t>圈舍内设饲喂通道、恒温水槽、饲料槽等</w:t>
            </w:r>
            <w:r>
              <w:rPr>
                <w:rFonts w:hint="eastAsia" w:ascii="Times New Roman" w:hAnsi="Times New Roman" w:cs="Times New Roman"/>
                <w:color w:val="000000" w:themeColor="text1"/>
                <w:lang w:val="en-US" w:eastAsia="zh-CN"/>
                <w14:textFill>
                  <w14:solidFill>
                    <w14:schemeClr w14:val="tx1"/>
                  </w14:solidFill>
                </w14:textFill>
              </w:rPr>
              <w:t>；种鸭运动场地采用砂石地面。</w:t>
            </w:r>
          </w:p>
          <w:p w14:paraId="07BE2D5F">
            <w:pPr>
              <w:pStyle w:val="6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本项目没有单独的孵化车间，鸭苗直接采购，鸭</w:t>
            </w:r>
            <w:r>
              <w:rPr>
                <w:rFonts w:hint="eastAsia" w:cs="Times New Roman"/>
                <w:color w:val="000000" w:themeColor="text1"/>
                <w:lang w:val="en-US" w:eastAsia="zh-CN"/>
                <w14:textFill>
                  <w14:solidFill>
                    <w14:schemeClr w14:val="tx1"/>
                  </w14:solidFill>
                </w14:textFill>
              </w:rPr>
              <w:t>均</w:t>
            </w:r>
            <w:r>
              <w:rPr>
                <w:rFonts w:hint="eastAsia" w:ascii="Times New Roman" w:hAnsi="Times New Roman" w:cs="Times New Roman"/>
                <w:color w:val="000000" w:themeColor="text1"/>
                <w:lang w:val="en-US" w:eastAsia="zh-CN"/>
                <w14:textFill>
                  <w14:solidFill>
                    <w14:schemeClr w14:val="tx1"/>
                  </w14:solidFill>
                </w14:textFill>
              </w:rPr>
              <w:t>年产蛋</w:t>
            </w:r>
            <w:r>
              <w:rPr>
                <w:rFonts w:hint="eastAsia" w:cs="Times New Roman"/>
                <w:color w:val="000000" w:themeColor="text1"/>
                <w:lang w:val="en-US" w:eastAsia="zh-CN"/>
                <w14:textFill>
                  <w14:solidFill>
                    <w14:schemeClr w14:val="tx1"/>
                  </w14:solidFill>
                </w14:textFill>
              </w:rPr>
              <w:t>按260</w:t>
            </w:r>
            <w:r>
              <w:rPr>
                <w:rFonts w:hint="eastAsia" w:ascii="Times New Roman" w:hAnsi="Times New Roman" w:cs="Times New Roman"/>
                <w:color w:val="000000" w:themeColor="text1"/>
                <w:lang w:val="en-US" w:eastAsia="zh-CN"/>
                <w14:textFill>
                  <w14:solidFill>
                    <w14:schemeClr w14:val="tx1"/>
                  </w14:solidFill>
                </w14:textFill>
              </w:rPr>
              <w:t>枚</w:t>
            </w:r>
            <w:r>
              <w:rPr>
                <w:rFonts w:hint="eastAsia" w:cs="Times New Roman"/>
                <w:color w:val="000000" w:themeColor="text1"/>
                <w:lang w:val="en-US" w:eastAsia="zh-CN"/>
                <w14:textFill>
                  <w14:solidFill>
                    <w14:schemeClr w14:val="tx1"/>
                  </w14:solidFill>
                </w14:textFill>
              </w:rPr>
              <w:t>计</w:t>
            </w:r>
            <w:r>
              <w:rPr>
                <w:rFonts w:hint="eastAsia" w:ascii="Times New Roman" w:hAnsi="Times New Roman" w:cs="Times New Roman"/>
                <w:color w:val="000000" w:themeColor="text1"/>
                <w:lang w:val="en-US" w:eastAsia="zh-CN"/>
                <w14:textFill>
                  <w14:solidFill>
                    <w14:schemeClr w14:val="tx1"/>
                  </w14:solidFill>
                </w14:textFill>
              </w:rPr>
              <w:t>。</w:t>
            </w:r>
          </w:p>
        </w:tc>
      </w:tr>
      <w:tr w14:paraId="5FDE13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restart"/>
            <w:tcBorders>
              <w:tl2br w:val="nil"/>
              <w:tr2bl w:val="nil"/>
            </w:tcBorders>
            <w:vAlign w:val="center"/>
          </w:tcPr>
          <w:p w14:paraId="726D62E5">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辅助工程</w:t>
            </w:r>
          </w:p>
        </w:tc>
        <w:tc>
          <w:tcPr>
            <w:tcW w:w="1559" w:type="dxa"/>
            <w:tcBorders>
              <w:tl2br w:val="nil"/>
              <w:tr2bl w:val="nil"/>
            </w:tcBorders>
            <w:vAlign w:val="center"/>
          </w:tcPr>
          <w:p w14:paraId="5C0AE8BA">
            <w:pPr>
              <w:pStyle w:val="6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办公</w:t>
            </w:r>
            <w:r>
              <w:rPr>
                <w:rFonts w:hint="eastAsia" w:cs="Times New Roman"/>
                <w:color w:val="000000" w:themeColor="text1"/>
                <w:lang w:val="en-US" w:eastAsia="zh-CN"/>
                <w14:textFill>
                  <w14:solidFill>
                    <w14:schemeClr w14:val="tx1"/>
                  </w14:solidFill>
                </w14:textFill>
              </w:rPr>
              <w:t>生活区</w:t>
            </w:r>
          </w:p>
        </w:tc>
        <w:tc>
          <w:tcPr>
            <w:tcW w:w="6201" w:type="dxa"/>
            <w:tcBorders>
              <w:tl2br w:val="nil"/>
              <w:tr2bl w:val="nil"/>
            </w:tcBorders>
            <w:vAlign w:val="center"/>
          </w:tcPr>
          <w:p w14:paraId="293748AC">
            <w:pPr>
              <w:pStyle w:val="6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项目区办公生活用房</w:t>
            </w:r>
            <w:r>
              <w:rPr>
                <w:rFonts w:hint="eastAsia" w:cs="Times New Roman"/>
                <w:color w:val="000000" w:themeColor="text1"/>
                <w:lang w:val="en-US" w:eastAsia="zh-CN"/>
                <w14:textFill>
                  <w14:solidFill>
                    <w14:schemeClr w14:val="tx1"/>
                  </w14:solidFill>
                </w14:textFill>
              </w:rPr>
              <w:t>位于养殖区中部：</w:t>
            </w:r>
            <w:r>
              <w:rPr>
                <w:rFonts w:hint="eastAsia" w:ascii="Times New Roman" w:hAnsi="Times New Roman" w:cs="Times New Roman"/>
                <w:color w:val="000000" w:themeColor="text1"/>
                <w:lang w:val="en-US" w:eastAsia="zh-CN"/>
                <w14:textFill>
                  <w14:solidFill>
                    <w14:schemeClr w14:val="tx1"/>
                  </w14:solidFill>
                </w14:textFill>
              </w:rPr>
              <w:t>与南北两侧养殖区围墙隔离，建筑面积234</w:t>
            </w:r>
            <w:bookmarkStart w:id="83" w:name="OLE_LINK6"/>
            <w:r>
              <w:rPr>
                <w:rFonts w:hint="eastAsia" w:ascii="Times New Roman" w:hAnsi="Times New Roman" w:cs="Times New Roman"/>
                <w:color w:val="000000" w:themeColor="text1"/>
                <w:lang w:val="en-US" w:eastAsia="zh-CN"/>
                <w14:textFill>
                  <w14:solidFill>
                    <w14:schemeClr w14:val="tx1"/>
                  </w14:solidFill>
                </w14:textFill>
              </w:rPr>
              <w:t>m</w:t>
            </w:r>
            <w:r>
              <w:rPr>
                <w:rFonts w:hint="eastAsia" w:ascii="Times New Roman" w:hAnsi="Times New Roman" w:cs="Times New Roman"/>
                <w:color w:val="000000" w:themeColor="text1"/>
                <w:vertAlign w:val="superscript"/>
                <w:lang w:val="en-US" w:eastAsia="zh-CN"/>
                <w14:textFill>
                  <w14:solidFill>
                    <w14:schemeClr w14:val="tx1"/>
                  </w14:solidFill>
                </w14:textFill>
              </w:rPr>
              <w:t>2</w:t>
            </w:r>
            <w:bookmarkEnd w:id="83"/>
            <w:r>
              <w:rPr>
                <w:rFonts w:hint="eastAsia" w:cs="Times New Roman"/>
                <w:color w:val="000000" w:themeColor="text1"/>
                <w:lang w:val="en-US" w:eastAsia="zh-CN"/>
                <w14:textFill>
                  <w14:solidFill>
                    <w14:schemeClr w14:val="tx1"/>
                  </w14:solidFill>
                </w14:textFill>
              </w:rPr>
              <w:t>，主要用于办公生活。</w:t>
            </w:r>
          </w:p>
        </w:tc>
      </w:tr>
      <w:tr w14:paraId="4CF428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0E7F50AB">
            <w:pPr>
              <w:pStyle w:val="60"/>
              <w:rPr>
                <w:rFonts w:ascii="Times New Roman" w:hAnsi="Times New Roman" w:cs="Times New Roman"/>
                <w:color w:val="000000" w:themeColor="text1"/>
                <w14:textFill>
                  <w14:solidFill>
                    <w14:schemeClr w14:val="tx1"/>
                  </w14:solidFill>
                </w14:textFill>
              </w:rPr>
            </w:pPr>
          </w:p>
        </w:tc>
        <w:tc>
          <w:tcPr>
            <w:tcW w:w="1559" w:type="dxa"/>
            <w:tcBorders>
              <w:tl2br w:val="nil"/>
              <w:tr2bl w:val="nil"/>
            </w:tcBorders>
            <w:vAlign w:val="center"/>
          </w:tcPr>
          <w:p w14:paraId="475338B7">
            <w:pPr>
              <w:pStyle w:val="6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粪污处理区</w:t>
            </w:r>
          </w:p>
        </w:tc>
        <w:tc>
          <w:tcPr>
            <w:tcW w:w="6201" w:type="dxa"/>
            <w:tcBorders>
              <w:tl2br w:val="nil"/>
              <w:tr2bl w:val="nil"/>
            </w:tcBorders>
            <w:vAlign w:val="center"/>
          </w:tcPr>
          <w:p w14:paraId="7413CDE9">
            <w:pPr>
              <w:pStyle w:val="6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位于养殖区最南端，区域主要设施包括污水处理设施、回用水池及配套管理用房，建筑物面积1067</w:t>
            </w:r>
            <w:r>
              <w:rPr>
                <w:rFonts w:hint="eastAsia" w:ascii="Times New Roman" w:hAnsi="Times New Roman" w:cs="Times New Roman"/>
                <w:color w:val="000000" w:themeColor="text1"/>
                <w:lang w:val="en-US" w:eastAsia="zh-CN"/>
                <w14:textFill>
                  <w14:solidFill>
                    <w14:schemeClr w14:val="tx1"/>
                  </w14:solidFill>
                </w14:textFill>
              </w:rPr>
              <w:t>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，主要用于供电设施及设备设施存储。</w:t>
            </w:r>
          </w:p>
        </w:tc>
      </w:tr>
      <w:tr w14:paraId="62B20F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5A959981">
            <w:pPr>
              <w:pStyle w:val="60"/>
              <w:rPr>
                <w:rFonts w:ascii="Times New Roman" w:hAnsi="Times New Roman" w:cs="Times New Roman"/>
                <w:color w:val="000000" w:themeColor="text1"/>
                <w14:textFill>
                  <w14:solidFill>
                    <w14:schemeClr w14:val="tx1"/>
                  </w14:solidFill>
                </w14:textFill>
              </w:rPr>
            </w:pPr>
          </w:p>
        </w:tc>
        <w:tc>
          <w:tcPr>
            <w:tcW w:w="1559" w:type="dxa"/>
            <w:tcBorders>
              <w:tl2br w:val="nil"/>
              <w:tr2bl w:val="nil"/>
            </w:tcBorders>
            <w:vAlign w:val="center"/>
          </w:tcPr>
          <w:p w14:paraId="684EF40A">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粪污</w:t>
            </w:r>
            <w:r>
              <w:rPr>
                <w:rFonts w:hint="eastAsia" w:ascii="Times New Roman" w:hAnsi="Times New Roman" w:cs="Times New Roman"/>
                <w:color w:val="000000" w:themeColor="text1"/>
                <w:lang w:val="en-US" w:eastAsia="zh-CN"/>
                <w14:textFill>
                  <w14:solidFill>
                    <w14:schemeClr w14:val="tx1"/>
                  </w14:solidFill>
                </w14:textFill>
              </w:rPr>
              <w:t>收集</w:t>
            </w:r>
            <w:r>
              <w:rPr>
                <w:rFonts w:ascii="Times New Roman" w:hAnsi="Times New Roman" w:cs="Times New Roman"/>
                <w:color w:val="000000" w:themeColor="text1"/>
                <w14:textFill>
                  <w14:solidFill>
                    <w14:schemeClr w14:val="tx1"/>
                  </w14:solidFill>
                </w14:textFill>
              </w:rPr>
              <w:t>防渗池</w:t>
            </w:r>
          </w:p>
        </w:tc>
        <w:tc>
          <w:tcPr>
            <w:tcW w:w="6201" w:type="dxa"/>
            <w:tcBorders>
              <w:tl2br w:val="nil"/>
              <w:tr2bl w:val="nil"/>
            </w:tcBorders>
            <w:vAlign w:val="center"/>
          </w:tcPr>
          <w:p w14:paraId="16EA8C9B">
            <w:pPr>
              <w:pStyle w:val="60"/>
              <w:jc w:val="both"/>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本项目粪污收集防渗池位于</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饲养区域下方，</w:t>
            </w:r>
            <w:r>
              <w:rPr>
                <w:rFonts w:ascii="Times New Roman" w:hAnsi="Times New Roman" w:cs="Times New Roman"/>
                <w:color w:val="000000" w:themeColor="text1"/>
                <w:lang w:val="zh-CN"/>
                <w14:textFill>
                  <w14:solidFill>
                    <w14:schemeClr w14:val="tx1"/>
                  </w14:solidFill>
                </w14:textFill>
              </w:rPr>
              <w:t>半地下式，混凝土结构</w:t>
            </w:r>
            <w:r>
              <w:rPr>
                <w:rFonts w:hint="eastAsia"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lang w:val="zh-CN"/>
                <w14:textFill>
                  <w14:solidFill>
                    <w14:schemeClr w14:val="tx1"/>
                  </w14:solidFill>
                </w14:textFill>
              </w:rPr>
              <w:t>主要用于粪污</w:t>
            </w:r>
            <w:r>
              <w:rPr>
                <w:rFonts w:ascii="Times New Roman" w:hAnsi="Times New Roman" w:cs="Times New Roman"/>
                <w:color w:val="000000" w:themeColor="text1"/>
                <w14:textFill>
                  <w14:solidFill>
                    <w14:schemeClr w14:val="tx1"/>
                  </w14:solidFill>
                </w14:textFill>
              </w:rPr>
              <w:t>及垫草料的收集</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垫草料每</w:t>
            </w:r>
            <w:r>
              <w:rPr>
                <w:rFonts w:hint="eastAsia" w:cs="Times New Roman"/>
                <w:color w:val="000000" w:themeColor="text1"/>
                <w:lang w:val="en-US" w:eastAsia="zh-CN"/>
                <w14:textFill>
                  <w14:solidFill>
                    <w14:schemeClr w14:val="tx1"/>
                  </w14:solidFill>
                </w14:textFill>
              </w:rPr>
              <w:t>10</w:t>
            </w:r>
            <w:r>
              <w:rPr>
                <w:rFonts w:hint="eastAsia" w:ascii="Times New Roman" w:hAnsi="Times New Roman" w:cs="Times New Roman"/>
                <w:color w:val="000000" w:themeColor="text1"/>
                <w:lang w:val="en-US" w:eastAsia="zh-CN"/>
                <w14:textFill>
                  <w14:solidFill>
                    <w14:schemeClr w14:val="tx1"/>
                  </w14:solidFill>
                </w14:textFill>
              </w:rPr>
              <w:t>天加一次，一次1cm厚，粪污散落在垫草料上，能保持</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干燥，粪污每个</w:t>
            </w:r>
            <w:r>
              <w:rPr>
                <w:rFonts w:hint="eastAsia" w:cs="Times New Roman"/>
                <w:color w:val="000000" w:themeColor="text1"/>
                <w:lang w:val="en-US" w:eastAsia="zh-CN"/>
                <w14:textFill>
                  <w14:solidFill>
                    <w14:schemeClr w14:val="tx1"/>
                  </w14:solidFill>
                </w14:textFill>
              </w:rPr>
              <w:t>养殖周期结束</w:t>
            </w:r>
            <w:r>
              <w:rPr>
                <w:rFonts w:hint="eastAsia" w:ascii="Times New Roman" w:hAnsi="Times New Roman" w:cs="Times New Roman"/>
                <w:color w:val="000000" w:themeColor="text1"/>
                <w:lang w:val="en-US" w:eastAsia="zh-CN"/>
                <w14:textFill>
                  <w14:solidFill>
                    <w14:schemeClr w14:val="tx1"/>
                  </w14:solidFill>
                </w14:textFill>
              </w:rPr>
              <w:t>清理一次，清理后的粪污拉运至63团3连粪污处理场进行处理，不在项目区内堆存。</w:t>
            </w:r>
          </w:p>
        </w:tc>
      </w:tr>
      <w:tr w14:paraId="0E6A58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40B642E2">
            <w:pPr>
              <w:pStyle w:val="60"/>
              <w:rPr>
                <w:rFonts w:ascii="Times New Roman" w:hAnsi="Times New Roman" w:cs="Times New Roman"/>
                <w:color w:val="000000" w:themeColor="text1"/>
                <w14:textFill>
                  <w14:solidFill>
                    <w14:schemeClr w14:val="tx1"/>
                  </w14:solidFill>
                </w14:textFill>
              </w:rPr>
            </w:pPr>
          </w:p>
        </w:tc>
        <w:tc>
          <w:tcPr>
            <w:tcW w:w="1559" w:type="dxa"/>
            <w:tcBorders>
              <w:tl2br w:val="nil"/>
              <w:tr2bl w:val="nil"/>
            </w:tcBorders>
            <w:vAlign w:val="center"/>
          </w:tcPr>
          <w:p w14:paraId="6B54598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入场消毒池</w:t>
            </w:r>
          </w:p>
        </w:tc>
        <w:tc>
          <w:tcPr>
            <w:tcW w:w="6201" w:type="dxa"/>
            <w:tcBorders>
              <w:tl2br w:val="nil"/>
              <w:tr2bl w:val="nil"/>
            </w:tcBorders>
            <w:vAlign w:val="center"/>
          </w:tcPr>
          <w:p w14:paraId="0D6EDB15">
            <w:pPr>
              <w:pStyle w:val="60"/>
              <w:jc w:val="both"/>
              <w:rPr>
                <w:rFonts w:hint="eastAsia" w:ascii="Times New Roman" w:hAnsi="Times New Roman" w:cs="Times New Roman"/>
                <w:color w:val="000000" w:themeColor="text1"/>
                <w:lang w:val="zh-CN"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本项目在南侧和中部办公生活区附近均设置入场消毒池，入场</w:t>
            </w:r>
            <w:r>
              <w:rPr>
                <w:rFonts w:hint="eastAsia" w:ascii="Times New Roman" w:hAnsi="Times New Roman" w:cs="Times New Roman"/>
                <w:color w:val="000000" w:themeColor="text1"/>
                <w:lang w:val="zh-CN" w:eastAsia="zh-CN"/>
                <w14:textFill>
                  <w14:solidFill>
                    <w14:schemeClr w14:val="tx1"/>
                  </w14:solidFill>
                </w14:textFill>
              </w:rPr>
              <w:t>消毒池，</w:t>
            </w:r>
            <w:r>
              <w:rPr>
                <w:rFonts w:hint="eastAsia" w:ascii="Times New Roman" w:hAnsi="Times New Roman" w:cs="Times New Roman"/>
                <w:color w:val="000000" w:themeColor="text1"/>
                <w:lang w:val="en-US" w:eastAsia="zh-CN"/>
                <w14:textFill>
                  <w14:solidFill>
                    <w14:schemeClr w14:val="tx1"/>
                  </w14:solidFill>
                </w14:textFill>
              </w:rPr>
              <w:t>宽5m</w:t>
            </w:r>
            <w:r>
              <w:rPr>
                <w:rFonts w:hint="eastAsia" w:ascii="Times New Roman" w:hAnsi="Times New Roman" w:cs="Times New Roman"/>
                <w:color w:val="000000" w:themeColor="text1"/>
                <w:lang w:val="zh-CN" w:eastAsia="zh-CN"/>
                <w14:textFill>
                  <w14:solidFill>
                    <w14:schemeClr w14:val="tx1"/>
                  </w14:solidFill>
                </w14:textFill>
              </w:rPr>
              <w:t>，长</w:t>
            </w:r>
            <w:r>
              <w:rPr>
                <w:rFonts w:hint="eastAsia"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zh-CN" w:eastAsia="zh-CN"/>
                <w14:textFill>
                  <w14:solidFill>
                    <w14:schemeClr w14:val="tx1"/>
                  </w14:solidFill>
                </w14:textFill>
              </w:rPr>
              <w:t>m、深0.3m，主要用于车辆</w:t>
            </w:r>
            <w:r>
              <w:rPr>
                <w:rFonts w:hint="eastAsia" w:cs="Times New Roman"/>
                <w:color w:val="000000" w:themeColor="text1"/>
                <w:lang w:val="en-US" w:eastAsia="zh-CN"/>
                <w14:textFill>
                  <w14:solidFill>
                    <w14:schemeClr w14:val="tx1"/>
                  </w14:solidFill>
                </w14:textFill>
              </w:rPr>
              <w:t>和人员</w:t>
            </w:r>
            <w:r>
              <w:rPr>
                <w:rFonts w:hint="eastAsia" w:ascii="Times New Roman" w:hAnsi="Times New Roman" w:cs="Times New Roman"/>
                <w:color w:val="000000" w:themeColor="text1"/>
                <w:lang w:val="zh-CN" w:eastAsia="zh-CN"/>
                <w14:textFill>
                  <w14:solidFill>
                    <w14:schemeClr w14:val="tx1"/>
                  </w14:solidFill>
                </w14:textFill>
              </w:rPr>
              <w:t>消毒。</w:t>
            </w:r>
          </w:p>
        </w:tc>
      </w:tr>
      <w:tr w14:paraId="6D7C5A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restart"/>
            <w:tcBorders>
              <w:tl2br w:val="nil"/>
              <w:tr2bl w:val="nil"/>
            </w:tcBorders>
            <w:vAlign w:val="center"/>
          </w:tcPr>
          <w:p w14:paraId="1FBBFE2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储运工程</w:t>
            </w:r>
          </w:p>
        </w:tc>
        <w:tc>
          <w:tcPr>
            <w:tcW w:w="1559" w:type="dxa"/>
            <w:tcBorders>
              <w:tl2br w:val="nil"/>
              <w:tr2bl w:val="nil"/>
            </w:tcBorders>
            <w:vAlign w:val="center"/>
          </w:tcPr>
          <w:p w14:paraId="31113D51">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饲料仓储</w:t>
            </w:r>
          </w:p>
        </w:tc>
        <w:tc>
          <w:tcPr>
            <w:tcW w:w="6201" w:type="dxa"/>
            <w:tcBorders>
              <w:tl2br w:val="nil"/>
              <w:tr2bl w:val="nil"/>
            </w:tcBorders>
            <w:vAlign w:val="center"/>
          </w:tcPr>
          <w:p w14:paraId="0423FBED">
            <w:pPr>
              <w:pStyle w:val="6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本项目饲料暂存于项目区料塔内，</w:t>
            </w:r>
            <w:r>
              <w:rPr>
                <w:rFonts w:hint="eastAsia" w:cs="Times New Roman"/>
                <w:color w:val="000000" w:themeColor="text1"/>
                <w:lang w:val="en-US" w:eastAsia="zh-CN"/>
                <w14:textFill>
                  <w14:solidFill>
                    <w14:schemeClr w14:val="tx1"/>
                  </w14:solidFill>
                </w14:textFill>
              </w:rPr>
              <w:t>项目区共设6个饲料塔</w:t>
            </w:r>
            <w:r>
              <w:rPr>
                <w:rFonts w:hint="eastAsia" w:ascii="Times New Roman" w:hAnsi="Times New Roman" w:cs="Times New Roman"/>
                <w:color w:val="000000" w:themeColor="text1"/>
                <w:lang w:val="en-US" w:eastAsia="zh-CN"/>
                <w14:textFill>
                  <w14:solidFill>
                    <w14:schemeClr w14:val="tx1"/>
                  </w14:solidFill>
                </w14:textFill>
              </w:rPr>
              <w:t>。</w:t>
            </w:r>
          </w:p>
        </w:tc>
      </w:tr>
      <w:tr w14:paraId="1CB247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35CB33FE">
            <w:pPr>
              <w:pStyle w:val="60"/>
              <w:rPr>
                <w:rFonts w:ascii="Times New Roman" w:hAnsi="Times New Roman" w:cs="Times New Roman"/>
                <w:color w:val="000000" w:themeColor="text1"/>
                <w:lang w:val="zh-CN"/>
                <w14:textFill>
                  <w14:solidFill>
                    <w14:schemeClr w14:val="tx1"/>
                  </w14:solidFill>
                </w14:textFill>
              </w:rPr>
            </w:pPr>
          </w:p>
        </w:tc>
        <w:tc>
          <w:tcPr>
            <w:tcW w:w="1559" w:type="dxa"/>
            <w:tcBorders>
              <w:tl2br w:val="nil"/>
              <w:tr2bl w:val="nil"/>
            </w:tcBorders>
            <w:vAlign w:val="center"/>
          </w:tcPr>
          <w:p w14:paraId="7AD1CE88">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防疫药品储存</w:t>
            </w:r>
          </w:p>
        </w:tc>
        <w:tc>
          <w:tcPr>
            <w:tcW w:w="6201" w:type="dxa"/>
            <w:tcBorders>
              <w:tl2br w:val="nil"/>
              <w:tr2bl w:val="nil"/>
            </w:tcBorders>
            <w:vAlign w:val="center"/>
          </w:tcPr>
          <w:p w14:paraId="3920D6C4">
            <w:pPr>
              <w:pStyle w:val="60"/>
              <w:jc w:val="both"/>
              <w:rPr>
                <w:rFonts w:hint="eastAsia" w:ascii="Times New Roman" w:hAnsi="Times New Roman" w:cs="Times New Roman"/>
                <w:color w:val="000000" w:themeColor="text1"/>
                <w:lang w:val="zh-CN"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本项目办公生活区设置药房一间，用于储存防疫药品。</w:t>
            </w:r>
          </w:p>
        </w:tc>
      </w:tr>
      <w:tr w14:paraId="3C13DD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restart"/>
            <w:tcBorders>
              <w:tl2br w:val="nil"/>
              <w:tr2bl w:val="nil"/>
            </w:tcBorders>
            <w:vAlign w:val="center"/>
          </w:tcPr>
          <w:p w14:paraId="5415A2D1">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公用</w:t>
            </w:r>
          </w:p>
          <w:p w14:paraId="017E9EFB">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工程</w:t>
            </w:r>
          </w:p>
        </w:tc>
        <w:tc>
          <w:tcPr>
            <w:tcW w:w="1559" w:type="dxa"/>
            <w:tcBorders>
              <w:tl2br w:val="nil"/>
              <w:tr2bl w:val="nil"/>
            </w:tcBorders>
            <w:vAlign w:val="center"/>
          </w:tcPr>
          <w:p w14:paraId="181C1294">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供水</w:t>
            </w:r>
          </w:p>
        </w:tc>
        <w:tc>
          <w:tcPr>
            <w:tcW w:w="6201" w:type="dxa"/>
            <w:tcBorders>
              <w:tl2br w:val="nil"/>
              <w:tr2bl w:val="nil"/>
            </w:tcBorders>
            <w:vAlign w:val="center"/>
          </w:tcPr>
          <w:p w14:paraId="2057731A">
            <w:pPr>
              <w:pStyle w:val="6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zh-CN" w:eastAsia="zh-CN"/>
                <w14:textFill>
                  <w14:solidFill>
                    <w14:schemeClr w14:val="tx1"/>
                  </w14:solidFill>
                </w14:textFill>
              </w:rPr>
              <w:t>供水来自</w:t>
            </w:r>
            <w:r>
              <w:rPr>
                <w:rFonts w:hint="eastAsia" w:ascii="Times New Roman" w:hAnsi="Times New Roman" w:cs="Times New Roman"/>
                <w:color w:val="000000" w:themeColor="text1"/>
                <w:lang w:val="en-US" w:eastAsia="zh-CN"/>
                <w14:textFill>
                  <w14:solidFill>
                    <w14:schemeClr w14:val="tx1"/>
                  </w14:solidFill>
                </w14:textFill>
              </w:rPr>
              <w:t>市政</w:t>
            </w:r>
            <w:r>
              <w:rPr>
                <w:rFonts w:hint="eastAsia" w:ascii="Times New Roman" w:hAnsi="Times New Roman" w:cs="Times New Roman"/>
                <w:color w:val="000000" w:themeColor="text1"/>
                <w:lang w:val="zh-CN" w:eastAsia="zh-CN"/>
                <w14:textFill>
                  <w14:solidFill>
                    <w14:schemeClr w14:val="tx1"/>
                  </w14:solidFill>
                </w14:textFill>
              </w:rPr>
              <w:t>供水管网，</w:t>
            </w:r>
            <w:r>
              <w:rPr>
                <w:rFonts w:hint="eastAsia" w:ascii="Times New Roman" w:hAnsi="Times New Roman" w:cs="Times New Roman"/>
                <w:color w:val="000000" w:themeColor="text1"/>
                <w:lang w:val="en-US" w:eastAsia="zh-CN"/>
                <w14:textFill>
                  <w14:solidFill>
                    <w14:schemeClr w14:val="tx1"/>
                  </w14:solidFill>
                </w14:textFill>
              </w:rPr>
              <w:t>由63团铺设</w:t>
            </w:r>
            <w:r>
              <w:rPr>
                <w:rFonts w:hint="eastAsia" w:ascii="Times New Roman" w:hAnsi="Times New Roman" w:cs="Times New Roman"/>
                <w:color w:val="000000" w:themeColor="text1"/>
                <w:lang w:val="zh-CN" w:eastAsia="zh-CN"/>
                <w14:textFill>
                  <w14:solidFill>
                    <w14:schemeClr w14:val="tx1"/>
                  </w14:solidFill>
                </w14:textFill>
              </w:rPr>
              <w:t>主干管至项目区，</w:t>
            </w:r>
            <w:r>
              <w:rPr>
                <w:rFonts w:hint="eastAsia" w:ascii="Times New Roman" w:hAnsi="Times New Roman" w:cs="Times New Roman"/>
                <w:color w:val="000000" w:themeColor="text1"/>
                <w:lang w:val="en-US" w:eastAsia="zh-CN"/>
                <w14:textFill>
                  <w14:solidFill>
                    <w14:schemeClr w14:val="tx1"/>
                  </w14:solidFill>
                </w14:textFill>
              </w:rPr>
              <w:t>同时项目区内自备水井作为备用水源</w:t>
            </w:r>
            <w:r>
              <w:rPr>
                <w:rFonts w:hint="eastAsia" w:ascii="Times New Roman" w:hAnsi="Times New Roman" w:cs="Times New Roman"/>
                <w:color w:val="000000" w:themeColor="text1"/>
                <w:lang w:val="zh-CN" w:eastAsia="zh-CN"/>
                <w14:textFill>
                  <w14:solidFill>
                    <w14:schemeClr w14:val="tx1"/>
                  </w14:solidFill>
                </w14:textFill>
              </w:rPr>
              <w:t>。主要为</w:t>
            </w:r>
            <w:r>
              <w:rPr>
                <w:rFonts w:hint="eastAsia" w:ascii="Times New Roman" w:hAnsi="Times New Roman" w:cs="Times New Roman"/>
                <w:color w:val="000000" w:themeColor="text1"/>
                <w:lang w:val="en-US" w:eastAsia="zh-CN"/>
                <w14:textFill>
                  <w14:solidFill>
                    <w14:schemeClr w14:val="tx1"/>
                  </w14:solidFill>
                </w14:textFill>
              </w:rPr>
              <w:t>家禽</w:t>
            </w:r>
            <w:r>
              <w:rPr>
                <w:rFonts w:hint="eastAsia" w:ascii="Times New Roman" w:hAnsi="Times New Roman" w:cs="Times New Roman"/>
                <w:color w:val="000000" w:themeColor="text1"/>
                <w:lang w:val="zh-CN" w:eastAsia="zh-CN"/>
                <w14:textFill>
                  <w14:solidFill>
                    <w14:schemeClr w14:val="tx1"/>
                  </w14:solidFill>
                </w14:textFill>
              </w:rPr>
              <w:t>饮水，</w:t>
            </w:r>
            <w:r>
              <w:rPr>
                <w:rFonts w:hint="eastAsia" w:ascii="Times New Roman" w:hAnsi="Times New Roman" w:cs="Times New Roman"/>
                <w:color w:val="000000" w:themeColor="text1"/>
                <w:lang w:val="en-US" w:eastAsia="zh-CN"/>
                <w14:textFill>
                  <w14:solidFill>
                    <w14:schemeClr w14:val="tx1"/>
                  </w14:solidFill>
                </w14:textFill>
              </w:rPr>
              <w:t>办公生活用水</w:t>
            </w:r>
            <w:r>
              <w:rPr>
                <w:rFonts w:hint="eastAsia" w:ascii="Times New Roman" w:hAnsi="Times New Roman" w:cs="Times New Roman"/>
                <w:color w:val="000000" w:themeColor="text1"/>
                <w:lang w:val="zh-CN" w:eastAsia="zh-CN"/>
                <w14:textFill>
                  <w14:solidFill>
                    <w14:schemeClr w14:val="tx1"/>
                  </w14:solidFill>
                </w14:textFill>
              </w:rPr>
              <w:t>；</w:t>
            </w:r>
          </w:p>
        </w:tc>
      </w:tr>
      <w:tr w14:paraId="654D7B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2A676CF9">
            <w:pPr>
              <w:pStyle w:val="60"/>
              <w:rPr>
                <w:rFonts w:ascii="Times New Roman" w:hAnsi="Times New Roman" w:cs="Times New Roman"/>
                <w:color w:val="000000" w:themeColor="text1"/>
                <w:lang w:val="zh-CN"/>
                <w14:textFill>
                  <w14:solidFill>
                    <w14:schemeClr w14:val="tx1"/>
                  </w14:solidFill>
                </w14:textFill>
              </w:rPr>
            </w:pPr>
          </w:p>
        </w:tc>
        <w:tc>
          <w:tcPr>
            <w:tcW w:w="1559" w:type="dxa"/>
            <w:tcBorders>
              <w:tl2br w:val="nil"/>
              <w:tr2bl w:val="nil"/>
            </w:tcBorders>
            <w:vAlign w:val="center"/>
          </w:tcPr>
          <w:p w14:paraId="737EB63D">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排水</w:t>
            </w:r>
          </w:p>
        </w:tc>
        <w:tc>
          <w:tcPr>
            <w:tcW w:w="6201" w:type="dxa"/>
            <w:tcBorders>
              <w:tl2br w:val="nil"/>
              <w:tr2bl w:val="nil"/>
            </w:tcBorders>
            <w:vAlign w:val="center"/>
          </w:tcPr>
          <w:p w14:paraId="2A04A8F2">
            <w:pPr>
              <w:pStyle w:val="60"/>
              <w:jc w:val="both"/>
              <w:rPr>
                <w:rFonts w:hint="eastAsia" w:ascii="Times New Roman" w:hAnsi="Times New Roman" w:cs="Times New Roman"/>
                <w:color w:val="000000" w:themeColor="text1"/>
                <w:lang w:val="zh-CN"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冲洗废水，生活污水</w:t>
            </w:r>
            <w:r>
              <w:rPr>
                <w:rFonts w:hint="eastAsia" w:cs="Times New Roman"/>
                <w:color w:val="000000" w:themeColor="text1"/>
                <w:lang w:val="en-US" w:eastAsia="zh-CN"/>
                <w14:textFill>
                  <w14:solidFill>
                    <w14:schemeClr w14:val="tx1"/>
                  </w14:solidFill>
                </w14:textFill>
              </w:rPr>
              <w:t>建设内部排水管排放到场区污水处理设施</w:t>
            </w:r>
            <w:r>
              <w:rPr>
                <w:rFonts w:hint="eastAsia" w:ascii="Times New Roman" w:hAnsi="Times New Roman" w:cs="Times New Roman"/>
                <w:color w:val="000000" w:themeColor="text1"/>
                <w:lang w:val="en-US" w:eastAsia="zh-CN"/>
                <w14:textFill>
                  <w14:solidFill>
                    <w14:schemeClr w14:val="tx1"/>
                  </w14:solidFill>
                </w14:textFill>
              </w:rPr>
              <w:t>。</w:t>
            </w:r>
          </w:p>
        </w:tc>
      </w:tr>
      <w:tr w14:paraId="7F91B8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563231C5">
            <w:pPr>
              <w:pStyle w:val="60"/>
              <w:rPr>
                <w:rFonts w:ascii="Times New Roman" w:hAnsi="Times New Roman" w:cs="Times New Roman"/>
                <w:color w:val="000000" w:themeColor="text1"/>
                <w:lang w:val="zh-CN"/>
                <w14:textFill>
                  <w14:solidFill>
                    <w14:schemeClr w14:val="tx1"/>
                  </w14:solidFill>
                </w14:textFill>
              </w:rPr>
            </w:pPr>
          </w:p>
        </w:tc>
        <w:tc>
          <w:tcPr>
            <w:tcW w:w="1559" w:type="dxa"/>
            <w:tcBorders>
              <w:tl2br w:val="nil"/>
              <w:tr2bl w:val="nil"/>
            </w:tcBorders>
            <w:vAlign w:val="center"/>
          </w:tcPr>
          <w:p w14:paraId="6DED958E">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供电</w:t>
            </w:r>
          </w:p>
        </w:tc>
        <w:tc>
          <w:tcPr>
            <w:tcW w:w="6201" w:type="dxa"/>
            <w:tcBorders>
              <w:tl2br w:val="nil"/>
              <w:tr2bl w:val="nil"/>
            </w:tcBorders>
            <w:vAlign w:val="center"/>
          </w:tcPr>
          <w:p w14:paraId="200C0A68">
            <w:pPr>
              <w:pStyle w:val="6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项目从63团电网就近接入，项目区设置配电间</w:t>
            </w:r>
            <w:r>
              <w:rPr>
                <w:rFonts w:hint="eastAsia" w:cs="Times New Roman"/>
                <w:color w:val="000000" w:themeColor="text1"/>
                <w:lang w:val="en-US" w:eastAsia="zh-CN"/>
                <w14:textFill>
                  <w14:solidFill>
                    <w14:schemeClr w14:val="tx1"/>
                  </w14:solidFill>
                </w14:textFill>
              </w:rPr>
              <w:t>，建筑面积约</w:t>
            </w:r>
            <w:r>
              <w:rPr>
                <w:rFonts w:hint="eastAsia" w:ascii="Times New Roman" w:hAnsi="Times New Roman" w:cs="Times New Roman"/>
                <w:color w:val="000000" w:themeColor="text1"/>
                <w:lang w:val="en-US" w:eastAsia="zh-CN"/>
                <w14:textFill>
                  <w14:solidFill>
                    <w14:schemeClr w14:val="tx1"/>
                  </w14:solidFill>
                </w14:textFill>
              </w:rPr>
              <w:t>70m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lang w:val="zh-CN" w:eastAsia="zh-CN"/>
                <w14:textFill>
                  <w14:solidFill>
                    <w14:schemeClr w14:val="tx1"/>
                  </w14:solidFill>
                </w14:textFill>
              </w:rPr>
              <w:t>；</w:t>
            </w:r>
          </w:p>
        </w:tc>
      </w:tr>
      <w:tr w14:paraId="2A8E4D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37D115A3">
            <w:pPr>
              <w:pStyle w:val="60"/>
              <w:rPr>
                <w:rFonts w:ascii="Times New Roman" w:hAnsi="Times New Roman" w:cs="Times New Roman"/>
                <w:color w:val="000000" w:themeColor="text1"/>
                <w:lang w:val="zh-CN"/>
                <w14:textFill>
                  <w14:solidFill>
                    <w14:schemeClr w14:val="tx1"/>
                  </w14:solidFill>
                </w14:textFill>
              </w:rPr>
            </w:pPr>
          </w:p>
        </w:tc>
        <w:tc>
          <w:tcPr>
            <w:tcW w:w="1559" w:type="dxa"/>
            <w:tcBorders>
              <w:tl2br w:val="nil"/>
              <w:tr2bl w:val="nil"/>
            </w:tcBorders>
            <w:vAlign w:val="center"/>
          </w:tcPr>
          <w:p w14:paraId="2D64EC1B">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供暖</w:t>
            </w:r>
          </w:p>
        </w:tc>
        <w:tc>
          <w:tcPr>
            <w:tcW w:w="6201" w:type="dxa"/>
            <w:tcBorders>
              <w:tl2br w:val="nil"/>
              <w:tr2bl w:val="nil"/>
            </w:tcBorders>
            <w:vAlign w:val="center"/>
          </w:tcPr>
          <w:p w14:paraId="48A29E1B">
            <w:pPr>
              <w:pStyle w:val="6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w:t>
            </w:r>
            <w:r>
              <w:rPr>
                <w:rFonts w:hint="eastAsia" w:ascii="Times New Roman" w:hAnsi="Times New Roman" w:cs="Times New Roman"/>
                <w:color w:val="000000" w:themeColor="text1"/>
                <w:lang w:val="zh-CN"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配套建设生物质燃料锅炉房，配备两台生物质燃料锅炉，</w:t>
            </w:r>
            <w:r>
              <w:rPr>
                <w:rFonts w:hint="eastAsia" w:cs="Times New Roman"/>
                <w:color w:val="FF0000"/>
                <w:lang w:val="en-US" w:eastAsia="zh-CN"/>
              </w:rPr>
              <w:t>一台3t，一台4t</w:t>
            </w:r>
            <w:r>
              <w:rPr>
                <w:rFonts w:hint="eastAsia" w:ascii="Times New Roman" w:hAnsi="Times New Roman" w:cs="Times New Roman"/>
                <w:color w:val="FF0000"/>
                <w:lang w:val="zh-CN" w:eastAsia="zh-CN"/>
              </w:rPr>
              <w:t>；</w:t>
            </w:r>
          </w:p>
        </w:tc>
      </w:tr>
      <w:tr w14:paraId="5C2006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3D387583">
            <w:pPr>
              <w:pStyle w:val="60"/>
              <w:rPr>
                <w:rFonts w:ascii="Times New Roman" w:hAnsi="Times New Roman" w:cs="Times New Roman"/>
                <w:color w:val="000000" w:themeColor="text1"/>
                <w:lang w:val="zh-CN"/>
                <w14:textFill>
                  <w14:solidFill>
                    <w14:schemeClr w14:val="tx1"/>
                  </w14:solidFill>
                </w14:textFill>
              </w:rPr>
            </w:pPr>
          </w:p>
        </w:tc>
        <w:tc>
          <w:tcPr>
            <w:tcW w:w="1559" w:type="dxa"/>
            <w:tcBorders>
              <w:tl2br w:val="nil"/>
              <w:tr2bl w:val="nil"/>
            </w:tcBorders>
            <w:vAlign w:val="center"/>
          </w:tcPr>
          <w:p w14:paraId="70834C73">
            <w:pPr>
              <w:pStyle w:val="6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通风</w:t>
            </w:r>
          </w:p>
        </w:tc>
        <w:tc>
          <w:tcPr>
            <w:tcW w:w="6201" w:type="dxa"/>
            <w:tcBorders>
              <w:tl2br w:val="nil"/>
              <w:tr2bl w:val="nil"/>
            </w:tcBorders>
            <w:vAlign w:val="center"/>
          </w:tcPr>
          <w:p w14:paraId="63AEF716">
            <w:pPr>
              <w:pStyle w:val="6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本项目在圈舍中各设置4个风机，采用机械通风；</w:t>
            </w:r>
          </w:p>
        </w:tc>
      </w:tr>
      <w:tr w14:paraId="548350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restart"/>
            <w:tcBorders>
              <w:tl2br w:val="nil"/>
              <w:tr2bl w:val="nil"/>
            </w:tcBorders>
            <w:vAlign w:val="center"/>
          </w:tcPr>
          <w:p w14:paraId="10FC8425">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环保工程</w:t>
            </w:r>
          </w:p>
        </w:tc>
        <w:tc>
          <w:tcPr>
            <w:tcW w:w="1559" w:type="dxa"/>
            <w:tcBorders>
              <w:tl2br w:val="nil"/>
              <w:tr2bl w:val="nil"/>
            </w:tcBorders>
            <w:vAlign w:val="center"/>
          </w:tcPr>
          <w:p w14:paraId="31EFD067">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w:t>
            </w:r>
          </w:p>
        </w:tc>
        <w:tc>
          <w:tcPr>
            <w:tcW w:w="6201" w:type="dxa"/>
            <w:tcBorders>
              <w:tl2br w:val="nil"/>
              <w:tr2bl w:val="nil"/>
            </w:tcBorders>
            <w:vAlign w:val="center"/>
          </w:tcPr>
          <w:p w14:paraId="473E6734">
            <w:pPr>
              <w:pStyle w:val="60"/>
              <w:jc w:val="both"/>
              <w:rPr>
                <w:rFonts w:hint="eastAsia" w:cs="Times New Roman"/>
                <w:color w:val="000000" w:themeColor="text1"/>
                <w:lang w:val="zh-CN" w:eastAsia="zh-CN"/>
                <w14:textFill>
                  <w14:solidFill>
                    <w14:schemeClr w14:val="tx1"/>
                  </w14:solidFill>
                </w14:textFill>
              </w:rPr>
            </w:pPr>
            <w:r>
              <w:rPr>
                <w:rFonts w:hint="eastAsia" w:cs="Times New Roman"/>
                <w:color w:val="000000" w:themeColor="text1"/>
                <w:lang w:val="zh-CN" w:eastAsia="zh-CN"/>
                <w14:textFill>
                  <w14:solidFill>
                    <w14:schemeClr w14:val="tx1"/>
                  </w14:solidFill>
                </w14:textFill>
              </w:rPr>
              <w:t>项目产生的废气包括鸭舍恶臭、</w:t>
            </w:r>
            <w:r>
              <w:rPr>
                <w:rFonts w:hint="eastAsia" w:cs="Times New Roman"/>
                <w:color w:val="000000" w:themeColor="text1"/>
                <w:lang w:val="en-US" w:eastAsia="zh-CN"/>
                <w14:textFill>
                  <w14:solidFill>
                    <w14:schemeClr w14:val="tx1"/>
                  </w14:solidFill>
                </w14:textFill>
              </w:rPr>
              <w:t>污水处理设施和回用水池</w:t>
            </w:r>
            <w:r>
              <w:rPr>
                <w:rFonts w:hint="eastAsia" w:cs="Times New Roman"/>
                <w:color w:val="000000" w:themeColor="text1"/>
                <w:lang w:val="zh-CN" w:eastAsia="zh-CN"/>
                <w14:textFill>
                  <w14:solidFill>
                    <w14:schemeClr w14:val="tx1"/>
                  </w14:solidFill>
                </w14:textFill>
              </w:rPr>
              <w:t>恶臭、料塔粉尘、食堂油烟、</w:t>
            </w:r>
            <w:r>
              <w:rPr>
                <w:rFonts w:hint="eastAsia" w:cs="Times New Roman"/>
                <w:color w:val="000000" w:themeColor="text1"/>
                <w:lang w:val="en-US" w:eastAsia="zh-CN"/>
                <w14:textFill>
                  <w14:solidFill>
                    <w14:schemeClr w14:val="tx1"/>
                  </w14:solidFill>
                </w14:textFill>
              </w:rPr>
              <w:t>供热生物质锅炉</w:t>
            </w:r>
            <w:r>
              <w:rPr>
                <w:rFonts w:hint="eastAsia" w:cs="Times New Roman"/>
                <w:color w:val="000000" w:themeColor="text1"/>
                <w:lang w:val="zh-CN" w:eastAsia="zh-CN"/>
                <w14:textFill>
                  <w14:solidFill>
                    <w14:schemeClr w14:val="tx1"/>
                  </w14:solidFill>
                </w14:textFill>
              </w:rPr>
              <w:t>。</w:t>
            </w:r>
          </w:p>
          <w:p w14:paraId="2556C223">
            <w:pPr>
              <w:pStyle w:val="60"/>
              <w:jc w:val="both"/>
              <w:rPr>
                <w:rFonts w:hint="eastAsia" w:cs="Times New Roman"/>
                <w:color w:val="000000" w:themeColor="text1"/>
                <w:lang w:val="zh-CN"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鸭舍通过定期喷洒除臭剂能有效减少污水处理池恶臭，日常废水收纳到污水处理设施处理后用于绿化浇灌，预计恶臭气体影响很小</w:t>
            </w:r>
            <w:r>
              <w:rPr>
                <w:rFonts w:hint="eastAsia" w:cs="Times New Roman"/>
                <w:color w:val="000000" w:themeColor="text1"/>
                <w:lang w:val="zh-CN" w:eastAsia="zh-CN"/>
                <w14:textFill>
                  <w14:solidFill>
                    <w14:schemeClr w14:val="tx1"/>
                  </w14:solidFill>
                </w14:textFill>
              </w:rPr>
              <w:t>；</w:t>
            </w:r>
          </w:p>
          <w:p w14:paraId="6A749075">
            <w:pPr>
              <w:pStyle w:val="60"/>
              <w:jc w:val="both"/>
              <w:rPr>
                <w:rFonts w:hint="eastAsia" w:cs="Times New Roman"/>
                <w:color w:val="000000" w:themeColor="text1"/>
                <w:lang w:val="zh-CN"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项目区新建废水回用水池2座，容积均为300m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，为地下结构，表面可遮盖，用于积存治理后的养殖废水；回用水池和集中清粪过程粪污散发少量恶臭气体</w:t>
            </w:r>
            <w:r>
              <w:rPr>
                <w:rFonts w:hint="eastAsia" w:cs="Times New Roman"/>
                <w:color w:val="000000" w:themeColor="text1"/>
                <w:lang w:val="zh-CN" w:eastAsia="zh-CN"/>
                <w14:textFill>
                  <w14:solidFill>
                    <w14:schemeClr w14:val="tx1"/>
                  </w14:solidFill>
                </w14:textFill>
              </w:rPr>
              <w:t>。</w:t>
            </w:r>
          </w:p>
          <w:p w14:paraId="33BB08F3">
            <w:pPr>
              <w:pStyle w:val="60"/>
              <w:jc w:val="both"/>
              <w:rPr>
                <w:rFonts w:hint="eastAsia" w:cs="Times New Roman"/>
                <w:color w:val="000000" w:themeColor="text1"/>
                <w:lang w:val="zh-CN" w:eastAsia="zh-CN"/>
                <w14:textFill>
                  <w14:solidFill>
                    <w14:schemeClr w14:val="tx1"/>
                  </w14:solidFill>
                </w14:textFill>
              </w:rPr>
            </w:pPr>
            <w:r>
              <w:rPr>
                <w:rFonts w:hint="eastAsia" w:cs="Times New Roman"/>
                <w:color w:val="000000" w:themeColor="text1"/>
                <w:lang w:val="zh-CN" w:eastAsia="zh-CN"/>
                <w14:textFill>
                  <w14:solidFill>
                    <w14:schemeClr w14:val="tx1"/>
                  </w14:solidFill>
                </w14:textFill>
              </w:rPr>
              <w:t>鸭舍加强舍通风、喷洒除臭剂等措施能有效减少恶臭；</w:t>
            </w:r>
          </w:p>
          <w:p w14:paraId="784D0F8D">
            <w:pPr>
              <w:pStyle w:val="60"/>
              <w:jc w:val="both"/>
              <w:rPr>
                <w:rFonts w:hint="eastAsia" w:cs="Times New Roman"/>
                <w:color w:val="FF0000"/>
                <w:lang w:val="en-US" w:eastAsia="zh-CN"/>
              </w:rPr>
            </w:pPr>
            <w:r>
              <w:rPr>
                <w:rFonts w:hint="eastAsia" w:cs="Times New Roman"/>
                <w:color w:val="FF0000"/>
                <w:lang w:val="en-US" w:eastAsia="zh-CN"/>
              </w:rPr>
              <w:t>供热生物质锅炉废气采用碱式喷淋塔+15m烟囱有组织排放；</w:t>
            </w:r>
          </w:p>
          <w:p w14:paraId="1DB8F74B">
            <w:pPr>
              <w:pStyle w:val="60"/>
              <w:jc w:val="both"/>
              <w:rPr>
                <w:rFonts w:hint="eastAsia" w:cs="Times New Roman"/>
                <w:color w:val="000000" w:themeColor="text1"/>
                <w:lang w:val="zh-CN" w:eastAsia="zh-CN"/>
                <w14:textFill>
                  <w14:solidFill>
                    <w14:schemeClr w14:val="tx1"/>
                  </w14:solidFill>
                </w14:textFill>
              </w:rPr>
            </w:pPr>
            <w:r>
              <w:rPr>
                <w:rFonts w:hint="eastAsia" w:cs="Times New Roman"/>
                <w:color w:val="000000" w:themeColor="text1"/>
                <w:lang w:val="zh-CN" w:eastAsia="zh-CN"/>
                <w14:textFill>
                  <w14:solidFill>
                    <w14:schemeClr w14:val="tx1"/>
                  </w14:solidFill>
                </w14:textFill>
              </w:rPr>
              <w:t>料塔粉尘无组织排放；</w:t>
            </w:r>
          </w:p>
          <w:p w14:paraId="28E65F6C">
            <w:pPr>
              <w:pStyle w:val="60"/>
              <w:jc w:val="both"/>
              <w:rPr>
                <w:rFonts w:ascii="Times New Roman" w:hAnsi="Times New Roman" w:cs="Times New Roman"/>
                <w:color w:val="000000" w:themeColor="text1"/>
                <w:lang w:val="zh-CN"/>
                <w14:textFill>
                  <w14:solidFill>
                    <w14:schemeClr w14:val="tx1"/>
                  </w14:solidFill>
                </w14:textFill>
              </w:rPr>
            </w:pPr>
            <w:r>
              <w:rPr>
                <w:rFonts w:hint="eastAsia" w:cs="Times New Roman"/>
                <w:color w:val="000000" w:themeColor="text1"/>
                <w:lang w:val="zh-CN" w:eastAsia="zh-CN"/>
                <w14:textFill>
                  <w14:solidFill>
                    <w14:schemeClr w14:val="tx1"/>
                  </w14:solidFill>
                </w14:textFill>
              </w:rPr>
              <w:t>食堂油烟通过油烟净化器处理后，达标排放；</w:t>
            </w:r>
          </w:p>
        </w:tc>
      </w:tr>
      <w:tr w14:paraId="4210DA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2EE841A2">
            <w:pPr>
              <w:pStyle w:val="60"/>
              <w:rPr>
                <w:rFonts w:ascii="Times New Roman" w:hAnsi="Times New Roman" w:cs="Times New Roman"/>
                <w:color w:val="000000" w:themeColor="text1"/>
                <w14:textFill>
                  <w14:solidFill>
                    <w14:schemeClr w14:val="tx1"/>
                  </w14:solidFill>
                </w14:textFill>
              </w:rPr>
            </w:pPr>
          </w:p>
        </w:tc>
        <w:tc>
          <w:tcPr>
            <w:tcW w:w="1559" w:type="dxa"/>
            <w:tcBorders>
              <w:tl2br w:val="nil"/>
              <w:tr2bl w:val="nil"/>
            </w:tcBorders>
            <w:vAlign w:val="center"/>
          </w:tcPr>
          <w:p w14:paraId="377BED22">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w:t>
            </w:r>
          </w:p>
        </w:tc>
        <w:tc>
          <w:tcPr>
            <w:tcW w:w="6201" w:type="dxa"/>
            <w:tcBorders>
              <w:tl2br w:val="nil"/>
              <w:tr2bl w:val="nil"/>
            </w:tcBorders>
            <w:vAlign w:val="center"/>
          </w:tcPr>
          <w:p w14:paraId="2547D4E2">
            <w:pPr>
              <w:pStyle w:val="6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冲洗废水，少量生活污水</w:t>
            </w:r>
            <w:r>
              <w:rPr>
                <w:rFonts w:hint="eastAsia" w:cs="Times New Roman"/>
                <w:color w:val="000000" w:themeColor="text1"/>
                <w:lang w:val="en-US" w:eastAsia="zh-CN"/>
                <w14:textFill>
                  <w14:solidFill>
                    <w14:schemeClr w14:val="tx1"/>
                  </w14:solidFill>
                </w14:textFill>
              </w:rPr>
              <w:t>经内部排水管排放到场区污水处理设施</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处理后用于场区绿化浇灌，不外排</w:t>
            </w:r>
            <w:r>
              <w:rPr>
                <w:rFonts w:hint="eastAsia" w:ascii="Times New Roman" w:hAnsi="Times New Roman" w:cs="Times New Roman"/>
                <w:color w:val="000000" w:themeColor="text1"/>
                <w:lang w:val="en-US" w:eastAsia="zh-CN"/>
                <w14:textFill>
                  <w14:solidFill>
                    <w14:schemeClr w14:val="tx1"/>
                  </w14:solidFill>
                </w14:textFill>
              </w:rPr>
              <w:t>。</w:t>
            </w:r>
          </w:p>
        </w:tc>
      </w:tr>
      <w:tr w14:paraId="52AF7B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0C5AE85E">
            <w:pPr>
              <w:pStyle w:val="60"/>
              <w:rPr>
                <w:rFonts w:ascii="Times New Roman" w:hAnsi="Times New Roman" w:cs="Times New Roman"/>
                <w:color w:val="000000" w:themeColor="text1"/>
                <w14:textFill>
                  <w14:solidFill>
                    <w14:schemeClr w14:val="tx1"/>
                  </w14:solidFill>
                </w14:textFill>
              </w:rPr>
            </w:pPr>
          </w:p>
        </w:tc>
        <w:tc>
          <w:tcPr>
            <w:tcW w:w="1559" w:type="dxa"/>
            <w:tcBorders>
              <w:tl2br w:val="nil"/>
              <w:tr2bl w:val="nil"/>
            </w:tcBorders>
            <w:vAlign w:val="center"/>
          </w:tcPr>
          <w:p w14:paraId="3FE0A3EA">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w:t>
            </w:r>
          </w:p>
        </w:tc>
        <w:tc>
          <w:tcPr>
            <w:tcW w:w="6201" w:type="dxa"/>
            <w:tcBorders>
              <w:tl2br w:val="nil"/>
              <w:tr2bl w:val="nil"/>
            </w:tcBorders>
            <w:vAlign w:val="center"/>
          </w:tcPr>
          <w:p w14:paraId="2EC14612">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优先选用低噪声、振动小的设备，进行减振处理</w:t>
            </w:r>
            <w:r>
              <w:rPr>
                <w:rFonts w:ascii="Times New Roman" w:hAnsi="Times New Roman" w:cs="Times New Roman"/>
                <w:color w:val="000000" w:themeColor="text1"/>
                <w:lang w:val="zh-CN"/>
                <w14:textFill>
                  <w14:solidFill>
                    <w14:schemeClr w14:val="tx1"/>
                  </w14:solidFill>
                </w14:textFill>
              </w:rPr>
              <w:t>；</w:t>
            </w:r>
          </w:p>
        </w:tc>
      </w:tr>
      <w:tr w14:paraId="365AB7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6806DBFC">
            <w:pPr>
              <w:pStyle w:val="60"/>
              <w:rPr>
                <w:rFonts w:ascii="Times New Roman" w:hAnsi="Times New Roman" w:cs="Times New Roman"/>
                <w:color w:val="000000" w:themeColor="text1"/>
                <w14:textFill>
                  <w14:solidFill>
                    <w14:schemeClr w14:val="tx1"/>
                  </w14:solidFill>
                </w14:textFill>
              </w:rPr>
            </w:pPr>
          </w:p>
        </w:tc>
        <w:tc>
          <w:tcPr>
            <w:tcW w:w="1559" w:type="dxa"/>
            <w:tcBorders>
              <w:tl2br w:val="nil"/>
              <w:tr2bl w:val="nil"/>
            </w:tcBorders>
            <w:vAlign w:val="center"/>
          </w:tcPr>
          <w:p w14:paraId="090ADAEF">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固废</w:t>
            </w:r>
          </w:p>
        </w:tc>
        <w:tc>
          <w:tcPr>
            <w:tcW w:w="6201" w:type="dxa"/>
            <w:tcBorders>
              <w:tl2br w:val="nil"/>
              <w:tr2bl w:val="nil"/>
            </w:tcBorders>
            <w:vAlign w:val="center"/>
          </w:tcPr>
          <w:p w14:paraId="59BC47BA">
            <w:pPr>
              <w:pStyle w:val="6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cs="Times New Roman"/>
                <w:color w:val="000000" w:themeColor="text1"/>
                <w:lang w:val="zh-CN" w:eastAsia="zh-CN"/>
                <w14:textFill>
                  <w14:solidFill>
                    <w14:schemeClr w14:val="tx1"/>
                  </w14:solidFill>
                </w14:textFill>
              </w:rPr>
              <w:t>死鸭苗、病死鸭委托有资质单位进行处置；防疫医疗废物委托有相应资质的单位处理；鸭粪</w:t>
            </w:r>
            <w:r>
              <w:rPr>
                <w:rFonts w:hint="eastAsia" w:ascii="Times New Roman" w:hAnsi="Times New Roman" w:cs="Times New Roman"/>
                <w:color w:val="000000" w:themeColor="text1"/>
                <w:lang w:val="en-US" w:eastAsia="zh-CN"/>
                <w14:textFill>
                  <w14:solidFill>
                    <w14:schemeClr w14:val="tx1"/>
                  </w14:solidFill>
                </w14:textFill>
              </w:rPr>
              <w:t>和</w:t>
            </w:r>
            <w:r>
              <w:rPr>
                <w:rFonts w:hint="eastAsia" w:ascii="Times New Roman" w:hAnsi="Times New Roman" w:cs="Times New Roman"/>
                <w:color w:val="000000" w:themeColor="text1"/>
                <w:lang w:val="zh-CN" w:eastAsia="zh-CN"/>
                <w14:textFill>
                  <w14:solidFill>
                    <w14:schemeClr w14:val="tx1"/>
                  </w14:solidFill>
                </w14:textFill>
              </w:rPr>
              <w:t>垫料</w:t>
            </w:r>
            <w:r>
              <w:rPr>
                <w:rFonts w:hint="eastAsia" w:ascii="Times New Roman" w:hAnsi="Times New Roman" w:cs="Times New Roman"/>
                <w:color w:val="000000" w:themeColor="text1"/>
                <w:lang w:val="en-US" w:eastAsia="zh-CN"/>
                <w14:textFill>
                  <w14:solidFill>
                    <w14:schemeClr w14:val="tx1"/>
                  </w14:solidFill>
                </w14:textFill>
              </w:rPr>
              <w:t>定期处理直接拉运至63团3连粪污处理场进行处理</w:t>
            </w:r>
            <w:r>
              <w:rPr>
                <w:rFonts w:hint="eastAsia" w:ascii="Times New Roman" w:hAnsi="Times New Roman" w:cs="Times New Roman"/>
                <w:color w:val="000000" w:themeColor="text1"/>
                <w:lang w:val="zh-CN" w:eastAsia="zh-CN"/>
                <w14:textFill>
                  <w14:solidFill>
                    <w14:schemeClr w14:val="tx1"/>
                  </w14:solidFill>
                </w14:textFill>
              </w:rPr>
              <w:t>；不合格蛋和蛋壳外售综合利用；员工生活垃圾收集后外运处理</w:t>
            </w:r>
            <w:r>
              <w:rPr>
                <w:rFonts w:ascii="Times New Roman" w:hAnsi="Times New Roman" w:cs="Times New Roman"/>
                <w:color w:val="000000" w:themeColor="text1"/>
                <w:lang w:val="zh-CN"/>
                <w14:textFill>
                  <w14:solidFill>
                    <w14:schemeClr w14:val="tx1"/>
                  </w14:solidFill>
                </w14:textFill>
              </w:rPr>
              <w:t>。</w:t>
            </w:r>
          </w:p>
        </w:tc>
      </w:tr>
      <w:tr w14:paraId="0DE76D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70" w:hRule="atLeast"/>
          <w:jc w:val="center"/>
        </w:trPr>
        <w:tc>
          <w:tcPr>
            <w:tcW w:w="1198" w:type="dxa"/>
            <w:vMerge w:val="continue"/>
            <w:tcBorders>
              <w:tl2br w:val="nil"/>
              <w:tr2bl w:val="nil"/>
            </w:tcBorders>
            <w:vAlign w:val="center"/>
          </w:tcPr>
          <w:p w14:paraId="48494769">
            <w:pPr>
              <w:pStyle w:val="60"/>
              <w:rPr>
                <w:rFonts w:ascii="Times New Roman" w:hAnsi="Times New Roman" w:cs="Times New Roman"/>
                <w:color w:val="000000" w:themeColor="text1"/>
                <w14:textFill>
                  <w14:solidFill>
                    <w14:schemeClr w14:val="tx1"/>
                  </w14:solidFill>
                </w14:textFill>
              </w:rPr>
            </w:pPr>
          </w:p>
        </w:tc>
        <w:tc>
          <w:tcPr>
            <w:tcW w:w="1559" w:type="dxa"/>
            <w:tcBorders>
              <w:tl2br w:val="nil"/>
              <w:tr2bl w:val="nil"/>
            </w:tcBorders>
            <w:vAlign w:val="center"/>
          </w:tcPr>
          <w:p w14:paraId="5AA34D0A">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防渗</w:t>
            </w:r>
          </w:p>
        </w:tc>
        <w:tc>
          <w:tcPr>
            <w:tcW w:w="6201" w:type="dxa"/>
            <w:tcBorders>
              <w:tl2br w:val="nil"/>
              <w:tr2bl w:val="nil"/>
            </w:tcBorders>
            <w:vAlign w:val="center"/>
          </w:tcPr>
          <w:p w14:paraId="56806A98">
            <w:pPr>
              <w:pStyle w:val="60"/>
              <w:rPr>
                <w:rFonts w:ascii="Times New Roman" w:hAnsi="Times New Roman" w:cs="Times New Roman"/>
                <w:color w:val="000000" w:themeColor="text1"/>
                <w:lang w:val="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生活污水化粪池、养殖污水处理设施、</w:t>
            </w:r>
            <w:r>
              <w:rPr>
                <w:rFonts w:hint="eastAsia" w:cs="Times New Roman"/>
                <w:color w:val="000000" w:themeColor="text1"/>
                <w:lang w:eastAsia="zh-CN"/>
                <w14:textFill>
                  <w14:solidFill>
                    <w14:schemeClr w14:val="tx1"/>
                  </w14:solidFill>
                </w14:textFill>
              </w:rPr>
              <w:t>回用水池</w:t>
            </w:r>
            <w:r>
              <w:rPr>
                <w:rFonts w:ascii="Times New Roman" w:hAnsi="Times New Roman" w:cs="Times New Roman"/>
                <w:color w:val="000000" w:themeColor="text1"/>
                <w:lang w:val="zh-CN"/>
                <w14:textFill>
                  <w14:solidFill>
                    <w14:schemeClr w14:val="tx1"/>
                  </w14:solidFill>
                </w14:textFill>
              </w:rPr>
              <w:t>为重点防渗区；圈舍为一般防渗区；</w:t>
            </w:r>
            <w:r>
              <w:rPr>
                <w:rFonts w:hint="eastAsia" w:ascii="Times New Roman" w:hAnsi="Times New Roman" w:cs="Times New Roman"/>
                <w:color w:val="000000" w:themeColor="text1"/>
                <w:lang w:val="en-US" w:eastAsia="zh-CN"/>
                <w14:textFill>
                  <w14:solidFill>
                    <w14:schemeClr w14:val="tx1"/>
                  </w14:solidFill>
                </w14:textFill>
              </w:rPr>
              <w:t>运输道路</w:t>
            </w:r>
            <w:r>
              <w:rPr>
                <w:rFonts w:ascii="Times New Roman" w:hAnsi="Times New Roman" w:cs="Times New Roman"/>
                <w:color w:val="000000" w:themeColor="text1"/>
                <w:lang w:val="zh-CN"/>
                <w14:textFill>
                  <w14:solidFill>
                    <w14:schemeClr w14:val="tx1"/>
                  </w14:solidFill>
                </w14:textFill>
              </w:rPr>
              <w:t>等进行一般地面硬化。</w:t>
            </w:r>
          </w:p>
        </w:tc>
      </w:tr>
    </w:tbl>
    <w:p w14:paraId="50EF189E">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主要原辅材料及能源消耗</w:t>
      </w:r>
    </w:p>
    <w:p w14:paraId="3947CE6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根据建设单位提供资料，</w:t>
      </w:r>
      <w:r>
        <w:rPr>
          <w:rFonts w:hint="eastAsia" w:ascii="Times New Roman" w:hAnsi="Times New Roman" w:cs="Times New Roman"/>
          <w:color w:val="000000" w:themeColor="text1"/>
          <w:lang w:val="en-US" w:eastAsia="zh-CN"/>
          <w14:textFill>
            <w14:solidFill>
              <w14:schemeClr w14:val="tx1"/>
            </w14:solidFill>
          </w14:textFill>
        </w:rPr>
        <w:t>本</w:t>
      </w:r>
      <w:r>
        <w:rPr>
          <w:rFonts w:hint="eastAsia" w:ascii="Times New Roman" w:hAnsi="Times New Roman" w:cs="Times New Roman"/>
          <w:color w:val="000000" w:themeColor="text1"/>
          <w:lang w:eastAsia="zh-CN"/>
          <w14:textFill>
            <w14:solidFill>
              <w14:schemeClr w14:val="tx1"/>
            </w14:solidFill>
          </w14:textFill>
        </w:rPr>
        <w:t>项目</w:t>
      </w:r>
      <w:r>
        <w:rPr>
          <w:rFonts w:ascii="Times New Roman" w:hAnsi="Times New Roman" w:cs="Times New Roman"/>
          <w:color w:val="000000" w:themeColor="text1"/>
          <w14:textFill>
            <w14:solidFill>
              <w14:schemeClr w14:val="tx1"/>
            </w14:solidFill>
          </w14:textFill>
        </w:rPr>
        <w:t>饲料直接外购。</w:t>
      </w:r>
      <w:r>
        <w:rPr>
          <w:rFonts w:hint="eastAsia" w:ascii="Times New Roman" w:hAnsi="Times New Roman" w:cs="Times New Roman"/>
          <w:color w:val="000000" w:themeColor="text1"/>
          <w:lang w:val="en-US" w:eastAsia="zh-CN"/>
          <w14:textFill>
            <w14:solidFill>
              <w14:schemeClr w14:val="tx1"/>
            </w14:solidFill>
          </w14:textFill>
        </w:rPr>
        <w:t>本</w:t>
      </w:r>
      <w:r>
        <w:rPr>
          <w:rFonts w:hint="eastAsia" w:ascii="Times New Roman" w:hAnsi="Times New Roman" w:cs="Times New Roman"/>
          <w:color w:val="000000" w:themeColor="text1"/>
          <w:lang w:eastAsia="zh-CN"/>
          <w14:textFill>
            <w14:solidFill>
              <w14:schemeClr w14:val="tx1"/>
            </w14:solidFill>
          </w14:textFill>
        </w:rPr>
        <w:t>项目</w:t>
      </w:r>
      <w:r>
        <w:rPr>
          <w:rFonts w:ascii="Times New Roman" w:hAnsi="Times New Roman" w:cs="Times New Roman"/>
          <w:color w:val="000000" w:themeColor="text1"/>
          <w14:textFill>
            <w14:solidFill>
              <w14:schemeClr w14:val="tx1"/>
            </w14:solidFill>
          </w14:textFill>
        </w:rPr>
        <w:t>饲料用量、水、电及其他用品情况见下表。</w:t>
      </w:r>
    </w:p>
    <w:p w14:paraId="60042EA2">
      <w:pPr>
        <w:pStyle w:val="61"/>
        <w:spacing w:before="32" w:after="32"/>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.1-2    原辅材料需求量表</w:t>
      </w:r>
    </w:p>
    <w:tbl>
      <w:tblPr>
        <w:tblStyle w:val="35"/>
        <w:tblW w:w="895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673"/>
        <w:gridCol w:w="1062"/>
        <w:gridCol w:w="1602"/>
        <w:gridCol w:w="1337"/>
        <w:gridCol w:w="4284"/>
      </w:tblGrid>
      <w:tr w14:paraId="0047E3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7BDA90D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1062" w:type="dxa"/>
            <w:tcBorders>
              <w:tl2br w:val="nil"/>
              <w:tr2bl w:val="nil"/>
            </w:tcBorders>
            <w:vAlign w:val="center"/>
          </w:tcPr>
          <w:p w14:paraId="2527E28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类型</w:t>
            </w:r>
          </w:p>
        </w:tc>
        <w:tc>
          <w:tcPr>
            <w:tcW w:w="1602" w:type="dxa"/>
            <w:tcBorders>
              <w:tl2br w:val="nil"/>
              <w:tr2bl w:val="nil"/>
            </w:tcBorders>
            <w:vAlign w:val="center"/>
          </w:tcPr>
          <w:p w14:paraId="39C35A6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原料名称</w:t>
            </w:r>
          </w:p>
        </w:tc>
        <w:tc>
          <w:tcPr>
            <w:tcW w:w="1337" w:type="dxa"/>
            <w:tcBorders>
              <w:tl2br w:val="nil"/>
              <w:tr2bl w:val="nil"/>
            </w:tcBorders>
            <w:vAlign w:val="center"/>
          </w:tcPr>
          <w:p w14:paraId="1F06406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年用量</w:t>
            </w:r>
          </w:p>
        </w:tc>
        <w:tc>
          <w:tcPr>
            <w:tcW w:w="4284" w:type="dxa"/>
            <w:tcBorders>
              <w:tl2br w:val="nil"/>
              <w:tr2bl w:val="nil"/>
            </w:tcBorders>
            <w:vAlign w:val="center"/>
          </w:tcPr>
          <w:p w14:paraId="3E7AFF1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规格、来源</w:t>
            </w:r>
          </w:p>
        </w:tc>
      </w:tr>
      <w:tr w14:paraId="634134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24E7D99B">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w:t>
            </w:r>
          </w:p>
        </w:tc>
        <w:tc>
          <w:tcPr>
            <w:tcW w:w="1062" w:type="dxa"/>
            <w:tcBorders>
              <w:tl2br w:val="nil"/>
              <w:tr2bl w:val="nil"/>
            </w:tcBorders>
            <w:vAlign w:val="center"/>
          </w:tcPr>
          <w:p w14:paraId="6776032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w:t>
            </w:r>
          </w:p>
        </w:tc>
        <w:tc>
          <w:tcPr>
            <w:tcW w:w="1602" w:type="dxa"/>
            <w:tcBorders>
              <w:tl2br w:val="nil"/>
              <w:tr2bl w:val="nil"/>
            </w:tcBorders>
            <w:vAlign w:val="center"/>
          </w:tcPr>
          <w:p w14:paraId="5D6D4F7E">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雏鸭</w:t>
            </w:r>
          </w:p>
        </w:tc>
        <w:tc>
          <w:tcPr>
            <w:tcW w:w="1337" w:type="dxa"/>
            <w:tcBorders>
              <w:tl2br w:val="nil"/>
              <w:tr2bl w:val="nil"/>
            </w:tcBorders>
            <w:vAlign w:val="center"/>
          </w:tcPr>
          <w:p w14:paraId="5A83776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r>
              <w:rPr>
                <w:rFonts w:hint="eastAsia" w:ascii="Times New Roman" w:hAnsi="Times New Roman"/>
                <w:color w:val="000000" w:themeColor="text1"/>
                <w:szCs w:val="21"/>
                <w:lang w:val="en-US" w:eastAsia="zh-CN"/>
                <w14:textFill>
                  <w14:solidFill>
                    <w14:schemeClr w14:val="tx1"/>
                  </w14:solidFill>
                </w14:textFill>
              </w:rPr>
              <w:t>万只</w:t>
            </w:r>
          </w:p>
        </w:tc>
        <w:tc>
          <w:tcPr>
            <w:tcW w:w="4284" w:type="dxa"/>
            <w:tcBorders>
              <w:tl2br w:val="nil"/>
              <w:tr2bl w:val="nil"/>
            </w:tcBorders>
            <w:vAlign w:val="center"/>
          </w:tcPr>
          <w:p w14:paraId="55D35E73">
            <w:pPr>
              <w:pStyle w:val="56"/>
              <w:rPr>
                <w:rFonts w:hint="default" w:ascii="Times New Roman" w:hAnsi="Times New Roman"/>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外购，购买雏鸭体重约120g</w:t>
            </w:r>
          </w:p>
        </w:tc>
      </w:tr>
      <w:tr w14:paraId="68F529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03FFBA08">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w:t>
            </w:r>
          </w:p>
        </w:tc>
        <w:tc>
          <w:tcPr>
            <w:tcW w:w="1062" w:type="dxa"/>
            <w:tcBorders>
              <w:tl2br w:val="nil"/>
              <w:tr2bl w:val="nil"/>
            </w:tcBorders>
            <w:vAlign w:val="center"/>
          </w:tcPr>
          <w:p w14:paraId="627CB019">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蛋</w:t>
            </w:r>
          </w:p>
        </w:tc>
        <w:tc>
          <w:tcPr>
            <w:tcW w:w="1602" w:type="dxa"/>
            <w:tcBorders>
              <w:tl2br w:val="nil"/>
              <w:tr2bl w:val="nil"/>
            </w:tcBorders>
            <w:vAlign w:val="center"/>
          </w:tcPr>
          <w:p w14:paraId="6117B729">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种蛋</w:t>
            </w:r>
          </w:p>
        </w:tc>
        <w:tc>
          <w:tcPr>
            <w:tcW w:w="1337" w:type="dxa"/>
            <w:tcBorders>
              <w:tl2br w:val="nil"/>
              <w:tr2bl w:val="nil"/>
            </w:tcBorders>
            <w:vAlign w:val="center"/>
          </w:tcPr>
          <w:p w14:paraId="79B9ED9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4680</w:t>
            </w:r>
            <w:r>
              <w:rPr>
                <w:rFonts w:hint="eastAsia" w:ascii="Times New Roman" w:hAnsi="Times New Roman"/>
                <w:color w:val="000000" w:themeColor="text1"/>
                <w:szCs w:val="21"/>
                <w:lang w:val="en-US" w:eastAsia="zh-CN"/>
                <w14:textFill>
                  <w14:solidFill>
                    <w14:schemeClr w14:val="tx1"/>
                  </w14:solidFill>
                </w14:textFill>
              </w:rPr>
              <w:t>万枚</w:t>
            </w:r>
          </w:p>
        </w:tc>
        <w:tc>
          <w:tcPr>
            <w:tcW w:w="4284" w:type="dxa"/>
            <w:tcBorders>
              <w:tl2br w:val="nil"/>
              <w:tr2bl w:val="nil"/>
            </w:tcBorders>
            <w:vAlign w:val="center"/>
          </w:tcPr>
          <w:p w14:paraId="4E08076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鸭均年产</w:t>
            </w:r>
            <w:r>
              <w:rPr>
                <w:rFonts w:hint="eastAsia" w:ascii="Times New Roman" w:hAnsi="Times New Roman"/>
                <w:color w:val="000000" w:themeColor="text1"/>
                <w:szCs w:val="21"/>
                <w:lang w:val="en-US" w:eastAsia="zh-CN"/>
                <w14:textFill>
                  <w14:solidFill>
                    <w14:schemeClr w14:val="tx1"/>
                  </w14:solidFill>
                </w14:textFill>
              </w:rPr>
              <w:t>蛋26</w:t>
            </w:r>
            <w:r>
              <w:rPr>
                <w:rFonts w:hint="eastAsia"/>
                <w:color w:val="000000" w:themeColor="text1"/>
                <w:szCs w:val="21"/>
                <w:lang w:val="en-US" w:eastAsia="zh-CN"/>
                <w14:textFill>
                  <w14:solidFill>
                    <w14:schemeClr w14:val="tx1"/>
                  </w14:solidFill>
                </w14:textFill>
              </w:rPr>
              <w:t>0</w:t>
            </w:r>
            <w:r>
              <w:rPr>
                <w:rFonts w:hint="eastAsia" w:ascii="Times New Roman" w:hAnsi="Times New Roman"/>
                <w:color w:val="000000" w:themeColor="text1"/>
                <w:szCs w:val="21"/>
                <w:lang w:val="en-US" w:eastAsia="zh-CN"/>
                <w14:textFill>
                  <w14:solidFill>
                    <w14:schemeClr w14:val="tx1"/>
                  </w14:solidFill>
                </w14:textFill>
              </w:rPr>
              <w:t>枚，每只鸭蛋约90g</w:t>
            </w:r>
            <w:r>
              <w:rPr>
                <w:rFonts w:hint="eastAsia"/>
                <w:color w:val="000000" w:themeColor="text1"/>
                <w:szCs w:val="21"/>
                <w:lang w:val="en-US" w:eastAsia="zh-CN"/>
                <w14:textFill>
                  <w14:solidFill>
                    <w14:schemeClr w14:val="tx1"/>
                  </w14:solidFill>
                </w14:textFill>
              </w:rPr>
              <w:t>，均为种鸭蛋，供孵化场孵化鸭苗。</w:t>
            </w:r>
          </w:p>
        </w:tc>
      </w:tr>
      <w:tr w14:paraId="6B4E67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5F41B32D">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w:t>
            </w:r>
          </w:p>
        </w:tc>
        <w:tc>
          <w:tcPr>
            <w:tcW w:w="1062" w:type="dxa"/>
            <w:tcBorders>
              <w:tl2br w:val="nil"/>
              <w:tr2bl w:val="nil"/>
            </w:tcBorders>
            <w:vAlign w:val="center"/>
          </w:tcPr>
          <w:p w14:paraId="56EF8FE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饲料</w:t>
            </w:r>
          </w:p>
        </w:tc>
        <w:tc>
          <w:tcPr>
            <w:tcW w:w="1602" w:type="dxa"/>
            <w:tcBorders>
              <w:tl2br w:val="nil"/>
              <w:tr2bl w:val="nil"/>
            </w:tcBorders>
            <w:vAlign w:val="center"/>
          </w:tcPr>
          <w:p w14:paraId="583A02D9">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饲料</w:t>
            </w:r>
          </w:p>
        </w:tc>
        <w:tc>
          <w:tcPr>
            <w:tcW w:w="1337" w:type="dxa"/>
            <w:tcBorders>
              <w:tl2br w:val="nil"/>
              <w:tr2bl w:val="nil"/>
            </w:tcBorders>
            <w:vAlign w:val="center"/>
          </w:tcPr>
          <w:p w14:paraId="1A93B0CC">
            <w:pPr>
              <w:pStyle w:val="56"/>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9855</w:t>
            </w:r>
            <w:r>
              <w:rPr>
                <w:rFonts w:ascii="Times New Roman" w:hAnsi="Times New Roman"/>
                <w:color w:val="000000" w:themeColor="text1"/>
                <w:szCs w:val="21"/>
                <w14:textFill>
                  <w14:solidFill>
                    <w14:schemeClr w14:val="tx1"/>
                  </w14:solidFill>
                </w14:textFill>
              </w:rPr>
              <w:t>t/a</w:t>
            </w:r>
          </w:p>
        </w:tc>
        <w:tc>
          <w:tcPr>
            <w:tcW w:w="4284" w:type="dxa"/>
            <w:tcBorders>
              <w:tl2br w:val="nil"/>
              <w:tr2bl w:val="nil"/>
            </w:tcBorders>
            <w:vAlign w:val="center"/>
          </w:tcPr>
          <w:p w14:paraId="28198F1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外购</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0.15kg/羽</w:t>
            </w:r>
            <w:r>
              <w:rPr>
                <w:rFonts w:hint="eastAsia"/>
                <w:color w:val="000000" w:themeColor="text1"/>
                <w:szCs w:val="21"/>
                <w:lang w:val="en-US"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d，存放在料塔中，每个料塔最大存放量为9t</w:t>
            </w:r>
          </w:p>
        </w:tc>
      </w:tr>
      <w:tr w14:paraId="2A3F0D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2A53797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062" w:type="dxa"/>
            <w:vMerge w:val="restart"/>
            <w:tcBorders>
              <w:tl2br w:val="nil"/>
              <w:tr2bl w:val="nil"/>
            </w:tcBorders>
            <w:vAlign w:val="center"/>
          </w:tcPr>
          <w:p w14:paraId="656A486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药品</w:t>
            </w:r>
          </w:p>
        </w:tc>
        <w:tc>
          <w:tcPr>
            <w:tcW w:w="1602" w:type="dxa"/>
            <w:tcBorders>
              <w:tl2br w:val="nil"/>
              <w:tr2bl w:val="nil"/>
            </w:tcBorders>
            <w:vAlign w:val="center"/>
          </w:tcPr>
          <w:p w14:paraId="7D753ACF">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双抗</w:t>
            </w:r>
          </w:p>
        </w:tc>
        <w:tc>
          <w:tcPr>
            <w:tcW w:w="1337" w:type="dxa"/>
            <w:tcBorders>
              <w:tl2br w:val="nil"/>
              <w:tr2bl w:val="nil"/>
            </w:tcBorders>
            <w:vAlign w:val="center"/>
          </w:tcPr>
          <w:p w14:paraId="4EAE3D21">
            <w:pPr>
              <w:pStyle w:val="56"/>
              <w:rPr>
                <w:rFonts w:hint="default" w:ascii="Times New Roman" w:hAnsi="Times New Roman"/>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18</w:t>
            </w:r>
            <w:r>
              <w:rPr>
                <w:rFonts w:hint="eastAsia" w:ascii="Times New Roman" w:hAnsi="Times New Roman"/>
                <w:color w:val="000000" w:themeColor="text1"/>
                <w:szCs w:val="21"/>
                <w:lang w:val="en-US" w:eastAsia="zh-CN"/>
                <w14:textFill>
                  <w14:solidFill>
                    <w14:schemeClr w14:val="tx1"/>
                  </w14:solidFill>
                </w14:textFill>
              </w:rPr>
              <w:t>t/a</w:t>
            </w:r>
          </w:p>
        </w:tc>
        <w:tc>
          <w:tcPr>
            <w:tcW w:w="4284" w:type="dxa"/>
            <w:tcBorders>
              <w:tl2br w:val="nil"/>
              <w:tr2bl w:val="nil"/>
            </w:tcBorders>
            <w:vAlign w:val="center"/>
          </w:tcPr>
          <w:p w14:paraId="0644B86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外购，每只鸭用量1g</w:t>
            </w:r>
          </w:p>
        </w:tc>
      </w:tr>
      <w:tr w14:paraId="7443E6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41B4314C">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5</w:t>
            </w:r>
          </w:p>
        </w:tc>
        <w:tc>
          <w:tcPr>
            <w:tcW w:w="1062" w:type="dxa"/>
            <w:vMerge w:val="continue"/>
            <w:tcBorders>
              <w:tl2br w:val="nil"/>
              <w:tr2bl w:val="nil"/>
            </w:tcBorders>
            <w:vAlign w:val="center"/>
          </w:tcPr>
          <w:p w14:paraId="54240ECD">
            <w:pPr>
              <w:pStyle w:val="56"/>
              <w:rPr>
                <w:rFonts w:ascii="Times New Roman" w:hAnsi="Times New Roman"/>
                <w:color w:val="000000" w:themeColor="text1"/>
                <w:szCs w:val="21"/>
                <w14:textFill>
                  <w14:solidFill>
                    <w14:schemeClr w14:val="tx1"/>
                  </w14:solidFill>
                </w14:textFill>
              </w:rPr>
            </w:pPr>
          </w:p>
        </w:tc>
        <w:tc>
          <w:tcPr>
            <w:tcW w:w="1602" w:type="dxa"/>
            <w:tcBorders>
              <w:tl2br w:val="nil"/>
              <w:tr2bl w:val="nil"/>
            </w:tcBorders>
            <w:vAlign w:val="center"/>
          </w:tcPr>
          <w:p w14:paraId="784263F3">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阿莫西林</w:t>
            </w:r>
          </w:p>
        </w:tc>
        <w:tc>
          <w:tcPr>
            <w:tcW w:w="1337" w:type="dxa"/>
            <w:tcBorders>
              <w:tl2br w:val="nil"/>
              <w:tr2bl w:val="nil"/>
            </w:tcBorders>
            <w:vAlign w:val="center"/>
          </w:tcPr>
          <w:p w14:paraId="7137188A">
            <w:pPr>
              <w:pStyle w:val="56"/>
              <w:rPr>
                <w:rFonts w:ascii="Times New Roman" w:hAnsi="Times New Roman"/>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09</w:t>
            </w:r>
            <w:r>
              <w:rPr>
                <w:rFonts w:ascii="Times New Roman" w:hAnsi="Times New Roman"/>
                <w:color w:val="000000" w:themeColor="text1"/>
                <w:szCs w:val="21"/>
                <w14:textFill>
                  <w14:solidFill>
                    <w14:schemeClr w14:val="tx1"/>
                  </w14:solidFill>
                </w14:textFill>
              </w:rPr>
              <w:t>t/a</w:t>
            </w:r>
          </w:p>
        </w:tc>
        <w:tc>
          <w:tcPr>
            <w:tcW w:w="4284" w:type="dxa"/>
            <w:tcBorders>
              <w:tl2br w:val="nil"/>
              <w:tr2bl w:val="nil"/>
            </w:tcBorders>
            <w:vAlign w:val="center"/>
          </w:tcPr>
          <w:p w14:paraId="65B927C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外购</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100g/袋，0.1g/羽，连用5日</w:t>
            </w:r>
          </w:p>
        </w:tc>
      </w:tr>
      <w:tr w14:paraId="6CFFF5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74C41D82">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6</w:t>
            </w:r>
          </w:p>
        </w:tc>
        <w:tc>
          <w:tcPr>
            <w:tcW w:w="1062" w:type="dxa"/>
            <w:vMerge w:val="continue"/>
            <w:tcBorders>
              <w:tl2br w:val="nil"/>
              <w:tr2bl w:val="nil"/>
            </w:tcBorders>
            <w:vAlign w:val="center"/>
          </w:tcPr>
          <w:p w14:paraId="3B93EB2D">
            <w:pPr>
              <w:pStyle w:val="56"/>
              <w:rPr>
                <w:rFonts w:ascii="Times New Roman" w:hAnsi="Times New Roman"/>
                <w:color w:val="000000" w:themeColor="text1"/>
                <w:szCs w:val="21"/>
                <w14:textFill>
                  <w14:solidFill>
                    <w14:schemeClr w14:val="tx1"/>
                  </w14:solidFill>
                </w14:textFill>
              </w:rPr>
            </w:pPr>
          </w:p>
        </w:tc>
        <w:tc>
          <w:tcPr>
            <w:tcW w:w="1602" w:type="dxa"/>
            <w:tcBorders>
              <w:tl2br w:val="nil"/>
              <w:tr2bl w:val="nil"/>
            </w:tcBorders>
            <w:vAlign w:val="center"/>
          </w:tcPr>
          <w:p w14:paraId="29FA56E2">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维生素</w:t>
            </w:r>
          </w:p>
        </w:tc>
        <w:tc>
          <w:tcPr>
            <w:tcW w:w="1337" w:type="dxa"/>
            <w:tcBorders>
              <w:tl2br w:val="nil"/>
              <w:tr2bl w:val="nil"/>
            </w:tcBorders>
            <w:vAlign w:val="center"/>
          </w:tcPr>
          <w:p w14:paraId="5C65DF77">
            <w:pPr>
              <w:pStyle w:val="56"/>
              <w:rPr>
                <w:rFonts w:ascii="Times New Roman" w:hAnsi="Times New Roman"/>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18</w:t>
            </w:r>
            <w:r>
              <w:rPr>
                <w:rFonts w:ascii="Times New Roman" w:hAnsi="Times New Roman"/>
                <w:color w:val="000000" w:themeColor="text1"/>
                <w:szCs w:val="21"/>
                <w14:textFill>
                  <w14:solidFill>
                    <w14:schemeClr w14:val="tx1"/>
                  </w14:solidFill>
                </w14:textFill>
              </w:rPr>
              <w:t>t/a</w:t>
            </w:r>
          </w:p>
        </w:tc>
        <w:tc>
          <w:tcPr>
            <w:tcW w:w="4284" w:type="dxa"/>
            <w:tcBorders>
              <w:tl2br w:val="nil"/>
              <w:tr2bl w:val="nil"/>
            </w:tcBorders>
            <w:vAlign w:val="center"/>
          </w:tcPr>
          <w:p w14:paraId="2D84593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外购</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1000g/包，1包/1000羽，10天用量</w:t>
            </w:r>
          </w:p>
        </w:tc>
      </w:tr>
      <w:tr w14:paraId="0F49BD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6CA8C58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7</w:t>
            </w:r>
          </w:p>
        </w:tc>
        <w:tc>
          <w:tcPr>
            <w:tcW w:w="1062" w:type="dxa"/>
            <w:vMerge w:val="continue"/>
            <w:tcBorders>
              <w:tl2br w:val="nil"/>
              <w:tr2bl w:val="nil"/>
            </w:tcBorders>
            <w:vAlign w:val="center"/>
          </w:tcPr>
          <w:p w14:paraId="3BB663EF">
            <w:pPr>
              <w:pStyle w:val="56"/>
              <w:rPr>
                <w:rFonts w:ascii="Times New Roman" w:hAnsi="Times New Roman"/>
                <w:color w:val="000000" w:themeColor="text1"/>
                <w:szCs w:val="21"/>
                <w14:textFill>
                  <w14:solidFill>
                    <w14:schemeClr w14:val="tx1"/>
                  </w14:solidFill>
                </w14:textFill>
              </w:rPr>
            </w:pPr>
          </w:p>
        </w:tc>
        <w:tc>
          <w:tcPr>
            <w:tcW w:w="1602" w:type="dxa"/>
            <w:tcBorders>
              <w:tl2br w:val="nil"/>
              <w:tr2bl w:val="nil"/>
            </w:tcBorders>
            <w:vAlign w:val="center"/>
          </w:tcPr>
          <w:p w14:paraId="29F4450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疫苗</w:t>
            </w:r>
          </w:p>
        </w:tc>
        <w:tc>
          <w:tcPr>
            <w:tcW w:w="1337" w:type="dxa"/>
            <w:tcBorders>
              <w:tl2br w:val="nil"/>
              <w:tr2bl w:val="nil"/>
            </w:tcBorders>
            <w:vAlign w:val="center"/>
          </w:tcPr>
          <w:p w14:paraId="40EC4718">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90</w:t>
            </w:r>
            <w:r>
              <w:rPr>
                <w:rFonts w:hint="eastAsia" w:ascii="Times New Roman" w:hAnsi="Times New Roman"/>
                <w:color w:val="000000" w:themeColor="text1"/>
                <w:szCs w:val="21"/>
                <w:lang w:val="en-US" w:eastAsia="zh-CN"/>
                <w14:textFill>
                  <w14:solidFill>
                    <w14:schemeClr w14:val="tx1"/>
                  </w14:solidFill>
                </w14:textFill>
              </w:rPr>
              <w:t>支/a</w:t>
            </w:r>
          </w:p>
        </w:tc>
        <w:tc>
          <w:tcPr>
            <w:tcW w:w="4284" w:type="dxa"/>
            <w:tcBorders>
              <w:tl2br w:val="nil"/>
              <w:tr2bl w:val="nil"/>
            </w:tcBorders>
            <w:vAlign w:val="center"/>
          </w:tcPr>
          <w:p w14:paraId="0F7DE85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外购</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1支/2000羽</w:t>
            </w:r>
          </w:p>
        </w:tc>
      </w:tr>
      <w:tr w14:paraId="110FC3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24" w:hRule="atLeast"/>
          <w:jc w:val="center"/>
        </w:trPr>
        <w:tc>
          <w:tcPr>
            <w:tcW w:w="673" w:type="dxa"/>
            <w:tcBorders>
              <w:tl2br w:val="nil"/>
              <w:tr2bl w:val="nil"/>
            </w:tcBorders>
            <w:vAlign w:val="center"/>
          </w:tcPr>
          <w:p w14:paraId="6136109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8</w:t>
            </w:r>
          </w:p>
        </w:tc>
        <w:tc>
          <w:tcPr>
            <w:tcW w:w="1062" w:type="dxa"/>
            <w:vMerge w:val="restart"/>
            <w:tcBorders>
              <w:tl2br w:val="nil"/>
              <w:tr2bl w:val="nil"/>
            </w:tcBorders>
            <w:vAlign w:val="center"/>
          </w:tcPr>
          <w:p w14:paraId="27E7FF8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能源</w:t>
            </w:r>
          </w:p>
        </w:tc>
        <w:tc>
          <w:tcPr>
            <w:tcW w:w="1602" w:type="dxa"/>
            <w:tcBorders>
              <w:tl2br w:val="nil"/>
              <w:tr2bl w:val="nil"/>
            </w:tcBorders>
            <w:vAlign w:val="center"/>
          </w:tcPr>
          <w:p w14:paraId="1D72A78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电</w:t>
            </w:r>
          </w:p>
        </w:tc>
        <w:tc>
          <w:tcPr>
            <w:tcW w:w="1337" w:type="dxa"/>
            <w:tcBorders>
              <w:tl2br w:val="nil"/>
              <w:tr2bl w:val="nil"/>
            </w:tcBorders>
            <w:vAlign w:val="center"/>
          </w:tcPr>
          <w:p w14:paraId="7AB17856">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16</w:t>
            </w:r>
            <w:r>
              <w:rPr>
                <w:rFonts w:ascii="Times New Roman" w:hAnsi="Times New Roman"/>
                <w:color w:val="000000" w:themeColor="text1"/>
                <w:szCs w:val="21"/>
                <w14:textFill>
                  <w14:solidFill>
                    <w14:schemeClr w14:val="tx1"/>
                  </w14:solidFill>
                </w14:textFill>
              </w:rPr>
              <w:t>万</w:t>
            </w:r>
            <w:r>
              <w:rPr>
                <w:rFonts w:hint="eastAsia" w:ascii="Times New Roman" w:hAnsi="Times New Roman"/>
                <w:color w:val="000000" w:themeColor="text1"/>
                <w:szCs w:val="21"/>
                <w:lang w:val="en-US" w:eastAsia="zh-CN"/>
                <w14:textFill>
                  <w14:solidFill>
                    <w14:schemeClr w14:val="tx1"/>
                  </w14:solidFill>
                </w14:textFill>
              </w:rPr>
              <w:t>度</w:t>
            </w:r>
            <w:r>
              <w:rPr>
                <w:rFonts w:ascii="Times New Roman" w:hAnsi="Times New Roman"/>
                <w:color w:val="000000" w:themeColor="text1"/>
                <w:szCs w:val="21"/>
                <w14:textFill>
                  <w14:solidFill>
                    <w14:schemeClr w14:val="tx1"/>
                  </w14:solidFill>
                </w14:textFill>
              </w:rPr>
              <w:t>/a</w:t>
            </w:r>
          </w:p>
        </w:tc>
        <w:tc>
          <w:tcPr>
            <w:tcW w:w="4284" w:type="dxa"/>
            <w:tcBorders>
              <w:tl2br w:val="nil"/>
              <w:tr2bl w:val="nil"/>
            </w:tcBorders>
            <w:vAlign w:val="center"/>
          </w:tcPr>
          <w:p w14:paraId="165AD11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市政电网接入</w:t>
            </w:r>
          </w:p>
        </w:tc>
      </w:tr>
      <w:tr w14:paraId="6E974C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7889072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9</w:t>
            </w:r>
          </w:p>
        </w:tc>
        <w:tc>
          <w:tcPr>
            <w:tcW w:w="1062" w:type="dxa"/>
            <w:vMerge w:val="continue"/>
            <w:tcBorders>
              <w:tl2br w:val="nil"/>
              <w:tr2bl w:val="nil"/>
            </w:tcBorders>
            <w:vAlign w:val="center"/>
          </w:tcPr>
          <w:p w14:paraId="65FC3D29">
            <w:pPr>
              <w:pStyle w:val="56"/>
              <w:rPr>
                <w:rFonts w:ascii="Times New Roman" w:hAnsi="Times New Roman"/>
                <w:color w:val="000000" w:themeColor="text1"/>
                <w:szCs w:val="21"/>
                <w14:textFill>
                  <w14:solidFill>
                    <w14:schemeClr w14:val="tx1"/>
                  </w14:solidFill>
                </w14:textFill>
              </w:rPr>
            </w:pPr>
          </w:p>
        </w:tc>
        <w:tc>
          <w:tcPr>
            <w:tcW w:w="1602" w:type="dxa"/>
            <w:tcBorders>
              <w:tl2br w:val="nil"/>
              <w:tr2bl w:val="nil"/>
            </w:tcBorders>
            <w:vAlign w:val="center"/>
          </w:tcPr>
          <w:p w14:paraId="2D48E37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新鲜水</w:t>
            </w:r>
          </w:p>
        </w:tc>
        <w:tc>
          <w:tcPr>
            <w:tcW w:w="1337" w:type="dxa"/>
            <w:tcBorders>
              <w:tl2br w:val="nil"/>
              <w:tr2bl w:val="nil"/>
            </w:tcBorders>
            <w:vAlign w:val="center"/>
          </w:tcPr>
          <w:p w14:paraId="38D6D9BD">
            <w:pPr>
              <w:pStyle w:val="56"/>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33580</w:t>
            </w:r>
            <w:r>
              <w:rPr>
                <w:rFonts w:ascii="Times New Roman" w:hAnsi="Times New Roman"/>
                <w:color w:val="000000" w:themeColor="text1"/>
                <w:szCs w:val="21"/>
                <w14:textFill>
                  <w14:solidFill>
                    <w14:schemeClr w14:val="tx1"/>
                  </w14:solidFill>
                </w14:textFill>
              </w:rPr>
              <w:t>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/a</w:t>
            </w:r>
          </w:p>
        </w:tc>
        <w:tc>
          <w:tcPr>
            <w:tcW w:w="4284" w:type="dxa"/>
            <w:tcBorders>
              <w:tl2br w:val="nil"/>
              <w:tr2bl w:val="nil"/>
            </w:tcBorders>
            <w:vAlign w:val="center"/>
          </w:tcPr>
          <w:p w14:paraId="1366A77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来自</w:t>
            </w:r>
            <w:r>
              <w:rPr>
                <w:rFonts w:ascii="Times New Roman" w:hAnsi="Times New Roman"/>
                <w:color w:val="000000" w:themeColor="text1"/>
                <w:szCs w:val="21"/>
                <w:lang w:val="en-US"/>
                <w14:textFill>
                  <w14:solidFill>
                    <w14:schemeClr w14:val="tx1"/>
                  </w14:solidFill>
                </w14:textFill>
              </w:rPr>
              <w:t>市政</w:t>
            </w:r>
            <w:r>
              <w:rPr>
                <w:rFonts w:ascii="Times New Roman" w:hAnsi="Times New Roman"/>
                <w:color w:val="000000" w:themeColor="text1"/>
                <w:szCs w:val="21"/>
                <w14:textFill>
                  <w14:solidFill>
                    <w14:schemeClr w14:val="tx1"/>
                  </w14:solidFill>
                </w14:textFill>
              </w:rPr>
              <w:t>供水管网</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0.5L/羽</w:t>
            </w:r>
            <w:r>
              <w:rPr>
                <w:rFonts w:hint="eastAsia"/>
                <w:color w:val="000000" w:themeColor="text1"/>
                <w:szCs w:val="21"/>
                <w:lang w:val="en-US"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d，生活用水80L/人</w:t>
            </w:r>
            <w:r>
              <w:rPr>
                <w:rFonts w:hint="eastAsia"/>
                <w:color w:val="000000" w:themeColor="text1"/>
                <w:szCs w:val="21"/>
                <w:lang w:val="en-US"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d</w:t>
            </w:r>
          </w:p>
        </w:tc>
      </w:tr>
      <w:tr w14:paraId="019EF9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14" w:hRule="atLeast"/>
          <w:jc w:val="center"/>
        </w:trPr>
        <w:tc>
          <w:tcPr>
            <w:tcW w:w="673" w:type="dxa"/>
            <w:tcBorders>
              <w:tl2br w:val="nil"/>
              <w:tr2bl w:val="nil"/>
            </w:tcBorders>
            <w:vAlign w:val="center"/>
          </w:tcPr>
          <w:p w14:paraId="5BE173FC">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10</w:t>
            </w:r>
          </w:p>
        </w:tc>
        <w:tc>
          <w:tcPr>
            <w:tcW w:w="1062" w:type="dxa"/>
            <w:vMerge w:val="restart"/>
            <w:tcBorders>
              <w:tl2br w:val="nil"/>
              <w:tr2bl w:val="nil"/>
            </w:tcBorders>
            <w:vAlign w:val="center"/>
          </w:tcPr>
          <w:p w14:paraId="64ED4B2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其他</w:t>
            </w:r>
          </w:p>
        </w:tc>
        <w:tc>
          <w:tcPr>
            <w:tcW w:w="1602" w:type="dxa"/>
            <w:tcBorders>
              <w:tl2br w:val="nil"/>
              <w:tr2bl w:val="nil"/>
            </w:tcBorders>
            <w:vAlign w:val="center"/>
          </w:tcPr>
          <w:p w14:paraId="01DC919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除臭剂</w:t>
            </w:r>
          </w:p>
        </w:tc>
        <w:tc>
          <w:tcPr>
            <w:tcW w:w="1337" w:type="dxa"/>
            <w:tcBorders>
              <w:tl2br w:val="nil"/>
              <w:tr2bl w:val="nil"/>
            </w:tcBorders>
            <w:vAlign w:val="center"/>
          </w:tcPr>
          <w:p w14:paraId="75376019">
            <w:pPr>
              <w:pStyle w:val="56"/>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43.8</w:t>
            </w:r>
            <w:r>
              <w:rPr>
                <w:rFonts w:ascii="Times New Roman" w:hAnsi="Times New Roman"/>
                <w:color w:val="000000" w:themeColor="text1"/>
                <w:szCs w:val="21"/>
                <w14:textFill>
                  <w14:solidFill>
                    <w14:schemeClr w14:val="tx1"/>
                  </w14:solidFill>
                </w14:textFill>
              </w:rPr>
              <w:t>t/a</w:t>
            </w:r>
          </w:p>
        </w:tc>
        <w:tc>
          <w:tcPr>
            <w:tcW w:w="4284" w:type="dxa"/>
            <w:tcBorders>
              <w:tl2br w:val="nil"/>
              <w:tr2bl w:val="nil"/>
            </w:tcBorders>
            <w:vAlign w:val="center"/>
          </w:tcPr>
          <w:p w14:paraId="78722D0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外购</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1L/瓶</w:t>
            </w:r>
          </w:p>
        </w:tc>
      </w:tr>
      <w:tr w14:paraId="1B885B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vAlign w:val="center"/>
          </w:tcPr>
          <w:p w14:paraId="5E6C8DEA">
            <w:pPr>
              <w:pStyle w:val="56"/>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11</w:t>
            </w:r>
          </w:p>
        </w:tc>
        <w:tc>
          <w:tcPr>
            <w:tcW w:w="1062" w:type="dxa"/>
            <w:vMerge w:val="continue"/>
            <w:tcBorders>
              <w:tl2br w:val="nil"/>
              <w:tr2bl w:val="nil"/>
            </w:tcBorders>
            <w:vAlign w:val="center"/>
          </w:tcPr>
          <w:p w14:paraId="7103D5D7">
            <w:pPr>
              <w:pStyle w:val="56"/>
              <w:rPr>
                <w:rFonts w:ascii="Times New Roman" w:hAnsi="Times New Roman"/>
                <w:color w:val="000000" w:themeColor="text1"/>
                <w:szCs w:val="21"/>
                <w14:textFill>
                  <w14:solidFill>
                    <w14:schemeClr w14:val="tx1"/>
                  </w14:solidFill>
                </w14:textFill>
              </w:rPr>
            </w:pPr>
          </w:p>
        </w:tc>
        <w:tc>
          <w:tcPr>
            <w:tcW w:w="1602" w:type="dxa"/>
            <w:vMerge w:val="restart"/>
            <w:tcBorders>
              <w:tl2br w:val="nil"/>
              <w:tr2bl w:val="nil"/>
            </w:tcBorders>
            <w:vAlign w:val="center"/>
          </w:tcPr>
          <w:p w14:paraId="03B80C8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消毒剂</w:t>
            </w:r>
          </w:p>
        </w:tc>
        <w:tc>
          <w:tcPr>
            <w:tcW w:w="1337" w:type="dxa"/>
            <w:tcBorders>
              <w:tl2br w:val="nil"/>
              <w:tr2bl w:val="nil"/>
            </w:tcBorders>
            <w:vAlign w:val="center"/>
          </w:tcPr>
          <w:p w14:paraId="565097C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5000</w:t>
            </w:r>
            <w:r>
              <w:rPr>
                <w:rFonts w:hint="eastAsia" w:ascii="Times New Roman" w:hAnsi="Times New Roman"/>
                <w:color w:val="000000" w:themeColor="text1"/>
                <w:szCs w:val="21"/>
                <w:lang w:val="en-US" w:eastAsia="zh-CN"/>
                <w14:textFill>
                  <w14:solidFill>
                    <w14:schemeClr w14:val="tx1"/>
                  </w14:solidFill>
                </w14:textFill>
              </w:rPr>
              <w:t>瓶/a</w:t>
            </w:r>
          </w:p>
        </w:tc>
        <w:tc>
          <w:tcPr>
            <w:tcW w:w="4284" w:type="dxa"/>
            <w:tcBorders>
              <w:tl2br w:val="nil"/>
              <w:tr2bl w:val="nil"/>
            </w:tcBorders>
            <w:vAlign w:val="center"/>
          </w:tcPr>
          <w:p w14:paraId="6C26272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环境友好型消毒剂，非含氯消毒剂（过氧乙酸）</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1000ml/瓶</w:t>
            </w:r>
          </w:p>
        </w:tc>
      </w:tr>
      <w:tr w14:paraId="2E50DA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vAlign w:val="center"/>
          </w:tcPr>
          <w:p w14:paraId="163F61F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12</w:t>
            </w:r>
          </w:p>
        </w:tc>
        <w:tc>
          <w:tcPr>
            <w:tcW w:w="1062" w:type="dxa"/>
            <w:vMerge w:val="continue"/>
            <w:tcBorders>
              <w:tl2br w:val="nil"/>
              <w:tr2bl w:val="nil"/>
            </w:tcBorders>
            <w:vAlign w:val="center"/>
          </w:tcPr>
          <w:p w14:paraId="180B58EE">
            <w:pPr>
              <w:pStyle w:val="56"/>
              <w:rPr>
                <w:rFonts w:ascii="Times New Roman" w:hAnsi="Times New Roman"/>
                <w:color w:val="000000" w:themeColor="text1"/>
                <w:szCs w:val="21"/>
                <w14:textFill>
                  <w14:solidFill>
                    <w14:schemeClr w14:val="tx1"/>
                  </w14:solidFill>
                </w14:textFill>
              </w:rPr>
            </w:pPr>
          </w:p>
        </w:tc>
        <w:tc>
          <w:tcPr>
            <w:tcW w:w="1602" w:type="dxa"/>
            <w:vMerge w:val="continue"/>
            <w:tcBorders>
              <w:tl2br w:val="nil"/>
              <w:tr2bl w:val="nil"/>
            </w:tcBorders>
            <w:vAlign w:val="center"/>
          </w:tcPr>
          <w:p w14:paraId="49FEFBA5">
            <w:pPr>
              <w:pStyle w:val="56"/>
              <w:rPr>
                <w:rFonts w:ascii="Times New Roman" w:hAnsi="Times New Roman"/>
                <w:color w:val="000000" w:themeColor="text1"/>
                <w:szCs w:val="21"/>
                <w14:textFill>
                  <w14:solidFill>
                    <w14:schemeClr w14:val="tx1"/>
                  </w14:solidFill>
                </w14:textFill>
              </w:rPr>
            </w:pPr>
          </w:p>
        </w:tc>
        <w:tc>
          <w:tcPr>
            <w:tcW w:w="1337" w:type="dxa"/>
            <w:tcBorders>
              <w:tl2br w:val="nil"/>
              <w:tr2bl w:val="nil"/>
            </w:tcBorders>
            <w:vAlign w:val="center"/>
          </w:tcPr>
          <w:p w14:paraId="65E5FC6C">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5000</w:t>
            </w:r>
            <w:r>
              <w:rPr>
                <w:rFonts w:hint="eastAsia" w:ascii="Times New Roman" w:hAnsi="Times New Roman"/>
                <w:color w:val="000000" w:themeColor="text1"/>
                <w:szCs w:val="21"/>
                <w:lang w:val="en-US" w:eastAsia="zh-CN"/>
                <w14:textFill>
                  <w14:solidFill>
                    <w14:schemeClr w14:val="tx1"/>
                  </w14:solidFill>
                </w14:textFill>
              </w:rPr>
              <w:t>瓶/a</w:t>
            </w:r>
          </w:p>
        </w:tc>
        <w:tc>
          <w:tcPr>
            <w:tcW w:w="4284" w:type="dxa"/>
            <w:tcBorders>
              <w:tl2br w:val="nil"/>
              <w:tr2bl w:val="nil"/>
            </w:tcBorders>
            <w:vAlign w:val="center"/>
          </w:tcPr>
          <w:p w14:paraId="1B5481AE">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过氧化氢，1000ml/瓶</w:t>
            </w:r>
          </w:p>
        </w:tc>
      </w:tr>
      <w:tr w14:paraId="17D802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vAlign w:val="center"/>
          </w:tcPr>
          <w:p w14:paraId="3AA2604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13</w:t>
            </w:r>
          </w:p>
        </w:tc>
        <w:tc>
          <w:tcPr>
            <w:tcW w:w="1062" w:type="dxa"/>
            <w:vMerge w:val="continue"/>
            <w:tcBorders>
              <w:tl2br w:val="nil"/>
              <w:tr2bl w:val="nil"/>
            </w:tcBorders>
            <w:vAlign w:val="center"/>
          </w:tcPr>
          <w:p w14:paraId="5DA68BED">
            <w:pPr>
              <w:pStyle w:val="56"/>
              <w:rPr>
                <w:rFonts w:ascii="Times New Roman" w:hAnsi="Times New Roman"/>
                <w:color w:val="000000" w:themeColor="text1"/>
                <w:szCs w:val="21"/>
                <w14:textFill>
                  <w14:solidFill>
                    <w14:schemeClr w14:val="tx1"/>
                  </w14:solidFill>
                </w14:textFill>
              </w:rPr>
            </w:pPr>
          </w:p>
        </w:tc>
        <w:tc>
          <w:tcPr>
            <w:tcW w:w="1602" w:type="dxa"/>
            <w:vMerge w:val="continue"/>
            <w:tcBorders>
              <w:tl2br w:val="nil"/>
              <w:tr2bl w:val="nil"/>
            </w:tcBorders>
            <w:vAlign w:val="center"/>
          </w:tcPr>
          <w:p w14:paraId="337E0EC0">
            <w:pPr>
              <w:pStyle w:val="56"/>
              <w:rPr>
                <w:rFonts w:ascii="Times New Roman" w:hAnsi="Times New Roman"/>
                <w:color w:val="000000" w:themeColor="text1"/>
                <w:szCs w:val="21"/>
                <w14:textFill>
                  <w14:solidFill>
                    <w14:schemeClr w14:val="tx1"/>
                  </w14:solidFill>
                </w14:textFill>
              </w:rPr>
            </w:pPr>
          </w:p>
        </w:tc>
        <w:tc>
          <w:tcPr>
            <w:tcW w:w="1337" w:type="dxa"/>
            <w:tcBorders>
              <w:tl2br w:val="nil"/>
              <w:tr2bl w:val="nil"/>
            </w:tcBorders>
            <w:vAlign w:val="center"/>
          </w:tcPr>
          <w:p w14:paraId="5C17837F">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w:t>
            </w:r>
            <w:r>
              <w:rPr>
                <w:rFonts w:hint="eastAsia"/>
                <w:color w:val="000000" w:themeColor="text1"/>
                <w:szCs w:val="21"/>
                <w:lang w:val="en-US" w:eastAsia="zh-CN"/>
                <w14:textFill>
                  <w14:solidFill>
                    <w14:schemeClr w14:val="tx1"/>
                  </w14:solidFill>
                </w14:textFill>
              </w:rPr>
              <w:t>5</w:t>
            </w:r>
            <w:r>
              <w:rPr>
                <w:rFonts w:hint="eastAsia" w:ascii="Times New Roman" w:hAnsi="Times New Roman"/>
                <w:color w:val="000000" w:themeColor="text1"/>
                <w:szCs w:val="21"/>
                <w:lang w:val="en-US" w:eastAsia="zh-CN"/>
                <w14:textFill>
                  <w14:solidFill>
                    <w14:schemeClr w14:val="tx1"/>
                  </w14:solidFill>
                </w14:textFill>
              </w:rPr>
              <w:t>t/a</w:t>
            </w:r>
          </w:p>
        </w:tc>
        <w:tc>
          <w:tcPr>
            <w:tcW w:w="4284" w:type="dxa"/>
            <w:tcBorders>
              <w:tl2br w:val="nil"/>
              <w:tr2bl w:val="nil"/>
            </w:tcBorders>
            <w:vAlign w:val="center"/>
          </w:tcPr>
          <w:p w14:paraId="204972B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生石灰、火碱，25kg每袋</w:t>
            </w:r>
          </w:p>
        </w:tc>
      </w:tr>
      <w:tr w14:paraId="16D4B5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35" w:hRule="atLeast"/>
          <w:jc w:val="center"/>
        </w:trPr>
        <w:tc>
          <w:tcPr>
            <w:tcW w:w="673" w:type="dxa"/>
            <w:tcBorders>
              <w:tl2br w:val="nil"/>
              <w:tr2bl w:val="nil"/>
            </w:tcBorders>
            <w:vAlign w:val="center"/>
          </w:tcPr>
          <w:p w14:paraId="60937F3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14</w:t>
            </w:r>
          </w:p>
        </w:tc>
        <w:tc>
          <w:tcPr>
            <w:tcW w:w="1062" w:type="dxa"/>
            <w:tcBorders>
              <w:tl2br w:val="nil"/>
              <w:tr2bl w:val="nil"/>
            </w:tcBorders>
            <w:vAlign w:val="center"/>
          </w:tcPr>
          <w:p w14:paraId="042E8FD6">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垫料</w:t>
            </w:r>
          </w:p>
        </w:tc>
        <w:tc>
          <w:tcPr>
            <w:tcW w:w="1602" w:type="dxa"/>
            <w:tcBorders>
              <w:tl2br w:val="nil"/>
              <w:tr2bl w:val="nil"/>
            </w:tcBorders>
            <w:vAlign w:val="center"/>
          </w:tcPr>
          <w:p w14:paraId="4BA6FA1D">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稻壳</w:t>
            </w:r>
          </w:p>
        </w:tc>
        <w:tc>
          <w:tcPr>
            <w:tcW w:w="1337" w:type="dxa"/>
            <w:tcBorders>
              <w:tl2br w:val="nil"/>
              <w:tr2bl w:val="nil"/>
            </w:tcBorders>
            <w:vAlign w:val="center"/>
          </w:tcPr>
          <w:p w14:paraId="43105E6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180</w:t>
            </w:r>
            <w:r>
              <w:rPr>
                <w:rFonts w:hint="eastAsia" w:ascii="Times New Roman" w:hAnsi="Times New Roman"/>
                <w:color w:val="000000" w:themeColor="text1"/>
                <w:szCs w:val="21"/>
                <w:lang w:val="en-US" w:eastAsia="zh-CN"/>
                <w14:textFill>
                  <w14:solidFill>
                    <w14:schemeClr w14:val="tx1"/>
                  </w14:solidFill>
                </w14:textFill>
              </w:rPr>
              <w:t>t/a</w:t>
            </w:r>
          </w:p>
        </w:tc>
        <w:tc>
          <w:tcPr>
            <w:tcW w:w="4284" w:type="dxa"/>
            <w:tcBorders>
              <w:tl2br w:val="nil"/>
              <w:tr2bl w:val="nil"/>
            </w:tcBorders>
            <w:vAlign w:val="center"/>
          </w:tcPr>
          <w:p w14:paraId="6FF6E2E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外购，</w:t>
            </w:r>
            <w:r>
              <w:rPr>
                <w:rFonts w:hint="eastAsia"/>
                <w:color w:val="000000" w:themeColor="text1"/>
                <w:szCs w:val="21"/>
                <w:lang w:val="en-US" w:eastAsia="zh-CN"/>
                <w14:textFill>
                  <w14:solidFill>
                    <w14:schemeClr w14:val="tx1"/>
                  </w14:solidFill>
                </w14:textFill>
              </w:rPr>
              <w:t>10</w:t>
            </w:r>
            <w:r>
              <w:rPr>
                <w:rFonts w:hint="eastAsia" w:ascii="Times New Roman" w:hAnsi="Times New Roman"/>
                <w:color w:val="000000" w:themeColor="text1"/>
                <w:szCs w:val="21"/>
                <w:lang w:val="en-US" w:eastAsia="zh-CN"/>
                <w14:textFill>
                  <w14:solidFill>
                    <w14:schemeClr w14:val="tx1"/>
                  </w14:solidFill>
                </w14:textFill>
              </w:rPr>
              <w:t>天加一次，每次加约1cm厚</w:t>
            </w:r>
          </w:p>
        </w:tc>
      </w:tr>
    </w:tbl>
    <w:p w14:paraId="51055ED8">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饲料：</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项目饲料来源均为外购，主要成分为玉米、豆饼及动物蛋白，根据建设单位提供资料，饲料单耗平均约为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0.15kg/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），则消耗量约</w:t>
      </w:r>
      <w:r>
        <w:rPr>
          <w:rFonts w:hint="eastAsia" w:eastAsia="宋体" w:cs="Times New Roman"/>
          <w:color w:val="000000" w:themeColor="text1"/>
          <w:kern w:val="0"/>
          <w:sz w:val="24"/>
          <w:szCs w:val="24"/>
          <w:lang w:val="en-US" w:eastAsia="zh-CN" w:bidi="ar"/>
          <w14:textFill>
            <w14:solidFill>
              <w14:schemeClr w14:val="tx1"/>
            </w14:solidFill>
          </w14:textFill>
        </w:rPr>
        <w:t>27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9855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）。项目采用料车为各鸭舍提供饲料，</w:t>
      </w:r>
      <w:r>
        <w:rPr>
          <w:rFonts w:hint="eastAsia" w:eastAsia="宋体" w:cs="宋体"/>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个鸭舍设有一个料塔，</w:t>
      </w:r>
      <w:r>
        <w:rPr>
          <w:rFonts w:hint="eastAsia" w:eastAsia="宋体" w:cs="宋体"/>
          <w:color w:val="000000" w:themeColor="text1"/>
          <w:kern w:val="0"/>
          <w:sz w:val="24"/>
          <w:szCs w:val="24"/>
          <w:lang w:val="en-US" w:eastAsia="zh-CN" w:bidi="ar"/>
          <w14:textFill>
            <w14:solidFill>
              <w14:schemeClr w14:val="tx1"/>
            </w14:solidFill>
          </w14:textFill>
        </w:rPr>
        <w:t>共设置料塔15个，</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存放饲料用，每个料塔存放饲料的最大容量为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。料车内饲料密闭暂存，料车设有密闭卸料输送管道，鸭舍设有专用卸料口，卸料时料车卸料管道与卸料口对接，完成卸料，饲料经密闭管道输送至鸭舍</w:t>
      </w:r>
      <w:r>
        <w:rPr>
          <w:rFonts w:ascii="Times New Roman" w:hAnsi="Times New Roman" w:cs="Times New Roman"/>
          <w:color w:val="000000" w:themeColor="text1"/>
          <w14:textFill>
            <w14:solidFill>
              <w14:schemeClr w14:val="tx1"/>
            </w14:solidFill>
          </w14:textFill>
        </w:rPr>
        <w:t>。</w:t>
      </w:r>
    </w:p>
    <w:p w14:paraId="719492E6">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消毒</w:t>
      </w:r>
      <w:r>
        <w:rPr>
          <w:rFonts w:ascii="Times New Roman" w:hAnsi="Times New Roman" w:cs="Times New Roman"/>
          <w:color w:val="000000" w:themeColor="text1"/>
          <w14:textFill>
            <w14:solidFill>
              <w14:schemeClr w14:val="tx1"/>
            </w14:solidFill>
          </w14:textFill>
        </w:rPr>
        <w:t>剂：</w:t>
      </w:r>
      <w:r>
        <w:rPr>
          <w:rFonts w:hint="eastAsia" w:ascii="Times New Roman" w:hAnsi="Times New Roman" w:cs="Times New Roman"/>
          <w:color w:val="000000" w:themeColor="text1"/>
          <w:lang w:val="en-US" w:eastAsia="zh-CN"/>
          <w14:textFill>
            <w14:solidFill>
              <w14:schemeClr w14:val="tx1"/>
            </w14:solidFill>
          </w14:textFill>
        </w:rPr>
        <w:t>鸭舍需要定期喷洒消毒，夏季约三天一次，冬季约每周一次；本项目消毒剂为双氧水、过氧乙酸以及生石灰、火碱溶液交替使用，年消耗过氧乙酸约5</w:t>
      </w:r>
      <w:r>
        <w:rPr>
          <w:rFonts w:hint="eastAsia" w:cs="Times New Roman"/>
          <w:color w:val="000000" w:themeColor="text1"/>
          <w:lang w:val="en-US" w:eastAsia="zh-CN"/>
          <w14:textFill>
            <w14:solidFill>
              <w14:schemeClr w14:val="tx1"/>
            </w14:solidFill>
          </w14:textFill>
        </w:rPr>
        <w:t>000</w:t>
      </w:r>
      <w:r>
        <w:rPr>
          <w:rFonts w:hint="eastAsia" w:ascii="Times New Roman" w:hAnsi="Times New Roman" w:cs="Times New Roman"/>
          <w:color w:val="000000" w:themeColor="text1"/>
          <w:lang w:val="en-US" w:eastAsia="zh-CN"/>
          <w14:textFill>
            <w14:solidFill>
              <w14:schemeClr w14:val="tx1"/>
            </w14:solidFill>
          </w14:textFill>
        </w:rPr>
        <w:t>瓶，双氧水约5</w:t>
      </w:r>
      <w:r>
        <w:rPr>
          <w:rFonts w:hint="eastAsia" w:cs="Times New Roman"/>
          <w:color w:val="000000" w:themeColor="text1"/>
          <w:lang w:val="en-US" w:eastAsia="zh-CN"/>
          <w14:textFill>
            <w14:solidFill>
              <w14:schemeClr w14:val="tx1"/>
            </w14:solidFill>
          </w14:textFill>
        </w:rPr>
        <w:t>000</w:t>
      </w:r>
      <w:r>
        <w:rPr>
          <w:rFonts w:hint="eastAsia" w:ascii="Times New Roman" w:hAnsi="Times New Roman" w:cs="Times New Roman"/>
          <w:color w:val="000000" w:themeColor="text1"/>
          <w:lang w:val="en-US" w:eastAsia="zh-CN"/>
          <w14:textFill>
            <w14:solidFill>
              <w14:schemeClr w14:val="tx1"/>
            </w14:solidFill>
          </w14:textFill>
        </w:rPr>
        <w:t>瓶，生石灰及火碱约2.</w:t>
      </w: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t。</w:t>
      </w:r>
    </w:p>
    <w:p w14:paraId="53F3DAEA">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除臭</w:t>
      </w:r>
      <w:r>
        <w:rPr>
          <w:rFonts w:ascii="Times New Roman" w:hAnsi="Times New Roman" w:cs="Times New Roman"/>
          <w:color w:val="000000" w:themeColor="text1"/>
          <w14:textFill>
            <w14:solidFill>
              <w14:schemeClr w14:val="tx1"/>
            </w14:solidFill>
          </w14:textFill>
        </w:rPr>
        <w:t>剂：</w:t>
      </w:r>
      <w:r>
        <w:rPr>
          <w:rFonts w:hint="eastAsia" w:ascii="Times New Roman" w:hAnsi="Times New Roman" w:cs="Times New Roman"/>
          <w:color w:val="000000" w:themeColor="text1"/>
          <w:lang w:val="en-US" w:eastAsia="zh-CN"/>
          <w14:textFill>
            <w14:solidFill>
              <w14:schemeClr w14:val="tx1"/>
            </w14:solidFill>
          </w14:textFill>
        </w:rPr>
        <w:t>本</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鸭舍除臭使用生物除臭剂，该除臭剂为多种有益微生物经复合发酵而成的新型生物除臭净化剂。其基本原理是利用微生物把溶解水中的恶臭物质吸收于微生物自身体内，通过微生物的代谢活动使其降解的一种过程。该除臭剂为多种天然植物的提取液，含有反应活性很高的功能团化合物和萜类化合物，氨基醇与硫化物分子进行碰撞时可氧化负二价的硫。产生氨基醇硫化物，进一步分解为硫酸根离子。</w:t>
      </w:r>
    </w:p>
    <w:p w14:paraId="4B60B40D">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微生物脱臭可分为三个阶段：</w:t>
      </w:r>
    </w:p>
    <w:p w14:paraId="013DA893">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①恶臭气体的溶解过程，即由气相转移到液相；</w:t>
      </w:r>
    </w:p>
    <w:p w14:paraId="1AFEBAA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②水溶液中恶臭成分被微生物吸附、吸收；</w:t>
      </w:r>
    </w:p>
    <w:p w14:paraId="3C00B52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③进入微生物细胞的恶臭成分作为营养物质为微生物所分解利用，使污染物得以去除。</w:t>
      </w:r>
    </w:p>
    <w:p w14:paraId="4F084D41">
      <w:pPr>
        <w:keepNext w:val="0"/>
        <w:keepLines w:val="0"/>
        <w:widowControl/>
        <w:suppressLineNumbers w:val="0"/>
        <w:jc w:val="left"/>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采用规格为1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每瓶的除臭剂原液，以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的比例进行稀释，每天喷洒</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次，每栋鸭舍每天人工喷洒喷淋液</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0.2m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，即</w:t>
      </w:r>
      <w:r>
        <w:rPr>
          <w:rFonts w:hint="eastAsia" w:eastAsia="宋体" w:cs="宋体"/>
          <w:color w:val="000000" w:themeColor="text1"/>
          <w:kern w:val="0"/>
          <w:sz w:val="24"/>
          <w:szCs w:val="24"/>
          <w:lang w:val="en-US" w:eastAsia="zh-CN" w:bidi="ar"/>
          <w14:textFill>
            <w14:solidFill>
              <w14:schemeClr w14:val="tx1"/>
            </w14:solidFill>
          </w14:textFill>
        </w:rPr>
        <w:t>养殖区</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鸭舍每天喷淋使用</w:t>
      </w:r>
      <w:r>
        <w:rPr>
          <w:rFonts w:hint="eastAsia" w:eastAsia="宋体" w:cs="Times New Roman"/>
          <w:color w:val="000000" w:themeColor="text1"/>
          <w:kern w:val="0"/>
          <w:sz w:val="24"/>
          <w:szCs w:val="24"/>
          <w:lang w:val="en-US" w:eastAsia="zh-CN" w:bidi="ar"/>
          <w14:textFill>
            <w14:solidFill>
              <w14:schemeClr w14:val="tx1"/>
            </w14:solidFill>
          </w14:textFill>
        </w:rPr>
        <w:t>120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除臭剂原液。则本项目年使用生物除臭剂原液约</w:t>
      </w:r>
      <w:r>
        <w:rPr>
          <w:rFonts w:hint="eastAsia" w:eastAsia="宋体" w:cs="Times New Roman"/>
          <w:color w:val="000000" w:themeColor="text1"/>
          <w:kern w:val="0"/>
          <w:sz w:val="24"/>
          <w:szCs w:val="24"/>
          <w:lang w:val="en-US" w:eastAsia="zh-CN" w:bidi="ar"/>
          <w14:textFill>
            <w14:solidFill>
              <w14:schemeClr w14:val="tx1"/>
            </w14:solidFill>
          </w14:textFill>
        </w:rPr>
        <w:t>43.8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ascii="Times New Roman" w:hAnsi="Times New Roman" w:eastAsia="宋体" w:cs="Times New Roman"/>
          <w:color w:val="000000" w:themeColor="text1"/>
          <w:sz w:val="21"/>
          <w:szCs w:val="21"/>
          <w14:textFill>
            <w14:solidFill>
              <w14:schemeClr w14:val="tx1"/>
            </w14:solidFill>
          </w14:textFill>
        </w:rPr>
        <w:t>。</w:t>
      </w:r>
    </w:p>
    <w:p w14:paraId="49337FE2">
      <w:pPr>
        <w:ind w:firstLine="48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项目用水：项目用水包括鸭饮用水量、鸭舍车间消毒用水、除臭剂配制用水、工作人员生活用水</w:t>
      </w:r>
      <w:r>
        <w:rPr>
          <w:rFonts w:ascii="Times New Roman" w:hAnsi="Times New Roman" w:eastAsia="宋体" w:cs="Times New Roman"/>
          <w:color w:val="000000" w:themeColor="text1"/>
          <w:sz w:val="21"/>
          <w:szCs w:val="21"/>
          <w14:textFill>
            <w14:solidFill>
              <w14:schemeClr w14:val="tx1"/>
            </w14:solidFill>
          </w14:textFill>
        </w:rPr>
        <w:t>。</w:t>
      </w:r>
    </w:p>
    <w:p w14:paraId="431426C0">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主要生产设备</w:t>
      </w:r>
    </w:p>
    <w:p w14:paraId="08B2E96F">
      <w:pPr>
        <w:spacing w:line="240" w:lineRule="auto"/>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本项目主要设备详见下表。</w:t>
      </w:r>
    </w:p>
    <w:p w14:paraId="619A442C">
      <w:pPr>
        <w:pStyle w:val="61"/>
        <w:spacing w:before="32" w:after="32" w:line="240" w:lineRule="auto"/>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.1-</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 xml:space="preserve">   拟建项目主要生产设备清单</w:t>
      </w:r>
    </w:p>
    <w:tbl>
      <w:tblPr>
        <w:tblStyle w:val="35"/>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45"/>
        <w:gridCol w:w="2483"/>
        <w:gridCol w:w="1180"/>
        <w:gridCol w:w="1291"/>
        <w:gridCol w:w="1569"/>
        <w:gridCol w:w="1569"/>
      </w:tblGrid>
      <w:tr w14:paraId="2CC79C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4EBA081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1404" w:type="pct"/>
            <w:tcBorders>
              <w:tl2br w:val="nil"/>
              <w:tr2bl w:val="nil"/>
            </w:tcBorders>
            <w:vAlign w:val="center"/>
          </w:tcPr>
          <w:p w14:paraId="63DD715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设施设备名称</w:t>
            </w:r>
          </w:p>
        </w:tc>
        <w:tc>
          <w:tcPr>
            <w:tcW w:w="667" w:type="pct"/>
            <w:tcBorders>
              <w:tl2br w:val="nil"/>
              <w:tr2bl w:val="nil"/>
            </w:tcBorders>
            <w:vAlign w:val="center"/>
          </w:tcPr>
          <w:p w14:paraId="4813346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型号或性能</w:t>
            </w:r>
          </w:p>
        </w:tc>
        <w:tc>
          <w:tcPr>
            <w:tcW w:w="730" w:type="pct"/>
            <w:tcBorders>
              <w:tl2br w:val="nil"/>
              <w:tr2bl w:val="nil"/>
            </w:tcBorders>
            <w:vAlign w:val="center"/>
          </w:tcPr>
          <w:p w14:paraId="4BCA10C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单位</w:t>
            </w:r>
          </w:p>
        </w:tc>
        <w:tc>
          <w:tcPr>
            <w:tcW w:w="887" w:type="pct"/>
            <w:tcBorders>
              <w:tl2br w:val="nil"/>
              <w:tr2bl w:val="nil"/>
            </w:tcBorders>
            <w:vAlign w:val="center"/>
          </w:tcPr>
          <w:p w14:paraId="4A3751B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数量</w:t>
            </w:r>
          </w:p>
        </w:tc>
        <w:tc>
          <w:tcPr>
            <w:tcW w:w="887" w:type="pct"/>
            <w:tcBorders>
              <w:tl2br w:val="nil"/>
              <w:tr2bl w:val="nil"/>
            </w:tcBorders>
            <w:vAlign w:val="center"/>
          </w:tcPr>
          <w:p w14:paraId="14FA4E72">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备注</w:t>
            </w:r>
          </w:p>
        </w:tc>
      </w:tr>
      <w:tr w14:paraId="402B8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0A28450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404" w:type="pct"/>
            <w:tcBorders>
              <w:tl2br w:val="nil"/>
              <w:tr2bl w:val="nil"/>
            </w:tcBorders>
            <w:vAlign w:val="center"/>
          </w:tcPr>
          <w:p w14:paraId="70F2A4B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自动上料设备</w:t>
            </w:r>
          </w:p>
        </w:tc>
        <w:tc>
          <w:tcPr>
            <w:tcW w:w="667" w:type="pct"/>
            <w:tcBorders>
              <w:tl2br w:val="nil"/>
              <w:tr2bl w:val="nil"/>
            </w:tcBorders>
            <w:vAlign w:val="center"/>
          </w:tcPr>
          <w:p w14:paraId="7D26624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730" w:type="pct"/>
            <w:tcBorders>
              <w:tl2br w:val="nil"/>
              <w:tr2bl w:val="nil"/>
            </w:tcBorders>
            <w:vAlign w:val="center"/>
          </w:tcPr>
          <w:p w14:paraId="28F07872">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套</w:t>
            </w:r>
          </w:p>
        </w:tc>
        <w:tc>
          <w:tcPr>
            <w:tcW w:w="887" w:type="pct"/>
            <w:tcBorders>
              <w:tl2br w:val="nil"/>
              <w:tr2bl w:val="nil"/>
            </w:tcBorders>
            <w:vAlign w:val="center"/>
          </w:tcPr>
          <w:p w14:paraId="6EC47BF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887" w:type="pct"/>
            <w:tcBorders>
              <w:tl2br w:val="nil"/>
              <w:tr2bl w:val="nil"/>
            </w:tcBorders>
            <w:vAlign w:val="center"/>
          </w:tcPr>
          <w:p w14:paraId="10832EA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每个鸭舍2套</w:t>
            </w:r>
          </w:p>
        </w:tc>
      </w:tr>
      <w:tr w14:paraId="55183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18BDC04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404" w:type="pct"/>
            <w:tcBorders>
              <w:tl2br w:val="nil"/>
              <w:tr2bl w:val="nil"/>
            </w:tcBorders>
            <w:vAlign w:val="center"/>
          </w:tcPr>
          <w:p w14:paraId="48AE13F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自动饮水设备</w:t>
            </w:r>
          </w:p>
        </w:tc>
        <w:tc>
          <w:tcPr>
            <w:tcW w:w="667" w:type="pct"/>
            <w:tcBorders>
              <w:tl2br w:val="nil"/>
              <w:tr2bl w:val="nil"/>
            </w:tcBorders>
            <w:vAlign w:val="center"/>
          </w:tcPr>
          <w:p w14:paraId="6000732B">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30" w:type="pct"/>
            <w:tcBorders>
              <w:tl2br w:val="nil"/>
              <w:tr2bl w:val="nil"/>
            </w:tcBorders>
            <w:vAlign w:val="center"/>
          </w:tcPr>
          <w:p w14:paraId="749A987E">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套</w:t>
            </w:r>
          </w:p>
        </w:tc>
        <w:tc>
          <w:tcPr>
            <w:tcW w:w="887" w:type="pct"/>
            <w:tcBorders>
              <w:tl2br w:val="nil"/>
              <w:tr2bl w:val="nil"/>
            </w:tcBorders>
            <w:vAlign w:val="center"/>
          </w:tcPr>
          <w:p w14:paraId="23299E6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887" w:type="pct"/>
            <w:tcBorders>
              <w:tl2br w:val="nil"/>
              <w:tr2bl w:val="nil"/>
            </w:tcBorders>
            <w:vAlign w:val="center"/>
          </w:tcPr>
          <w:p w14:paraId="3CCE1206">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每个鸭舍2套</w:t>
            </w:r>
          </w:p>
        </w:tc>
      </w:tr>
      <w:tr w14:paraId="341BE8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34C6775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1404" w:type="pct"/>
            <w:tcBorders>
              <w:tl2br w:val="nil"/>
              <w:tr2bl w:val="nil"/>
            </w:tcBorders>
            <w:vAlign w:val="center"/>
          </w:tcPr>
          <w:p w14:paraId="67D24CB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养鸭平网</w:t>
            </w:r>
          </w:p>
        </w:tc>
        <w:tc>
          <w:tcPr>
            <w:tcW w:w="667" w:type="pct"/>
            <w:tcBorders>
              <w:tl2br w:val="nil"/>
              <w:tr2bl w:val="nil"/>
            </w:tcBorders>
            <w:vAlign w:val="center"/>
          </w:tcPr>
          <w:p w14:paraId="1B8F6B3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塑料平网</w:t>
            </w:r>
          </w:p>
        </w:tc>
        <w:tc>
          <w:tcPr>
            <w:tcW w:w="730" w:type="pct"/>
            <w:tcBorders>
              <w:tl2br w:val="nil"/>
              <w:tr2bl w:val="nil"/>
            </w:tcBorders>
            <w:vAlign w:val="center"/>
          </w:tcPr>
          <w:p w14:paraId="23F52ECC">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套</w:t>
            </w:r>
          </w:p>
        </w:tc>
        <w:tc>
          <w:tcPr>
            <w:tcW w:w="887" w:type="pct"/>
            <w:tcBorders>
              <w:tl2br w:val="nil"/>
              <w:tr2bl w:val="nil"/>
            </w:tcBorders>
            <w:vAlign w:val="center"/>
          </w:tcPr>
          <w:p w14:paraId="4702DA3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887" w:type="pct"/>
            <w:tcBorders>
              <w:tl2br w:val="nil"/>
              <w:tr2bl w:val="nil"/>
            </w:tcBorders>
            <w:vAlign w:val="center"/>
          </w:tcPr>
          <w:p w14:paraId="2716D95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一个</w:t>
            </w:r>
            <w:r>
              <w:rPr>
                <w:rFonts w:hint="eastAsia"/>
                <w:color w:val="000000" w:themeColor="text1"/>
                <w:szCs w:val="21"/>
                <w:lang w:val="en-US" w:eastAsia="zh-CN"/>
                <w14:textFill>
                  <w14:solidFill>
                    <w14:schemeClr w14:val="tx1"/>
                  </w14:solidFill>
                </w14:textFill>
              </w:rPr>
              <w:t>鸭舍</w:t>
            </w:r>
            <w:r>
              <w:rPr>
                <w:rFonts w:hint="eastAsia" w:ascii="Times New Roman" w:hAnsi="Times New Roman"/>
                <w:color w:val="000000" w:themeColor="text1"/>
                <w:szCs w:val="21"/>
                <w:lang w:val="en-US" w:eastAsia="zh-CN"/>
                <w14:textFill>
                  <w14:solidFill>
                    <w14:schemeClr w14:val="tx1"/>
                  </w14:solidFill>
                </w14:textFill>
              </w:rPr>
              <w:t>2套</w:t>
            </w:r>
          </w:p>
        </w:tc>
      </w:tr>
      <w:tr w14:paraId="3A582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6A3CF399">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404" w:type="pct"/>
            <w:tcBorders>
              <w:tl2br w:val="nil"/>
              <w:tr2bl w:val="nil"/>
            </w:tcBorders>
            <w:vAlign w:val="center"/>
          </w:tcPr>
          <w:p w14:paraId="56686916">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生物质锅炉</w:t>
            </w:r>
          </w:p>
        </w:tc>
        <w:tc>
          <w:tcPr>
            <w:tcW w:w="667" w:type="pct"/>
            <w:tcBorders>
              <w:tl2br w:val="nil"/>
              <w:tr2bl w:val="nil"/>
            </w:tcBorders>
            <w:vAlign w:val="center"/>
          </w:tcPr>
          <w:p w14:paraId="5126010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3t\4t</w:t>
            </w:r>
          </w:p>
        </w:tc>
        <w:tc>
          <w:tcPr>
            <w:tcW w:w="730" w:type="pct"/>
            <w:tcBorders>
              <w:tl2br w:val="nil"/>
              <w:tr2bl w:val="nil"/>
            </w:tcBorders>
            <w:vAlign w:val="center"/>
          </w:tcPr>
          <w:p w14:paraId="630958D2">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台</w:t>
            </w:r>
          </w:p>
        </w:tc>
        <w:tc>
          <w:tcPr>
            <w:tcW w:w="887" w:type="pct"/>
            <w:tcBorders>
              <w:tl2br w:val="nil"/>
              <w:tr2bl w:val="nil"/>
            </w:tcBorders>
            <w:vAlign w:val="center"/>
          </w:tcPr>
          <w:p w14:paraId="3AAA55A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887" w:type="pct"/>
            <w:tcBorders>
              <w:tl2br w:val="nil"/>
              <w:tr2bl w:val="nil"/>
            </w:tcBorders>
            <w:vAlign w:val="center"/>
          </w:tcPr>
          <w:p w14:paraId="16D91A48">
            <w:pPr>
              <w:pStyle w:val="56"/>
              <w:rPr>
                <w:rFonts w:hint="eastAsia" w:ascii="Times New Roman" w:hAnsi="Times New Roman"/>
                <w:color w:val="000000" w:themeColor="text1"/>
                <w:szCs w:val="21"/>
                <w:lang w:val="en-US" w:eastAsia="zh-CN"/>
                <w14:textFill>
                  <w14:solidFill>
                    <w14:schemeClr w14:val="tx1"/>
                  </w14:solidFill>
                </w14:textFill>
              </w:rPr>
            </w:pPr>
          </w:p>
        </w:tc>
      </w:tr>
      <w:tr w14:paraId="093E5F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52C32DF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1404" w:type="pct"/>
            <w:tcBorders>
              <w:tl2br w:val="nil"/>
              <w:tr2bl w:val="nil"/>
            </w:tcBorders>
            <w:vAlign w:val="center"/>
          </w:tcPr>
          <w:p w14:paraId="0F16E48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消毒设备（高压冲洗机）</w:t>
            </w:r>
          </w:p>
        </w:tc>
        <w:tc>
          <w:tcPr>
            <w:tcW w:w="667" w:type="pct"/>
            <w:tcBorders>
              <w:tl2br w:val="nil"/>
              <w:tr2bl w:val="nil"/>
            </w:tcBorders>
            <w:vAlign w:val="center"/>
          </w:tcPr>
          <w:p w14:paraId="5A73B09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低噪声设备</w:t>
            </w:r>
          </w:p>
        </w:tc>
        <w:tc>
          <w:tcPr>
            <w:tcW w:w="730" w:type="pct"/>
            <w:tcBorders>
              <w:tl2br w:val="nil"/>
              <w:tr2bl w:val="nil"/>
            </w:tcBorders>
            <w:vAlign w:val="center"/>
          </w:tcPr>
          <w:p w14:paraId="74013D6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台</w:t>
            </w:r>
          </w:p>
        </w:tc>
        <w:tc>
          <w:tcPr>
            <w:tcW w:w="887" w:type="pct"/>
            <w:tcBorders>
              <w:tl2br w:val="nil"/>
              <w:tr2bl w:val="nil"/>
            </w:tcBorders>
            <w:vAlign w:val="center"/>
          </w:tcPr>
          <w:p w14:paraId="6BF6B40B">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w:t>
            </w:r>
          </w:p>
        </w:tc>
        <w:tc>
          <w:tcPr>
            <w:tcW w:w="887" w:type="pct"/>
            <w:tcBorders>
              <w:tl2br w:val="nil"/>
              <w:tr2bl w:val="nil"/>
            </w:tcBorders>
            <w:vAlign w:val="center"/>
          </w:tcPr>
          <w:p w14:paraId="14776EDA">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14:paraId="2E708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5779AEA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1404" w:type="pct"/>
            <w:tcBorders>
              <w:tl2br w:val="nil"/>
              <w:tr2bl w:val="nil"/>
            </w:tcBorders>
            <w:vAlign w:val="center"/>
          </w:tcPr>
          <w:p w14:paraId="4904A66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料塔</w:t>
            </w:r>
          </w:p>
        </w:tc>
        <w:tc>
          <w:tcPr>
            <w:tcW w:w="667" w:type="pct"/>
            <w:tcBorders>
              <w:tl2br w:val="nil"/>
              <w:tr2bl w:val="nil"/>
            </w:tcBorders>
            <w:vAlign w:val="center"/>
          </w:tcPr>
          <w:p w14:paraId="3D5DA12B">
            <w:pPr>
              <w:pStyle w:val="56"/>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DMR-9</w:t>
            </w:r>
            <w:r>
              <w:rPr>
                <w:rFonts w:hint="eastAsia" w:ascii="Times New Roman" w:hAnsi="Times New Roman" w:eastAsia="宋体" w:cs="Times New Roman"/>
                <w:color w:val="000000" w:themeColor="text1"/>
                <w:szCs w:val="21"/>
                <w:lang w:val="en-US" w:eastAsia="zh-CN"/>
                <w14:textFill>
                  <w14:solidFill>
                    <w14:schemeClr w14:val="tx1"/>
                  </w14:solidFill>
                </w14:textFill>
              </w:rPr>
              <w:t>立方米</w:t>
            </w:r>
          </w:p>
        </w:tc>
        <w:tc>
          <w:tcPr>
            <w:tcW w:w="730" w:type="pct"/>
            <w:tcBorders>
              <w:tl2br w:val="nil"/>
              <w:tr2bl w:val="nil"/>
            </w:tcBorders>
            <w:vAlign w:val="center"/>
          </w:tcPr>
          <w:p w14:paraId="7564E452">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个</w:t>
            </w:r>
          </w:p>
        </w:tc>
        <w:tc>
          <w:tcPr>
            <w:tcW w:w="887" w:type="pct"/>
            <w:tcBorders>
              <w:tl2br w:val="nil"/>
              <w:tr2bl w:val="nil"/>
            </w:tcBorders>
            <w:vAlign w:val="center"/>
          </w:tcPr>
          <w:p w14:paraId="7310367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887" w:type="pct"/>
            <w:tcBorders>
              <w:tl2br w:val="nil"/>
              <w:tr2bl w:val="nil"/>
            </w:tcBorders>
            <w:vAlign w:val="center"/>
          </w:tcPr>
          <w:p w14:paraId="56424A7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ascii="Times New Roman" w:hAnsi="Times New Roman"/>
                <w:color w:val="000000" w:themeColor="text1"/>
                <w:szCs w:val="21"/>
                <w:lang w:val="en-US" w:eastAsia="zh-CN"/>
                <w14:textFill>
                  <w14:solidFill>
                    <w14:schemeClr w14:val="tx1"/>
                  </w14:solidFill>
                </w14:textFill>
              </w:rPr>
              <w:t>个鸭舍用一个</w:t>
            </w:r>
          </w:p>
        </w:tc>
      </w:tr>
      <w:tr w14:paraId="1A412A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57A98D6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1404" w:type="pct"/>
            <w:tcBorders>
              <w:tl2br w:val="nil"/>
              <w:tr2bl w:val="nil"/>
            </w:tcBorders>
            <w:vAlign w:val="center"/>
          </w:tcPr>
          <w:p w14:paraId="0E22352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挂粪清粪系统</w:t>
            </w:r>
          </w:p>
        </w:tc>
        <w:tc>
          <w:tcPr>
            <w:tcW w:w="667" w:type="pct"/>
            <w:tcBorders>
              <w:tl2br w:val="nil"/>
              <w:tr2bl w:val="nil"/>
            </w:tcBorders>
            <w:vAlign w:val="center"/>
          </w:tcPr>
          <w:p w14:paraId="4087738E">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30" w:type="pct"/>
            <w:tcBorders>
              <w:tl2br w:val="nil"/>
              <w:tr2bl w:val="nil"/>
            </w:tcBorders>
            <w:vAlign w:val="center"/>
          </w:tcPr>
          <w:p w14:paraId="2250566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台</w:t>
            </w:r>
          </w:p>
        </w:tc>
        <w:tc>
          <w:tcPr>
            <w:tcW w:w="887" w:type="pct"/>
            <w:tcBorders>
              <w:tl2br w:val="nil"/>
              <w:tr2bl w:val="nil"/>
            </w:tcBorders>
            <w:vAlign w:val="center"/>
          </w:tcPr>
          <w:p w14:paraId="11E3069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c>
          <w:tcPr>
            <w:tcW w:w="887" w:type="pct"/>
            <w:tcBorders>
              <w:tl2br w:val="nil"/>
              <w:tr2bl w:val="nil"/>
            </w:tcBorders>
            <w:vAlign w:val="center"/>
          </w:tcPr>
          <w:p w14:paraId="15B4B602">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14:paraId="6B37ED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5A7FE72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1404" w:type="pct"/>
            <w:tcBorders>
              <w:tl2br w:val="nil"/>
              <w:tr2bl w:val="nil"/>
            </w:tcBorders>
            <w:vAlign w:val="center"/>
          </w:tcPr>
          <w:p w14:paraId="307F3877">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风机</w:t>
            </w:r>
          </w:p>
        </w:tc>
        <w:tc>
          <w:tcPr>
            <w:tcW w:w="667" w:type="pct"/>
            <w:tcBorders>
              <w:tl2br w:val="nil"/>
              <w:tr2bl w:val="nil"/>
            </w:tcBorders>
            <w:vAlign w:val="center"/>
          </w:tcPr>
          <w:p w14:paraId="6719C61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w:t>
            </w:r>
            <w:r>
              <w:rPr>
                <w:rFonts w:hint="eastAsia"/>
                <w:color w:val="000000" w:themeColor="text1"/>
                <w:szCs w:val="21"/>
                <w:lang w:val="en-US" w:eastAsia="zh-CN"/>
                <w14:textFill>
                  <w14:solidFill>
                    <w14:schemeClr w14:val="tx1"/>
                  </w14:solidFill>
                </w14:textFill>
              </w:rPr>
              <w:t>kW</w:t>
            </w:r>
          </w:p>
        </w:tc>
        <w:tc>
          <w:tcPr>
            <w:tcW w:w="730" w:type="pct"/>
            <w:tcBorders>
              <w:tl2br w:val="nil"/>
              <w:tr2bl w:val="nil"/>
            </w:tcBorders>
            <w:vAlign w:val="center"/>
          </w:tcPr>
          <w:p w14:paraId="058A280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台</w:t>
            </w:r>
          </w:p>
        </w:tc>
        <w:tc>
          <w:tcPr>
            <w:tcW w:w="887" w:type="pct"/>
            <w:tcBorders>
              <w:tl2br w:val="nil"/>
              <w:tr2bl w:val="nil"/>
            </w:tcBorders>
            <w:vAlign w:val="center"/>
          </w:tcPr>
          <w:p w14:paraId="7A5C25F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w:t>
            </w:r>
          </w:p>
        </w:tc>
        <w:tc>
          <w:tcPr>
            <w:tcW w:w="887" w:type="pct"/>
            <w:tcBorders>
              <w:tl2br w:val="nil"/>
              <w:tr2bl w:val="nil"/>
            </w:tcBorders>
            <w:vAlign w:val="center"/>
          </w:tcPr>
          <w:p w14:paraId="4EB66EB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每个鸭舍4台</w:t>
            </w:r>
          </w:p>
        </w:tc>
      </w:tr>
      <w:tr w14:paraId="6580E8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034407F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1404" w:type="pct"/>
            <w:tcBorders>
              <w:tl2br w:val="nil"/>
              <w:tr2bl w:val="nil"/>
            </w:tcBorders>
            <w:vAlign w:val="center"/>
          </w:tcPr>
          <w:p w14:paraId="6A38627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水暖系统</w:t>
            </w:r>
          </w:p>
        </w:tc>
        <w:tc>
          <w:tcPr>
            <w:tcW w:w="667" w:type="pct"/>
            <w:tcBorders>
              <w:tl2br w:val="nil"/>
              <w:tr2bl w:val="nil"/>
            </w:tcBorders>
            <w:vAlign w:val="center"/>
          </w:tcPr>
          <w:p w14:paraId="24DABE93">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30" w:type="pct"/>
            <w:tcBorders>
              <w:tl2br w:val="nil"/>
              <w:tr2bl w:val="nil"/>
            </w:tcBorders>
            <w:vAlign w:val="center"/>
          </w:tcPr>
          <w:p w14:paraId="5D578DC7">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套</w:t>
            </w:r>
          </w:p>
        </w:tc>
        <w:tc>
          <w:tcPr>
            <w:tcW w:w="887" w:type="pct"/>
            <w:tcBorders>
              <w:tl2br w:val="nil"/>
              <w:tr2bl w:val="nil"/>
            </w:tcBorders>
            <w:vAlign w:val="center"/>
          </w:tcPr>
          <w:p w14:paraId="4149215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887" w:type="pct"/>
            <w:tcBorders>
              <w:tl2br w:val="nil"/>
              <w:tr2bl w:val="nil"/>
            </w:tcBorders>
            <w:vAlign w:val="center"/>
          </w:tcPr>
          <w:p w14:paraId="5B8C4105">
            <w:pPr>
              <w:pStyle w:val="56"/>
              <w:rPr>
                <w:rFonts w:hint="default" w:ascii="Times New Roman" w:hAnsi="Times New Roman"/>
                <w:color w:val="000000" w:themeColor="text1"/>
                <w:szCs w:val="21"/>
                <w:lang w:val="en-US" w:eastAsia="zh-CN"/>
                <w14:textFill>
                  <w14:solidFill>
                    <w14:schemeClr w14:val="tx1"/>
                  </w14:solidFill>
                </w14:textFill>
              </w:rPr>
            </w:pPr>
          </w:p>
        </w:tc>
      </w:tr>
      <w:tr w14:paraId="605622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2B08792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c>
          <w:tcPr>
            <w:tcW w:w="1404" w:type="pct"/>
            <w:tcBorders>
              <w:tl2br w:val="nil"/>
              <w:tr2bl w:val="nil"/>
            </w:tcBorders>
            <w:vAlign w:val="center"/>
          </w:tcPr>
          <w:p w14:paraId="3AC3B40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LED照明灯</w:t>
            </w:r>
          </w:p>
        </w:tc>
        <w:tc>
          <w:tcPr>
            <w:tcW w:w="667" w:type="pct"/>
            <w:tcBorders>
              <w:tl2br w:val="nil"/>
              <w:tr2bl w:val="nil"/>
            </w:tcBorders>
            <w:vAlign w:val="center"/>
          </w:tcPr>
          <w:p w14:paraId="0093D7E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5w</w:t>
            </w:r>
          </w:p>
        </w:tc>
        <w:tc>
          <w:tcPr>
            <w:tcW w:w="730" w:type="pct"/>
            <w:tcBorders>
              <w:tl2br w:val="nil"/>
              <w:tr2bl w:val="nil"/>
            </w:tcBorders>
            <w:vAlign w:val="center"/>
          </w:tcPr>
          <w:p w14:paraId="38614977">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盏</w:t>
            </w:r>
          </w:p>
        </w:tc>
        <w:tc>
          <w:tcPr>
            <w:tcW w:w="887" w:type="pct"/>
            <w:tcBorders>
              <w:tl2br w:val="nil"/>
              <w:tr2bl w:val="nil"/>
            </w:tcBorders>
            <w:vAlign w:val="center"/>
          </w:tcPr>
          <w:p w14:paraId="1937BBC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5040</w:t>
            </w:r>
          </w:p>
        </w:tc>
        <w:tc>
          <w:tcPr>
            <w:tcW w:w="887" w:type="pct"/>
            <w:tcBorders>
              <w:tl2br w:val="nil"/>
              <w:tr2bl w:val="nil"/>
            </w:tcBorders>
            <w:vAlign w:val="center"/>
          </w:tcPr>
          <w:p w14:paraId="3411961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一个棚168盏</w:t>
            </w:r>
          </w:p>
        </w:tc>
      </w:tr>
      <w:tr w14:paraId="1FA187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3D0BA03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w:t>
            </w:r>
          </w:p>
        </w:tc>
        <w:tc>
          <w:tcPr>
            <w:tcW w:w="1404" w:type="pct"/>
            <w:tcBorders>
              <w:tl2br w:val="nil"/>
              <w:tr2bl w:val="nil"/>
            </w:tcBorders>
            <w:vAlign w:val="center"/>
          </w:tcPr>
          <w:p w14:paraId="307B5F2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食堂油烟净化器</w:t>
            </w:r>
          </w:p>
        </w:tc>
        <w:tc>
          <w:tcPr>
            <w:tcW w:w="667" w:type="pct"/>
            <w:tcBorders>
              <w:tl2br w:val="nil"/>
              <w:tr2bl w:val="nil"/>
            </w:tcBorders>
            <w:vAlign w:val="center"/>
          </w:tcPr>
          <w:p w14:paraId="7D5EA35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4000风量</w:t>
            </w:r>
          </w:p>
        </w:tc>
        <w:tc>
          <w:tcPr>
            <w:tcW w:w="730" w:type="pct"/>
            <w:tcBorders>
              <w:tl2br w:val="nil"/>
              <w:tr2bl w:val="nil"/>
            </w:tcBorders>
            <w:vAlign w:val="center"/>
          </w:tcPr>
          <w:p w14:paraId="050C1D4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台</w:t>
            </w:r>
          </w:p>
        </w:tc>
        <w:tc>
          <w:tcPr>
            <w:tcW w:w="887" w:type="pct"/>
            <w:tcBorders>
              <w:tl2br w:val="nil"/>
              <w:tr2bl w:val="nil"/>
            </w:tcBorders>
            <w:vAlign w:val="center"/>
          </w:tcPr>
          <w:p w14:paraId="28548EB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w:t>
            </w:r>
          </w:p>
        </w:tc>
        <w:tc>
          <w:tcPr>
            <w:tcW w:w="887" w:type="pct"/>
            <w:tcBorders>
              <w:tl2br w:val="nil"/>
              <w:tr2bl w:val="nil"/>
            </w:tcBorders>
            <w:vAlign w:val="center"/>
          </w:tcPr>
          <w:p w14:paraId="5927110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净化效率60%</w:t>
            </w:r>
          </w:p>
        </w:tc>
      </w:tr>
      <w:tr w14:paraId="364368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0BF5A9C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w:t>
            </w:r>
          </w:p>
        </w:tc>
        <w:tc>
          <w:tcPr>
            <w:tcW w:w="1404" w:type="pct"/>
            <w:tcBorders>
              <w:tl2br w:val="nil"/>
              <w:tr2bl w:val="nil"/>
            </w:tcBorders>
            <w:vAlign w:val="center"/>
          </w:tcPr>
          <w:p w14:paraId="6AB4677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回用水池</w:t>
            </w:r>
          </w:p>
        </w:tc>
        <w:tc>
          <w:tcPr>
            <w:tcW w:w="667" w:type="pct"/>
            <w:tcBorders>
              <w:tl2br w:val="nil"/>
              <w:tr2bl w:val="nil"/>
            </w:tcBorders>
            <w:vAlign w:val="center"/>
          </w:tcPr>
          <w:p w14:paraId="13027C99">
            <w:pPr>
              <w:pStyle w:val="56"/>
              <w:rPr>
                <w:rFonts w:hint="default" w:ascii="Times New Roman" w:hAnsi="Times New Roman" w:eastAsia="宋体"/>
                <w:color w:val="000000" w:themeColor="text1"/>
                <w:szCs w:val="21"/>
                <w:vertAlign w:val="superscript"/>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ascii="Times New Roman" w:hAnsi="Times New Roman"/>
                <w:color w:val="000000" w:themeColor="text1"/>
                <w:szCs w:val="21"/>
                <w:lang w:val="en-US" w:eastAsia="zh-CN"/>
                <w14:textFill>
                  <w14:solidFill>
                    <w14:schemeClr w14:val="tx1"/>
                  </w14:solidFill>
                </w14:textFill>
              </w:rPr>
              <w:t>00m</w:t>
            </w:r>
            <w:r>
              <w:rPr>
                <w:rFonts w:hint="eastAsia" w:ascii="Times New Roman" w:hAnsi="Times New Roman"/>
                <w:color w:val="000000" w:themeColor="text1"/>
                <w:szCs w:val="21"/>
                <w:vertAlign w:val="superscript"/>
                <w:lang w:val="en-US" w:eastAsia="zh-CN"/>
                <w14:textFill>
                  <w14:solidFill>
                    <w14:schemeClr w14:val="tx1"/>
                  </w14:solidFill>
                </w14:textFill>
              </w:rPr>
              <w:t>3</w:t>
            </w:r>
          </w:p>
        </w:tc>
        <w:tc>
          <w:tcPr>
            <w:tcW w:w="730" w:type="pct"/>
            <w:tcBorders>
              <w:tl2br w:val="nil"/>
              <w:tr2bl w:val="nil"/>
            </w:tcBorders>
            <w:vAlign w:val="center"/>
          </w:tcPr>
          <w:p w14:paraId="6646A83D">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个</w:t>
            </w:r>
          </w:p>
        </w:tc>
        <w:tc>
          <w:tcPr>
            <w:tcW w:w="887" w:type="pct"/>
            <w:tcBorders>
              <w:tl2br w:val="nil"/>
              <w:tr2bl w:val="nil"/>
            </w:tcBorders>
            <w:vAlign w:val="center"/>
          </w:tcPr>
          <w:p w14:paraId="6D87F275">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w:t>
            </w:r>
          </w:p>
        </w:tc>
        <w:tc>
          <w:tcPr>
            <w:tcW w:w="887" w:type="pct"/>
            <w:tcBorders>
              <w:tl2br w:val="nil"/>
              <w:tr2bl w:val="nil"/>
            </w:tcBorders>
            <w:vAlign w:val="center"/>
          </w:tcPr>
          <w:p w14:paraId="30A4C5E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bl>
    <w:p w14:paraId="7358F177">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平面布置</w:t>
      </w:r>
    </w:p>
    <w:p w14:paraId="64E1764C">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根据生产工艺要求，充分利用场区场地形状，并结合场区内外交通联系、人流、物流走向以及常年主导风向等因素，做到人流、物流分开，原料与成品分开，杜绝生产、运输过程的交叉污染，将整个场区分成养殖区、生活办公区、</w:t>
      </w:r>
      <w:r>
        <w:rPr>
          <w:rFonts w:hint="eastAsia" w:cs="Times New Roman"/>
          <w:color w:val="000000" w:themeColor="text1"/>
          <w:lang w:val="en-US" w:eastAsia="zh-CN"/>
          <w14:textFill>
            <w14:solidFill>
              <w14:schemeClr w14:val="tx1"/>
            </w14:solidFill>
          </w14:textFill>
        </w:rPr>
        <w:t>污染处理设施区。本项目用地整体呈长方形南北走向，建设2排规格17m*100m鸭舍，为便于管理，鸭舍分南北两个区域布置，各15座；办公生活区位于两个养殖分区中部，设置围墙隔离措施；办公管理用房、蛋库、锅炉房等设置在办公生活区；项目污染处理设施集中布置于项目最南侧，包括污水处理设施、回用水池及部分管理用房。</w:t>
      </w:r>
      <w:r>
        <w:rPr>
          <w:rFonts w:hint="eastAsia" w:ascii="Times New Roman" w:hAnsi="Times New Roman" w:cs="Times New Roman"/>
          <w:color w:val="000000" w:themeColor="text1"/>
          <w:lang w:val="en-US" w:eastAsia="zh-CN"/>
          <w14:textFill>
            <w14:solidFill>
              <w14:schemeClr w14:val="tx1"/>
            </w14:solidFill>
          </w14:textFill>
        </w:rPr>
        <w:t>场区平面布置图见附图。</w:t>
      </w:r>
    </w:p>
    <w:p w14:paraId="60A2EF5F">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生活办公区</w:t>
      </w:r>
    </w:p>
    <w:p w14:paraId="4C7A9D98">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本项目建设鸭舍</w:t>
      </w:r>
      <w:r>
        <w:rPr>
          <w:rFonts w:hint="eastAsia" w:cs="Times New Roman"/>
          <w:color w:val="000000" w:themeColor="text1"/>
          <w:lang w:val="en-US" w:eastAsia="zh-CN"/>
          <w14:textFill>
            <w14:solidFill>
              <w14:schemeClr w14:val="tx1"/>
            </w14:solidFill>
          </w14:textFill>
        </w:rPr>
        <w:t>30座</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办公生活用房1座，位于养殖区中部1处，主要建筑有办公生活用房（面积234平方米）、蛋库、锅炉房等；办公生活区与养殖区围墙隔离，办公生活区设置在项目中部，有利于工作人员日常管理鸭舍</w:t>
      </w:r>
      <w:r>
        <w:rPr>
          <w:rFonts w:hint="eastAsia" w:ascii="Times New Roman" w:hAnsi="Times New Roman" w:cs="Times New Roman"/>
          <w:color w:val="000000" w:themeColor="text1"/>
          <w:lang w:val="en-US" w:eastAsia="zh-CN"/>
          <w14:textFill>
            <w14:solidFill>
              <w14:schemeClr w14:val="tx1"/>
            </w14:solidFill>
          </w14:textFill>
        </w:rPr>
        <w:t>。</w:t>
      </w:r>
    </w:p>
    <w:p w14:paraId="04D15F09">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养殖区</w:t>
      </w:r>
    </w:p>
    <w:p w14:paraId="75AEBC74">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养殖区在项目整个场区的</w:t>
      </w:r>
      <w:r>
        <w:rPr>
          <w:rFonts w:hint="eastAsia" w:cs="Times New Roman"/>
          <w:color w:val="000000" w:themeColor="text1"/>
          <w:lang w:val="en-US" w:eastAsia="zh-CN"/>
          <w14:textFill>
            <w14:solidFill>
              <w14:schemeClr w14:val="tx1"/>
            </w14:solidFill>
          </w14:textFill>
        </w:rPr>
        <w:t>南北两侧各建设15座鸭舍</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共30座鸭舍，鸭舍由南向北分两行排列</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建筑规格统一为17m*100m，</w:t>
      </w:r>
      <w:r>
        <w:rPr>
          <w:rFonts w:hint="eastAsia" w:ascii="Times New Roman" w:hAnsi="Times New Roman" w:cs="Times New Roman"/>
          <w:color w:val="000000" w:themeColor="text1"/>
          <w:lang w:val="en-US" w:eastAsia="zh-CN"/>
          <w14:textFill>
            <w14:solidFill>
              <w14:schemeClr w14:val="tx1"/>
            </w14:solidFill>
          </w14:textFill>
        </w:rPr>
        <w:t>鸭舍和蛋库间均为全封闭构造，内部有风机通风，</w:t>
      </w:r>
      <w:r>
        <w:rPr>
          <w:rFonts w:hint="eastAsia" w:cs="Times New Roman"/>
          <w:color w:val="000000" w:themeColor="text1"/>
          <w:lang w:val="en-US" w:eastAsia="zh-CN"/>
          <w14:textFill>
            <w14:solidFill>
              <w14:schemeClr w14:val="tx1"/>
            </w14:solidFill>
          </w14:textFill>
        </w:rPr>
        <w:t>供热通风，</w:t>
      </w:r>
      <w:r>
        <w:rPr>
          <w:rFonts w:hint="eastAsia" w:ascii="Times New Roman" w:hAnsi="Times New Roman" w:cs="Times New Roman"/>
          <w:color w:val="000000" w:themeColor="text1"/>
          <w:lang w:val="en-US" w:eastAsia="zh-CN"/>
          <w14:textFill>
            <w14:solidFill>
              <w14:schemeClr w14:val="tx1"/>
            </w14:solidFill>
          </w14:textFill>
        </w:rPr>
        <w:t>鸭舍下方有30cm深半地下防渗粪污收集池，主要收集鸭粪等。</w:t>
      </w:r>
    </w:p>
    <w:p w14:paraId="05EB4F53">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3.粪污处理区</w:t>
      </w:r>
    </w:p>
    <w:p w14:paraId="42EC5F07">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粪污每个养殖周期结束采取集中干清粪，不设置粪污处理设施；粪污处理区主要设置废水处理设施、回用水池和管理用房等。养殖废水经收集后送场区污水处理设施处理后，用于养殖区绿化浇灌，鸭粪及时送63团3连粪污处理厂资源化利用</w:t>
      </w:r>
      <w:r>
        <w:rPr>
          <w:rFonts w:hint="eastAsia" w:ascii="Times New Roman" w:hAnsi="Times New Roman" w:cs="Times New Roman"/>
          <w:color w:val="000000" w:themeColor="text1"/>
          <w:lang w:val="en-US" w:eastAsia="zh-CN"/>
          <w14:textFill>
            <w14:solidFill>
              <w14:schemeClr w14:val="tx1"/>
            </w14:solidFill>
          </w14:textFill>
        </w:rPr>
        <w:t>。</w:t>
      </w:r>
    </w:p>
    <w:p w14:paraId="21C5A888">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本项目平面布置从方便生产、安全管理和保护环境等方面进行综合考虑，内部交通方便，便于人流、物流出入。养殖区和办公区之间的距离满足《建筑设计防火规范》（</w:t>
      </w:r>
      <w:r>
        <w:rPr>
          <w:rFonts w:hint="default" w:ascii="Times New Roman" w:hAnsi="Times New Roman" w:cs="Times New Roman"/>
          <w:color w:val="000000" w:themeColor="text1"/>
          <w:lang w:val="en-US" w:eastAsia="zh-CN"/>
          <w14:textFill>
            <w14:solidFill>
              <w14:schemeClr w14:val="tx1"/>
            </w14:solidFill>
          </w14:textFill>
        </w:rPr>
        <w:t>GB50016</w:t>
      </w:r>
      <w:r>
        <w:rPr>
          <w:rFonts w:hint="eastAsia" w:ascii="Times New Roman" w:hAnsi="Times New Roman" w:cs="Times New Roman"/>
          <w:color w:val="000000" w:themeColor="text1"/>
          <w:lang w:val="en-US" w:eastAsia="zh-CN"/>
          <w14:textFill>
            <w14:solidFill>
              <w14:schemeClr w14:val="tx1"/>
            </w14:solidFill>
          </w14:textFill>
        </w:rPr>
        <w:t>），鸭舍能够满足种鸭饲养生产的</w:t>
      </w:r>
      <w:r>
        <w:rPr>
          <w:rFonts w:hint="eastAsia" w:cs="Times New Roman"/>
          <w:color w:val="000000" w:themeColor="text1"/>
          <w:lang w:val="en-US" w:eastAsia="zh-CN"/>
          <w14:textFill>
            <w14:solidFill>
              <w14:schemeClr w14:val="tx1"/>
            </w14:solidFill>
          </w14:textFill>
        </w:rPr>
        <w:t>需要</w:t>
      </w:r>
      <w:r>
        <w:rPr>
          <w:rFonts w:hint="eastAsia" w:ascii="Times New Roman" w:hAnsi="Times New Roman" w:cs="Times New Roman"/>
          <w:color w:val="000000" w:themeColor="text1"/>
          <w:lang w:val="en-US" w:eastAsia="zh-CN"/>
          <w14:textFill>
            <w14:solidFill>
              <w14:schemeClr w14:val="tx1"/>
            </w14:solidFill>
          </w14:textFill>
        </w:rPr>
        <w:t>，工艺流程较为顺畅。采取了分离的布设方法，按相应规模进行集约化养殖。项目厂界四周</w:t>
      </w:r>
      <w:r>
        <w:rPr>
          <w:rFonts w:hint="eastAsia" w:cs="Times New Roman"/>
          <w:color w:val="000000" w:themeColor="text1"/>
          <w:lang w:val="en-US" w:eastAsia="zh-CN"/>
          <w14:textFill>
            <w14:solidFill>
              <w14:schemeClr w14:val="tx1"/>
            </w14:solidFill>
          </w14:textFill>
        </w:rPr>
        <w:t>均为沙地</w:t>
      </w:r>
      <w:r>
        <w:rPr>
          <w:rFonts w:hint="eastAsia" w:ascii="Times New Roman" w:hAnsi="Times New Roman" w:cs="Times New Roman"/>
          <w:color w:val="000000" w:themeColor="text1"/>
          <w:lang w:val="en-US" w:eastAsia="zh-CN"/>
          <w14:textFill>
            <w14:solidFill>
              <w14:schemeClr w14:val="tx1"/>
            </w14:solidFill>
          </w14:textFill>
        </w:rPr>
        <w:t>，植物生长</w:t>
      </w:r>
      <w:r>
        <w:rPr>
          <w:rFonts w:hint="eastAsia" w:cs="Times New Roman"/>
          <w:color w:val="000000" w:themeColor="text1"/>
          <w:lang w:val="en-US" w:eastAsia="zh-CN"/>
          <w14:textFill>
            <w14:solidFill>
              <w14:schemeClr w14:val="tx1"/>
            </w14:solidFill>
          </w14:textFill>
        </w:rPr>
        <w:t>一般</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距离最近农田60m，评价范围内无其他敏感目标，环境影响较小，项目运营处理后的废水用于场区绿化浇灌，可以提升区域植被水平，有利于改善环境</w:t>
      </w:r>
      <w:r>
        <w:rPr>
          <w:rFonts w:hint="eastAsia" w:ascii="Times New Roman" w:hAnsi="Times New Roman" w:cs="Times New Roman"/>
          <w:color w:val="000000" w:themeColor="text1"/>
          <w:lang w:val="en-US" w:eastAsia="zh-CN"/>
          <w14:textFill>
            <w14:solidFill>
              <w14:schemeClr w14:val="tx1"/>
            </w14:solidFill>
          </w14:textFill>
        </w:rPr>
        <w:t>。本项目养殖场分为养殖区、办公生活区</w:t>
      </w:r>
      <w:r>
        <w:rPr>
          <w:rFonts w:hint="eastAsia" w:cs="Times New Roman"/>
          <w:color w:val="000000" w:themeColor="text1"/>
          <w:lang w:val="en-US" w:eastAsia="zh-CN"/>
          <w14:textFill>
            <w14:solidFill>
              <w14:schemeClr w14:val="tx1"/>
            </w14:solidFill>
          </w14:textFill>
        </w:rPr>
        <w:t>和粪污处理区</w:t>
      </w:r>
      <w:r>
        <w:rPr>
          <w:rFonts w:hint="eastAsia" w:ascii="Times New Roman" w:hAnsi="Times New Roman" w:cs="Times New Roman"/>
          <w:color w:val="000000" w:themeColor="text1"/>
          <w:lang w:val="en-US" w:eastAsia="zh-CN"/>
          <w14:textFill>
            <w14:solidFill>
              <w14:schemeClr w14:val="tx1"/>
            </w14:solidFill>
          </w14:textFill>
        </w:rPr>
        <w:t>，项目区主导风向为</w:t>
      </w:r>
      <w:r>
        <w:rPr>
          <w:rFonts w:hint="eastAsia" w:cs="Times New Roman"/>
          <w:color w:val="000000" w:themeColor="text1"/>
          <w:lang w:val="en-US" w:eastAsia="zh-CN"/>
          <w14:textFill>
            <w14:solidFill>
              <w14:schemeClr w14:val="tx1"/>
            </w14:solidFill>
          </w14:textFill>
        </w:rPr>
        <w:t>西偏北</w:t>
      </w:r>
      <w:r>
        <w:rPr>
          <w:rFonts w:hint="eastAsia" w:ascii="Times New Roman" w:hAnsi="Times New Roman" w:cs="Times New Roman"/>
          <w:color w:val="000000" w:themeColor="text1"/>
          <w:lang w:val="en-US" w:eastAsia="zh-CN"/>
          <w14:textFill>
            <w14:solidFill>
              <w14:schemeClr w14:val="tx1"/>
            </w14:solidFill>
          </w14:textFill>
        </w:rPr>
        <w:t>风，</w:t>
      </w:r>
      <w:r>
        <w:rPr>
          <w:rFonts w:hint="eastAsia" w:cs="Times New Roman"/>
          <w:color w:val="000000" w:themeColor="text1"/>
          <w:lang w:val="en-US" w:eastAsia="zh-CN"/>
          <w14:textFill>
            <w14:solidFill>
              <w14:schemeClr w14:val="tx1"/>
            </w14:solidFill>
          </w14:textFill>
        </w:rPr>
        <w:t>养殖场用地呈长方形，南北走向，</w:t>
      </w:r>
      <w:r>
        <w:rPr>
          <w:rFonts w:hint="eastAsia" w:ascii="Times New Roman" w:hAnsi="Times New Roman" w:cs="Times New Roman"/>
          <w:color w:val="000000" w:themeColor="text1"/>
          <w:lang w:val="en-US" w:eastAsia="zh-CN"/>
          <w14:textFill>
            <w14:solidFill>
              <w14:schemeClr w14:val="tx1"/>
            </w14:solidFill>
          </w14:textFill>
        </w:rPr>
        <w:t>鸭舍位于</w:t>
      </w:r>
      <w:r>
        <w:rPr>
          <w:rFonts w:hint="eastAsia" w:cs="Times New Roman"/>
          <w:color w:val="000000" w:themeColor="text1"/>
          <w:lang w:val="en-US" w:eastAsia="zh-CN"/>
          <w14:textFill>
            <w14:solidFill>
              <w14:schemeClr w14:val="tx1"/>
            </w14:solidFill>
          </w14:textFill>
        </w:rPr>
        <w:t>南北两侧分两个区域</w:t>
      </w:r>
      <w:r>
        <w:rPr>
          <w:rFonts w:hint="eastAsia" w:ascii="Times New Roman" w:hAnsi="Times New Roman" w:cs="Times New Roman"/>
          <w:color w:val="000000" w:themeColor="text1"/>
          <w:lang w:val="en-US" w:eastAsia="zh-CN"/>
          <w14:textFill>
            <w14:solidFill>
              <w14:schemeClr w14:val="tx1"/>
            </w14:solidFill>
          </w14:textFill>
        </w:rPr>
        <w:t>，生活区位于养殖场的</w:t>
      </w:r>
      <w:r>
        <w:rPr>
          <w:rFonts w:hint="eastAsia" w:cs="Times New Roman"/>
          <w:color w:val="000000" w:themeColor="text1"/>
          <w:lang w:val="en-US" w:eastAsia="zh-CN"/>
          <w14:textFill>
            <w14:solidFill>
              <w14:schemeClr w14:val="tx1"/>
            </w14:solidFill>
          </w14:textFill>
        </w:rPr>
        <w:t>中部，</w:t>
      </w:r>
      <w:r>
        <w:rPr>
          <w:rFonts w:hint="eastAsia" w:ascii="Times New Roman" w:hAnsi="Times New Roman" w:cs="Times New Roman"/>
          <w:color w:val="000000" w:themeColor="text1"/>
          <w:lang w:val="en-US" w:eastAsia="zh-CN"/>
          <w14:textFill>
            <w14:solidFill>
              <w14:schemeClr w14:val="tx1"/>
            </w14:solidFill>
          </w14:textFill>
        </w:rPr>
        <w:t>粪污</w:t>
      </w:r>
      <w:r>
        <w:rPr>
          <w:rFonts w:hint="eastAsia" w:cs="Times New Roman"/>
          <w:color w:val="000000" w:themeColor="text1"/>
          <w:lang w:val="en-US" w:eastAsia="zh-CN"/>
          <w14:textFill>
            <w14:solidFill>
              <w14:schemeClr w14:val="tx1"/>
            </w14:solidFill>
          </w14:textFill>
        </w:rPr>
        <w:t>处理</w:t>
      </w:r>
      <w:r>
        <w:rPr>
          <w:rFonts w:hint="eastAsia" w:ascii="Times New Roman" w:hAnsi="Times New Roman" w:cs="Times New Roman"/>
          <w:color w:val="000000" w:themeColor="text1"/>
          <w:lang w:val="en-US" w:eastAsia="zh-CN"/>
          <w14:textFill>
            <w14:solidFill>
              <w14:schemeClr w14:val="tx1"/>
            </w14:solidFill>
          </w14:textFill>
        </w:rPr>
        <w:t>区位于养殖场的</w:t>
      </w:r>
      <w:r>
        <w:rPr>
          <w:rFonts w:hint="eastAsia" w:cs="Times New Roman"/>
          <w:color w:val="000000" w:themeColor="text1"/>
          <w:lang w:val="en-US" w:eastAsia="zh-CN"/>
          <w14:textFill>
            <w14:solidFill>
              <w14:schemeClr w14:val="tx1"/>
            </w14:solidFill>
          </w14:textFill>
        </w:rPr>
        <w:t>南端</w:t>
      </w:r>
      <w:r>
        <w:rPr>
          <w:rFonts w:hint="eastAsia" w:ascii="Times New Roman" w:hAnsi="Times New Roman" w:cs="Times New Roman"/>
          <w:color w:val="000000" w:themeColor="text1"/>
          <w:lang w:val="en-US" w:eastAsia="zh-CN"/>
          <w14:textFill>
            <w14:solidFill>
              <w14:schemeClr w14:val="tx1"/>
            </w14:solidFill>
          </w14:textFill>
        </w:rPr>
        <w:t>，生活区在主导风向的侧风向，受臭气的影响较小，通过对养殖区、粪污暂存区加强恶臭处理措施，对办公区影响较小。</w:t>
      </w:r>
    </w:p>
    <w:p w14:paraId="11B4B608">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选址不在第四师畜禽养殖禁养区内，对废水、异味、畜禽粪便和其他固体废弃物进行有效治理后综合利用，环保处理设施与主体工程同时设计、同时施工、同时投入使用；场区建设布局符合有关标准规范，养殖区、生活区明显分开，养殖区、粪污暂存区位于场区下风向。</w:t>
      </w:r>
    </w:p>
    <w:p w14:paraId="739ED47A">
      <w:pPr>
        <w:numPr>
          <w:ilvl w:val="0"/>
          <w:numId w:val="0"/>
        </w:num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kern w:val="2"/>
          <w:sz w:val="24"/>
          <w:szCs w:val="22"/>
          <w:lang w:val="en-US" w:eastAsia="zh-CN" w:bidi="ar-SA"/>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平面布置符合性分析</w:t>
      </w:r>
    </w:p>
    <w:p w14:paraId="477B1A79">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与《畜禽养殖业污染防治技术规范》（HJ/T81-2001）符合性</w:t>
      </w:r>
    </w:p>
    <w:p w14:paraId="30286C06">
      <w:pPr>
        <w:ind w:firstLine="480"/>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cs="Times New Roman"/>
          <w:color w:val="000000" w:themeColor="text1"/>
          <w:lang w:val="en-US" w:eastAsia="zh-CN"/>
          <w14:textFill>
            <w14:solidFill>
              <w14:schemeClr w14:val="tx1"/>
            </w14:solidFill>
          </w14:textFill>
        </w:rPr>
        <w:t>根据《畜禽养殖业污染防治技术规范》（HJ/T81-2001）中场区布局有关要求，本项目场区平面布置与其符合性分析见表</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.1-4</w:t>
      </w:r>
      <w:r>
        <w:rPr>
          <w:rFonts w:hint="default" w:ascii="Times New Roman" w:hAnsi="Times New Roman" w:cs="Times New Roman"/>
          <w:color w:val="000000" w:themeColor="text1"/>
          <w:lang w:val="en-US" w:eastAsia="zh-CN"/>
          <w14:textFill>
            <w14:solidFill>
              <w14:schemeClr w14:val="tx1"/>
            </w14:solidFill>
          </w14:textFill>
        </w:rPr>
        <w:t>。</w:t>
      </w:r>
    </w:p>
    <w:p w14:paraId="30AEDF6F">
      <w:pPr>
        <w:pStyle w:val="43"/>
        <w:keepNext w:val="0"/>
        <w:keepLines w:val="0"/>
        <w:pageBreakBefore w:val="0"/>
        <w:widowControl w:val="0"/>
        <w:kinsoku/>
        <w:wordWrap/>
        <w:overflowPunct/>
        <w:topLinePunct w:val="0"/>
        <w:autoSpaceDE/>
        <w:autoSpaceDN/>
        <w:bidi w:val="0"/>
        <w:adjustRightInd/>
        <w:snapToGrid/>
        <w:spacing w:before="0" w:beforeLines="0" w:line="360" w:lineRule="auto"/>
        <w:ind w:right="0" w:rightChars="0" w:firstLine="482" w:firstLineChars="200"/>
        <w:jc w:val="both"/>
        <w:textAlignment w:val="auto"/>
        <w:outlineLvl w:val="9"/>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表</w:t>
      </w:r>
      <w:r>
        <w:rPr>
          <w:rFonts w:hint="eastAsia" w:cs="Times New Roman"/>
          <w:b/>
          <w:color w:val="000000"/>
          <w:sz w:val="24"/>
          <w:szCs w:val="24"/>
          <w:highlight w:val="none"/>
          <w:lang w:val="en-US" w:eastAsia="zh-CN"/>
        </w:rPr>
        <w:t>3</w:t>
      </w:r>
      <w:r>
        <w:rPr>
          <w:rFonts w:hint="eastAsia" w:ascii="Times New Roman" w:hAnsi="Times New Roman" w:eastAsia="宋体" w:cs="Times New Roman"/>
          <w:b/>
          <w:color w:val="000000"/>
          <w:sz w:val="24"/>
          <w:szCs w:val="24"/>
          <w:highlight w:val="none"/>
          <w:lang w:val="en-US" w:eastAsia="zh-CN"/>
        </w:rPr>
        <w:t>.1-4</w:t>
      </w:r>
      <w:r>
        <w:rPr>
          <w:rFonts w:hint="default" w:ascii="Times New Roman" w:hAnsi="Times New Roman" w:eastAsia="宋体" w:cs="Times New Roman"/>
          <w:b/>
          <w:color w:val="000000"/>
          <w:sz w:val="24"/>
          <w:szCs w:val="24"/>
          <w:highlight w:val="none"/>
          <w:lang w:val="en-US" w:eastAsia="zh-CN"/>
        </w:rPr>
        <w:t xml:space="preserve"> 场区布局与《畜禽养殖业污染防治技术规范》（HJ/T81-2001）符合性</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shd w:val="clear" w:color="auto" w:fill="auto"/>
        <w:tblLayout w:type="autofit"/>
        <w:tblCellMar>
          <w:top w:w="0" w:type="dxa"/>
          <w:left w:w="108" w:type="dxa"/>
          <w:bottom w:w="0" w:type="dxa"/>
          <w:right w:w="108" w:type="dxa"/>
        </w:tblCellMar>
      </w:tblPr>
      <w:tblGrid>
        <w:gridCol w:w="725"/>
        <w:gridCol w:w="4323"/>
        <w:gridCol w:w="2968"/>
        <w:gridCol w:w="1040"/>
      </w:tblGrid>
      <w:tr w14:paraId="39339B1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shd w:val="clear" w:color="auto" w:fill="auto"/>
          <w:tblCellMar>
            <w:top w:w="0" w:type="dxa"/>
            <w:left w:w="108" w:type="dxa"/>
            <w:bottom w:w="0" w:type="dxa"/>
            <w:right w:w="108" w:type="dxa"/>
          </w:tblCellMar>
        </w:tblPrEx>
        <w:trPr>
          <w:jc w:val="center"/>
        </w:trPr>
        <w:tc>
          <w:tcPr>
            <w:tcW w:w="400" w:type="pct"/>
            <w:tcBorders>
              <w:tl2br w:val="nil"/>
              <w:tr2bl w:val="nil"/>
            </w:tcBorders>
            <w:shd w:val="clear" w:color="auto" w:fill="auto"/>
            <w:noWrap w:val="0"/>
            <w:vAlign w:val="center"/>
          </w:tcPr>
          <w:p w14:paraId="639868C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序号</w:t>
            </w:r>
          </w:p>
        </w:tc>
        <w:tc>
          <w:tcPr>
            <w:tcW w:w="2386" w:type="pct"/>
            <w:tcBorders>
              <w:tl2br w:val="nil"/>
              <w:tr2bl w:val="nil"/>
            </w:tcBorders>
            <w:shd w:val="clear" w:color="auto" w:fill="auto"/>
            <w:noWrap w:val="0"/>
            <w:vAlign w:val="center"/>
          </w:tcPr>
          <w:p w14:paraId="682A0C3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《畜禽养殖业污染防治技术规范》</w:t>
            </w:r>
          </w:p>
          <w:p w14:paraId="39B6B99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有关要求</w:t>
            </w:r>
          </w:p>
        </w:tc>
        <w:tc>
          <w:tcPr>
            <w:tcW w:w="1638" w:type="pct"/>
            <w:tcBorders>
              <w:tl2br w:val="nil"/>
              <w:tr2bl w:val="nil"/>
            </w:tcBorders>
            <w:shd w:val="clear" w:color="auto" w:fill="auto"/>
            <w:noWrap w:val="0"/>
            <w:vAlign w:val="center"/>
          </w:tcPr>
          <w:p w14:paraId="1314099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本项目场区布局</w:t>
            </w:r>
          </w:p>
        </w:tc>
        <w:tc>
          <w:tcPr>
            <w:tcW w:w="574" w:type="pct"/>
            <w:tcBorders>
              <w:tl2br w:val="nil"/>
              <w:tr2bl w:val="nil"/>
            </w:tcBorders>
            <w:shd w:val="clear" w:color="auto" w:fill="auto"/>
            <w:noWrap w:val="0"/>
            <w:vAlign w:val="center"/>
          </w:tcPr>
          <w:p w14:paraId="7AC849F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符合性</w:t>
            </w:r>
          </w:p>
        </w:tc>
      </w:tr>
      <w:tr w14:paraId="6A273FC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shd w:val="clear" w:color="auto" w:fill="auto"/>
            <w:noWrap w:val="0"/>
            <w:vAlign w:val="center"/>
          </w:tcPr>
          <w:p w14:paraId="5A2B912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w:t>
            </w:r>
          </w:p>
        </w:tc>
        <w:tc>
          <w:tcPr>
            <w:tcW w:w="2386" w:type="pct"/>
            <w:tcBorders>
              <w:tl2br w:val="nil"/>
              <w:tr2bl w:val="nil"/>
            </w:tcBorders>
            <w:shd w:val="clear" w:color="auto" w:fill="auto"/>
            <w:noWrap w:val="0"/>
            <w:vAlign w:val="center"/>
          </w:tcPr>
          <w:p w14:paraId="66A9887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新建、改建、扩建的畜禽养殖场应实现生产区、生活管理区的隔离，粪便污水处理设施和畜禽尸体焚烧炉应设在养殖场的生产区、生活管理区的常年主导风向的下风向或侧风向处</w:t>
            </w:r>
          </w:p>
        </w:tc>
        <w:tc>
          <w:tcPr>
            <w:tcW w:w="1638" w:type="pct"/>
            <w:tcBorders>
              <w:tl2br w:val="nil"/>
              <w:tr2bl w:val="nil"/>
            </w:tcBorders>
            <w:shd w:val="clear" w:color="auto" w:fill="auto"/>
            <w:noWrap w:val="0"/>
            <w:vAlign w:val="center"/>
          </w:tcPr>
          <w:p w14:paraId="4AAEFE1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本项目</w:t>
            </w:r>
            <w:r>
              <w:rPr>
                <w:rFonts w:hint="eastAsia" w:ascii="Times New Roman" w:hAnsi="Times New Roman" w:eastAsia="宋体"/>
                <w:color w:val="000000" w:themeColor="text1"/>
                <w:szCs w:val="21"/>
                <w:lang w:val="en-US" w:eastAsia="zh-CN"/>
                <w14:textFill>
                  <w14:solidFill>
                    <w14:schemeClr w14:val="tx1"/>
                  </w14:solidFill>
                </w14:textFill>
              </w:rPr>
              <w:t>区范围内</w:t>
            </w:r>
            <w:r>
              <w:rPr>
                <w:rFonts w:hint="eastAsia"/>
                <w:color w:val="000000" w:themeColor="text1"/>
                <w:szCs w:val="21"/>
                <w:lang w:val="en-US" w:eastAsia="zh-CN"/>
                <w14:textFill>
                  <w14:solidFill>
                    <w14:schemeClr w14:val="tx1"/>
                  </w14:solidFill>
                </w14:textFill>
              </w:rPr>
              <w:t>设有</w:t>
            </w:r>
            <w:r>
              <w:rPr>
                <w:rFonts w:hint="eastAsia" w:ascii="Times New Roman" w:hAnsi="Times New Roman" w:eastAsia="宋体"/>
                <w:color w:val="000000" w:themeColor="text1"/>
                <w:szCs w:val="21"/>
                <w:lang w:val="en-US" w:eastAsia="zh-CN"/>
                <w14:textFill>
                  <w14:solidFill>
                    <w14:schemeClr w14:val="tx1"/>
                  </w14:solidFill>
                </w14:textFill>
              </w:rPr>
              <w:t>粪污处理区域，项目区</w:t>
            </w:r>
            <w:r>
              <w:rPr>
                <w:rFonts w:hint="default" w:ascii="Times New Roman" w:hAnsi="Times New Roman" w:eastAsia="宋体"/>
                <w:color w:val="000000" w:themeColor="text1"/>
                <w:szCs w:val="21"/>
                <w:lang w:val="en-US" w:eastAsia="zh-CN"/>
                <w14:textFill>
                  <w14:solidFill>
                    <w14:schemeClr w14:val="tx1"/>
                  </w14:solidFill>
                </w14:textFill>
              </w:rPr>
              <w:t>养殖区、</w:t>
            </w:r>
            <w:r>
              <w:rPr>
                <w:rFonts w:hint="eastAsia" w:ascii="Times New Roman" w:hAnsi="Times New Roman" w:eastAsia="宋体"/>
                <w:color w:val="000000" w:themeColor="text1"/>
                <w:szCs w:val="21"/>
                <w:lang w:val="en-US" w:eastAsia="zh-CN"/>
                <w14:textFill>
                  <w14:solidFill>
                    <w14:schemeClr w14:val="tx1"/>
                  </w14:solidFill>
                </w14:textFill>
              </w:rPr>
              <w:t>办公生活区实现了分离，均位于侧风向</w:t>
            </w:r>
            <w:r>
              <w:rPr>
                <w:rFonts w:hint="default" w:ascii="Times New Roman" w:hAnsi="Times New Roman" w:eastAsia="宋体"/>
                <w:color w:val="000000" w:themeColor="text1"/>
                <w:szCs w:val="21"/>
                <w:lang w:val="en-US" w:eastAsia="zh-CN"/>
                <w14:textFill>
                  <w14:solidFill>
                    <w14:schemeClr w14:val="tx1"/>
                  </w14:solidFill>
                </w14:textFill>
              </w:rPr>
              <w:t>。</w:t>
            </w:r>
          </w:p>
        </w:tc>
        <w:tc>
          <w:tcPr>
            <w:tcW w:w="574" w:type="pct"/>
            <w:tcBorders>
              <w:tl2br w:val="nil"/>
              <w:tr2bl w:val="nil"/>
            </w:tcBorders>
            <w:shd w:val="clear" w:color="auto" w:fill="auto"/>
            <w:noWrap w:val="0"/>
            <w:vAlign w:val="center"/>
          </w:tcPr>
          <w:p w14:paraId="1B03FD2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符合</w:t>
            </w:r>
          </w:p>
        </w:tc>
      </w:tr>
      <w:tr w14:paraId="2FC18DD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shd w:val="clear" w:color="auto" w:fill="auto"/>
            <w:noWrap w:val="0"/>
            <w:vAlign w:val="center"/>
          </w:tcPr>
          <w:p w14:paraId="3D70999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w:t>
            </w:r>
          </w:p>
        </w:tc>
        <w:tc>
          <w:tcPr>
            <w:tcW w:w="2386" w:type="pct"/>
            <w:tcBorders>
              <w:tl2br w:val="nil"/>
              <w:tr2bl w:val="nil"/>
            </w:tcBorders>
            <w:shd w:val="clear" w:color="auto" w:fill="auto"/>
            <w:noWrap w:val="0"/>
            <w:vAlign w:val="center"/>
          </w:tcPr>
          <w:p w14:paraId="03D4526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新建、改建、扩建的畜禽养殖场应采取干法清粪工艺，采取有效措施将粪及时、单独清出，不可与尿、污水混合排出，并将产生的粪渣及时运至贮存或处理场所</w:t>
            </w: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638" w:type="pct"/>
            <w:tcBorders>
              <w:tl2br w:val="nil"/>
              <w:tr2bl w:val="nil"/>
            </w:tcBorders>
            <w:shd w:val="clear" w:color="auto" w:fill="auto"/>
            <w:noWrap w:val="0"/>
            <w:vAlign w:val="center"/>
          </w:tcPr>
          <w:p w14:paraId="21F03DC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本项目采用干清粪工艺，定期清理，送63团3连粪污处理厂资源化利用。</w:t>
            </w:r>
          </w:p>
        </w:tc>
        <w:tc>
          <w:tcPr>
            <w:tcW w:w="574" w:type="pct"/>
            <w:tcBorders>
              <w:tl2br w:val="nil"/>
              <w:tr2bl w:val="nil"/>
            </w:tcBorders>
            <w:shd w:val="clear" w:color="auto" w:fill="auto"/>
            <w:noWrap w:val="0"/>
            <w:vAlign w:val="center"/>
          </w:tcPr>
          <w:p w14:paraId="54862EF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符合</w:t>
            </w:r>
          </w:p>
        </w:tc>
      </w:tr>
      <w:tr w14:paraId="68CD882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shd w:val="clear" w:color="auto" w:fill="auto"/>
            <w:noWrap w:val="0"/>
            <w:vAlign w:val="center"/>
          </w:tcPr>
          <w:p w14:paraId="7C089A9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3</w:t>
            </w:r>
          </w:p>
        </w:tc>
        <w:tc>
          <w:tcPr>
            <w:tcW w:w="2386" w:type="pct"/>
            <w:tcBorders>
              <w:tl2br w:val="nil"/>
              <w:tr2bl w:val="nil"/>
            </w:tcBorders>
            <w:shd w:val="clear" w:color="auto" w:fill="auto"/>
            <w:noWrap w:val="0"/>
            <w:vAlign w:val="center"/>
          </w:tcPr>
          <w:p w14:paraId="6E709DB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养殖场的排水系统应实行雨水和污水收集输送系统分离，在场区内外设置的污水收集输送系统，不得采取明沟布设</w:t>
            </w:r>
          </w:p>
        </w:tc>
        <w:tc>
          <w:tcPr>
            <w:tcW w:w="1638" w:type="pct"/>
            <w:tcBorders>
              <w:tl2br w:val="nil"/>
              <w:tr2bl w:val="nil"/>
            </w:tcBorders>
            <w:shd w:val="clear" w:color="auto" w:fill="auto"/>
            <w:noWrap w:val="0"/>
            <w:vAlign w:val="center"/>
          </w:tcPr>
          <w:p w14:paraId="1D2E264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本项目场区内</w:t>
            </w:r>
            <w:r>
              <w:rPr>
                <w:rFonts w:hint="eastAsia" w:ascii="Times New Roman" w:hAnsi="Times New Roman" w:eastAsia="宋体"/>
                <w:color w:val="000000" w:themeColor="text1"/>
                <w:szCs w:val="21"/>
                <w:lang w:val="en-US" w:eastAsia="zh-CN"/>
                <w14:textFill>
                  <w14:solidFill>
                    <w14:schemeClr w14:val="tx1"/>
                  </w14:solidFill>
                </w14:textFill>
              </w:rPr>
              <w:t>污水收纳治理，雨水不收纳，可实现分离。</w:t>
            </w:r>
          </w:p>
        </w:tc>
        <w:tc>
          <w:tcPr>
            <w:tcW w:w="574" w:type="pct"/>
            <w:tcBorders>
              <w:tl2br w:val="nil"/>
              <w:tr2bl w:val="nil"/>
            </w:tcBorders>
            <w:shd w:val="clear" w:color="auto" w:fill="auto"/>
            <w:noWrap w:val="0"/>
            <w:vAlign w:val="center"/>
          </w:tcPr>
          <w:p w14:paraId="7D5B0D7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符合</w:t>
            </w:r>
          </w:p>
        </w:tc>
      </w:tr>
    </w:tbl>
    <w:p w14:paraId="74C4C49E">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与《畜禽场场区设计技术规范》（NY/T682-2003）符合性 </w:t>
      </w:r>
    </w:p>
    <w:p w14:paraId="678924F2">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根据《畜禽场场区设计技术规范》（NY/T682-2003）中畜禽养殖场总平面布置要求，本项目场区平面布置与其符合性分析见表</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lang w:val="en-US" w:eastAsia="zh-CN"/>
          <w14:textFill>
            <w14:solidFill>
              <w14:schemeClr w14:val="tx1"/>
            </w14:solidFill>
          </w14:textFill>
        </w:rPr>
        <w:t>。</w:t>
      </w:r>
    </w:p>
    <w:p w14:paraId="18435D9E">
      <w:pPr>
        <w:pStyle w:val="43"/>
        <w:keepNext w:val="0"/>
        <w:keepLines w:val="0"/>
        <w:pageBreakBefore w:val="0"/>
        <w:widowControl w:val="0"/>
        <w:kinsoku/>
        <w:wordWrap/>
        <w:overflowPunct/>
        <w:topLinePunct w:val="0"/>
        <w:autoSpaceDE/>
        <w:autoSpaceDN/>
        <w:bidi w:val="0"/>
        <w:adjustRightInd/>
        <w:snapToGrid/>
        <w:spacing w:before="0" w:beforeLines="0" w:line="360" w:lineRule="auto"/>
        <w:ind w:right="0" w:rightChars="0" w:firstLine="482" w:firstLineChars="200"/>
        <w:jc w:val="both"/>
        <w:textAlignment w:val="auto"/>
        <w:outlineLvl w:val="9"/>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表</w:t>
      </w:r>
      <w:r>
        <w:rPr>
          <w:rFonts w:hint="eastAsia" w:cs="Times New Roman"/>
          <w:b/>
          <w:color w:val="000000"/>
          <w:sz w:val="24"/>
          <w:szCs w:val="24"/>
          <w:highlight w:val="none"/>
          <w:lang w:val="en-US" w:eastAsia="zh-CN"/>
        </w:rPr>
        <w:t>3</w:t>
      </w:r>
      <w:r>
        <w:rPr>
          <w:rFonts w:hint="eastAsia" w:ascii="Times New Roman" w:hAnsi="Times New Roman" w:eastAsia="宋体" w:cs="Times New Roman"/>
          <w:b/>
          <w:color w:val="000000"/>
          <w:sz w:val="24"/>
          <w:szCs w:val="24"/>
          <w:highlight w:val="none"/>
          <w:lang w:val="en-US" w:eastAsia="zh-CN"/>
        </w:rPr>
        <w:t xml:space="preserve">.1-5  </w:t>
      </w:r>
      <w:r>
        <w:rPr>
          <w:rFonts w:hint="default" w:ascii="Times New Roman" w:hAnsi="Times New Roman" w:eastAsia="宋体" w:cs="Times New Roman"/>
          <w:b/>
          <w:color w:val="000000"/>
          <w:sz w:val="24"/>
          <w:szCs w:val="24"/>
          <w:highlight w:val="none"/>
          <w:lang w:val="en-US" w:eastAsia="zh-CN"/>
        </w:rPr>
        <w:t>场区布局与《畜禽场场区设计技术规范》（NY/T682-2003）符合性</w:t>
      </w:r>
    </w:p>
    <w:tbl>
      <w:tblPr>
        <w:tblStyle w:val="36"/>
        <w:tblW w:w="4997"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6"/>
        <w:gridCol w:w="4412"/>
        <w:gridCol w:w="3033"/>
        <w:gridCol w:w="864"/>
      </w:tblGrid>
      <w:tr w14:paraId="01AFD10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412" w:type="pct"/>
            <w:tcBorders>
              <w:tl2br w:val="nil"/>
              <w:tr2bl w:val="nil"/>
            </w:tcBorders>
            <w:shd w:val="clear" w:color="auto" w:fill="auto"/>
            <w:noWrap w:val="0"/>
            <w:vAlign w:val="center"/>
          </w:tcPr>
          <w:p w14:paraId="1A5564AF">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序号</w:t>
            </w:r>
          </w:p>
        </w:tc>
        <w:tc>
          <w:tcPr>
            <w:tcW w:w="2435" w:type="pct"/>
            <w:tcBorders>
              <w:tl2br w:val="nil"/>
              <w:tr2bl w:val="nil"/>
            </w:tcBorders>
            <w:shd w:val="clear" w:color="auto" w:fill="auto"/>
            <w:noWrap w:val="0"/>
            <w:vAlign w:val="center"/>
          </w:tcPr>
          <w:p w14:paraId="2250CAF8">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《畜禽场场区设计技术规范》有关要求</w:t>
            </w:r>
          </w:p>
        </w:tc>
        <w:tc>
          <w:tcPr>
            <w:tcW w:w="1674" w:type="pct"/>
            <w:tcBorders>
              <w:tl2br w:val="nil"/>
              <w:tr2bl w:val="nil"/>
            </w:tcBorders>
            <w:shd w:val="clear" w:color="auto" w:fill="auto"/>
            <w:noWrap w:val="0"/>
            <w:vAlign w:val="center"/>
          </w:tcPr>
          <w:p w14:paraId="6B5B1A8F">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本项目场区布局</w:t>
            </w:r>
          </w:p>
        </w:tc>
        <w:tc>
          <w:tcPr>
            <w:tcW w:w="477" w:type="pct"/>
            <w:tcBorders>
              <w:tl2br w:val="nil"/>
              <w:tr2bl w:val="nil"/>
            </w:tcBorders>
            <w:shd w:val="clear" w:color="auto" w:fill="auto"/>
            <w:noWrap w:val="0"/>
            <w:vAlign w:val="center"/>
          </w:tcPr>
          <w:p w14:paraId="377B0082">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符合性</w:t>
            </w:r>
          </w:p>
        </w:tc>
      </w:tr>
      <w:tr w14:paraId="3F39CC7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shd w:val="clear" w:color="auto" w:fill="auto"/>
            <w:noWrap w:val="0"/>
            <w:vAlign w:val="center"/>
          </w:tcPr>
          <w:p w14:paraId="09BA7440">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2435" w:type="pct"/>
            <w:tcBorders>
              <w:tl2br w:val="nil"/>
              <w:tr2bl w:val="nil"/>
            </w:tcBorders>
            <w:shd w:val="clear" w:color="auto" w:fill="auto"/>
            <w:noWrap w:val="0"/>
            <w:vAlign w:val="center"/>
          </w:tcPr>
          <w:p w14:paraId="53F7CE4E">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4.2.1</w:t>
            </w:r>
            <w:r>
              <w:rPr>
                <w:rFonts w:hint="default" w:ascii="Times New Roman" w:hAnsi="Times New Roman" w:eastAsia="宋体" w:cs="Times New Roman"/>
                <w:color w:val="000000" w:themeColor="text1"/>
                <w:szCs w:val="21"/>
                <w:lang w:val="en-US" w:eastAsia="zh-CN"/>
                <w14:textFill>
                  <w14:solidFill>
                    <w14:schemeClr w14:val="tx1"/>
                  </w14:solidFill>
                </w14:textFill>
              </w:rPr>
              <w:t>根据畜禽场的生产工艺要求，按功能分区布置各个建（构）筑物的位置，为畜禽生产提供一个良好的生产环境。畜禽场一般应划分为生活管理区、辅助生产区、生产区和隔离区</w:t>
            </w:r>
          </w:p>
        </w:tc>
        <w:tc>
          <w:tcPr>
            <w:tcW w:w="1674" w:type="pct"/>
            <w:tcBorders>
              <w:tl2br w:val="nil"/>
              <w:tr2bl w:val="nil"/>
            </w:tcBorders>
            <w:shd w:val="clear" w:color="auto" w:fill="auto"/>
            <w:noWrap w:val="0"/>
            <w:vAlign w:val="center"/>
          </w:tcPr>
          <w:p w14:paraId="18D5AAEE">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Cs w:val="21"/>
                <w:lang w:val="en-US" w:eastAsia="zh-CN"/>
                <w14:textFill>
                  <w14:solidFill>
                    <w14:schemeClr w14:val="tx1"/>
                  </w14:solidFill>
                </w14:textFill>
              </w:rPr>
              <w:t>厂内</w:t>
            </w:r>
            <w:r>
              <w:rPr>
                <w:rFonts w:hint="default" w:ascii="Times New Roman" w:hAnsi="Times New Roman" w:eastAsia="宋体" w:cs="Times New Roman"/>
                <w:color w:val="000000" w:themeColor="text1"/>
                <w:szCs w:val="21"/>
                <w:lang w:val="en-US" w:eastAsia="zh-CN"/>
                <w14:textFill>
                  <w14:solidFill>
                    <w14:schemeClr w14:val="tx1"/>
                  </w14:solidFill>
                </w14:textFill>
              </w:rPr>
              <w:t>分为</w:t>
            </w:r>
            <w:r>
              <w:rPr>
                <w:rFonts w:hint="eastAsia" w:ascii="Times New Roman" w:hAnsi="Times New Roman" w:eastAsia="宋体" w:cs="Times New Roman"/>
                <w:color w:val="000000" w:themeColor="text1"/>
                <w:szCs w:val="21"/>
                <w:lang w:val="en-US" w:eastAsia="zh-CN"/>
                <w14:textFill>
                  <w14:solidFill>
                    <w14:schemeClr w14:val="tx1"/>
                  </w14:solidFill>
                </w14:textFill>
              </w:rPr>
              <w:t>办公区、养殖区、粪污</w:t>
            </w:r>
            <w:r>
              <w:rPr>
                <w:rFonts w:hint="eastAsia" w:cs="Times New Roman"/>
                <w:color w:val="000000" w:themeColor="text1"/>
                <w:szCs w:val="21"/>
                <w:lang w:val="en-US" w:eastAsia="zh-CN"/>
                <w14:textFill>
                  <w14:solidFill>
                    <w14:schemeClr w14:val="tx1"/>
                  </w14:solidFill>
                </w14:textFill>
              </w:rPr>
              <w:t>处理区</w:t>
            </w:r>
            <w:r>
              <w:rPr>
                <w:rFonts w:hint="eastAsia" w:ascii="Times New Roman" w:hAnsi="Times New Roman" w:eastAsia="宋体" w:cs="Times New Roman"/>
                <w:color w:val="000000" w:themeColor="text1"/>
                <w:szCs w:val="21"/>
                <w:lang w:val="en-US" w:eastAsia="zh-CN"/>
                <w14:textFill>
                  <w14:solidFill>
                    <w14:schemeClr w14:val="tx1"/>
                  </w14:solidFill>
                </w14:textFill>
              </w:rPr>
              <w:t>等</w:t>
            </w:r>
            <w:r>
              <w:rPr>
                <w:rFonts w:hint="default" w:ascii="Times New Roman" w:hAnsi="Times New Roman" w:eastAsia="宋体" w:cs="Times New Roman"/>
                <w:color w:val="000000" w:themeColor="text1"/>
                <w:szCs w:val="21"/>
                <w:lang w:val="en-US" w:eastAsia="zh-CN"/>
                <w14:textFill>
                  <w14:solidFill>
                    <w14:schemeClr w14:val="tx1"/>
                  </w14:solidFill>
                </w14:textFill>
              </w:rPr>
              <w:t>，畜禽生产场所</w:t>
            </w:r>
            <w:r>
              <w:rPr>
                <w:rFonts w:hint="eastAsia" w:cs="Times New Roman"/>
                <w:color w:val="000000" w:themeColor="text1"/>
                <w:szCs w:val="21"/>
                <w:lang w:val="en-US" w:eastAsia="zh-CN"/>
                <w14:textFill>
                  <w14:solidFill>
                    <w14:schemeClr w14:val="tx1"/>
                  </w14:solidFill>
                </w14:textFill>
              </w:rPr>
              <w:t>条件良好</w:t>
            </w:r>
          </w:p>
        </w:tc>
        <w:tc>
          <w:tcPr>
            <w:tcW w:w="477" w:type="pct"/>
            <w:tcBorders>
              <w:tl2br w:val="nil"/>
              <w:tr2bl w:val="nil"/>
            </w:tcBorders>
            <w:shd w:val="clear" w:color="auto" w:fill="auto"/>
            <w:noWrap w:val="0"/>
            <w:vAlign w:val="center"/>
          </w:tcPr>
          <w:p w14:paraId="77AC6AE0">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符合</w:t>
            </w:r>
          </w:p>
        </w:tc>
      </w:tr>
      <w:tr w14:paraId="51062BC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shd w:val="clear" w:color="auto" w:fill="auto"/>
            <w:noWrap w:val="0"/>
            <w:vAlign w:val="center"/>
          </w:tcPr>
          <w:p w14:paraId="64245767">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2435" w:type="pct"/>
            <w:tcBorders>
              <w:tl2br w:val="nil"/>
              <w:tr2bl w:val="nil"/>
            </w:tcBorders>
            <w:shd w:val="clear" w:color="auto" w:fill="auto"/>
            <w:noWrap w:val="0"/>
            <w:vAlign w:val="center"/>
          </w:tcPr>
          <w:p w14:paraId="18F874E0">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4.2.3</w:t>
            </w:r>
            <w:r>
              <w:rPr>
                <w:rFonts w:hint="default" w:ascii="Times New Roman" w:hAnsi="Times New Roman" w:eastAsia="宋体" w:cs="Times New Roman"/>
                <w:color w:val="000000" w:themeColor="text1"/>
                <w:szCs w:val="21"/>
                <w:lang w:val="en-US" w:eastAsia="zh-CN"/>
                <w14:textFill>
                  <w14:solidFill>
                    <w14:schemeClr w14:val="tx1"/>
                  </w14:solidFill>
                </w14:textFill>
              </w:rPr>
              <w:t>生活管理区一般应位于场区全年主导风向上风向或侧风向处，并应在紧邻场区大门内侧集中布置</w:t>
            </w:r>
          </w:p>
        </w:tc>
        <w:tc>
          <w:tcPr>
            <w:tcW w:w="1674" w:type="pct"/>
            <w:tcBorders>
              <w:tl2br w:val="nil"/>
              <w:tr2bl w:val="nil"/>
            </w:tcBorders>
            <w:shd w:val="clear" w:color="auto" w:fill="auto"/>
            <w:noWrap w:val="0"/>
            <w:vAlign w:val="center"/>
          </w:tcPr>
          <w:p w14:paraId="57D79A1D">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办公</w:t>
            </w:r>
            <w:r>
              <w:rPr>
                <w:rFonts w:hint="eastAsia" w:cs="Times New Roman"/>
                <w:color w:val="000000" w:themeColor="text1"/>
                <w:szCs w:val="21"/>
                <w:lang w:val="en-US" w:eastAsia="zh-CN"/>
                <w14:textFill>
                  <w14:solidFill>
                    <w14:schemeClr w14:val="tx1"/>
                  </w14:solidFill>
                </w14:textFill>
              </w:rPr>
              <w:t>生活</w:t>
            </w:r>
            <w:r>
              <w:rPr>
                <w:rFonts w:hint="eastAsia" w:ascii="Times New Roman" w:hAnsi="Times New Roman" w:eastAsia="宋体" w:cs="Times New Roman"/>
                <w:color w:val="000000" w:themeColor="text1"/>
                <w:szCs w:val="21"/>
                <w:lang w:val="en-US" w:eastAsia="zh-CN"/>
                <w14:textFill>
                  <w14:solidFill>
                    <w14:schemeClr w14:val="tx1"/>
                  </w14:solidFill>
                </w14:textFill>
              </w:rPr>
              <w:t>区</w:t>
            </w:r>
            <w:r>
              <w:rPr>
                <w:rFonts w:hint="default" w:ascii="Times New Roman" w:hAnsi="Times New Roman" w:eastAsia="宋体" w:cs="Times New Roman"/>
                <w:color w:val="000000" w:themeColor="text1"/>
                <w:szCs w:val="21"/>
                <w:lang w:val="en-US" w:eastAsia="zh-CN"/>
                <w14:textFill>
                  <w14:solidFill>
                    <w14:schemeClr w14:val="tx1"/>
                  </w14:solidFill>
                </w14:textFill>
              </w:rPr>
              <w:t>位于</w:t>
            </w:r>
            <w:r>
              <w:rPr>
                <w:rFonts w:hint="eastAsia" w:ascii="Times New Roman" w:hAnsi="Times New Roman" w:eastAsia="宋体" w:cs="Times New Roman"/>
                <w:color w:val="000000" w:themeColor="text1"/>
                <w:szCs w:val="21"/>
                <w:lang w:val="en-US" w:eastAsia="zh-CN"/>
                <w14:textFill>
                  <w14:solidFill>
                    <w14:schemeClr w14:val="tx1"/>
                  </w14:solidFill>
                </w14:textFill>
              </w:rPr>
              <w:t>养殖区</w:t>
            </w:r>
            <w:r>
              <w:rPr>
                <w:rFonts w:hint="default" w:ascii="Times New Roman" w:hAnsi="Times New Roman" w:eastAsia="宋体" w:cs="Times New Roman"/>
                <w:color w:val="000000" w:themeColor="text1"/>
                <w:szCs w:val="21"/>
                <w:lang w:val="en-US" w:eastAsia="zh-CN"/>
                <w14:textFill>
                  <w14:solidFill>
                    <w14:schemeClr w14:val="tx1"/>
                  </w14:solidFill>
                </w14:textFill>
              </w:rPr>
              <w:t>全年主导风向的</w:t>
            </w:r>
            <w:r>
              <w:rPr>
                <w:rFonts w:hint="eastAsia" w:ascii="Times New Roman" w:hAnsi="Times New Roman" w:eastAsia="宋体" w:cs="Times New Roman"/>
                <w:color w:val="000000" w:themeColor="text1"/>
                <w:szCs w:val="21"/>
                <w:lang w:val="en-US" w:eastAsia="zh-CN"/>
                <w14:textFill>
                  <w14:solidFill>
                    <w14:schemeClr w14:val="tx1"/>
                  </w14:solidFill>
                </w14:textFill>
              </w:rPr>
              <w:t>侧</w:t>
            </w:r>
            <w:r>
              <w:rPr>
                <w:rFonts w:hint="default" w:ascii="Times New Roman" w:hAnsi="Times New Roman" w:eastAsia="宋体" w:cs="Times New Roman"/>
                <w:color w:val="000000" w:themeColor="text1"/>
                <w:szCs w:val="21"/>
                <w:lang w:val="en-US" w:eastAsia="zh-CN"/>
                <w14:textFill>
                  <w14:solidFill>
                    <w14:schemeClr w14:val="tx1"/>
                  </w14:solidFill>
                </w14:textFill>
              </w:rPr>
              <w:t>风向处</w:t>
            </w:r>
          </w:p>
        </w:tc>
        <w:tc>
          <w:tcPr>
            <w:tcW w:w="477" w:type="pct"/>
            <w:tcBorders>
              <w:tl2br w:val="nil"/>
              <w:tr2bl w:val="nil"/>
            </w:tcBorders>
            <w:shd w:val="clear" w:color="auto" w:fill="auto"/>
            <w:noWrap w:val="0"/>
            <w:vAlign w:val="center"/>
          </w:tcPr>
          <w:p w14:paraId="2FF2F84B">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符合</w:t>
            </w:r>
          </w:p>
        </w:tc>
      </w:tr>
      <w:tr w14:paraId="6367CC8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tcBorders>
              <w:tl2br w:val="nil"/>
              <w:tr2bl w:val="nil"/>
            </w:tcBorders>
            <w:shd w:val="clear" w:color="auto" w:fill="auto"/>
            <w:noWrap w:val="0"/>
            <w:vAlign w:val="center"/>
          </w:tcPr>
          <w:p w14:paraId="2B63BB13">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2435" w:type="pct"/>
            <w:tcBorders>
              <w:tl2br w:val="nil"/>
              <w:tr2bl w:val="nil"/>
            </w:tcBorders>
            <w:shd w:val="clear" w:color="auto" w:fill="auto"/>
            <w:noWrap w:val="0"/>
            <w:vAlign w:val="center"/>
          </w:tcPr>
          <w:p w14:paraId="591C4F77">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4.2.4畜禽场大门应位于场区主干道与场外道路连接处，设施布置应使外来人员或车辆应经过强制性消毒，并经门卫放行才能进场。</w:t>
            </w:r>
          </w:p>
        </w:tc>
        <w:tc>
          <w:tcPr>
            <w:tcW w:w="1674" w:type="pct"/>
            <w:tcBorders>
              <w:tl2br w:val="nil"/>
              <w:tr2bl w:val="nil"/>
            </w:tcBorders>
            <w:shd w:val="clear" w:color="auto" w:fill="auto"/>
            <w:noWrap w:val="0"/>
            <w:vAlign w:val="center"/>
          </w:tcPr>
          <w:p w14:paraId="72DF4C54">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项目区大门位于场区主干道与场外道路连接处，设置有消毒池，车辆及人员</w:t>
            </w:r>
            <w:r>
              <w:rPr>
                <w:rFonts w:hint="eastAsia" w:cs="Times New Roman"/>
                <w:color w:val="000000" w:themeColor="text1"/>
                <w:szCs w:val="21"/>
                <w:lang w:val="en-US" w:eastAsia="zh-CN"/>
                <w14:textFill>
                  <w14:solidFill>
                    <w14:schemeClr w14:val="tx1"/>
                  </w14:solidFill>
                </w14:textFill>
              </w:rPr>
              <w:t>须经过</w:t>
            </w:r>
            <w:r>
              <w:rPr>
                <w:rFonts w:hint="eastAsia" w:ascii="Times New Roman" w:hAnsi="Times New Roman" w:eastAsia="宋体" w:cs="Times New Roman"/>
                <w:color w:val="000000" w:themeColor="text1"/>
                <w:szCs w:val="21"/>
                <w:lang w:val="en-US" w:eastAsia="zh-CN"/>
                <w14:textFill>
                  <w14:solidFill>
                    <w14:schemeClr w14:val="tx1"/>
                  </w14:solidFill>
                </w14:textFill>
              </w:rPr>
              <w:t>消毒措施并经门卫放行才能进场。</w:t>
            </w:r>
          </w:p>
        </w:tc>
        <w:tc>
          <w:tcPr>
            <w:tcW w:w="477" w:type="pct"/>
            <w:tcBorders>
              <w:tl2br w:val="nil"/>
              <w:tr2bl w:val="nil"/>
            </w:tcBorders>
            <w:shd w:val="clear" w:color="auto" w:fill="auto"/>
            <w:noWrap w:val="0"/>
            <w:vAlign w:val="center"/>
          </w:tcPr>
          <w:p w14:paraId="4916DD9C">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符合</w:t>
            </w:r>
          </w:p>
        </w:tc>
      </w:tr>
      <w:tr w14:paraId="6E02400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412" w:type="pct"/>
            <w:tcBorders>
              <w:tl2br w:val="nil"/>
              <w:tr2bl w:val="nil"/>
            </w:tcBorders>
            <w:shd w:val="clear" w:color="auto" w:fill="auto"/>
            <w:noWrap w:val="0"/>
            <w:vAlign w:val="center"/>
          </w:tcPr>
          <w:p w14:paraId="3A02FE99">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2435" w:type="pct"/>
            <w:tcBorders>
              <w:tl2br w:val="nil"/>
              <w:tr2bl w:val="nil"/>
            </w:tcBorders>
            <w:shd w:val="clear" w:color="auto" w:fill="auto"/>
            <w:noWrap w:val="0"/>
            <w:vAlign w:val="center"/>
          </w:tcPr>
          <w:p w14:paraId="20D9C536">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4.2.5围墙距一般建筑物的间距不应小于3.5m；围墙距畜禽舍的间距不应小于6m。</w:t>
            </w:r>
          </w:p>
        </w:tc>
        <w:tc>
          <w:tcPr>
            <w:tcW w:w="1674" w:type="pct"/>
            <w:tcBorders>
              <w:tl2br w:val="nil"/>
              <w:tr2bl w:val="nil"/>
            </w:tcBorders>
            <w:shd w:val="clear" w:color="auto" w:fill="auto"/>
            <w:noWrap w:val="0"/>
            <w:vAlign w:val="center"/>
          </w:tcPr>
          <w:p w14:paraId="39EC47E2">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围墙</w:t>
            </w:r>
            <w:r>
              <w:rPr>
                <w:rFonts w:hint="eastAsia" w:cs="Times New Roman"/>
                <w:color w:val="000000" w:themeColor="text1"/>
                <w:szCs w:val="21"/>
                <w:lang w:val="en-US" w:eastAsia="zh-CN"/>
                <w14:textFill>
                  <w14:solidFill>
                    <w14:schemeClr w14:val="tx1"/>
                  </w14:solidFill>
                </w14:textFill>
              </w:rPr>
              <w:t>建筑物距离养殖场院墙距离均大于等于7m</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77" w:type="pct"/>
            <w:tcBorders>
              <w:tl2br w:val="nil"/>
              <w:tr2bl w:val="nil"/>
            </w:tcBorders>
            <w:shd w:val="clear" w:color="auto" w:fill="auto"/>
            <w:noWrap w:val="0"/>
            <w:vAlign w:val="center"/>
          </w:tcPr>
          <w:p w14:paraId="3829FBD6">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符合</w:t>
            </w:r>
          </w:p>
        </w:tc>
      </w:tr>
      <w:tr w14:paraId="4395A19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412" w:type="pct"/>
            <w:tcBorders>
              <w:tl2br w:val="nil"/>
              <w:tr2bl w:val="nil"/>
            </w:tcBorders>
            <w:shd w:val="clear" w:color="auto" w:fill="auto"/>
            <w:noWrap w:val="0"/>
            <w:vAlign w:val="center"/>
          </w:tcPr>
          <w:p w14:paraId="1504EBA3">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c>
          <w:tcPr>
            <w:tcW w:w="2435" w:type="pct"/>
            <w:tcBorders>
              <w:tl2br w:val="nil"/>
              <w:tr2bl w:val="nil"/>
            </w:tcBorders>
            <w:shd w:val="clear" w:color="auto" w:fill="auto"/>
            <w:noWrap w:val="0"/>
            <w:vAlign w:val="center"/>
          </w:tcPr>
          <w:p w14:paraId="0A9407D3">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4.2.8 生产区畜禽舍朝向一般应</w:t>
            </w:r>
            <w:r>
              <w:rPr>
                <w:rFonts w:hint="eastAsia" w:cs="Times New Roman"/>
                <w:color w:val="000000" w:themeColor="text1"/>
                <w:szCs w:val="21"/>
                <w:lang w:val="en-US" w:eastAsia="zh-CN"/>
                <w14:textFill>
                  <w14:solidFill>
                    <w14:schemeClr w14:val="tx1"/>
                  </w14:solidFill>
                </w14:textFill>
              </w:rPr>
              <w:t>以</w:t>
            </w:r>
            <w:r>
              <w:rPr>
                <w:rFonts w:hint="eastAsia" w:ascii="Times New Roman" w:hAnsi="Times New Roman" w:eastAsia="宋体" w:cs="Times New Roman"/>
                <w:color w:val="000000" w:themeColor="text1"/>
                <w:szCs w:val="21"/>
                <w:lang w:val="en-US" w:eastAsia="zh-CN"/>
                <w14:textFill>
                  <w14:solidFill>
                    <w14:schemeClr w14:val="tx1"/>
                  </w14:solidFill>
                </w14:textFill>
              </w:rPr>
              <w:t>长轴南向，或南偏东或偏西40以内为宜。每相邻两栋长轴平行的畜禽舍间距，无舍外运动场时，两平行侧墙的间距控制在8m</w:t>
            </w:r>
            <w:r>
              <w:rPr>
                <w:rFonts w:hint="eastAsia"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15m为宜；有舍外运动场时，相邻运动场栏杆的间距控制在</w:t>
            </w:r>
            <w:r>
              <w:rPr>
                <w:rFonts w:hint="default" w:ascii="Times New Roman" w:hAnsi="Times New Roman" w:eastAsia="宋体" w:cs="Times New Roman"/>
                <w:color w:val="000000" w:themeColor="text1"/>
                <w:szCs w:val="21"/>
                <w:lang w:val="en-US" w:eastAsia="zh-CN"/>
                <w14:textFill>
                  <w14:solidFill>
                    <w14:schemeClr w14:val="tx1"/>
                  </w14:solidFill>
                </w14:textFill>
              </w:rPr>
              <w:t>5m</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8m为</w:t>
            </w:r>
            <w:r>
              <w:rPr>
                <w:rFonts w:hint="eastAsia" w:ascii="Times New Roman" w:hAnsi="Times New Roman" w:eastAsia="宋体" w:cs="Times New Roman"/>
                <w:color w:val="000000" w:themeColor="text1"/>
                <w:szCs w:val="21"/>
                <w:lang w:val="en-US" w:eastAsia="zh-CN"/>
                <w14:textFill>
                  <w14:solidFill>
                    <w14:schemeClr w14:val="tx1"/>
                  </w14:solidFill>
                </w14:textFill>
              </w:rPr>
              <w:t>宜。每相邻两栋畜禽舍端墙之间的距离不小</w:t>
            </w:r>
            <w:r>
              <w:rPr>
                <w:rFonts w:hint="default" w:ascii="Times New Roman" w:hAnsi="Times New Roman" w:eastAsia="宋体" w:cs="Times New Roman"/>
                <w:color w:val="000000" w:themeColor="text1"/>
                <w:szCs w:val="21"/>
                <w:lang w:val="en-US" w:eastAsia="zh-CN"/>
                <w14:textFill>
                  <w14:solidFill>
                    <w14:schemeClr w14:val="tx1"/>
                  </w14:solidFill>
                </w14:textFill>
              </w:rPr>
              <w:t>于15m</w:t>
            </w:r>
            <w:r>
              <w:rPr>
                <w:rFonts w:hint="eastAsia" w:ascii="Times New Roman" w:hAnsi="Times New Roman" w:eastAsia="宋体" w:cs="Times New Roman"/>
                <w:color w:val="000000" w:themeColor="text1"/>
                <w:szCs w:val="21"/>
                <w:lang w:val="en-US" w:eastAsia="zh-CN"/>
                <w14:textFill>
                  <w14:solidFill>
                    <w14:schemeClr w14:val="tx1"/>
                  </w14:solidFill>
                </w14:textFill>
              </w:rPr>
              <w:t>为宜</w:t>
            </w:r>
          </w:p>
        </w:tc>
        <w:tc>
          <w:tcPr>
            <w:tcW w:w="1674" w:type="pct"/>
            <w:tcBorders>
              <w:tl2br w:val="nil"/>
              <w:tr2bl w:val="nil"/>
            </w:tcBorders>
            <w:shd w:val="clear" w:color="auto" w:fill="auto"/>
            <w:noWrap w:val="0"/>
            <w:vAlign w:val="center"/>
          </w:tcPr>
          <w:p w14:paraId="25D659C1">
            <w:pPr>
              <w:pStyle w:val="56"/>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w:t>
            </w:r>
            <w:r>
              <w:rPr>
                <w:rFonts w:hint="eastAsia" w:cs="Times New Roman"/>
                <w:color w:val="000000" w:themeColor="text1"/>
                <w:szCs w:val="21"/>
                <w:lang w:val="en-US" w:eastAsia="zh-CN"/>
                <w14:textFill>
                  <w14:solidFill>
                    <w14:schemeClr w14:val="tx1"/>
                  </w14:solidFill>
                </w14:textFill>
              </w:rPr>
              <w:t>鸭舍满足长轴南向要求，鸭舍间距12m（鸭舍间距空间即为畜禽运动场），端墙间距12m，可以满足要求。</w:t>
            </w:r>
          </w:p>
        </w:tc>
        <w:tc>
          <w:tcPr>
            <w:tcW w:w="477" w:type="pct"/>
            <w:tcBorders>
              <w:tl2br w:val="nil"/>
              <w:tr2bl w:val="nil"/>
            </w:tcBorders>
            <w:shd w:val="clear" w:color="auto" w:fill="auto"/>
            <w:noWrap w:val="0"/>
            <w:vAlign w:val="center"/>
          </w:tcPr>
          <w:p w14:paraId="71656C12">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符合</w:t>
            </w:r>
          </w:p>
        </w:tc>
      </w:tr>
    </w:tbl>
    <w:p w14:paraId="265D4554">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综上所述，本项目总平面布置功能分区明确，合理规划布局，工艺流程顺畅；净道和污道分开设置，减少不必要的交叉，切断疫病的传播途径。同时，场区布局符合《畜禽养殖业污染防治技术规范》（HJ/T81-2001）、《畜禽场场区设计技术规范》（NY/T682-2003）等规范要求，从环保角度而言，本项目总平面布置</w:t>
      </w:r>
      <w:r>
        <w:rPr>
          <w:rFonts w:hint="eastAsia" w:eastAsia="宋体" w:cs="Times New Roman"/>
          <w:color w:val="000000" w:themeColor="text1"/>
          <w:kern w:val="0"/>
          <w:sz w:val="24"/>
          <w:szCs w:val="24"/>
          <w:lang w:val="en-US" w:eastAsia="zh-CN" w:bidi="ar"/>
          <w14:textFill>
            <w14:solidFill>
              <w14:schemeClr w14:val="tx1"/>
            </w14:solidFill>
          </w14:textFill>
        </w:rPr>
        <w:t>较为合理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2E6BAF24">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项目养殖方案及规模</w:t>
      </w:r>
    </w:p>
    <w:p w14:paraId="2D47A92E">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项目采用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全进全出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的养殖模式，全进全出饲养制度是保证鸭群健康、根除传染病的根本措施。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全进全出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就是同一范围内只进同一批雏，饲养同一日龄的鸭，采用统一的料号、统一的免疫程序和管理措施，并且在同一时期全部出场，出场后对整体环境实行彻底打扫、清洗、消毒。由于在鸭场内不存在不同日龄的鸭群的交叉感染机会，切断了传染病的流行环节，从而保证下批鸭的安全生产。</w:t>
      </w:r>
    </w:p>
    <w:p w14:paraId="5CA312EE">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本项目建设内容包括建设种鸭标准化养殖棚舍</w:t>
      </w:r>
      <w:r>
        <w:rPr>
          <w:rFonts w:hint="eastAsia" w:eastAsia="宋体" w:cs="宋体"/>
          <w:color w:val="000000" w:themeColor="text1"/>
          <w:kern w:val="0"/>
          <w:sz w:val="24"/>
          <w:szCs w:val="24"/>
          <w:lang w:val="en-US" w:eastAsia="zh-CN" w:bidi="ar"/>
          <w14:textFill>
            <w14:solidFill>
              <w14:schemeClr w14:val="tx1"/>
            </w14:solidFill>
          </w14:textFill>
        </w:rPr>
        <w:t>30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栋，蛋库1栋，购置鸭苗约</w:t>
      </w:r>
      <w:r>
        <w:rPr>
          <w:rFonts w:hint="eastAsia" w:eastAsia="宋体" w:cs="宋体"/>
          <w:color w:val="000000" w:themeColor="text1"/>
          <w:kern w:val="0"/>
          <w:sz w:val="24"/>
          <w:szCs w:val="24"/>
          <w:lang w:val="en-US" w:eastAsia="zh-CN" w:bidi="ar"/>
          <w14:textFill>
            <w14:solidFill>
              <w14:schemeClr w14:val="tx1"/>
            </w14:solidFill>
          </w14:textFill>
        </w:rPr>
        <w:t>18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万只以及相关配套附属设施和环保设施，每年淘汰种鸭比例在0.1%。项目达产后，形成年出栏种蛋</w:t>
      </w:r>
      <w:r>
        <w:rPr>
          <w:rFonts w:hint="eastAsia"/>
          <w:color w:val="000000" w:themeColor="text1"/>
          <w:szCs w:val="21"/>
          <w:lang w:val="en-US" w:eastAsia="zh-CN"/>
          <w14:textFill>
            <w14:solidFill>
              <w14:schemeClr w14:val="tx1"/>
            </w14:solidFill>
          </w14:textFill>
        </w:rPr>
        <w:t>4680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万枚</w:t>
      </w:r>
      <w:r>
        <w:rPr>
          <w:rFonts w:hint="eastAsia" w:eastAsia="宋体" w:cs="宋体"/>
          <w:color w:val="000000" w:themeColor="text1"/>
          <w:kern w:val="0"/>
          <w:sz w:val="24"/>
          <w:szCs w:val="24"/>
          <w:lang w:val="en-US" w:eastAsia="zh-CN" w:bidi="ar"/>
          <w14:textFill>
            <w14:solidFill>
              <w14:schemeClr w14:val="tx1"/>
            </w14:solidFill>
          </w14:textFill>
        </w:rPr>
        <w:t>/年</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的养殖规模。</w:t>
      </w:r>
    </w:p>
    <w:p w14:paraId="6FE488F2">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种鸭饲养</w:t>
      </w:r>
      <w:r>
        <w:rPr>
          <w:rFonts w:hint="eastAsia" w:eastAsia="宋体" w:cs="宋体"/>
          <w:color w:val="000000" w:themeColor="text1"/>
          <w:kern w:val="0"/>
          <w:sz w:val="24"/>
          <w:szCs w:val="24"/>
          <w:lang w:val="en-US" w:eastAsia="zh-CN" w:bidi="ar"/>
          <w14:textFill>
            <w14:solidFill>
              <w14:schemeClr w14:val="tx1"/>
            </w14:solidFill>
          </w14:textFill>
        </w:rPr>
        <w:t>100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周（</w:t>
      </w:r>
      <w:r>
        <w:rPr>
          <w:rFonts w:hint="eastAsia" w:eastAsia="宋体" w:cs="宋体"/>
          <w:color w:val="000000" w:themeColor="text1"/>
          <w:kern w:val="0"/>
          <w:sz w:val="24"/>
          <w:szCs w:val="24"/>
          <w:lang w:val="en-US" w:eastAsia="zh-CN" w:bidi="ar"/>
          <w14:textFill>
            <w14:solidFill>
              <w14:schemeClr w14:val="tx1"/>
            </w14:solidFill>
          </w14:textFill>
        </w:rPr>
        <w:t>700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w:t>
      </w:r>
      <w:r>
        <w:rPr>
          <w:rFonts w:hint="eastAsia" w:eastAsia="宋体" w:cs="宋体"/>
          <w:color w:val="000000" w:themeColor="text1"/>
          <w:kern w:val="0"/>
          <w:sz w:val="24"/>
          <w:szCs w:val="24"/>
          <w:lang w:val="en-US" w:eastAsia="zh-CN" w:bidi="ar"/>
          <w14:textFill>
            <w14:solidFill>
              <w14:schemeClr w14:val="tx1"/>
            </w14:solidFill>
          </w14:textFill>
        </w:rPr>
        <w:t>，根据经验，其中前25周幼鸭期不产蛋，后75周产蛋，100周</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后进行淘汰外售，成年鸭体重约2.3kg；鸭舍腾空后，将对鸭舍进行彻底</w:t>
      </w:r>
      <w:r>
        <w:rPr>
          <w:rFonts w:hint="eastAsia" w:eastAsia="宋体" w:cs="宋体"/>
          <w:color w:val="000000" w:themeColor="text1"/>
          <w:kern w:val="0"/>
          <w:sz w:val="24"/>
          <w:szCs w:val="24"/>
          <w:lang w:val="en-US" w:eastAsia="zh-CN" w:bidi="ar"/>
          <w14:textFill>
            <w14:solidFill>
              <w14:schemeClr w14:val="tx1"/>
            </w14:solidFill>
          </w14:textFill>
        </w:rPr>
        <w:t>清粪、</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消毒、清理</w:t>
      </w:r>
      <w:r>
        <w:rPr>
          <w:rFonts w:hint="eastAsia" w:eastAsia="宋体" w:cs="宋体"/>
          <w:color w:val="000000" w:themeColor="text1"/>
          <w:kern w:val="0"/>
          <w:sz w:val="24"/>
          <w:szCs w:val="24"/>
          <w:lang w:val="en-US" w:eastAsia="zh-CN" w:bidi="ar"/>
          <w14:textFill>
            <w14:solidFill>
              <w14:schemeClr w14:val="tx1"/>
            </w14:solidFill>
          </w14:textFill>
        </w:rPr>
        <w:t>，对</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鸭舍内的生产器具及屋顶、地面、墙面进行全面消毒。</w:t>
      </w:r>
    </w:p>
    <w:p w14:paraId="29B847D9">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本项目物料平衡</w:t>
      </w:r>
    </w:p>
    <w:p w14:paraId="275E5176">
      <w:pPr>
        <w:ind w:firstLine="48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主要的原辅材料为种雏鸭、饲料和水，场区饲料均外购，饲料运送至场区后放置于料塔中，采用全自动配送上料系统进行日常进料，机械化操作，定时定量供应饲料，饲料和水进入鸭体内后一部分被吸收利用，一部分作为粪便排泄出来，还有一部分产下种鸭蛋，项目物料平衡见下图。</w:t>
      </w:r>
    </w:p>
    <w:p w14:paraId="4988A3CC">
      <w:pPr>
        <w:pStyle w:val="1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color w:val="000000" w:themeColor="text1"/>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drawing>
          <wp:inline distT="0" distB="0" distL="114300" distR="114300">
            <wp:extent cx="5612765" cy="4086860"/>
            <wp:effectExtent l="0" t="0" r="6985" b="8890"/>
            <wp:docPr id="37" name="图片 37" descr="d229e85b-86a2-45c8-97a4-1eed012b7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229e85b-86a2-45c8-97a4-1eed012b7ec8"/>
                    <pic:cNvPicPr>
                      <a:picLocks noChangeAspect="1"/>
                    </pic:cNvPicPr>
                  </pic:nvPicPr>
                  <pic:blipFill>
                    <a:blip r:embed="rId29"/>
                    <a:stretch>
                      <a:fillRect/>
                    </a:stretch>
                  </pic:blipFill>
                  <pic:spPr>
                    <a:xfrm>
                      <a:off x="0" y="0"/>
                      <a:ext cx="5612765" cy="4086860"/>
                    </a:xfrm>
                    <a:prstGeom prst="rect">
                      <a:avLst/>
                    </a:prstGeom>
                  </pic:spPr>
                </pic:pic>
              </a:graphicData>
            </a:graphic>
          </wp:inline>
        </w:drawing>
      </w:r>
      <w:r>
        <w:rPr>
          <w:rFonts w:hint="eastAsia" w:ascii="Times New Roman" w:hAnsi="Times New Roman"/>
          <w:b/>
          <w:bCs/>
          <w:color w:val="000000" w:themeColor="text1"/>
          <w:sz w:val="21"/>
          <w:szCs w:val="21"/>
          <w:lang w:val="en-US" w:eastAsia="zh-CN"/>
          <w14:textFill>
            <w14:solidFill>
              <w14:schemeClr w14:val="tx1"/>
            </w14:solidFill>
          </w14:textFill>
        </w:rPr>
        <w:t>图3.1-1            养殖物料平衡图（单位：t/a）</w:t>
      </w:r>
    </w:p>
    <w:p w14:paraId="205F018B">
      <w:pPr>
        <w:pStyle w:val="4"/>
        <w:ind w:left="120"/>
        <w:rPr>
          <w:rFonts w:ascii="Times New Roman" w:hAnsi="Times New Roman" w:cs="Times New Roman"/>
          <w:color w:val="000000" w:themeColor="text1"/>
          <w:lang w:val="en-GB"/>
          <w14:textFill>
            <w14:solidFill>
              <w14:schemeClr w14:val="tx1"/>
            </w14:solidFill>
          </w14:textFill>
        </w:rPr>
      </w:pPr>
      <w:bookmarkStart w:id="84" w:name="_Toc10476"/>
      <w:r>
        <w:rPr>
          <w:rFonts w:hint="eastAsia" w:ascii="Times New Roman" w:hAnsi="Times New Roman" w:cs="Times New Roman"/>
          <w:color w:val="000000" w:themeColor="text1"/>
          <w:lang w:val="en-US" w:eastAsia="zh-CN"/>
          <w14:textFill>
            <w14:solidFill>
              <w14:schemeClr w14:val="tx1"/>
            </w14:solidFill>
          </w14:textFill>
        </w:rPr>
        <w:t>本项目公用工程</w:t>
      </w:r>
      <w:bookmarkEnd w:id="84"/>
    </w:p>
    <w:p w14:paraId="26F5CD18">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给排水</w:t>
      </w:r>
    </w:p>
    <w:p w14:paraId="2491D1B4">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给水</w:t>
      </w:r>
    </w:p>
    <w:p w14:paraId="4C4CBCB7">
      <w:pPr>
        <w:keepNext w:val="0"/>
        <w:keepLines w:val="0"/>
        <w:widowControl/>
        <w:suppressLineNumbers w:val="0"/>
        <w:jc w:val="left"/>
        <w:rPr>
          <w:rFonts w:hint="default" w:ascii="Times New Roman" w:hAnsi="Times New Roman"/>
          <w:color w:val="000000" w:themeColor="text1"/>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本项目水源为团场市政供水，场内设有完善的供水系统，其供水水压、供水水质、供水能力能满足该项目建成后的用水需求。</w:t>
      </w:r>
    </w:p>
    <w:p w14:paraId="65EC1A5C">
      <w:pPr>
        <w:keepNext w:val="0"/>
        <w:keepLines w:val="0"/>
        <w:widowControl/>
        <w:suppressLineNumbers w:val="0"/>
        <w:jc w:val="left"/>
        <w:rPr>
          <w:rFonts w:ascii="Times New Roman" w:hAnsi="Times New Roman" w:eastAsia="宋体" w:cs="Times New Roman"/>
          <w:b/>
          <w:color w:val="000000" w:themeColor="text1"/>
          <w:szCs w:val="24"/>
          <w:lang w:val="zh-CN" w:bidi="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场内用水包括生产用水和生活用水，其中生产用水有鸭饮用水、鸭舍冲洗用水、消毒液</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除臭剂</w:t>
      </w:r>
      <w:r>
        <w:rPr>
          <w:rFonts w:hint="eastAsia" w:eastAsia="宋体" w:cs="宋体"/>
          <w:color w:val="000000" w:themeColor="text1"/>
          <w:kern w:val="0"/>
          <w:sz w:val="24"/>
          <w:szCs w:val="24"/>
          <w:lang w:val="en-US" w:eastAsia="zh-CN" w:bidi="ar"/>
          <w14:textFill>
            <w14:solidFill>
              <w14:schemeClr w14:val="tx1"/>
            </w14:solidFill>
          </w14:textFill>
        </w:rPr>
        <w:t>配制</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用水、车辆冲洗</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消毒用水</w:t>
      </w:r>
      <w:r>
        <w:rPr>
          <w:rFonts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生活用水主要为工作人员用水。</w:t>
      </w:r>
    </w:p>
    <w:p w14:paraId="5DEFD591">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）种鸭饮用水</w:t>
      </w:r>
    </w:p>
    <w:p w14:paraId="59D1612B">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根据养殖经验确定种鸭饮用水，通常夏季鸭只饮水量大，冬季饮水量小，且饮水量根据不同周龄进行控制，本次计算取其平均值，养殖用水具体情况见表</w:t>
      </w:r>
      <w:r>
        <w:rPr>
          <w:rFonts w:hint="eastAsia" w:eastAsia="宋体" w:cs="宋体"/>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.2-1。</w:t>
      </w:r>
    </w:p>
    <w:p w14:paraId="1E5CDF5B">
      <w:pPr>
        <w:pStyle w:val="61"/>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.2-1   种鸭饮用水一览表</w:t>
      </w:r>
    </w:p>
    <w:tbl>
      <w:tblPr>
        <w:tblStyle w:val="35"/>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45"/>
        <w:gridCol w:w="1502"/>
        <w:gridCol w:w="2161"/>
        <w:gridCol w:w="1291"/>
        <w:gridCol w:w="1569"/>
        <w:gridCol w:w="1569"/>
      </w:tblGrid>
      <w:tr w14:paraId="0C504C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34B33F90">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种类</w:t>
            </w:r>
          </w:p>
        </w:tc>
        <w:tc>
          <w:tcPr>
            <w:tcW w:w="849" w:type="pct"/>
            <w:tcBorders>
              <w:tl2br w:val="nil"/>
              <w:tr2bl w:val="nil"/>
            </w:tcBorders>
            <w:vAlign w:val="center"/>
          </w:tcPr>
          <w:p w14:paraId="053F4BE1">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存栏量（羽）</w:t>
            </w:r>
          </w:p>
        </w:tc>
        <w:tc>
          <w:tcPr>
            <w:tcW w:w="1222" w:type="pct"/>
            <w:tcBorders>
              <w:tl2br w:val="nil"/>
              <w:tr2bl w:val="nil"/>
            </w:tcBorders>
            <w:vAlign w:val="center"/>
          </w:tcPr>
          <w:p w14:paraId="0D0BF5E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饮水定额（L/d.羽）</w:t>
            </w:r>
          </w:p>
        </w:tc>
        <w:tc>
          <w:tcPr>
            <w:tcW w:w="730" w:type="pct"/>
            <w:tcBorders>
              <w:tl2br w:val="nil"/>
              <w:tr2bl w:val="nil"/>
            </w:tcBorders>
            <w:vAlign w:val="center"/>
          </w:tcPr>
          <w:p w14:paraId="05DB483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饮水天数</w:t>
            </w:r>
          </w:p>
        </w:tc>
        <w:tc>
          <w:tcPr>
            <w:tcW w:w="887" w:type="pct"/>
            <w:tcBorders>
              <w:tl2br w:val="nil"/>
              <w:tr2bl w:val="nil"/>
            </w:tcBorders>
            <w:vAlign w:val="center"/>
          </w:tcPr>
          <w:p w14:paraId="5DA3899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日饮水量（m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lang w:val="en-US" w:eastAsia="zh-CN"/>
                <w14:textFill>
                  <w14:solidFill>
                    <w14:schemeClr w14:val="tx1"/>
                  </w14:solidFill>
                </w14:textFill>
              </w:rPr>
              <w:t>/d）</w:t>
            </w:r>
          </w:p>
        </w:tc>
        <w:tc>
          <w:tcPr>
            <w:tcW w:w="887" w:type="pct"/>
            <w:tcBorders>
              <w:tl2br w:val="nil"/>
              <w:tr2bl w:val="nil"/>
            </w:tcBorders>
            <w:vAlign w:val="center"/>
          </w:tcPr>
          <w:p w14:paraId="2EB866F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年饮水量（m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/a</w:t>
            </w:r>
            <w:r>
              <w:rPr>
                <w:rFonts w:hint="eastAsia" w:ascii="Times New Roman" w:hAnsi="Times New Roman"/>
                <w:color w:val="000000" w:themeColor="text1"/>
                <w:szCs w:val="21"/>
                <w:lang w:val="en-US" w:eastAsia="zh-CN"/>
                <w14:textFill>
                  <w14:solidFill>
                    <w14:schemeClr w14:val="tx1"/>
                  </w14:solidFill>
                </w14:textFill>
              </w:rPr>
              <w:t>）</w:t>
            </w:r>
          </w:p>
        </w:tc>
      </w:tr>
      <w:tr w14:paraId="4A43BC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 w:type="pct"/>
            <w:tcBorders>
              <w:tl2br w:val="nil"/>
              <w:tr2bl w:val="nil"/>
            </w:tcBorders>
            <w:vAlign w:val="center"/>
          </w:tcPr>
          <w:p w14:paraId="14AB372B">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种鸭</w:t>
            </w:r>
          </w:p>
        </w:tc>
        <w:tc>
          <w:tcPr>
            <w:tcW w:w="849" w:type="pct"/>
            <w:tcBorders>
              <w:tl2br w:val="nil"/>
              <w:tr2bl w:val="nil"/>
            </w:tcBorders>
            <w:vAlign w:val="center"/>
          </w:tcPr>
          <w:p w14:paraId="5D142CD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r>
              <w:rPr>
                <w:rFonts w:hint="eastAsia" w:ascii="Times New Roman" w:hAnsi="Times New Roman"/>
                <w:color w:val="000000" w:themeColor="text1"/>
                <w:szCs w:val="21"/>
                <w:lang w:val="en-US" w:eastAsia="zh-CN"/>
                <w14:textFill>
                  <w14:solidFill>
                    <w14:schemeClr w14:val="tx1"/>
                  </w14:solidFill>
                </w14:textFill>
              </w:rPr>
              <w:t>万</w:t>
            </w:r>
          </w:p>
        </w:tc>
        <w:tc>
          <w:tcPr>
            <w:tcW w:w="1222" w:type="pct"/>
            <w:tcBorders>
              <w:tl2br w:val="nil"/>
              <w:tr2bl w:val="nil"/>
            </w:tcBorders>
            <w:vAlign w:val="center"/>
          </w:tcPr>
          <w:p w14:paraId="4D7A856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0.5</w:t>
            </w:r>
          </w:p>
        </w:tc>
        <w:tc>
          <w:tcPr>
            <w:tcW w:w="730" w:type="pct"/>
            <w:tcBorders>
              <w:tl2br w:val="nil"/>
              <w:tr2bl w:val="nil"/>
            </w:tcBorders>
            <w:vAlign w:val="center"/>
          </w:tcPr>
          <w:p w14:paraId="2BE1279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365</w:t>
            </w:r>
          </w:p>
        </w:tc>
        <w:tc>
          <w:tcPr>
            <w:tcW w:w="887" w:type="pct"/>
            <w:tcBorders>
              <w:tl2br w:val="nil"/>
              <w:tr2bl w:val="nil"/>
            </w:tcBorders>
            <w:vAlign w:val="center"/>
          </w:tcPr>
          <w:p w14:paraId="6AED3BE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90</w:t>
            </w:r>
          </w:p>
        </w:tc>
        <w:tc>
          <w:tcPr>
            <w:tcW w:w="887" w:type="pct"/>
            <w:tcBorders>
              <w:tl2br w:val="nil"/>
              <w:tr2bl w:val="nil"/>
            </w:tcBorders>
            <w:vAlign w:val="center"/>
          </w:tcPr>
          <w:p w14:paraId="6278246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32850</w:t>
            </w:r>
          </w:p>
        </w:tc>
      </w:tr>
    </w:tbl>
    <w:p w14:paraId="3A36104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）鸭舍冲洗用水</w:t>
      </w:r>
    </w:p>
    <w:p w14:paraId="5DD3B996">
      <w:pPr>
        <w:keepNext w:val="0"/>
        <w:keepLines w:val="0"/>
        <w:widowControl/>
        <w:suppressLineNumbers w:val="0"/>
        <w:jc w:val="left"/>
        <w:rPr>
          <w:rFonts w:hint="default" w:ascii="Times New Roman" w:hAnsi="Times New Roman"/>
          <w:color w:val="000000" w:themeColor="text1"/>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养殖周期内鸭舍不进行冲洗，仅在养殖周期（</w:t>
      </w:r>
      <w:r>
        <w:rPr>
          <w:rFonts w:hint="eastAsia" w:eastAsia="宋体" w:cs="Times New Roman"/>
          <w:color w:val="000000" w:themeColor="text1"/>
          <w:kern w:val="0"/>
          <w:sz w:val="24"/>
          <w:szCs w:val="24"/>
          <w:lang w:val="en-US" w:eastAsia="zh-CN" w:bidi="ar"/>
          <w14:textFill>
            <w14:solidFill>
              <w14:schemeClr w14:val="tx1"/>
            </w14:solidFill>
          </w14:textFill>
        </w:rPr>
        <w:t>100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周）结束后，对鸭舍设备、内壁（包括屋顶、侧壁、地面等）进行高压气雾清洗消毒，冲洗用水按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栋计，</w:t>
      </w:r>
      <w:r>
        <w:rPr>
          <w:rFonts w:hint="eastAsia" w:eastAsia="宋体" w:cs="Times New Roman"/>
          <w:color w:val="000000" w:themeColor="text1"/>
          <w:kern w:val="0"/>
          <w:sz w:val="24"/>
          <w:szCs w:val="24"/>
          <w:lang w:val="en-US" w:eastAsia="zh-CN" w:bidi="ar"/>
          <w14:textFill>
            <w14:solidFill>
              <w14:schemeClr w14:val="tx1"/>
            </w14:solidFill>
          </w14:textFill>
        </w:rPr>
        <w:t>30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栋鸭舍，则鸭舍冲洗水用水量为</w:t>
      </w:r>
      <w:r>
        <w:rPr>
          <w:rFonts w:hint="eastAsia" w:eastAsia="宋体" w:cs="Times New Roman"/>
          <w:color w:val="000000" w:themeColor="text1"/>
          <w:kern w:val="0"/>
          <w:sz w:val="24"/>
          <w:szCs w:val="24"/>
          <w:lang w:val="en-US" w:eastAsia="zh-CN" w:bidi="ar"/>
          <w14:textFill>
            <w14:solidFill>
              <w14:schemeClr w14:val="tx1"/>
            </w14:solidFill>
          </w14:textFill>
        </w:rPr>
        <w:t>150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批次。</w:t>
      </w:r>
    </w:p>
    <w:p w14:paraId="28D71F9D">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）消毒液、除臭剂</w:t>
      </w:r>
      <w:r>
        <w:rPr>
          <w:rFonts w:hint="eastAsia" w:eastAsia="宋体" w:cs="宋体"/>
          <w:color w:val="000000" w:themeColor="text1"/>
          <w:kern w:val="0"/>
          <w:sz w:val="24"/>
          <w:szCs w:val="24"/>
          <w:lang w:val="en-US" w:eastAsia="zh-CN" w:bidi="ar"/>
          <w14:textFill>
            <w14:solidFill>
              <w14:schemeClr w14:val="tx1"/>
            </w14:solidFill>
          </w14:textFill>
        </w:rPr>
        <w:t>配制</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用水</w:t>
      </w:r>
    </w:p>
    <w:p w14:paraId="371DF37A">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项目鸭舍需要定期喷洒消毒，夏季约三天一次，冬季约每周一次；将消毒液在水中稀释喷洒消毒，配制比例约为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，消毒剂年消耗量为</w:t>
      </w:r>
      <w:r>
        <w:rPr>
          <w:rFonts w:hint="eastAsia" w:eastAsia="宋体"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，消毒液配制用水约为</w:t>
      </w:r>
      <w:r>
        <w:rPr>
          <w:rFonts w:hint="eastAsia" w:eastAsia="宋体" w:cs="Times New Roman"/>
          <w:color w:val="000000" w:themeColor="text1"/>
          <w:kern w:val="0"/>
          <w:sz w:val="24"/>
          <w:szCs w:val="24"/>
          <w:lang w:val="en-US" w:eastAsia="zh-CN" w:bidi="ar"/>
          <w14:textFill>
            <w14:solidFill>
              <w14:schemeClr w14:val="tx1"/>
            </w14:solidFill>
          </w14:textFill>
        </w:rPr>
        <w:t>2000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53253A2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除臭剂稀释比例为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，年使用除臭剂原液</w:t>
      </w:r>
      <w:r>
        <w:rPr>
          <w:rFonts w:hint="eastAsia" w:eastAsia="宋体" w:cs="Times New Roman"/>
          <w:color w:val="000000" w:themeColor="text1"/>
          <w:kern w:val="0"/>
          <w:sz w:val="24"/>
          <w:szCs w:val="24"/>
          <w:lang w:val="en-US" w:eastAsia="zh-CN" w:bidi="ar"/>
          <w14:textFill>
            <w14:solidFill>
              <w14:schemeClr w14:val="tx1"/>
            </w14:solidFill>
          </w14:textFill>
        </w:rPr>
        <w:t>43.8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，则除臭剂稀释用水为</w:t>
      </w:r>
      <w:r>
        <w:rPr>
          <w:rFonts w:hint="eastAsia" w:eastAsia="宋体" w:cs="宋体"/>
          <w:color w:val="000000" w:themeColor="text1"/>
          <w:kern w:val="0"/>
          <w:sz w:val="24"/>
          <w:szCs w:val="24"/>
          <w:lang w:val="en-US" w:eastAsia="zh-CN" w:bidi="ar"/>
          <w14:textFill>
            <w14:solidFill>
              <w14:schemeClr w14:val="tx1"/>
            </w14:solidFill>
          </w14:textFill>
        </w:rPr>
        <w:t>2190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。消毒液、除臭剂配置用水共计需要</w:t>
      </w:r>
      <w:r>
        <w:rPr>
          <w:rFonts w:hint="eastAsia" w:eastAsia="宋体" w:cs="Times New Roman"/>
          <w:color w:val="000000" w:themeColor="text1"/>
          <w:kern w:val="0"/>
          <w:sz w:val="24"/>
          <w:szCs w:val="24"/>
          <w:lang w:val="en-US" w:eastAsia="zh-CN" w:bidi="ar"/>
          <w14:textFill>
            <w14:solidFill>
              <w14:schemeClr w14:val="tx1"/>
            </w14:solidFill>
          </w14:textFill>
        </w:rPr>
        <w:t>4190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0B8C37F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）车辆消毒用水</w:t>
      </w:r>
    </w:p>
    <w:p w14:paraId="6AD4D26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场区进口设有消毒池，出入的运输车辆进场时须先经消毒池消毒。消毒废水经沉淀池沉淀后循环使用，不外排，使用过程中有一定的损耗，消毒补充用水量约为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，则车辆消毒补充用水量为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730m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5E2F6BD4">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（5）生活用水</w:t>
      </w:r>
    </w:p>
    <w:p w14:paraId="2E4C620E">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本项目劳动定员共</w:t>
      </w:r>
      <w:r>
        <w:rPr>
          <w:rFonts w:hint="eastAsia" w:eastAsia="宋体" w:cs="Times New Roman"/>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r>
        <w:rPr>
          <w:rFonts w:hint="eastAsia" w:eastAsia="宋体" w:cs="宋体"/>
          <w:color w:val="000000" w:themeColor="text1"/>
          <w:kern w:val="0"/>
          <w:sz w:val="24"/>
          <w:szCs w:val="24"/>
          <w:lang w:val="en-US" w:eastAsia="zh-CN" w:bidi="ar"/>
          <w14:textFill>
            <w14:solidFill>
              <w14:schemeClr w14:val="tx1"/>
            </w14:solidFill>
          </w14:textFill>
        </w:rPr>
        <w:t>，轮班上岗，日均在岗人数按照15人核算</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w:t>
      </w:r>
      <w:r>
        <w:rPr>
          <w:rFonts w:hint="eastAsia" w:eastAsia="宋体" w:cs="宋体"/>
          <w:color w:val="000000" w:themeColor="text1"/>
          <w:kern w:val="0"/>
          <w:sz w:val="24"/>
          <w:szCs w:val="24"/>
          <w:lang w:val="en-US" w:eastAsia="zh-CN" w:bidi="ar"/>
          <w14:textFill>
            <w14:solidFill>
              <w14:schemeClr w14:val="tx1"/>
            </w14:solidFill>
          </w14:textFill>
        </w:rPr>
        <w:t>平均</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工作</w:t>
      </w:r>
      <w:r>
        <w:rPr>
          <w:rFonts w:hint="eastAsia" w:eastAsia="宋体" w:cs="宋体"/>
          <w:color w:val="000000" w:themeColor="text1"/>
          <w:kern w:val="0"/>
          <w:sz w:val="24"/>
          <w:szCs w:val="24"/>
          <w:lang w:val="en-US" w:eastAsia="zh-CN" w:bidi="ar"/>
          <w14:textFill>
            <w14:solidFill>
              <w14:schemeClr w14:val="tx1"/>
            </w14:solidFill>
          </w14:textFill>
        </w:rPr>
        <w:t>3</w:t>
      </w:r>
      <w:r>
        <w:rPr>
          <w:rFonts w:hint="eastAsia" w:eastAsia="宋体" w:cs="Times New Roman"/>
          <w:color w:val="000000" w:themeColor="text1"/>
          <w:kern w:val="0"/>
          <w:sz w:val="24"/>
          <w:szCs w:val="24"/>
          <w:lang w:val="en-US" w:eastAsia="zh-CN" w:bidi="ar"/>
          <w14:textFill>
            <w14:solidFill>
              <w14:schemeClr w14:val="tx1"/>
            </w14:solidFill>
          </w14:textFill>
        </w:rPr>
        <w:t>50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天，均住宿。则用水定额按</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计，则生活用水量为</w:t>
      </w:r>
      <w:r>
        <w:rPr>
          <w:rFonts w:hint="eastAsia" w:eastAsia="宋体" w:cs="宋体"/>
          <w:color w:val="000000" w:themeColor="text1"/>
          <w:kern w:val="0"/>
          <w:sz w:val="24"/>
          <w:szCs w:val="24"/>
          <w:lang w:val="en-US" w:eastAsia="zh-CN" w:bidi="ar"/>
          <w14:textFill>
            <w14:solidFill>
              <w14:schemeClr w14:val="tx1"/>
            </w14:solidFill>
          </w14:textFill>
        </w:rPr>
        <w:t>1.</w:t>
      </w:r>
      <w:r>
        <w:rPr>
          <w:rFonts w:hint="eastAsia"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420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1F249F9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综上，本项目用水量为</w:t>
      </w:r>
      <w:r>
        <w:rPr>
          <w:rFonts w:hint="eastAsia" w:eastAsia="宋体" w:cs="Times New Roman"/>
          <w:color w:val="000000" w:themeColor="text1"/>
          <w:kern w:val="0"/>
          <w:sz w:val="24"/>
          <w:szCs w:val="24"/>
          <w:lang w:val="en-US" w:eastAsia="zh-CN" w:bidi="ar"/>
          <w14:textFill>
            <w14:solidFill>
              <w14:schemeClr w14:val="tx1"/>
            </w14:solidFill>
          </w14:textFill>
        </w:rPr>
        <w:t>38340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6FEB5C13">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eastAsia="宋体" w:cs="Times New Roman"/>
          <w:b/>
          <w:bCs/>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排水</w:t>
      </w:r>
    </w:p>
    <w:p w14:paraId="1DEBD15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本项目废水主要为职工生活污水、鸭舍冲洗废水和种鸭饮用泄漏水。</w:t>
      </w:r>
    </w:p>
    <w:p w14:paraId="16C6B4F3">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）生活污水（</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W1</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p>
    <w:p w14:paraId="4C8C6410">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项目养殖场生活用水量为</w:t>
      </w:r>
      <w:r>
        <w:rPr>
          <w:rFonts w:hint="eastAsia" w:eastAsia="宋体" w:cs="Times New Roman"/>
          <w:color w:val="000000" w:themeColor="text1"/>
          <w:kern w:val="0"/>
          <w:sz w:val="24"/>
          <w:szCs w:val="24"/>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420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），生活污水排水系数取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，则生活污水产生量为</w:t>
      </w:r>
      <w:r>
        <w:rPr>
          <w:rFonts w:hint="eastAsia" w:eastAsia="宋体" w:cs="Times New Roman"/>
          <w:color w:val="000000" w:themeColor="text1"/>
          <w:kern w:val="0"/>
          <w:sz w:val="24"/>
          <w:szCs w:val="24"/>
          <w:lang w:val="en-US" w:eastAsia="zh-CN" w:bidi="ar"/>
          <w14:textFill>
            <w14:solidFill>
              <w14:schemeClr w14:val="tx1"/>
            </w14:solidFill>
          </w14:textFill>
        </w:rPr>
        <w:t>0.96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336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，本项目生活污水通过管道排入生活区化粪池</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定期抽排到污水处理厂处理</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53A92DD8">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）鸭舍冲洗废水（</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W2</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p>
    <w:p w14:paraId="7653DAA3">
      <w:pPr>
        <w:keepNext w:val="0"/>
        <w:keepLines w:val="0"/>
        <w:pageBreakBefore w:val="0"/>
        <w:widowControl/>
        <w:suppressLineNumbers w:val="0"/>
        <w:kinsoku/>
        <w:wordWrap/>
        <w:overflowPunct/>
        <w:topLinePunct w:val="0"/>
        <w:autoSpaceDE/>
        <w:autoSpaceDN/>
        <w:bidi w:val="0"/>
        <w:adjustRightInd/>
        <w:snapToGrid/>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鸭舍冲洗水用水量为</w:t>
      </w:r>
      <w:r>
        <w:rPr>
          <w:rFonts w:hint="eastAsia" w:eastAsia="宋体" w:cs="Times New Roman"/>
          <w:color w:val="000000" w:themeColor="text1"/>
          <w:kern w:val="0"/>
          <w:sz w:val="24"/>
          <w:szCs w:val="24"/>
          <w:lang w:val="en-US" w:eastAsia="zh-CN" w:bidi="ar"/>
          <w14:textFill>
            <w14:solidFill>
              <w14:schemeClr w14:val="tx1"/>
            </w14:solidFill>
          </w14:textFill>
        </w:rPr>
        <w:t>150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，排水量按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计，则鸭舍冲洗废水产生量约为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eastAsia="宋体" w:cs="Times New Roman"/>
          <w:color w:val="000000" w:themeColor="text1"/>
          <w:kern w:val="0"/>
          <w:sz w:val="24"/>
          <w:szCs w:val="24"/>
          <w:lang w:val="en-US" w:eastAsia="zh-CN" w:bidi="ar"/>
          <w14:textFill>
            <w14:solidFill>
              <w14:schemeClr w14:val="tx1"/>
            </w14:solidFill>
          </w14:textFill>
        </w:rPr>
        <w:t>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本项目鸭舍冲洗废水通过圈尾部排水管排入养殖区污水处理设施（该处理设施和回用水池与生活污水化粪池分开）。</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经</w:t>
      </w:r>
      <w:r>
        <w:rPr>
          <w:rFonts w:hint="eastAsia" w:eastAsia="宋体" w:cs="宋体"/>
          <w:color w:val="000000" w:themeColor="text1"/>
          <w:kern w:val="0"/>
          <w:sz w:val="24"/>
          <w:szCs w:val="24"/>
          <w:lang w:val="en-US" w:eastAsia="zh-CN" w:bidi="ar"/>
          <w14:textFill>
            <w14:solidFill>
              <w14:schemeClr w14:val="tx1"/>
            </w14:solidFill>
          </w14:textFill>
        </w:rPr>
        <w:t>污水处理设施</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处理收集</w:t>
      </w:r>
      <w:r>
        <w:rPr>
          <w:rFonts w:hint="eastAsia" w:eastAsia="宋体" w:cs="宋体"/>
          <w:color w:val="000000" w:themeColor="text1"/>
          <w:kern w:val="0"/>
          <w:sz w:val="24"/>
          <w:szCs w:val="24"/>
          <w:lang w:val="en-US" w:eastAsia="zh-CN" w:bidi="ar"/>
          <w14:textFill>
            <w14:solidFill>
              <w14:schemeClr w14:val="tx1"/>
            </w14:solidFill>
          </w14:textFill>
        </w:rPr>
        <w:t>到回用水池，</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后定期清运至63团3连粪污处理场用于堆肥处理。</w:t>
      </w:r>
    </w:p>
    <w:p w14:paraId="4C40539F">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）鸭只饮用泄漏水（</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w:t>
      </w:r>
    </w:p>
    <w:p w14:paraId="5BC19B02">
      <w:pPr>
        <w:keepNext w:val="0"/>
        <w:keepLines w:val="0"/>
        <w:widowControl/>
        <w:suppressLineNumbers w:val="0"/>
        <w:jc w:val="left"/>
        <w:rPr>
          <w:rFonts w:hint="eastAsia" w:ascii="Times New Roman" w:hAnsi="Times New Roman" w:eastAsia="宋体" w:cs="宋体"/>
          <w:color w:val="000000" w:themeColor="text1"/>
          <w:kern w:val="0"/>
          <w:sz w:val="20"/>
          <w:szCs w:val="20"/>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项目种鸭饮水方式采用先进的节水型乳头饮水器，与水槽式饮水方式相比，泄漏量相对较小。一般泄漏量按照每只种鸭每天饮水量的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计，则鸭只饮用水泄漏废水产生量为</w:t>
      </w:r>
      <w:r>
        <w:rPr>
          <w:rFonts w:hint="eastAsia" w:eastAsia="宋体" w:cs="Times New Roman"/>
          <w:color w:val="000000" w:themeColor="text1"/>
          <w:kern w:val="0"/>
          <w:sz w:val="24"/>
          <w:szCs w:val="24"/>
          <w:lang w:val="en-US" w:eastAsia="zh-CN" w:bidi="ar"/>
          <w14:textFill>
            <w14:solidFill>
              <w14:schemeClr w14:val="tx1"/>
            </w14:solidFill>
          </w14:textFill>
        </w:rPr>
        <w:t>1642.5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经鸭舍集污池收集后排放到养殖区污水处理设施</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处理后用于场区绿化浇灌，不外排</w:t>
      </w:r>
      <w:r>
        <w:rPr>
          <w:rFonts w:hint="eastAsia" w:ascii="Times New Roman" w:hAnsi="Times New Roman" w:eastAsia="宋体" w:cs="宋体"/>
          <w:color w:val="000000" w:themeColor="text1"/>
          <w:kern w:val="0"/>
          <w:sz w:val="20"/>
          <w:szCs w:val="20"/>
          <w:lang w:val="en-US" w:eastAsia="zh-CN" w:bidi="ar"/>
          <w14:textFill>
            <w14:solidFill>
              <w14:schemeClr w14:val="tx1"/>
            </w14:solidFill>
          </w14:textFill>
        </w:rPr>
        <w:t>。</w:t>
      </w:r>
    </w:p>
    <w:p w14:paraId="7A73709C">
      <w:pPr>
        <w:pStyle w:val="61"/>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.2-2   本项目新鲜用水、排水情况一览表</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61"/>
        <w:gridCol w:w="1636"/>
        <w:gridCol w:w="1333"/>
        <w:gridCol w:w="813"/>
        <w:gridCol w:w="1395"/>
        <w:gridCol w:w="1068"/>
        <w:gridCol w:w="1333"/>
      </w:tblGrid>
      <w:tr w14:paraId="464666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34AEE9C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类别</w:t>
            </w:r>
          </w:p>
        </w:tc>
        <w:tc>
          <w:tcPr>
            <w:tcW w:w="925" w:type="pct"/>
            <w:tcBorders>
              <w:tl2br w:val="nil"/>
              <w:tr2bl w:val="nil"/>
            </w:tcBorders>
            <w:vAlign w:val="center"/>
          </w:tcPr>
          <w:p w14:paraId="3BB93AF6">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用水定额</w:t>
            </w:r>
          </w:p>
        </w:tc>
        <w:tc>
          <w:tcPr>
            <w:tcW w:w="754" w:type="pct"/>
            <w:tcBorders>
              <w:tl2br w:val="nil"/>
              <w:tr2bl w:val="nil"/>
            </w:tcBorders>
            <w:vAlign w:val="center"/>
          </w:tcPr>
          <w:p w14:paraId="0CF4F0E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数量/面积</w:t>
            </w:r>
          </w:p>
        </w:tc>
        <w:tc>
          <w:tcPr>
            <w:tcW w:w="459" w:type="pct"/>
            <w:tcBorders>
              <w:tl2br w:val="nil"/>
              <w:tr2bl w:val="nil"/>
            </w:tcBorders>
            <w:vAlign w:val="center"/>
          </w:tcPr>
          <w:p w14:paraId="4F60027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时间</w:t>
            </w:r>
          </w:p>
        </w:tc>
        <w:tc>
          <w:tcPr>
            <w:tcW w:w="789" w:type="pct"/>
            <w:tcBorders>
              <w:tl2br w:val="nil"/>
              <w:tr2bl w:val="nil"/>
            </w:tcBorders>
            <w:vAlign w:val="center"/>
          </w:tcPr>
          <w:p w14:paraId="59B5AFD8">
            <w:pPr>
              <w:pStyle w:val="56"/>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用水量（m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lang w:val="en-US" w:eastAsia="zh-CN"/>
                <w14:textFill>
                  <w14:solidFill>
                    <w14:schemeClr w14:val="tx1"/>
                  </w14:solidFill>
                </w14:textFill>
              </w:rPr>
              <w:t>/a）</w:t>
            </w:r>
          </w:p>
        </w:tc>
        <w:tc>
          <w:tcPr>
            <w:tcW w:w="604" w:type="pct"/>
            <w:tcBorders>
              <w:tl2br w:val="nil"/>
              <w:tr2bl w:val="nil"/>
            </w:tcBorders>
            <w:vAlign w:val="center"/>
          </w:tcPr>
          <w:p w14:paraId="61930F3F">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排污系数</w:t>
            </w:r>
          </w:p>
        </w:tc>
        <w:tc>
          <w:tcPr>
            <w:tcW w:w="754" w:type="pct"/>
            <w:tcBorders>
              <w:tl2br w:val="nil"/>
              <w:tr2bl w:val="nil"/>
            </w:tcBorders>
            <w:vAlign w:val="center"/>
          </w:tcPr>
          <w:p w14:paraId="06293891">
            <w:pPr>
              <w:pStyle w:val="56"/>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排水量（m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vertAlign w:val="baseline"/>
                <w:lang w:val="en-US" w:eastAsia="zh-CN"/>
                <w14:textFill>
                  <w14:solidFill>
                    <w14:schemeClr w14:val="tx1"/>
                  </w14:solidFill>
                </w14:textFill>
              </w:rPr>
              <w:t>/a</w:t>
            </w:r>
            <w:r>
              <w:rPr>
                <w:rFonts w:hint="eastAsia" w:ascii="Times New Roman" w:hAnsi="Times New Roman"/>
                <w:color w:val="000000" w:themeColor="text1"/>
                <w:sz w:val="21"/>
                <w:szCs w:val="21"/>
                <w:lang w:val="en-US" w:eastAsia="zh-CN"/>
                <w14:textFill>
                  <w14:solidFill>
                    <w14:schemeClr w14:val="tx1"/>
                  </w14:solidFill>
                </w14:textFill>
              </w:rPr>
              <w:t>）</w:t>
            </w:r>
          </w:p>
        </w:tc>
      </w:tr>
      <w:tr w14:paraId="5C5CDF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4C6ECBE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种鸭饮用水</w:t>
            </w:r>
          </w:p>
        </w:tc>
        <w:tc>
          <w:tcPr>
            <w:tcW w:w="925" w:type="pct"/>
            <w:tcBorders>
              <w:tl2br w:val="nil"/>
              <w:tr2bl w:val="nil"/>
            </w:tcBorders>
            <w:vAlign w:val="center"/>
          </w:tcPr>
          <w:p w14:paraId="2398BBC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0.5L/d.羽</w:t>
            </w:r>
          </w:p>
        </w:tc>
        <w:tc>
          <w:tcPr>
            <w:tcW w:w="754" w:type="pct"/>
            <w:tcBorders>
              <w:tl2br w:val="nil"/>
              <w:tr2bl w:val="nil"/>
            </w:tcBorders>
            <w:vAlign w:val="center"/>
          </w:tcPr>
          <w:p w14:paraId="08A253F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r>
              <w:rPr>
                <w:rFonts w:hint="eastAsia" w:ascii="Times New Roman" w:hAnsi="Times New Roman"/>
                <w:color w:val="000000" w:themeColor="text1"/>
                <w:szCs w:val="21"/>
                <w:lang w:val="en-US" w:eastAsia="zh-CN"/>
                <w14:textFill>
                  <w14:solidFill>
                    <w14:schemeClr w14:val="tx1"/>
                  </w14:solidFill>
                </w14:textFill>
              </w:rPr>
              <w:t>万只</w:t>
            </w:r>
          </w:p>
        </w:tc>
        <w:tc>
          <w:tcPr>
            <w:tcW w:w="459" w:type="pct"/>
            <w:tcBorders>
              <w:tl2br w:val="nil"/>
              <w:tr2bl w:val="nil"/>
            </w:tcBorders>
            <w:vAlign w:val="center"/>
          </w:tcPr>
          <w:p w14:paraId="19C3322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2BEB8BB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32850</w:t>
            </w:r>
          </w:p>
        </w:tc>
        <w:tc>
          <w:tcPr>
            <w:tcW w:w="604" w:type="pct"/>
            <w:tcBorders>
              <w:tl2br w:val="nil"/>
              <w:tr2bl w:val="nil"/>
            </w:tcBorders>
            <w:vAlign w:val="center"/>
          </w:tcPr>
          <w:p w14:paraId="6F95221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0.05</w:t>
            </w:r>
          </w:p>
        </w:tc>
        <w:tc>
          <w:tcPr>
            <w:tcW w:w="754" w:type="pct"/>
            <w:tcBorders>
              <w:tl2br w:val="nil"/>
              <w:tr2bl w:val="nil"/>
            </w:tcBorders>
            <w:vAlign w:val="center"/>
          </w:tcPr>
          <w:p w14:paraId="36E446A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1642.5</w:t>
            </w:r>
          </w:p>
        </w:tc>
      </w:tr>
      <w:tr w14:paraId="58E7A1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22DAFE26">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鸭舍冲洗用水</w:t>
            </w:r>
          </w:p>
        </w:tc>
        <w:tc>
          <w:tcPr>
            <w:tcW w:w="925" w:type="pct"/>
            <w:tcBorders>
              <w:tl2br w:val="nil"/>
              <w:tr2bl w:val="nil"/>
            </w:tcBorders>
            <w:vAlign w:val="center"/>
          </w:tcPr>
          <w:p w14:paraId="1D490718">
            <w:pPr>
              <w:pStyle w:val="56"/>
              <w:rPr>
                <w:rFonts w:hint="default" w:ascii="Times New Roman" w:hAnsi="Times New Roman"/>
                <w:color w:val="000000" w:themeColor="text1"/>
                <w:szCs w:val="21"/>
                <w:vertAlign w:val="baseline"/>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/栋.a</w:t>
            </w:r>
          </w:p>
        </w:tc>
        <w:tc>
          <w:tcPr>
            <w:tcW w:w="754" w:type="pct"/>
            <w:tcBorders>
              <w:tl2br w:val="nil"/>
              <w:tr2bl w:val="nil"/>
            </w:tcBorders>
            <w:vAlign w:val="center"/>
          </w:tcPr>
          <w:p w14:paraId="4B94DDAA">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r>
              <w:rPr>
                <w:rFonts w:hint="eastAsia" w:ascii="Times New Roman" w:hAnsi="Times New Roman"/>
                <w:color w:val="000000" w:themeColor="text1"/>
                <w:szCs w:val="21"/>
                <w:lang w:val="en-US" w:eastAsia="zh-CN"/>
                <w14:textFill>
                  <w14:solidFill>
                    <w14:schemeClr w14:val="tx1"/>
                  </w14:solidFill>
                </w14:textFill>
              </w:rPr>
              <w:t>栋</w:t>
            </w:r>
          </w:p>
        </w:tc>
        <w:tc>
          <w:tcPr>
            <w:tcW w:w="459" w:type="pct"/>
            <w:tcBorders>
              <w:tl2br w:val="nil"/>
              <w:tr2bl w:val="nil"/>
            </w:tcBorders>
            <w:vAlign w:val="center"/>
          </w:tcPr>
          <w:p w14:paraId="7CCFDFDA">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068DF6F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150</w:t>
            </w:r>
          </w:p>
        </w:tc>
        <w:tc>
          <w:tcPr>
            <w:tcW w:w="604" w:type="pct"/>
            <w:tcBorders>
              <w:tl2br w:val="nil"/>
              <w:tr2bl w:val="nil"/>
            </w:tcBorders>
            <w:vAlign w:val="center"/>
          </w:tcPr>
          <w:p w14:paraId="3BE534D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0.8</w:t>
            </w:r>
          </w:p>
        </w:tc>
        <w:tc>
          <w:tcPr>
            <w:tcW w:w="754" w:type="pct"/>
            <w:tcBorders>
              <w:tl2br w:val="nil"/>
              <w:tr2bl w:val="nil"/>
            </w:tcBorders>
            <w:vAlign w:val="center"/>
          </w:tcPr>
          <w:p w14:paraId="28DBC783">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w:t>
            </w:r>
          </w:p>
        </w:tc>
      </w:tr>
      <w:tr w14:paraId="28763B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74E608E0">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消毒液、除臭剂</w:t>
            </w:r>
            <w:r>
              <w:rPr>
                <w:rFonts w:hint="eastAsia"/>
                <w:color w:val="000000" w:themeColor="text1"/>
                <w:szCs w:val="21"/>
                <w:lang w:val="en-US" w:eastAsia="zh-CN"/>
                <w14:textFill>
                  <w14:solidFill>
                    <w14:schemeClr w14:val="tx1"/>
                  </w14:solidFill>
                </w14:textFill>
              </w:rPr>
              <w:t>配制</w:t>
            </w:r>
            <w:r>
              <w:rPr>
                <w:rFonts w:hint="eastAsia" w:ascii="Times New Roman" w:hAnsi="Times New Roman"/>
                <w:color w:val="000000" w:themeColor="text1"/>
                <w:szCs w:val="21"/>
                <w:lang w:val="en-US" w:eastAsia="zh-CN"/>
                <w14:textFill>
                  <w14:solidFill>
                    <w14:schemeClr w14:val="tx1"/>
                  </w14:solidFill>
                </w14:textFill>
              </w:rPr>
              <w:t>用水</w:t>
            </w:r>
          </w:p>
        </w:tc>
        <w:tc>
          <w:tcPr>
            <w:tcW w:w="925" w:type="pct"/>
            <w:tcBorders>
              <w:tl2br w:val="nil"/>
              <w:tr2bl w:val="nil"/>
            </w:tcBorders>
            <w:vAlign w:val="center"/>
          </w:tcPr>
          <w:p w14:paraId="4946FD7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消毒配比1:200，除臭配比1:50</w:t>
            </w:r>
          </w:p>
        </w:tc>
        <w:tc>
          <w:tcPr>
            <w:tcW w:w="754" w:type="pct"/>
            <w:tcBorders>
              <w:tl2br w:val="nil"/>
              <w:tr2bl w:val="nil"/>
            </w:tcBorders>
            <w:vAlign w:val="center"/>
          </w:tcPr>
          <w:p w14:paraId="4E766FA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消毒剂</w:t>
            </w:r>
            <w:r>
              <w:rPr>
                <w:rFonts w:hint="eastAsia"/>
                <w:color w:val="000000" w:themeColor="text1"/>
                <w:szCs w:val="21"/>
                <w:lang w:val="en-US" w:eastAsia="zh-CN"/>
                <w14:textFill>
                  <w14:solidFill>
                    <w14:schemeClr w14:val="tx1"/>
                  </w14:solidFill>
                </w14:textFill>
              </w:rPr>
              <w:t>10</w:t>
            </w:r>
            <w:r>
              <w:rPr>
                <w:rFonts w:hint="eastAsia" w:ascii="Times New Roman" w:hAnsi="Times New Roman"/>
                <w:color w:val="000000" w:themeColor="text1"/>
                <w:szCs w:val="21"/>
                <w:lang w:val="en-US" w:eastAsia="zh-CN"/>
                <w14:textFill>
                  <w14:solidFill>
                    <w14:schemeClr w14:val="tx1"/>
                  </w14:solidFill>
                </w14:textFill>
              </w:rPr>
              <w:t>t/a，除臭剂</w:t>
            </w:r>
            <w:r>
              <w:rPr>
                <w:rFonts w:hint="eastAsia"/>
                <w:color w:val="000000" w:themeColor="text1"/>
                <w:szCs w:val="21"/>
                <w:lang w:val="en-US" w:eastAsia="zh-CN"/>
                <w14:textFill>
                  <w14:solidFill>
                    <w14:schemeClr w14:val="tx1"/>
                  </w14:solidFill>
                </w14:textFill>
              </w:rPr>
              <w:t>43.8</w:t>
            </w:r>
            <w:r>
              <w:rPr>
                <w:rFonts w:hint="eastAsia" w:ascii="Times New Roman" w:hAnsi="Times New Roman"/>
                <w:color w:val="000000" w:themeColor="text1"/>
                <w:szCs w:val="21"/>
                <w:lang w:val="en-US" w:eastAsia="zh-CN"/>
                <w14:textFill>
                  <w14:solidFill>
                    <w14:schemeClr w14:val="tx1"/>
                  </w14:solidFill>
                </w14:textFill>
              </w:rPr>
              <w:t>t/a</w:t>
            </w:r>
          </w:p>
        </w:tc>
        <w:tc>
          <w:tcPr>
            <w:tcW w:w="459" w:type="pct"/>
            <w:tcBorders>
              <w:tl2br w:val="nil"/>
              <w:tr2bl w:val="nil"/>
            </w:tcBorders>
            <w:vAlign w:val="center"/>
          </w:tcPr>
          <w:p w14:paraId="655C3D62">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7FCBEC8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4190</w:t>
            </w:r>
          </w:p>
        </w:tc>
        <w:tc>
          <w:tcPr>
            <w:tcW w:w="604" w:type="pct"/>
            <w:tcBorders>
              <w:tl2br w:val="nil"/>
              <w:tr2bl w:val="nil"/>
            </w:tcBorders>
            <w:vAlign w:val="center"/>
          </w:tcPr>
          <w:p w14:paraId="583B286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c>
          <w:tcPr>
            <w:tcW w:w="754" w:type="pct"/>
            <w:tcBorders>
              <w:tl2br w:val="nil"/>
              <w:tr2bl w:val="nil"/>
            </w:tcBorders>
            <w:vAlign w:val="center"/>
          </w:tcPr>
          <w:p w14:paraId="5F097D2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r>
      <w:tr w14:paraId="21701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78A8C001">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车辆</w:t>
            </w:r>
            <w:r>
              <w:rPr>
                <w:rFonts w:hint="eastAsia"/>
                <w:color w:val="000000" w:themeColor="text1"/>
                <w:szCs w:val="21"/>
                <w:lang w:val="en-US" w:eastAsia="zh-CN"/>
                <w14:textFill>
                  <w14:solidFill>
                    <w14:schemeClr w14:val="tx1"/>
                  </w14:solidFill>
                </w14:textFill>
              </w:rPr>
              <w:t>人员</w:t>
            </w:r>
            <w:r>
              <w:rPr>
                <w:rFonts w:hint="eastAsia" w:ascii="Times New Roman" w:hAnsi="Times New Roman"/>
                <w:color w:val="000000" w:themeColor="text1"/>
                <w:szCs w:val="21"/>
                <w:lang w:val="en-US" w:eastAsia="zh-CN"/>
                <w14:textFill>
                  <w14:solidFill>
                    <w14:schemeClr w14:val="tx1"/>
                  </w14:solidFill>
                </w14:textFill>
              </w:rPr>
              <w:t>消毒用水</w:t>
            </w:r>
          </w:p>
        </w:tc>
        <w:tc>
          <w:tcPr>
            <w:tcW w:w="925" w:type="pct"/>
            <w:tcBorders>
              <w:tl2br w:val="nil"/>
              <w:tr2bl w:val="nil"/>
            </w:tcBorders>
            <w:vAlign w:val="center"/>
          </w:tcPr>
          <w:p w14:paraId="515B6B5A">
            <w:pPr>
              <w:pStyle w:val="56"/>
              <w:rPr>
                <w:rFonts w:hint="default" w:ascii="Times New Roman" w:hAnsi="Times New Roman"/>
                <w:color w:val="000000" w:themeColor="text1"/>
                <w:szCs w:val="21"/>
                <w:vertAlign w:val="baseline"/>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2m</w:t>
            </w:r>
            <w:r>
              <w:rPr>
                <w:rFonts w:hint="eastAsia" w:ascii="Times New Roman" w:hAnsi="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olor w:val="000000" w:themeColor="text1"/>
                <w:szCs w:val="21"/>
                <w:vertAlign w:val="baseline"/>
                <w:lang w:val="en-US" w:eastAsia="zh-CN"/>
                <w14:textFill>
                  <w14:solidFill>
                    <w14:schemeClr w14:val="tx1"/>
                  </w14:solidFill>
                </w14:textFill>
              </w:rPr>
              <w:t>/d</w:t>
            </w:r>
          </w:p>
        </w:tc>
        <w:tc>
          <w:tcPr>
            <w:tcW w:w="754" w:type="pct"/>
            <w:tcBorders>
              <w:tl2br w:val="nil"/>
              <w:tr2bl w:val="nil"/>
            </w:tcBorders>
            <w:vAlign w:val="center"/>
          </w:tcPr>
          <w:p w14:paraId="6B35E21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459" w:type="pct"/>
            <w:tcBorders>
              <w:tl2br w:val="nil"/>
              <w:tr2bl w:val="nil"/>
            </w:tcBorders>
            <w:vAlign w:val="center"/>
          </w:tcPr>
          <w:p w14:paraId="6E5D582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5C97ACB6">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730</w:t>
            </w:r>
          </w:p>
        </w:tc>
        <w:tc>
          <w:tcPr>
            <w:tcW w:w="604" w:type="pct"/>
            <w:tcBorders>
              <w:tl2br w:val="nil"/>
              <w:tr2bl w:val="nil"/>
            </w:tcBorders>
            <w:vAlign w:val="center"/>
          </w:tcPr>
          <w:p w14:paraId="1E6B05A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c>
          <w:tcPr>
            <w:tcW w:w="754" w:type="pct"/>
            <w:tcBorders>
              <w:tl2br w:val="nil"/>
              <w:tr2bl w:val="nil"/>
            </w:tcBorders>
            <w:vAlign w:val="center"/>
          </w:tcPr>
          <w:p w14:paraId="56FACB27">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p>
        </w:tc>
      </w:tr>
      <w:tr w14:paraId="377382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3" w:type="pct"/>
            <w:tcBorders>
              <w:tl2br w:val="nil"/>
              <w:tr2bl w:val="nil"/>
            </w:tcBorders>
            <w:vAlign w:val="center"/>
          </w:tcPr>
          <w:p w14:paraId="12E59DA7">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生活用水</w:t>
            </w:r>
          </w:p>
        </w:tc>
        <w:tc>
          <w:tcPr>
            <w:tcW w:w="925" w:type="pct"/>
            <w:tcBorders>
              <w:tl2br w:val="nil"/>
              <w:tr2bl w:val="nil"/>
            </w:tcBorders>
            <w:vAlign w:val="center"/>
          </w:tcPr>
          <w:p w14:paraId="56261A45">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w:t>
            </w:r>
            <w:r>
              <w:rPr>
                <w:rFonts w:hint="default" w:ascii="Times New Roman" w:hAnsi="Times New Roman"/>
                <w:color w:val="000000" w:themeColor="text1"/>
                <w:szCs w:val="21"/>
                <w:lang w:val="en-US" w:eastAsia="zh-CN"/>
                <w14:textFill>
                  <w14:solidFill>
                    <w14:schemeClr w14:val="tx1"/>
                  </w14:solidFill>
                </w14:textFill>
              </w:rPr>
              <w:t>L/</w:t>
            </w:r>
            <w:r>
              <w:rPr>
                <w:rFonts w:hint="eastAsia" w:ascii="Times New Roman" w:hAnsi="Times New Roman"/>
                <w:color w:val="000000" w:themeColor="text1"/>
                <w:szCs w:val="21"/>
                <w:lang w:val="en-US" w:eastAsia="zh-CN"/>
                <w14:textFill>
                  <w14:solidFill>
                    <w14:schemeClr w14:val="tx1"/>
                  </w14:solidFill>
                </w14:textFill>
              </w:rPr>
              <w:t>人</w:t>
            </w:r>
            <w:r>
              <w:rPr>
                <w:rFonts w:hint="default" w:ascii="Times New Roman" w:hAnsi="Times New Roman"/>
                <w:color w:val="000000" w:themeColor="text1"/>
                <w:szCs w:val="21"/>
                <w:lang w:val="en-US" w:eastAsia="zh-CN"/>
                <w14:textFill>
                  <w14:solidFill>
                    <w14:schemeClr w14:val="tx1"/>
                  </w14:solidFill>
                </w14:textFill>
              </w:rPr>
              <w:t>·d</w:t>
            </w:r>
          </w:p>
        </w:tc>
        <w:tc>
          <w:tcPr>
            <w:tcW w:w="754" w:type="pct"/>
            <w:tcBorders>
              <w:tl2br w:val="nil"/>
              <w:tr2bl w:val="nil"/>
            </w:tcBorders>
            <w:vAlign w:val="center"/>
          </w:tcPr>
          <w:p w14:paraId="5799596E">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r>
              <w:rPr>
                <w:rFonts w:hint="eastAsia" w:ascii="Times New Roman" w:hAnsi="Times New Roman"/>
                <w:color w:val="000000" w:themeColor="text1"/>
                <w:szCs w:val="21"/>
                <w:lang w:val="en-US" w:eastAsia="zh-CN"/>
                <w14:textFill>
                  <w14:solidFill>
                    <w14:schemeClr w14:val="tx1"/>
                  </w14:solidFill>
                </w14:textFill>
              </w:rPr>
              <w:t>人</w:t>
            </w:r>
          </w:p>
        </w:tc>
        <w:tc>
          <w:tcPr>
            <w:tcW w:w="459" w:type="pct"/>
            <w:tcBorders>
              <w:tl2br w:val="nil"/>
              <w:tr2bl w:val="nil"/>
            </w:tcBorders>
            <w:vAlign w:val="center"/>
          </w:tcPr>
          <w:p w14:paraId="1B325DE9">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1a</w:t>
            </w:r>
          </w:p>
        </w:tc>
        <w:tc>
          <w:tcPr>
            <w:tcW w:w="789" w:type="pct"/>
            <w:tcBorders>
              <w:tl2br w:val="nil"/>
              <w:tr2bl w:val="nil"/>
            </w:tcBorders>
            <w:vAlign w:val="center"/>
          </w:tcPr>
          <w:p w14:paraId="5977307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420</w:t>
            </w:r>
          </w:p>
        </w:tc>
        <w:tc>
          <w:tcPr>
            <w:tcW w:w="604" w:type="pct"/>
            <w:tcBorders>
              <w:tl2br w:val="nil"/>
              <w:tr2bl w:val="nil"/>
            </w:tcBorders>
            <w:vAlign w:val="center"/>
          </w:tcPr>
          <w:p w14:paraId="1B6B8817">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0.8</w:t>
            </w:r>
          </w:p>
        </w:tc>
        <w:tc>
          <w:tcPr>
            <w:tcW w:w="754" w:type="pct"/>
            <w:tcBorders>
              <w:tl2br w:val="nil"/>
              <w:tr2bl w:val="nil"/>
            </w:tcBorders>
            <w:vAlign w:val="center"/>
          </w:tcPr>
          <w:p w14:paraId="37D00BF6">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336</w:t>
            </w:r>
          </w:p>
        </w:tc>
      </w:tr>
      <w:tr w14:paraId="23CAD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52" w:type="pct"/>
            <w:gridSpan w:val="4"/>
            <w:tcBorders>
              <w:tl2br w:val="nil"/>
              <w:tr2bl w:val="nil"/>
            </w:tcBorders>
            <w:vAlign w:val="center"/>
          </w:tcPr>
          <w:p w14:paraId="563FA55A">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合计</w:t>
            </w:r>
          </w:p>
        </w:tc>
        <w:tc>
          <w:tcPr>
            <w:tcW w:w="1395" w:type="dxa"/>
            <w:tcBorders>
              <w:tl2br w:val="nil"/>
              <w:tr2bl w:val="nil"/>
            </w:tcBorders>
            <w:vAlign w:val="center"/>
          </w:tcPr>
          <w:p w14:paraId="7E431C0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38340</w:t>
            </w:r>
          </w:p>
        </w:tc>
        <w:tc>
          <w:tcPr>
            <w:tcW w:w="1068" w:type="dxa"/>
            <w:tcBorders>
              <w:tl2br w:val="nil"/>
              <w:tr2bl w:val="nil"/>
            </w:tcBorders>
            <w:vAlign w:val="center"/>
          </w:tcPr>
          <w:p w14:paraId="34C1F60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33" w:type="dxa"/>
            <w:tcBorders>
              <w:tl2br w:val="nil"/>
              <w:tr2bl w:val="nil"/>
            </w:tcBorders>
            <w:vAlign w:val="center"/>
          </w:tcPr>
          <w:p w14:paraId="09735632">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2098.5</w:t>
            </w:r>
          </w:p>
        </w:tc>
      </w:tr>
    </w:tbl>
    <w:p w14:paraId="005D173A">
      <w:pPr>
        <w:pStyle w:val="11"/>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cs="宋体"/>
          <w:color w:val="000000" w:themeColor="text1"/>
          <w:kern w:val="0"/>
          <w:sz w:val="24"/>
          <w:szCs w:val="24"/>
          <w:lang w:val="en-US" w:eastAsia="zh-CN" w:bidi="ar"/>
          <w14:textFill>
            <w14:solidFill>
              <w14:schemeClr w14:val="tx1"/>
            </w14:solidFill>
          </w14:textFill>
        </w:rPr>
        <w:t>本项目</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水平衡见下图。</w:t>
      </w:r>
    </w:p>
    <w:p w14:paraId="1B003184">
      <w:pPr>
        <w:pStyle w:val="11"/>
        <w:ind w:left="0" w:leftChars="0" w:firstLine="0" w:firstLineChars="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5609590" cy="2672715"/>
            <wp:effectExtent l="0" t="0" r="10160" b="13335"/>
            <wp:docPr id="31" name="图片 31" descr="db6436a7-0e03-486b-ae11-07f166ccf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b6436a7-0e03-486b-ae11-07f166ccf4b5"/>
                    <pic:cNvPicPr>
                      <a:picLocks noChangeAspect="1"/>
                    </pic:cNvPicPr>
                  </pic:nvPicPr>
                  <pic:blipFill>
                    <a:blip r:embed="rId30"/>
                    <a:stretch>
                      <a:fillRect/>
                    </a:stretch>
                  </pic:blipFill>
                  <pic:spPr>
                    <a:xfrm>
                      <a:off x="0" y="0"/>
                      <a:ext cx="5609590" cy="2672715"/>
                    </a:xfrm>
                    <a:prstGeom prst="rect">
                      <a:avLst/>
                    </a:prstGeom>
                  </pic:spPr>
                </pic:pic>
              </a:graphicData>
            </a:graphic>
          </wp:inline>
        </w:drawing>
      </w:r>
    </w:p>
    <w:p w14:paraId="441CCE55">
      <w:pPr>
        <w:pStyle w:val="11"/>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图3.2-1         本项目水平衡图     单位：m</w:t>
      </w:r>
      <w:r>
        <w:rPr>
          <w:rFonts w:hint="eastAsia" w:ascii="Times New Roman" w:hAnsi="Times New Roman"/>
          <w:b/>
          <w:bCs/>
          <w:color w:val="000000" w:themeColor="text1"/>
          <w:vertAlign w:val="superscript"/>
          <w:lang w:val="en-US" w:eastAsia="zh-CN"/>
          <w14:textFill>
            <w14:solidFill>
              <w14:schemeClr w14:val="tx1"/>
            </w14:solidFill>
          </w14:textFill>
        </w:rPr>
        <w:t>3</w:t>
      </w:r>
      <w:r>
        <w:rPr>
          <w:rFonts w:hint="eastAsia" w:ascii="Times New Roman" w:hAnsi="Times New Roman"/>
          <w:b/>
          <w:bCs/>
          <w:color w:val="000000" w:themeColor="text1"/>
          <w:lang w:val="en-US" w:eastAsia="zh-CN"/>
          <w14:textFill>
            <w14:solidFill>
              <w14:schemeClr w14:val="tx1"/>
            </w14:solidFill>
          </w14:textFill>
        </w:rPr>
        <w:t>/a</w:t>
      </w:r>
    </w:p>
    <w:p w14:paraId="3B4B4C5B">
      <w:pPr>
        <w:pStyle w:val="5"/>
        <w:ind w:left="12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供电</w:t>
      </w:r>
    </w:p>
    <w:p w14:paraId="3B198537">
      <w:pPr>
        <w:rPr>
          <w:rFonts w:ascii="Times New Roman" w:hAnsi="Times New Roman"/>
          <w:color w:val="000000" w:themeColor="text1"/>
          <w:highlight w:val="magenta"/>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本项目区域用电由当地变电站供给，能够满足项目用电要求。场区进线</w:t>
      </w:r>
      <w:r>
        <w:rPr>
          <w:rFonts w:hint="eastAsia" w:eastAsia="宋体" w:cs="宋体"/>
          <w:color w:val="000000" w:themeColor="text1"/>
          <w:kern w:val="0"/>
          <w:sz w:val="24"/>
          <w:szCs w:val="24"/>
          <w:lang w:val="en-US" w:eastAsia="zh-CN" w:bidi="ar"/>
          <w14:textFill>
            <w14:solidFill>
              <w14:schemeClr w14:val="tx1"/>
            </w14:solidFill>
          </w14:textFill>
        </w:rPr>
        <w:t>引自6连</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10kV</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专用线供电，设备均为低压配电设备，配电电压为</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220/380V</w:t>
      </w:r>
      <w:r>
        <w:rPr>
          <w:rFonts w:hint="eastAsia" w:eastAsia="宋体" w:cs="宋体"/>
          <w:color w:val="000000" w:themeColor="text1"/>
          <w:kern w:val="0"/>
          <w:sz w:val="24"/>
          <w:szCs w:val="24"/>
          <w:lang w:val="en-US" w:eastAsia="zh-CN" w:bidi="ar"/>
          <w14:textFill>
            <w14:solidFill>
              <w14:schemeClr w14:val="tx1"/>
            </w14:solidFill>
          </w14:textFill>
        </w:rPr>
        <w:t>，可以满足养殖场需要</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0BB70D0B">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供热</w:t>
      </w:r>
    </w:p>
    <w:p w14:paraId="6611A670">
      <w:pPr>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项目办公用房、宿舍和鸭舍冬季采暖均使用电暖器；鸭舍夏季降温采用风机进行通风降温。</w:t>
      </w:r>
    </w:p>
    <w:p w14:paraId="33D0C651">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通风</w:t>
      </w:r>
    </w:p>
    <w:p w14:paraId="06DEA36E">
      <w:pP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通风换气是环境控制的主要部分，因为鸭在不停地呼吸，就要不停地吸收氧气，排出二氧化碳，使空气中的成分发生改变；如果不进行通风换气，空气中的氧气就会逐渐减少，二氧化碳就会逐渐增多，粪产生的有害气体如硫化氢、氨气等也会增多，当这些有害气体的比例达到一定程度的时候，就会对鸭造成伤害。本项目鸭舍通风采用机械通风系统，鸭舍装有换风机，有利于空气对流，以便鸭舍臭气通过抽风机通风口排出舍外。</w:t>
      </w:r>
    </w:p>
    <w:p w14:paraId="072D9F63">
      <w:pPr>
        <w:pStyle w:val="5"/>
        <w:ind w:left="12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其他依托工程</w:t>
      </w:r>
    </w:p>
    <w:p w14:paraId="6B2AE240">
      <w:pPr>
        <w:keepNext w:val="0"/>
        <w:keepLines w:val="0"/>
        <w:widowControl/>
        <w:suppressLineNumbers w:val="0"/>
        <w:jc w:val="left"/>
        <w:rPr>
          <w:rFonts w:hint="eastAsia"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伊宁市病死畜禽无害化处理中心位于伊宁市英也尔镇南台子沟，2023年3月建成投产，采用高温干</w:t>
      </w:r>
      <w:r>
        <w:rPr>
          <w:rFonts w:hint="eastAsia" w:ascii="Times New Roman" w:hAnsi="Times New Roman" w:cs="Times New Roman"/>
          <w:color w:val="000000" w:themeColor="text1"/>
          <w:lang w:eastAsia="zh-CN"/>
          <w14:textFill>
            <w14:solidFill>
              <w14:schemeClr w14:val="tx1"/>
            </w14:solidFill>
          </w14:textFill>
        </w:rPr>
        <w:t>化</w:t>
      </w:r>
      <w:r>
        <w:rPr>
          <w:rFonts w:ascii="Times New Roman" w:hAnsi="Times New Roman" w:cs="Times New Roman"/>
          <w:color w:val="000000" w:themeColor="text1"/>
          <w14:textFill>
            <w14:solidFill>
              <w14:schemeClr w14:val="tx1"/>
            </w14:solidFill>
          </w14:textFill>
        </w:rPr>
        <w:t>制无害化处理工艺，建成可实现无害化处理病死畜禽3000t/a。项目</w:t>
      </w:r>
      <w:r>
        <w:rPr>
          <w:rFonts w:hint="eastAsia" w:cs="Times New Roman"/>
          <w:color w:val="000000" w:themeColor="text1"/>
          <w:lang w:val="en-US" w:eastAsia="zh-CN"/>
          <w14:textFill>
            <w14:solidFill>
              <w14:schemeClr w14:val="tx1"/>
            </w14:solidFill>
          </w14:textFill>
        </w:rPr>
        <w:t>淘汰鸭、</w:t>
      </w:r>
      <w:r>
        <w:rPr>
          <w:rFonts w:ascii="Times New Roman" w:hAnsi="Times New Roman" w:cs="Times New Roman"/>
          <w:color w:val="000000" w:themeColor="text1"/>
          <w:lang w:val="zh-CN"/>
          <w14:textFill>
            <w14:solidFill>
              <w14:schemeClr w14:val="tx1"/>
            </w14:solidFill>
          </w14:textFill>
        </w:rPr>
        <w:t>病死</w:t>
      </w:r>
      <w:r>
        <w:rPr>
          <w:rFonts w:hint="eastAsia" w:ascii="Times New Roman" w:hAnsi="Times New Roman" w:cs="Times New Roman"/>
          <w:color w:val="000000" w:themeColor="text1"/>
          <w:lang w:val="en-US" w:eastAsia="zh-CN"/>
          <w14:textFill>
            <w14:solidFill>
              <w14:schemeClr w14:val="tx1"/>
            </w14:solidFill>
          </w14:textFill>
        </w:rPr>
        <w:t>鸭</w:t>
      </w:r>
      <w:r>
        <w:rPr>
          <w:rFonts w:ascii="Times New Roman" w:hAnsi="Times New Roman" w:cs="Times New Roman"/>
          <w:color w:val="000000" w:themeColor="text1"/>
          <w:lang w:val="zh-CN"/>
          <w14:textFill>
            <w14:solidFill>
              <w14:schemeClr w14:val="tx1"/>
            </w14:solidFill>
          </w14:textFill>
        </w:rPr>
        <w:t>尸体</w:t>
      </w:r>
      <w:r>
        <w:rPr>
          <w:rFonts w:ascii="Times New Roman" w:hAnsi="Times New Roman" w:cs="Times New Roman"/>
          <w:color w:val="000000" w:themeColor="text1"/>
          <w14:textFill>
            <w14:solidFill>
              <w14:schemeClr w14:val="tx1"/>
            </w14:solidFill>
          </w14:textFill>
        </w:rPr>
        <w:t>可</w:t>
      </w:r>
      <w:r>
        <w:rPr>
          <w:rFonts w:ascii="Times New Roman" w:hAnsi="Times New Roman" w:cs="Times New Roman"/>
          <w:color w:val="000000" w:themeColor="text1"/>
          <w:lang w:val="zh-CN"/>
          <w14:textFill>
            <w14:solidFill>
              <w14:schemeClr w14:val="tx1"/>
            </w14:solidFill>
          </w14:textFill>
        </w:rPr>
        <w:t>委托伊宁市病死畜禽无害化处理中心处理</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根据畜禽养殖业一般惯例，对观察到的不正常鸭只提前实施隔离和捕杀，形成淘汰鸭；为及时发现，因病因故死亡的鸭只为病死鸭，</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淘汰鸭、</w:t>
      </w:r>
      <w:r>
        <w:rPr>
          <w:rFonts w:ascii="Times New Roman" w:hAnsi="Times New Roman" w:cs="Times New Roman"/>
          <w:color w:val="000000" w:themeColor="text1"/>
          <w14:textFill>
            <w14:solidFill>
              <w14:schemeClr w14:val="tx1"/>
            </w14:solidFill>
          </w14:textFill>
        </w:rPr>
        <w:t>病死</w:t>
      </w:r>
      <w:r>
        <w:rPr>
          <w:rFonts w:hint="eastAsia" w:ascii="Times New Roman" w:hAnsi="Times New Roman" w:cs="Times New Roman"/>
          <w:color w:val="000000" w:themeColor="text1"/>
          <w:lang w:eastAsia="zh-CN"/>
          <w14:textFill>
            <w14:solidFill>
              <w14:schemeClr w14:val="tx1"/>
            </w14:solidFill>
          </w14:textFill>
        </w:rPr>
        <w:t>鸭</w:t>
      </w:r>
      <w:r>
        <w:rPr>
          <w:rFonts w:hint="eastAsia" w:cs="Times New Roman"/>
          <w:color w:val="000000" w:themeColor="text1"/>
          <w:lang w:val="en-US" w:eastAsia="zh-CN"/>
          <w14:textFill>
            <w14:solidFill>
              <w14:schemeClr w14:val="tx1"/>
            </w14:solidFill>
          </w14:textFill>
        </w:rPr>
        <w:t>正常情况按照百分之二核算，其中大部分为提前观察到隔离捕杀的鸭只，不足10%为病死鸭，病死鸭以幼鸭居多，</w:t>
      </w:r>
      <w:r>
        <w:rPr>
          <w:rFonts w:ascii="Times New Roman" w:hAnsi="Times New Roman" w:cs="Times New Roman"/>
          <w:color w:val="000000" w:themeColor="text1"/>
          <w14:textFill>
            <w14:solidFill>
              <w14:schemeClr w14:val="tx1"/>
            </w14:solidFill>
          </w14:textFill>
        </w:rPr>
        <w:t>尸体产生量约为</w:t>
      </w:r>
      <w:r>
        <w:rPr>
          <w:rFonts w:hint="eastAsia" w:cs="Times New Roman"/>
          <w:color w:val="000000" w:themeColor="text1"/>
          <w:lang w:val="en-US" w:eastAsia="zh-CN"/>
          <w14:textFill>
            <w14:solidFill>
              <w14:schemeClr w14:val="tx1"/>
            </w14:solidFill>
          </w14:textFill>
        </w:rPr>
        <w:t>0.4</w:t>
      </w:r>
      <w:r>
        <w:rPr>
          <w:rFonts w:ascii="Times New Roman" w:hAnsi="Times New Roman" w:cs="Times New Roman"/>
          <w:color w:val="000000" w:themeColor="text1"/>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淘汰鸭按鸭只损失总数的90%，淘汰鸭以幼鸭和成长鸭为主，平均体重按1.55千克估算，</w:t>
      </w:r>
      <w:r>
        <w:rPr>
          <w:rFonts w:ascii="Times New Roman" w:hAnsi="Times New Roman" w:cs="Times New Roman"/>
          <w:color w:val="000000" w:themeColor="text1"/>
          <w14:textFill>
            <w14:solidFill>
              <w14:schemeClr w14:val="tx1"/>
            </w14:solidFill>
          </w14:textFill>
        </w:rPr>
        <w:t>尸体</w:t>
      </w:r>
      <w:r>
        <w:rPr>
          <w:rFonts w:hint="eastAsia" w:cs="Times New Roman"/>
          <w:color w:val="000000" w:themeColor="text1"/>
          <w:lang w:val="en-US" w:eastAsia="zh-CN"/>
          <w14:textFill>
            <w14:solidFill>
              <w14:schemeClr w14:val="tx1"/>
            </w14:solidFill>
          </w14:textFill>
        </w:rPr>
        <w:t>产生量估算为5吨，淘汰鸭和病死鸭总计约5.4t，</w:t>
      </w:r>
      <w:r>
        <w:rPr>
          <w:rFonts w:ascii="Times New Roman" w:hAnsi="Times New Roman" w:cs="Times New Roman"/>
          <w:color w:val="000000" w:themeColor="text1"/>
          <w14:textFill>
            <w14:solidFill>
              <w14:schemeClr w14:val="tx1"/>
            </w14:solidFill>
          </w14:textFill>
        </w:rPr>
        <w:t>远小于伊宁市病死畜禽无害化处理中心剩余处理量，</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尸体采用密闭，不渗水的容器装盛，由密闭式冷藏周转</w:t>
      </w:r>
      <w:r>
        <w:rPr>
          <w:rFonts w:hint="eastAsia" w:ascii="Times New Roman" w:hAnsi="Times New Roman" w:cs="Times New Roman"/>
          <w:color w:val="000000" w:themeColor="text1"/>
          <w:lang w:eastAsia="zh-CN"/>
          <w14:textFill>
            <w14:solidFill>
              <w14:schemeClr w14:val="tx1"/>
            </w14:solidFill>
          </w14:textFill>
        </w:rPr>
        <w:t>厢式车</w:t>
      </w:r>
      <w:r>
        <w:rPr>
          <w:rFonts w:ascii="Times New Roman" w:hAnsi="Times New Roman" w:cs="Times New Roman"/>
          <w:color w:val="000000" w:themeColor="text1"/>
          <w14:textFill>
            <w14:solidFill>
              <w14:schemeClr w14:val="tx1"/>
            </w14:solidFill>
          </w14:textFill>
        </w:rPr>
        <w:t>辆送到无害化处理车间处理，</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项目依托伊宁市病死畜禽无害化处理中心可行</w:t>
      </w:r>
      <w:r>
        <w:rPr>
          <w:rFonts w:hint="eastAsia" w:ascii="Times New Roman" w:hAnsi="Times New Roman" w:cs="Times New Roman"/>
          <w:color w:val="000000" w:themeColor="text1"/>
          <w:lang w:eastAsia="zh-CN"/>
          <w14:textFill>
            <w14:solidFill>
              <w14:schemeClr w14:val="tx1"/>
            </w14:solidFill>
          </w14:textFill>
        </w:rPr>
        <w:t>。</w:t>
      </w:r>
    </w:p>
    <w:p w14:paraId="035F6C18">
      <w:pPr>
        <w:rPr>
          <w:rFonts w:hint="eastAsia" w:ascii="Times New Roman" w:hAnsi="Times New Roman" w:cs="宋体" w:eastAsiaTheme="minorEastAsia"/>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63团3连粪污处理场位于可克达拉市六十三团连河台路，建设标准化粪污处理无害化车间，配套粪污无害化处理设备组成系统92套，建设废气处理系统等环保设施。该项目日处理500t粪污，年处理粪污可达18万吨，该项目的建设专门服务于63团养殖项目粪污处理。</w:t>
      </w:r>
      <w:r>
        <w:rPr>
          <w:rFonts w:hint="eastAsia" w:cs="Times New Roman"/>
          <w:color w:val="000000" w:themeColor="text1"/>
          <w:lang w:val="en-US" w:eastAsia="zh-CN"/>
          <w14:textFill>
            <w14:solidFill>
              <w14:schemeClr w14:val="tx1"/>
            </w14:solidFill>
          </w14:textFill>
        </w:rPr>
        <w:t>参照《排污许可证申请与核发技术规范 畜禽养殖行业》，</w:t>
      </w:r>
      <w:r>
        <w:rPr>
          <w:rFonts w:hint="eastAsia" w:ascii="Times New Roman" w:hAnsi="Times New Roman" w:cs="Times New Roman"/>
          <w:color w:val="FF0000"/>
          <w:lang w:val="en-US" w:eastAsia="zh-CN"/>
        </w:rPr>
        <w:t>本项目鸭粪污产生量约</w:t>
      </w:r>
      <w:r>
        <w:rPr>
          <w:rFonts w:hint="eastAsia" w:cs="Times New Roman"/>
          <w:color w:val="FF0000"/>
          <w:lang w:val="en-US" w:eastAsia="zh-CN"/>
        </w:rPr>
        <w:t>4360.5t/a</w:t>
      </w:r>
      <w:r>
        <w:rPr>
          <w:rFonts w:hint="eastAsia" w:ascii="Times New Roman" w:hAnsi="Times New Roman" w:cs="Times New Roman"/>
          <w:color w:val="FF0000"/>
          <w:lang w:val="en-US" w:eastAsia="zh-CN"/>
        </w:rPr>
        <w:t>，</w:t>
      </w:r>
      <w:r>
        <w:rPr>
          <w:rFonts w:hint="eastAsia" w:cs="Times New Roman"/>
          <w:color w:val="000000" w:themeColor="text1"/>
          <w:lang w:val="en-US" w:eastAsia="zh-CN"/>
          <w14:textFill>
            <w14:solidFill>
              <w14:schemeClr w14:val="tx1"/>
            </w14:solidFill>
          </w14:textFill>
        </w:rPr>
        <w:t>2年一个养殖周期，养殖周期结束一次性清粪预计不超过8000t（幼鸭粪便产生量预计略小），</w:t>
      </w:r>
      <w:r>
        <w:rPr>
          <w:rFonts w:hint="eastAsia" w:ascii="Times New Roman" w:hAnsi="Times New Roman" w:cs="Times New Roman"/>
          <w:color w:val="000000" w:themeColor="text1"/>
          <w:lang w:val="en-US" w:eastAsia="zh-CN"/>
          <w14:textFill>
            <w14:solidFill>
              <w14:schemeClr w14:val="tx1"/>
            </w14:solidFill>
          </w14:textFill>
        </w:rPr>
        <w:t>远小于63团3连粪污处理场年处理能力。本项目粪污定期清理，然后采用四周全密封，车辆后盖液压开启四周加有密封条的粪污清运车进行拉运。本</w:t>
      </w:r>
      <w:r>
        <w:rPr>
          <w:rFonts w:ascii="Times New Roman" w:hAnsi="Times New Roman" w:cs="Times New Roman"/>
          <w:color w:val="000000" w:themeColor="text1"/>
          <w14:textFill>
            <w14:solidFill>
              <w14:schemeClr w14:val="tx1"/>
            </w14:solidFill>
          </w14:textFill>
        </w:rPr>
        <w:t>项目依托</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可行</w:t>
      </w:r>
      <w:r>
        <w:rPr>
          <w:rFonts w:hint="eastAsia" w:ascii="Times New Roman" w:hAnsi="Times New Roman" w:cs="Times New Roman"/>
          <w:color w:val="000000" w:themeColor="text1"/>
          <w:lang w:eastAsia="zh-CN"/>
          <w14:textFill>
            <w14:solidFill>
              <w14:schemeClr w14:val="tx1"/>
            </w14:solidFill>
          </w14:textFill>
        </w:rPr>
        <w:t>。</w:t>
      </w:r>
    </w:p>
    <w:p w14:paraId="1572BA90">
      <w:pPr>
        <w:pStyle w:val="4"/>
        <w:ind w:left="120"/>
        <w:rPr>
          <w:rFonts w:ascii="Times New Roman" w:hAnsi="Times New Roman" w:cs="Times New Roman"/>
          <w:color w:val="000000" w:themeColor="text1"/>
          <w:highlight w:val="none"/>
          <w14:textFill>
            <w14:solidFill>
              <w14:schemeClr w14:val="tx1"/>
            </w14:solidFill>
          </w14:textFill>
        </w:rPr>
      </w:pPr>
      <w:bookmarkStart w:id="85" w:name="_Toc12596"/>
      <w:r>
        <w:rPr>
          <w:rFonts w:ascii="Times New Roman" w:hAnsi="Times New Roman" w:cs="Times New Roman"/>
          <w:color w:val="000000" w:themeColor="text1"/>
          <w:highlight w:val="none"/>
          <w14:textFill>
            <w14:solidFill>
              <w14:schemeClr w14:val="tx1"/>
            </w14:solidFill>
          </w14:textFill>
        </w:rPr>
        <w:t>工艺流程与产污环节分析</w:t>
      </w:r>
      <w:bookmarkEnd w:id="85"/>
    </w:p>
    <w:p w14:paraId="2118806A">
      <w:pPr>
        <w:pStyle w:val="5"/>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施工期工艺流程与产污环节分析</w:t>
      </w:r>
    </w:p>
    <w:p w14:paraId="3191972A">
      <w:pPr>
        <w:ind w:firstLine="48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123825</wp:posOffset>
            </wp:positionH>
            <wp:positionV relativeFrom="page">
              <wp:posOffset>3411220</wp:posOffset>
            </wp:positionV>
            <wp:extent cx="5419725" cy="3714750"/>
            <wp:effectExtent l="0" t="0" r="9525" b="0"/>
            <wp:wrapTopAndBottom/>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31"/>
                    <a:stretch>
                      <a:fillRect/>
                    </a:stretch>
                  </pic:blipFill>
                  <pic:spPr>
                    <a:xfrm>
                      <a:off x="0" y="0"/>
                      <a:ext cx="5419725" cy="3714750"/>
                    </a:xfrm>
                    <a:prstGeom prst="rect">
                      <a:avLst/>
                    </a:prstGeom>
                    <a:noFill/>
                    <a:ln>
                      <a:noFill/>
                    </a:ln>
                  </pic:spPr>
                </pic:pic>
              </a:graphicData>
            </a:graphic>
          </wp:anchor>
        </w:drawing>
      </w:r>
      <w:r>
        <w:rPr>
          <w:rFonts w:ascii="Times New Roman" w:hAnsi="Times New Roman" w:cs="Times New Roman"/>
          <w:color w:val="000000" w:themeColor="text1"/>
          <w14:textFill>
            <w14:solidFill>
              <w14:schemeClr w14:val="tx1"/>
            </w14:solidFill>
          </w14:textFill>
        </w:rPr>
        <w:t>本项目施工建设内容主要为圈舍、</w:t>
      </w:r>
      <w:r>
        <w:rPr>
          <w:rFonts w:hint="eastAsia" w:ascii="Times New Roman" w:hAnsi="Times New Roman" w:cs="Times New Roman"/>
          <w:color w:val="000000" w:themeColor="text1"/>
          <w:lang w:val="en-US" w:eastAsia="zh-CN"/>
          <w14:textFill>
            <w14:solidFill>
              <w14:schemeClr w14:val="tx1"/>
            </w14:solidFill>
          </w14:textFill>
        </w:rPr>
        <w:t>蛋库</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运动场</w:t>
      </w:r>
      <w:r>
        <w:rPr>
          <w:rFonts w:ascii="Times New Roman" w:hAnsi="Times New Roman" w:cs="Times New Roman"/>
          <w:color w:val="000000" w:themeColor="text1"/>
          <w14:textFill>
            <w14:solidFill>
              <w14:schemeClr w14:val="tx1"/>
            </w14:solidFill>
          </w14:textFill>
        </w:rPr>
        <w:t>及其他配套辅助设施建设。施工过程分为</w:t>
      </w:r>
      <w:r>
        <w:rPr>
          <w:rFonts w:hint="eastAsia" w:ascii="Times New Roman" w:hAnsi="Times New Roman" w:cs="Times New Roman"/>
          <w:color w:val="000000" w:themeColor="text1"/>
          <w:lang w:val="en-US" w:eastAsia="zh-CN"/>
          <w14:textFill>
            <w14:solidFill>
              <w14:schemeClr w14:val="tx1"/>
            </w14:solidFill>
          </w14:textFill>
        </w:rPr>
        <w:t>基础工程</w:t>
      </w:r>
      <w:r>
        <w:rPr>
          <w:rFonts w:ascii="Times New Roman" w:hAnsi="Times New Roman" w:cs="Times New Roman"/>
          <w:color w:val="000000" w:themeColor="text1"/>
          <w14:textFill>
            <w14:solidFill>
              <w14:schemeClr w14:val="tx1"/>
            </w14:solidFill>
          </w14:textFill>
        </w:rPr>
        <w:t>（包括场地平整、开挖土石方</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打桩</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构筑基础等）、主体工程阶段（包括钢筋、砖混结构施工等）、</w:t>
      </w:r>
      <w:r>
        <w:rPr>
          <w:rFonts w:hint="eastAsia" w:ascii="Times New Roman" w:hAnsi="Times New Roman" w:cs="Times New Roman"/>
          <w:color w:val="000000" w:themeColor="text1"/>
          <w:lang w:val="en-US" w:eastAsia="zh-CN"/>
          <w14:textFill>
            <w14:solidFill>
              <w14:schemeClr w14:val="tx1"/>
            </w14:solidFill>
          </w14:textFill>
        </w:rPr>
        <w:t>装饰工程、装修工程、</w:t>
      </w:r>
      <w:r>
        <w:rPr>
          <w:rFonts w:ascii="Times New Roman" w:hAnsi="Times New Roman" w:cs="Times New Roman"/>
          <w:color w:val="000000" w:themeColor="text1"/>
          <w14:textFill>
            <w14:solidFill>
              <w14:schemeClr w14:val="tx1"/>
            </w14:solidFill>
          </w14:textFill>
        </w:rPr>
        <w:t>场地清理（包括回填土石方、修路、清理场地等）。</w:t>
      </w:r>
    </w:p>
    <w:p w14:paraId="1CA78D8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本项目施工期工艺流程及产污节点图</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-1。</w:t>
      </w:r>
    </w:p>
    <w:p w14:paraId="18DDDDB4">
      <w:pPr>
        <w:pStyle w:val="61"/>
        <w:spacing w:before="32" w:after="32"/>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图</w:t>
      </w:r>
      <w:r>
        <w:rPr>
          <w:rFonts w:hint="eastAsia" w:eastAsia="宋体" w:cs="宋体"/>
          <w:b/>
          <w:bCs/>
          <w:color w:val="000000" w:themeColor="text1"/>
          <w:kern w:val="2"/>
          <w:sz w:val="24"/>
          <w:szCs w:val="18"/>
          <w:lang w:val="en-US" w:eastAsia="zh-CN" w:bidi="ar-SA"/>
          <w14:textFill>
            <w14:solidFill>
              <w14:schemeClr w14:val="tx1"/>
            </w14:solidFill>
          </w14:textFill>
        </w:rPr>
        <w:t>3</w:t>
      </w: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.3-1   施工期工艺流程及产污环节图</w:t>
      </w:r>
    </w:p>
    <w:p w14:paraId="05C0330C">
      <w:pPr>
        <w:keepNext w:val="0"/>
        <w:keepLines w:val="0"/>
        <w:widowControl/>
        <w:suppressLineNumbers w:val="0"/>
        <w:jc w:val="left"/>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注：</w:t>
      </w:r>
      <w:r>
        <w:rPr>
          <w:rFonts w:hint="default" w:ascii="Times New Roman" w:hAnsi="Times New Roman" w:eastAsia="宋体" w:cs="宋体"/>
          <w:b/>
          <w:bCs/>
          <w:color w:val="000000" w:themeColor="text1"/>
          <w:kern w:val="2"/>
          <w:sz w:val="24"/>
          <w:szCs w:val="18"/>
          <w:lang w:val="en-US" w:eastAsia="zh-CN" w:bidi="ar-SA"/>
          <w14:textFill>
            <w14:solidFill>
              <w14:schemeClr w14:val="tx1"/>
            </w14:solidFill>
          </w14:textFill>
        </w:rPr>
        <w:t>W</w:t>
      </w: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w:t>
      </w:r>
      <w:r>
        <w:rPr>
          <w:rFonts w:hint="default" w:ascii="Times New Roman" w:hAnsi="Times New Roman" w:eastAsia="宋体" w:cs="宋体"/>
          <w:b/>
          <w:bCs/>
          <w:color w:val="000000" w:themeColor="text1"/>
          <w:kern w:val="2"/>
          <w:sz w:val="24"/>
          <w:szCs w:val="18"/>
          <w:lang w:val="en-US" w:eastAsia="zh-CN" w:bidi="ar-SA"/>
          <w14:textFill>
            <w14:solidFill>
              <w14:schemeClr w14:val="tx1"/>
            </w14:solidFill>
          </w14:textFill>
        </w:rPr>
        <w:t>N</w:t>
      </w: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w:t>
      </w:r>
      <w:r>
        <w:rPr>
          <w:rFonts w:hint="default" w:ascii="Times New Roman" w:hAnsi="Times New Roman" w:eastAsia="宋体" w:cs="宋体"/>
          <w:b/>
          <w:bCs/>
          <w:color w:val="000000" w:themeColor="text1"/>
          <w:kern w:val="2"/>
          <w:sz w:val="24"/>
          <w:szCs w:val="18"/>
          <w:lang w:val="en-US" w:eastAsia="zh-CN" w:bidi="ar-SA"/>
          <w14:textFill>
            <w14:solidFill>
              <w14:schemeClr w14:val="tx1"/>
            </w14:solidFill>
          </w14:textFill>
        </w:rPr>
        <w:t>G</w:t>
      </w: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w:t>
      </w:r>
      <w:r>
        <w:rPr>
          <w:rFonts w:hint="default" w:ascii="Times New Roman" w:hAnsi="Times New Roman" w:eastAsia="宋体" w:cs="宋体"/>
          <w:b/>
          <w:bCs/>
          <w:color w:val="000000" w:themeColor="text1"/>
          <w:kern w:val="2"/>
          <w:sz w:val="24"/>
          <w:szCs w:val="18"/>
          <w:lang w:val="en-US" w:eastAsia="zh-CN" w:bidi="ar-SA"/>
          <w14:textFill>
            <w14:solidFill>
              <w14:schemeClr w14:val="tx1"/>
            </w14:solidFill>
          </w14:textFill>
        </w:rPr>
        <w:t>S</w:t>
      </w: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w:t>
      </w:r>
      <w:r>
        <w:rPr>
          <w:rFonts w:hint="default" w:ascii="Times New Roman" w:hAnsi="Times New Roman" w:eastAsia="宋体" w:cs="宋体"/>
          <w:b/>
          <w:bCs/>
          <w:color w:val="000000" w:themeColor="text1"/>
          <w:kern w:val="2"/>
          <w:sz w:val="24"/>
          <w:szCs w:val="18"/>
          <w:lang w:val="en-US" w:eastAsia="zh-CN" w:bidi="ar-SA"/>
          <w14:textFill>
            <w14:solidFill>
              <w14:schemeClr w14:val="tx1"/>
            </w14:solidFill>
          </w14:textFill>
        </w:rPr>
        <w:t>E</w:t>
      </w:r>
      <w:r>
        <w:rPr>
          <w:rFonts w:hint="eastAsia" w:ascii="Times New Roman" w:hAnsi="Times New Roman" w:eastAsia="宋体" w:cs="宋体"/>
          <w:b/>
          <w:bCs/>
          <w:color w:val="000000" w:themeColor="text1"/>
          <w:kern w:val="2"/>
          <w:sz w:val="24"/>
          <w:szCs w:val="18"/>
          <w:lang w:val="en-US" w:eastAsia="zh-CN" w:bidi="ar-SA"/>
          <w14:textFill>
            <w14:solidFill>
              <w14:schemeClr w14:val="tx1"/>
            </w14:solidFill>
          </w14:textFill>
        </w:rPr>
        <w:t>分别表示废水、噪声、废气、固体废弃物、水土流失</w:t>
      </w:r>
    </w:p>
    <w:p w14:paraId="19371E8A">
      <w:pPr>
        <w:pStyle w:val="61"/>
        <w:keepNext w:val="0"/>
        <w:keepLines w:val="0"/>
        <w:pageBreakBefore w:val="0"/>
        <w:widowControl w:val="0"/>
        <w:kinsoku/>
        <w:wordWrap/>
        <w:overflowPunct/>
        <w:topLinePunct w:val="0"/>
        <w:autoSpaceDE/>
        <w:autoSpaceDN/>
        <w:bidi w:val="0"/>
        <w:adjustRightInd/>
        <w:snapToGrid/>
        <w:spacing w:beforeLines="0" w:afterLines="0" w:line="20" w:lineRule="exact"/>
        <w:textAlignment w:val="auto"/>
        <w:rPr>
          <w:rFonts w:ascii="Times New Roman" w:hAnsi="Times New Roman" w:cs="Times New Roman"/>
          <w:color w:val="000000" w:themeColor="text1"/>
          <w14:textFill>
            <w14:solidFill>
              <w14:schemeClr w14:val="tx1"/>
            </w14:solidFill>
          </w14:textFill>
        </w:rPr>
      </w:pPr>
    </w:p>
    <w:p w14:paraId="6EBE2F09">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施工期污染源分析</w:t>
      </w:r>
    </w:p>
    <w:p w14:paraId="198B52EF">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项目施工期工艺流程可知，项目施工期主要污染因子包括：施工废气（施工粉尘扬尘、施工机械废气、材料堆放扬尘）、施工废水（施工人员生活污水及施工废水）、施工噪声（施工机械噪声、施工车辆噪声和施工作业噪声）、施工固体废物（施工土石方、建筑垃圾及施工人员生活垃圾）及生态影响等。</w:t>
      </w:r>
    </w:p>
    <w:p w14:paraId="0E982C2D">
      <w:pPr>
        <w:pStyle w:val="6"/>
        <w:ind w:left="24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.3.2.1施工废气</w:t>
      </w:r>
    </w:p>
    <w:p w14:paraId="1124240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）施工扬尘</w:t>
      </w:r>
    </w:p>
    <w:p w14:paraId="173974A9">
      <w:pP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依据项目建设特点，项目施工期表土清理、物料运输、场地平整、基础开挖回填等施工会产生扬尘。这类风力扬尘的主要特点是与风速等气象条件有关，也与尘粒本身的沉降速度有关，主要影响范围在扬尘点下风向近距离范围内。</w:t>
      </w:r>
    </w:p>
    <w:p w14:paraId="6AC27B2A">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根据经验及相关研究结果，在无任何防尘措施的情况下，施工现场对周围环境的影响较严重，一般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TSP</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浓度才可达到《环境空气质量标准》（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GB3095-2012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）二级标准；而在有防尘措施的情况下，影响范围降至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范围内。抑制扬尘最简捷有效的措施是洒水。土方开挖、土方回填、施工道路等产生扬尘较大的污染工序之前均采取洒水降尘，施工期间对作业面及施工道路每天洒水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次，可使扬尘减少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以上，并将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TSP</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污染距离缩小到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50m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范围内。因此项目施工期间建设单位应重视施工扬尘治理，注意落实洒水抑尘、临时堆土堆放采用篷布覆盖等相应的降尘措施，分段施工，控制作业面长度，使土方能及时回用，尽可能将施工扬尘影响控制在施工场地范围内，以减小施工扬尘对周边环境影响。</w:t>
      </w:r>
    </w:p>
    <w:p w14:paraId="30765F0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）施工车辆尾气环境影响分析</w:t>
      </w:r>
    </w:p>
    <w:p w14:paraId="1D20699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施工燃油机械及机动车废气主要是施工现场施工机械和运输车辆因内燃机燃烧排放的尾气，集中在土石方挖掘、场地平整和建筑物结构施工阶段，主要污染物是NO</w:t>
      </w:r>
      <w:r>
        <w:rPr>
          <w:rFonts w:ascii="Times New Roman" w:hAnsi="Times New Roman" w:cs="Times New Roman"/>
          <w:color w:val="000000" w:themeColor="text1"/>
          <w:vertAlign w:val="subscript"/>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t>、CO、HC。虽然尾气污染源在整个施工期一直存在，其源强大小取决于施工机械维护保养和作业机械的数量及密度。但一般情况下，由于施工机械作业的流动性、阶段性和间断性的特点，施工场地平均单位时间排放的尾气污染物总量并不大</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6A29896A">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石方施工及堆放扬尘</w:t>
      </w:r>
    </w:p>
    <w:p w14:paraId="5F2EE7D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期间静态起尘主要是土石方施工及堆放过程中土方开挖、回填过程中产生的扬尘以及临时土石方、建筑垃圾等堆放过程中因风力作用引起的扬尘，另外，在施工时地表清理、施工后临时土石方清理将造成地表裸露，在风力作用下，亦可产生扬尘。由前述可知，此类扬尘产生量与气象风速、扬尘沉降速度有关，不同粒径扬尘的沉降速度见表</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-1。</w:t>
      </w:r>
    </w:p>
    <w:p w14:paraId="4F5EEFCF">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-1    机动车污染物排放系数</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0"/>
        <w:gridCol w:w="1072"/>
        <w:gridCol w:w="1083"/>
        <w:gridCol w:w="1017"/>
        <w:gridCol w:w="975"/>
        <w:gridCol w:w="1221"/>
        <w:gridCol w:w="1038"/>
        <w:gridCol w:w="1044"/>
      </w:tblGrid>
      <w:tr w14:paraId="64B3C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4ED09241">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粉尘粒径（μm）</w:t>
            </w:r>
          </w:p>
        </w:tc>
        <w:tc>
          <w:tcPr>
            <w:tcW w:w="1072" w:type="dxa"/>
            <w:tcBorders>
              <w:tl2br w:val="nil"/>
              <w:tr2bl w:val="nil"/>
            </w:tcBorders>
            <w:vAlign w:val="center"/>
          </w:tcPr>
          <w:p w14:paraId="619EB8C0">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1083" w:type="dxa"/>
            <w:tcBorders>
              <w:tl2br w:val="nil"/>
              <w:tr2bl w:val="nil"/>
            </w:tcBorders>
            <w:vAlign w:val="center"/>
          </w:tcPr>
          <w:p w14:paraId="627A9E92">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c>
          <w:tcPr>
            <w:tcW w:w="1017" w:type="dxa"/>
            <w:tcBorders>
              <w:tl2br w:val="nil"/>
              <w:tr2bl w:val="nil"/>
            </w:tcBorders>
            <w:vAlign w:val="center"/>
          </w:tcPr>
          <w:p w14:paraId="6038008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w:t>
            </w:r>
          </w:p>
        </w:tc>
        <w:tc>
          <w:tcPr>
            <w:tcW w:w="975" w:type="dxa"/>
            <w:tcBorders>
              <w:tl2br w:val="nil"/>
              <w:tr2bl w:val="nil"/>
            </w:tcBorders>
            <w:vAlign w:val="center"/>
          </w:tcPr>
          <w:p w14:paraId="2EA625F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w:t>
            </w:r>
          </w:p>
        </w:tc>
        <w:tc>
          <w:tcPr>
            <w:tcW w:w="1221" w:type="dxa"/>
            <w:tcBorders>
              <w:tl2br w:val="nil"/>
              <w:tr2bl w:val="nil"/>
            </w:tcBorders>
            <w:vAlign w:val="center"/>
          </w:tcPr>
          <w:p w14:paraId="22FD68D2">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w:t>
            </w:r>
          </w:p>
        </w:tc>
        <w:tc>
          <w:tcPr>
            <w:tcW w:w="1038" w:type="dxa"/>
            <w:tcBorders>
              <w:tl2br w:val="nil"/>
              <w:tr2bl w:val="nil"/>
            </w:tcBorders>
            <w:vAlign w:val="center"/>
          </w:tcPr>
          <w:p w14:paraId="79D37DD6">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w:t>
            </w:r>
          </w:p>
        </w:tc>
        <w:tc>
          <w:tcPr>
            <w:tcW w:w="1044" w:type="dxa"/>
            <w:tcBorders>
              <w:tl2br w:val="nil"/>
              <w:tr2bl w:val="nil"/>
            </w:tcBorders>
            <w:vAlign w:val="center"/>
          </w:tcPr>
          <w:p w14:paraId="3ADF163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w:t>
            </w:r>
          </w:p>
        </w:tc>
      </w:tr>
      <w:tr w14:paraId="215E0D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1B51B613">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沉降速度（m/s）</w:t>
            </w:r>
          </w:p>
        </w:tc>
        <w:tc>
          <w:tcPr>
            <w:tcW w:w="1072" w:type="dxa"/>
            <w:tcBorders>
              <w:tl2br w:val="nil"/>
              <w:tr2bl w:val="nil"/>
            </w:tcBorders>
            <w:vAlign w:val="center"/>
          </w:tcPr>
          <w:p w14:paraId="4FEABA87">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0.003</w:t>
            </w:r>
          </w:p>
        </w:tc>
        <w:tc>
          <w:tcPr>
            <w:tcW w:w="1083" w:type="dxa"/>
            <w:tcBorders>
              <w:tl2br w:val="nil"/>
              <w:tr2bl w:val="nil"/>
            </w:tcBorders>
            <w:vAlign w:val="center"/>
          </w:tcPr>
          <w:p w14:paraId="6BF19049">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0.012</w:t>
            </w:r>
          </w:p>
        </w:tc>
        <w:tc>
          <w:tcPr>
            <w:tcW w:w="1017" w:type="dxa"/>
            <w:tcBorders>
              <w:tl2br w:val="nil"/>
              <w:tr2bl w:val="nil"/>
            </w:tcBorders>
            <w:vAlign w:val="center"/>
          </w:tcPr>
          <w:p w14:paraId="4462B055">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0.027</w:t>
            </w:r>
          </w:p>
        </w:tc>
        <w:tc>
          <w:tcPr>
            <w:tcW w:w="975" w:type="dxa"/>
            <w:tcBorders>
              <w:tl2br w:val="nil"/>
              <w:tr2bl w:val="nil"/>
            </w:tcBorders>
            <w:vAlign w:val="center"/>
          </w:tcPr>
          <w:p w14:paraId="371A3566">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0.048</w:t>
            </w:r>
          </w:p>
        </w:tc>
        <w:tc>
          <w:tcPr>
            <w:tcW w:w="1221" w:type="dxa"/>
            <w:tcBorders>
              <w:tl2br w:val="nil"/>
              <w:tr2bl w:val="nil"/>
            </w:tcBorders>
            <w:vAlign w:val="center"/>
          </w:tcPr>
          <w:p w14:paraId="1C4D3F80">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0.075</w:t>
            </w:r>
          </w:p>
        </w:tc>
        <w:tc>
          <w:tcPr>
            <w:tcW w:w="1038" w:type="dxa"/>
            <w:tcBorders>
              <w:tl2br w:val="nil"/>
              <w:tr2bl w:val="nil"/>
            </w:tcBorders>
            <w:vAlign w:val="center"/>
          </w:tcPr>
          <w:p w14:paraId="1526BEE4">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0.108</w:t>
            </w:r>
          </w:p>
        </w:tc>
        <w:tc>
          <w:tcPr>
            <w:tcW w:w="1044" w:type="dxa"/>
            <w:tcBorders>
              <w:tl2br w:val="nil"/>
              <w:tr2bl w:val="nil"/>
            </w:tcBorders>
            <w:vAlign w:val="center"/>
          </w:tcPr>
          <w:p w14:paraId="3EC59AC3">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0.147</w:t>
            </w:r>
          </w:p>
        </w:tc>
      </w:tr>
      <w:tr w14:paraId="3EDCB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09DB23D3">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粉尘粒径（μm）</w:t>
            </w:r>
          </w:p>
        </w:tc>
        <w:tc>
          <w:tcPr>
            <w:tcW w:w="1072" w:type="dxa"/>
            <w:tcBorders>
              <w:tl2br w:val="nil"/>
              <w:tr2bl w:val="nil"/>
            </w:tcBorders>
            <w:vAlign w:val="center"/>
          </w:tcPr>
          <w:p w14:paraId="3013D4D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80</w:t>
            </w:r>
          </w:p>
        </w:tc>
        <w:tc>
          <w:tcPr>
            <w:tcW w:w="1083" w:type="dxa"/>
            <w:tcBorders>
              <w:tl2br w:val="nil"/>
              <w:tr2bl w:val="nil"/>
            </w:tcBorders>
            <w:vAlign w:val="center"/>
          </w:tcPr>
          <w:p w14:paraId="60F2F94D">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w:t>
            </w:r>
          </w:p>
        </w:tc>
        <w:tc>
          <w:tcPr>
            <w:tcW w:w="1017" w:type="dxa"/>
            <w:tcBorders>
              <w:tl2br w:val="nil"/>
              <w:tr2bl w:val="nil"/>
            </w:tcBorders>
            <w:vAlign w:val="center"/>
          </w:tcPr>
          <w:p w14:paraId="06CB0C80">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w:t>
            </w:r>
          </w:p>
        </w:tc>
        <w:tc>
          <w:tcPr>
            <w:tcW w:w="975" w:type="dxa"/>
            <w:tcBorders>
              <w:tl2br w:val="nil"/>
              <w:tr2bl w:val="nil"/>
            </w:tcBorders>
            <w:vAlign w:val="center"/>
          </w:tcPr>
          <w:p w14:paraId="78AAA2B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150</w:t>
            </w:r>
          </w:p>
        </w:tc>
        <w:tc>
          <w:tcPr>
            <w:tcW w:w="1221" w:type="dxa"/>
            <w:tcBorders>
              <w:tl2br w:val="nil"/>
              <w:tr2bl w:val="nil"/>
            </w:tcBorders>
            <w:vAlign w:val="center"/>
          </w:tcPr>
          <w:p w14:paraId="2EB2E4DC">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200</w:t>
            </w:r>
          </w:p>
        </w:tc>
        <w:tc>
          <w:tcPr>
            <w:tcW w:w="1038" w:type="dxa"/>
            <w:tcBorders>
              <w:tl2br w:val="nil"/>
              <w:tr2bl w:val="nil"/>
            </w:tcBorders>
            <w:vAlign w:val="center"/>
          </w:tcPr>
          <w:p w14:paraId="26E1FEC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250</w:t>
            </w:r>
          </w:p>
        </w:tc>
        <w:tc>
          <w:tcPr>
            <w:tcW w:w="1044" w:type="dxa"/>
            <w:tcBorders>
              <w:tl2br w:val="nil"/>
              <w:tr2bl w:val="nil"/>
            </w:tcBorders>
            <w:vAlign w:val="center"/>
          </w:tcPr>
          <w:p w14:paraId="7663B0C7">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350</w:t>
            </w:r>
          </w:p>
        </w:tc>
      </w:tr>
      <w:tr w14:paraId="01B4BE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16591E2C">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沉降速度（m/s）</w:t>
            </w:r>
          </w:p>
        </w:tc>
        <w:tc>
          <w:tcPr>
            <w:tcW w:w="1072" w:type="dxa"/>
            <w:tcBorders>
              <w:tl2br w:val="nil"/>
              <w:tr2bl w:val="nil"/>
            </w:tcBorders>
            <w:vAlign w:val="center"/>
          </w:tcPr>
          <w:p w14:paraId="2817C7B1">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0.158</w:t>
            </w:r>
          </w:p>
        </w:tc>
        <w:tc>
          <w:tcPr>
            <w:tcW w:w="1083" w:type="dxa"/>
            <w:tcBorders>
              <w:tl2br w:val="nil"/>
              <w:tr2bl w:val="nil"/>
            </w:tcBorders>
            <w:vAlign w:val="center"/>
          </w:tcPr>
          <w:p w14:paraId="681E7E40">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0.170</w:t>
            </w:r>
          </w:p>
        </w:tc>
        <w:tc>
          <w:tcPr>
            <w:tcW w:w="1017" w:type="dxa"/>
            <w:tcBorders>
              <w:tl2br w:val="nil"/>
              <w:tr2bl w:val="nil"/>
            </w:tcBorders>
            <w:vAlign w:val="center"/>
          </w:tcPr>
          <w:p w14:paraId="78096F0A">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0.182</w:t>
            </w:r>
          </w:p>
        </w:tc>
        <w:tc>
          <w:tcPr>
            <w:tcW w:w="975" w:type="dxa"/>
            <w:tcBorders>
              <w:tl2br w:val="nil"/>
              <w:tr2bl w:val="nil"/>
            </w:tcBorders>
            <w:vAlign w:val="center"/>
          </w:tcPr>
          <w:p w14:paraId="55DA7D3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0.239</w:t>
            </w:r>
          </w:p>
        </w:tc>
        <w:tc>
          <w:tcPr>
            <w:tcW w:w="1221" w:type="dxa"/>
            <w:tcBorders>
              <w:tl2br w:val="nil"/>
              <w:tr2bl w:val="nil"/>
            </w:tcBorders>
            <w:vAlign w:val="center"/>
          </w:tcPr>
          <w:p w14:paraId="6D5A53FD">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0.804</w:t>
            </w:r>
          </w:p>
        </w:tc>
        <w:tc>
          <w:tcPr>
            <w:tcW w:w="1038" w:type="dxa"/>
            <w:tcBorders>
              <w:tl2br w:val="nil"/>
              <w:tr2bl w:val="nil"/>
            </w:tcBorders>
            <w:vAlign w:val="center"/>
          </w:tcPr>
          <w:p w14:paraId="0F9D71B2">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1.005</w:t>
            </w:r>
          </w:p>
        </w:tc>
        <w:tc>
          <w:tcPr>
            <w:tcW w:w="1044" w:type="dxa"/>
            <w:tcBorders>
              <w:tl2br w:val="nil"/>
              <w:tr2bl w:val="nil"/>
            </w:tcBorders>
            <w:vAlign w:val="center"/>
          </w:tcPr>
          <w:p w14:paraId="46CDD8E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1.829</w:t>
            </w:r>
          </w:p>
        </w:tc>
      </w:tr>
      <w:tr w14:paraId="218FC0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09FA8E0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粉尘粒径（μm）</w:t>
            </w:r>
          </w:p>
        </w:tc>
        <w:tc>
          <w:tcPr>
            <w:tcW w:w="1072" w:type="dxa"/>
            <w:tcBorders>
              <w:tl2br w:val="nil"/>
              <w:tr2bl w:val="nil"/>
            </w:tcBorders>
            <w:vAlign w:val="center"/>
          </w:tcPr>
          <w:p w14:paraId="184A8060">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450</w:t>
            </w:r>
          </w:p>
        </w:tc>
        <w:tc>
          <w:tcPr>
            <w:tcW w:w="1083" w:type="dxa"/>
            <w:tcBorders>
              <w:tl2br w:val="nil"/>
              <w:tr2bl w:val="nil"/>
            </w:tcBorders>
            <w:vAlign w:val="center"/>
          </w:tcPr>
          <w:p w14:paraId="4812C240">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550</w:t>
            </w:r>
          </w:p>
        </w:tc>
        <w:tc>
          <w:tcPr>
            <w:tcW w:w="1017" w:type="dxa"/>
            <w:tcBorders>
              <w:tl2br w:val="nil"/>
              <w:tr2bl w:val="nil"/>
            </w:tcBorders>
            <w:vAlign w:val="center"/>
          </w:tcPr>
          <w:p w14:paraId="6C7D86F1">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650</w:t>
            </w:r>
          </w:p>
        </w:tc>
        <w:tc>
          <w:tcPr>
            <w:tcW w:w="975" w:type="dxa"/>
            <w:tcBorders>
              <w:tl2br w:val="nil"/>
              <w:tr2bl w:val="nil"/>
            </w:tcBorders>
            <w:vAlign w:val="center"/>
          </w:tcPr>
          <w:p w14:paraId="260B66B4">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750</w:t>
            </w:r>
          </w:p>
        </w:tc>
        <w:tc>
          <w:tcPr>
            <w:tcW w:w="1221" w:type="dxa"/>
            <w:tcBorders>
              <w:tl2br w:val="nil"/>
              <w:tr2bl w:val="nil"/>
            </w:tcBorders>
            <w:vAlign w:val="center"/>
          </w:tcPr>
          <w:p w14:paraId="386F1B02">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850</w:t>
            </w:r>
          </w:p>
        </w:tc>
        <w:tc>
          <w:tcPr>
            <w:tcW w:w="1038" w:type="dxa"/>
            <w:tcBorders>
              <w:tl2br w:val="nil"/>
              <w:tr2bl w:val="nil"/>
            </w:tcBorders>
            <w:vAlign w:val="center"/>
          </w:tcPr>
          <w:p w14:paraId="582C855F">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950</w:t>
            </w:r>
          </w:p>
        </w:tc>
        <w:tc>
          <w:tcPr>
            <w:tcW w:w="1044" w:type="dxa"/>
            <w:tcBorders>
              <w:tl2br w:val="nil"/>
              <w:tr2bl w:val="nil"/>
            </w:tcBorders>
            <w:vAlign w:val="center"/>
          </w:tcPr>
          <w:p w14:paraId="304A000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1050</w:t>
            </w:r>
          </w:p>
        </w:tc>
      </w:tr>
      <w:tr w14:paraId="6965AF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 w:hRule="atLeast"/>
          <w:jc w:val="center"/>
        </w:trPr>
        <w:tc>
          <w:tcPr>
            <w:tcW w:w="1610" w:type="dxa"/>
            <w:tcBorders>
              <w:tl2br w:val="nil"/>
              <w:tr2bl w:val="nil"/>
            </w:tcBorders>
            <w:vAlign w:val="center"/>
          </w:tcPr>
          <w:p w14:paraId="4E74EBA2">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沉降速度（m/s）</w:t>
            </w:r>
          </w:p>
        </w:tc>
        <w:tc>
          <w:tcPr>
            <w:tcW w:w="1072" w:type="dxa"/>
            <w:tcBorders>
              <w:tl2br w:val="nil"/>
              <w:tr2bl w:val="nil"/>
            </w:tcBorders>
            <w:vAlign w:val="center"/>
          </w:tcPr>
          <w:p w14:paraId="11B824B5">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2.211</w:t>
            </w:r>
          </w:p>
        </w:tc>
        <w:tc>
          <w:tcPr>
            <w:tcW w:w="1083" w:type="dxa"/>
            <w:tcBorders>
              <w:tl2br w:val="nil"/>
              <w:tr2bl w:val="nil"/>
            </w:tcBorders>
            <w:vAlign w:val="center"/>
          </w:tcPr>
          <w:p w14:paraId="2F966605">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2.614</w:t>
            </w:r>
          </w:p>
        </w:tc>
        <w:tc>
          <w:tcPr>
            <w:tcW w:w="1017" w:type="dxa"/>
            <w:tcBorders>
              <w:tl2br w:val="nil"/>
              <w:tr2bl w:val="nil"/>
            </w:tcBorders>
            <w:vAlign w:val="center"/>
          </w:tcPr>
          <w:p w14:paraId="6293DA1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3.016</w:t>
            </w:r>
          </w:p>
        </w:tc>
        <w:tc>
          <w:tcPr>
            <w:tcW w:w="975" w:type="dxa"/>
            <w:tcBorders>
              <w:tl2br w:val="nil"/>
              <w:tr2bl w:val="nil"/>
            </w:tcBorders>
            <w:vAlign w:val="center"/>
          </w:tcPr>
          <w:p w14:paraId="3E691734">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3.418</w:t>
            </w:r>
          </w:p>
        </w:tc>
        <w:tc>
          <w:tcPr>
            <w:tcW w:w="1221" w:type="dxa"/>
            <w:tcBorders>
              <w:tl2br w:val="nil"/>
              <w:tr2bl w:val="nil"/>
            </w:tcBorders>
            <w:vAlign w:val="center"/>
          </w:tcPr>
          <w:p w14:paraId="63C7F034">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3.820</w:t>
            </w:r>
          </w:p>
        </w:tc>
        <w:tc>
          <w:tcPr>
            <w:tcW w:w="1038" w:type="dxa"/>
            <w:tcBorders>
              <w:tl2br w:val="nil"/>
              <w:tr2bl w:val="nil"/>
            </w:tcBorders>
            <w:vAlign w:val="center"/>
          </w:tcPr>
          <w:p w14:paraId="2AD333B6">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4.222</w:t>
            </w:r>
          </w:p>
        </w:tc>
        <w:tc>
          <w:tcPr>
            <w:tcW w:w="1044" w:type="dxa"/>
            <w:tcBorders>
              <w:tl2br w:val="nil"/>
              <w:tr2bl w:val="nil"/>
            </w:tcBorders>
            <w:vAlign w:val="center"/>
          </w:tcPr>
          <w:p w14:paraId="1B50ED7C">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4.624</w:t>
            </w:r>
          </w:p>
        </w:tc>
      </w:tr>
    </w:tbl>
    <w:p w14:paraId="5263937D">
      <w:pPr>
        <w:keepNext w:val="0"/>
        <w:keepLines w:val="0"/>
        <w:widowControl/>
        <w:suppressLineNumbers w:val="0"/>
        <w:jc w:val="left"/>
        <w:rPr>
          <w:rFonts w:hint="eastAsia"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表可知，粉尘的沉降速度随粒径的增大而迅速增大。当粒径为250μm时，沉降速度为1.005m/s，因此可以认为当粒径大于250μm时，主要影响范围在扬尘点下风向近距离范围内。根据调查，本项目评价范围内无环境空气保护目标分布，因此此类扬尘对项目区周边环境影响不大</w:t>
      </w:r>
      <w:r>
        <w:rPr>
          <w:rFonts w:hint="eastAsia" w:ascii="Times New Roman" w:hAnsi="Times New Roman" w:cs="Times New Roman"/>
          <w:color w:val="000000" w:themeColor="text1"/>
          <w:lang w:eastAsia="zh-CN"/>
          <w14:textFill>
            <w14:solidFill>
              <w14:schemeClr w14:val="tx1"/>
            </w14:solidFill>
          </w14:textFill>
        </w:rPr>
        <w:t>。</w:t>
      </w:r>
    </w:p>
    <w:p w14:paraId="78F661B9">
      <w:pPr>
        <w:pStyle w:val="6"/>
        <w:ind w:left="24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.3.2.2施工期废水</w:t>
      </w:r>
    </w:p>
    <w:p w14:paraId="4678F63B">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施工期废水主要为施工人员产生的生活污水和施工废水。</w:t>
      </w:r>
    </w:p>
    <w:p w14:paraId="5095C80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（1）施工废水</w:t>
      </w:r>
    </w:p>
    <w:p w14:paraId="15BBE612">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项目使用商品混凝土，无混凝土搅拌废水，</w:t>
      </w:r>
      <w:r>
        <w:rPr>
          <w:rFonts w:ascii="Times New Roman" w:hAnsi="Times New Roman" w:cs="Times New Roman"/>
          <w:color w:val="000000" w:themeColor="text1"/>
          <w14:textFill>
            <w14:solidFill>
              <w14:schemeClr w14:val="tx1"/>
            </w14:solidFill>
          </w14:textFill>
        </w:rPr>
        <w:t>禁止在项目区内清洗机械设备</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道路在混凝土硬化及防渗作业时，会产生混凝土养护废水，主要污染物为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。项目修建防渗沉淀池收集项目区施工废水，混凝沉淀后用于施工区洒水降尘，不外排。</w:t>
      </w:r>
      <w:r>
        <w:rPr>
          <w:rFonts w:ascii="Times New Roman" w:hAnsi="Times New Roman" w:cs="Times New Roman"/>
          <w:color w:val="000000" w:themeColor="text1"/>
          <w14:textFill>
            <w14:solidFill>
              <w14:schemeClr w14:val="tx1"/>
            </w14:solidFill>
          </w14:textFill>
        </w:rPr>
        <w:t>同时施工过程中要做到严格管理，节约用水，杜绝泄漏</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保证施工废水不外排，对周围水环境影响很小</w:t>
      </w:r>
      <w:r>
        <w:rPr>
          <w:rFonts w:hint="eastAsia" w:ascii="Times New Roman" w:hAnsi="Times New Roman" w:cs="Times New Roman"/>
          <w:color w:val="000000" w:themeColor="text1"/>
          <w:lang w:eastAsia="zh-CN"/>
          <w14:textFill>
            <w14:solidFill>
              <w14:schemeClr w14:val="tx1"/>
            </w14:solidFill>
          </w14:textFill>
        </w:rPr>
        <w:t>。</w:t>
      </w:r>
    </w:p>
    <w:p w14:paraId="659F259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（2）生活污水</w:t>
      </w:r>
    </w:p>
    <w:p w14:paraId="44BFF81F">
      <w:pPr>
        <w:pStyle w:val="11"/>
        <w:rPr>
          <w:rFonts w:hint="eastAsia"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本项目施工期间，施工人员均租住</w:t>
      </w:r>
      <w:r>
        <w:rPr>
          <w:rFonts w:hint="eastAsia" w:ascii="Times New Roman" w:hAnsi="Times New Roman" w:cs="Times New Roman"/>
          <w:color w:val="000000" w:themeColor="text1"/>
          <w:lang w:val="en-US" w:eastAsia="zh-CN"/>
          <w14:textFill>
            <w14:solidFill>
              <w14:schemeClr w14:val="tx1"/>
            </w14:solidFill>
          </w14:textFill>
        </w:rPr>
        <w:t>63团</w:t>
      </w:r>
      <w:r>
        <w:rPr>
          <w:rFonts w:ascii="Times New Roman" w:hAnsi="Times New Roman" w:cs="Times New Roman"/>
          <w:color w:val="000000" w:themeColor="text1"/>
          <w14:textFill>
            <w14:solidFill>
              <w14:schemeClr w14:val="tx1"/>
            </w14:solidFill>
          </w14:textFill>
        </w:rPr>
        <w:t>附近民房，不入住施工现场，因此不再核算施工期生活污水产生量</w:t>
      </w:r>
      <w:r>
        <w:rPr>
          <w:rFonts w:hint="eastAsia" w:ascii="Times New Roman" w:hAnsi="Times New Roman" w:cs="Times New Roman"/>
          <w:color w:val="000000" w:themeColor="text1"/>
          <w:lang w:eastAsia="zh-CN"/>
          <w14:textFill>
            <w14:solidFill>
              <w14:schemeClr w14:val="tx1"/>
            </w14:solidFill>
          </w14:textFill>
        </w:rPr>
        <w:t>。</w:t>
      </w:r>
    </w:p>
    <w:p w14:paraId="517B59B6">
      <w:pPr>
        <w:pStyle w:val="6"/>
        <w:ind w:left="24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.3.2.3施工期噪声</w:t>
      </w:r>
    </w:p>
    <w:p w14:paraId="3F480A6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施工噪声主要体现于项目建设过程中的施工机械、设备运转噪声，当多台机械设备同时作业时，产生噪声叠加。</w:t>
      </w:r>
    </w:p>
    <w:p w14:paraId="0D1EB89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w:t>
      </w:r>
      <w:r>
        <w:rPr>
          <w:rFonts w:hint="eastAsia" w:cs="Times New Roman"/>
          <w:color w:val="000000" w:themeColor="text1"/>
          <w:lang w:eastAsia="zh-CN"/>
          <w14:textFill>
            <w14:solidFill>
              <w14:schemeClr w14:val="tx1"/>
            </w14:solidFill>
          </w14:textFill>
        </w:rPr>
        <w:t>施工</w:t>
      </w:r>
      <w:r>
        <w:rPr>
          <w:rFonts w:ascii="Times New Roman" w:hAnsi="Times New Roman" w:cs="Times New Roman"/>
          <w:color w:val="000000" w:themeColor="text1"/>
          <w14:textFill>
            <w14:solidFill>
              <w14:schemeClr w14:val="tx1"/>
            </w14:solidFill>
          </w14:textFill>
        </w:rPr>
        <w:t>工艺流程，本项目施工分为基础工程、主体工程、装修工程：第一阶段即基础工程，主要噪声源是推土机、挖掘机、装载机以及各种车辆，大部分是移动声源，没有明显的指向性。土方阶段主要施工机械的噪声特性见下表。</w:t>
      </w:r>
    </w:p>
    <w:p w14:paraId="420C7A50">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.3-2</w:t>
      </w:r>
      <w:r>
        <w:rPr>
          <w:rFonts w:ascii="Times New Roman" w:hAnsi="Times New Roman" w:eastAsia="宋体" w:cs="Times New Roman"/>
          <w:b/>
          <w:bCs/>
          <w:color w:val="000000" w:themeColor="text1"/>
          <w14:textFill>
            <w14:solidFill>
              <w14:schemeClr w14:val="tx1"/>
            </w14:solidFill>
          </w14:textFill>
        </w:rPr>
        <w:t xml:space="preserve">    土方阶段主要施工机械的噪声特性</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12"/>
        <w:gridCol w:w="2416"/>
        <w:gridCol w:w="2409"/>
        <w:gridCol w:w="2407"/>
      </w:tblGrid>
      <w:tr w14:paraId="3B47F2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4CA057DD">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设备类型</w:t>
            </w:r>
          </w:p>
        </w:tc>
        <w:tc>
          <w:tcPr>
            <w:tcW w:w="2416" w:type="dxa"/>
            <w:tcBorders>
              <w:tl2br w:val="nil"/>
              <w:tr2bl w:val="nil"/>
            </w:tcBorders>
            <w:vAlign w:val="center"/>
          </w:tcPr>
          <w:p w14:paraId="421127F8">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声级/距离（dB/m）</w:t>
            </w:r>
          </w:p>
        </w:tc>
        <w:tc>
          <w:tcPr>
            <w:tcW w:w="2409" w:type="dxa"/>
            <w:tcBorders>
              <w:tl2br w:val="nil"/>
              <w:tr2bl w:val="nil"/>
            </w:tcBorders>
            <w:vAlign w:val="center"/>
          </w:tcPr>
          <w:p w14:paraId="20385623">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声功率级</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dB</w:t>
            </w:r>
            <w:r>
              <w:rPr>
                <w:rFonts w:hint="eastAsia"/>
                <w:color w:val="000000" w:themeColor="text1"/>
                <w:szCs w:val="21"/>
                <w:lang w:eastAsia="zh-CN"/>
                <w14:textFill>
                  <w14:solidFill>
                    <w14:schemeClr w14:val="tx1"/>
                  </w14:solidFill>
                </w14:textFill>
              </w:rPr>
              <w:t>）</w:t>
            </w:r>
          </w:p>
        </w:tc>
        <w:tc>
          <w:tcPr>
            <w:tcW w:w="2407" w:type="dxa"/>
            <w:tcBorders>
              <w:tl2br w:val="nil"/>
              <w:tr2bl w:val="nil"/>
            </w:tcBorders>
            <w:vAlign w:val="center"/>
          </w:tcPr>
          <w:p w14:paraId="11A0EC8A">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叠加后声级（dB）</w:t>
            </w:r>
          </w:p>
        </w:tc>
      </w:tr>
      <w:tr w14:paraId="58112E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6FF618B2">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运输车辆</w:t>
            </w:r>
          </w:p>
        </w:tc>
        <w:tc>
          <w:tcPr>
            <w:tcW w:w="2416" w:type="dxa"/>
            <w:tcBorders>
              <w:tl2br w:val="nil"/>
              <w:tr2bl w:val="nil"/>
            </w:tcBorders>
            <w:vAlign w:val="center"/>
          </w:tcPr>
          <w:p w14:paraId="1172D8B5">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83.0/3</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88.0/3</w:t>
            </w:r>
          </w:p>
        </w:tc>
        <w:tc>
          <w:tcPr>
            <w:tcW w:w="2409" w:type="dxa"/>
            <w:tcBorders>
              <w:tl2br w:val="nil"/>
              <w:tr2bl w:val="nil"/>
            </w:tcBorders>
            <w:vAlign w:val="center"/>
          </w:tcPr>
          <w:p w14:paraId="5C2C8DA7">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103.6</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106.3</w:t>
            </w:r>
          </w:p>
        </w:tc>
        <w:tc>
          <w:tcPr>
            <w:tcW w:w="2407" w:type="dxa"/>
            <w:vMerge w:val="restart"/>
            <w:tcBorders>
              <w:tl2br w:val="nil"/>
              <w:tr2bl w:val="nil"/>
            </w:tcBorders>
            <w:vAlign w:val="center"/>
          </w:tcPr>
          <w:p w14:paraId="1D5A8EFA">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117.2</w:t>
            </w:r>
          </w:p>
        </w:tc>
      </w:tr>
      <w:tr w14:paraId="751BB6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3597C433">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装载机</w:t>
            </w:r>
          </w:p>
        </w:tc>
        <w:tc>
          <w:tcPr>
            <w:tcW w:w="2416" w:type="dxa"/>
            <w:tcBorders>
              <w:tl2br w:val="nil"/>
              <w:tr2bl w:val="nil"/>
            </w:tcBorders>
            <w:vAlign w:val="center"/>
          </w:tcPr>
          <w:p w14:paraId="54EAC4F2">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85.7/5</w:t>
            </w:r>
          </w:p>
        </w:tc>
        <w:tc>
          <w:tcPr>
            <w:tcW w:w="2409" w:type="dxa"/>
            <w:tcBorders>
              <w:tl2br w:val="nil"/>
              <w:tr2bl w:val="nil"/>
            </w:tcBorders>
            <w:vAlign w:val="center"/>
          </w:tcPr>
          <w:p w14:paraId="268705C6">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105.7</w:t>
            </w:r>
          </w:p>
        </w:tc>
        <w:tc>
          <w:tcPr>
            <w:tcW w:w="2407" w:type="dxa"/>
            <w:vMerge w:val="continue"/>
            <w:tcBorders>
              <w:tl2br w:val="nil"/>
              <w:tr2bl w:val="nil"/>
            </w:tcBorders>
            <w:vAlign w:val="center"/>
          </w:tcPr>
          <w:p w14:paraId="5DBB219D">
            <w:pPr>
              <w:pStyle w:val="56"/>
              <w:jc w:val="center"/>
              <w:rPr>
                <w:rFonts w:ascii="Times New Roman" w:hAnsi="Times New Roman"/>
                <w:color w:val="000000" w:themeColor="text1"/>
                <w:szCs w:val="21"/>
                <w14:textFill>
                  <w14:solidFill>
                    <w14:schemeClr w14:val="tx1"/>
                  </w14:solidFill>
                </w14:textFill>
              </w:rPr>
            </w:pPr>
          </w:p>
        </w:tc>
      </w:tr>
      <w:tr w14:paraId="766A76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19B960C9">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推土机</w:t>
            </w:r>
          </w:p>
        </w:tc>
        <w:tc>
          <w:tcPr>
            <w:tcW w:w="2416" w:type="dxa"/>
            <w:tcBorders>
              <w:tl2br w:val="nil"/>
              <w:tr2bl w:val="nil"/>
            </w:tcBorders>
            <w:vAlign w:val="center"/>
          </w:tcPr>
          <w:p w14:paraId="20083EC5">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84.0/5</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92.9/5</w:t>
            </w:r>
          </w:p>
        </w:tc>
        <w:tc>
          <w:tcPr>
            <w:tcW w:w="2409" w:type="dxa"/>
            <w:tcBorders>
              <w:tl2br w:val="nil"/>
              <w:tr2bl w:val="nil"/>
            </w:tcBorders>
            <w:vAlign w:val="center"/>
          </w:tcPr>
          <w:p w14:paraId="2CD1473D">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105.5</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115.7</w:t>
            </w:r>
          </w:p>
        </w:tc>
        <w:tc>
          <w:tcPr>
            <w:tcW w:w="2407" w:type="dxa"/>
            <w:vMerge w:val="continue"/>
            <w:tcBorders>
              <w:tl2br w:val="nil"/>
              <w:tr2bl w:val="nil"/>
            </w:tcBorders>
            <w:vAlign w:val="center"/>
          </w:tcPr>
          <w:p w14:paraId="1EE31FBA">
            <w:pPr>
              <w:pStyle w:val="56"/>
              <w:jc w:val="center"/>
              <w:rPr>
                <w:rFonts w:ascii="Times New Roman" w:hAnsi="Times New Roman"/>
                <w:color w:val="000000" w:themeColor="text1"/>
                <w:szCs w:val="21"/>
                <w14:textFill>
                  <w14:solidFill>
                    <w14:schemeClr w14:val="tx1"/>
                  </w14:solidFill>
                </w14:textFill>
              </w:rPr>
            </w:pPr>
          </w:p>
        </w:tc>
      </w:tr>
      <w:tr w14:paraId="778BB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12" w:type="dxa"/>
            <w:tcBorders>
              <w:tl2br w:val="nil"/>
              <w:tr2bl w:val="nil"/>
            </w:tcBorders>
            <w:vAlign w:val="center"/>
          </w:tcPr>
          <w:p w14:paraId="0CBA5CFA">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挖掘机</w:t>
            </w:r>
          </w:p>
        </w:tc>
        <w:tc>
          <w:tcPr>
            <w:tcW w:w="2416" w:type="dxa"/>
            <w:tcBorders>
              <w:tl2br w:val="nil"/>
              <w:tr2bl w:val="nil"/>
            </w:tcBorders>
            <w:vAlign w:val="center"/>
          </w:tcPr>
          <w:p w14:paraId="5563472A">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75.5/5</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86.0/5</w:t>
            </w:r>
          </w:p>
        </w:tc>
        <w:tc>
          <w:tcPr>
            <w:tcW w:w="2409" w:type="dxa"/>
            <w:tcBorders>
              <w:tl2br w:val="nil"/>
              <w:tr2bl w:val="nil"/>
            </w:tcBorders>
            <w:vAlign w:val="center"/>
          </w:tcPr>
          <w:p w14:paraId="3AAC8223">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99.0</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108.5</w:t>
            </w:r>
          </w:p>
        </w:tc>
        <w:tc>
          <w:tcPr>
            <w:tcW w:w="2407" w:type="dxa"/>
            <w:vMerge w:val="continue"/>
            <w:tcBorders>
              <w:tl2br w:val="nil"/>
              <w:tr2bl w:val="nil"/>
            </w:tcBorders>
            <w:vAlign w:val="center"/>
          </w:tcPr>
          <w:p w14:paraId="2ECC9238">
            <w:pPr>
              <w:pStyle w:val="56"/>
              <w:jc w:val="center"/>
              <w:rPr>
                <w:rFonts w:ascii="Times New Roman" w:hAnsi="Times New Roman"/>
                <w:color w:val="000000" w:themeColor="text1"/>
                <w:szCs w:val="21"/>
                <w14:textFill>
                  <w14:solidFill>
                    <w14:schemeClr w14:val="tx1"/>
                  </w14:solidFill>
                </w14:textFill>
              </w:rPr>
            </w:pPr>
          </w:p>
        </w:tc>
      </w:tr>
    </w:tbl>
    <w:p w14:paraId="74342E21">
      <w:pPr>
        <w:ind w:firstLine="45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7"/>
          <w14:textFill>
            <w14:solidFill>
              <w14:schemeClr w14:val="tx1"/>
            </w14:solidFill>
          </w14:textFill>
        </w:rPr>
        <w:t>第二阶段即主体工程，主要产噪设备有吊车、振捣棒、电锯等，其中还包括</w:t>
      </w:r>
      <w:r>
        <w:rPr>
          <w:rFonts w:ascii="Times New Roman" w:hAnsi="Times New Roman" w:cs="Times New Roman"/>
          <w:color w:val="000000" w:themeColor="text1"/>
          <w14:textFill>
            <w14:solidFill>
              <w14:schemeClr w14:val="tx1"/>
            </w14:solidFill>
          </w14:textFill>
        </w:rPr>
        <w:t>一些物料装卸碰撞撞击噪声。结构阶段施工机械的噪声特性见下表。</w:t>
      </w:r>
    </w:p>
    <w:p w14:paraId="053B07C4">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.3-3</w:t>
      </w:r>
      <w:r>
        <w:rPr>
          <w:rFonts w:ascii="Times New Roman" w:hAnsi="Times New Roman" w:eastAsia="宋体" w:cs="Times New Roman"/>
          <w:b/>
          <w:bCs/>
          <w:color w:val="000000" w:themeColor="text1"/>
          <w14:textFill>
            <w14:solidFill>
              <w14:schemeClr w14:val="tx1"/>
            </w14:solidFill>
          </w14:textFill>
        </w:rPr>
        <w:t xml:space="preserve">    结构阶段主要设备的噪声特性</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18"/>
        <w:gridCol w:w="2311"/>
        <w:gridCol w:w="2307"/>
        <w:gridCol w:w="2308"/>
      </w:tblGrid>
      <w:tr w14:paraId="4D8C2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918" w:type="dxa"/>
            <w:tcBorders>
              <w:tl2br w:val="nil"/>
              <w:tr2bl w:val="nil"/>
            </w:tcBorders>
            <w:vAlign w:val="center"/>
          </w:tcPr>
          <w:p w14:paraId="27FF12C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设备类型</w:t>
            </w:r>
          </w:p>
        </w:tc>
        <w:tc>
          <w:tcPr>
            <w:tcW w:w="2311" w:type="dxa"/>
            <w:tcBorders>
              <w:tl2br w:val="nil"/>
              <w:tr2bl w:val="nil"/>
            </w:tcBorders>
            <w:vAlign w:val="center"/>
          </w:tcPr>
          <w:p w14:paraId="78242DA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声级/距离</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dB/m</w:t>
            </w:r>
            <w:r>
              <w:rPr>
                <w:rFonts w:hint="eastAsia"/>
                <w:color w:val="000000" w:themeColor="text1"/>
                <w:szCs w:val="21"/>
                <w:lang w:eastAsia="zh-CN"/>
                <w14:textFill>
                  <w14:solidFill>
                    <w14:schemeClr w14:val="tx1"/>
                  </w14:solidFill>
                </w14:textFill>
              </w:rPr>
              <w:t>）</w:t>
            </w:r>
          </w:p>
        </w:tc>
        <w:tc>
          <w:tcPr>
            <w:tcW w:w="2307" w:type="dxa"/>
            <w:tcBorders>
              <w:tl2br w:val="nil"/>
              <w:tr2bl w:val="nil"/>
            </w:tcBorders>
            <w:vAlign w:val="center"/>
          </w:tcPr>
          <w:p w14:paraId="428D40E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声功率级</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dB</w:t>
            </w:r>
            <w:r>
              <w:rPr>
                <w:rFonts w:hint="eastAsia"/>
                <w:color w:val="000000" w:themeColor="text1"/>
                <w:szCs w:val="21"/>
                <w:lang w:eastAsia="zh-CN"/>
                <w14:textFill>
                  <w14:solidFill>
                    <w14:schemeClr w14:val="tx1"/>
                  </w14:solidFill>
                </w14:textFill>
              </w:rPr>
              <w:t>）</w:t>
            </w:r>
          </w:p>
        </w:tc>
        <w:tc>
          <w:tcPr>
            <w:tcW w:w="2308" w:type="dxa"/>
            <w:tcBorders>
              <w:tl2br w:val="nil"/>
              <w:tr2bl w:val="nil"/>
            </w:tcBorders>
            <w:vAlign w:val="center"/>
          </w:tcPr>
          <w:p w14:paraId="7D8CE7D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叠加后声级（dB）</w:t>
            </w:r>
          </w:p>
        </w:tc>
      </w:tr>
      <w:tr w14:paraId="2E1B55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918" w:type="dxa"/>
            <w:tcBorders>
              <w:tl2br w:val="nil"/>
              <w:tr2bl w:val="nil"/>
            </w:tcBorders>
            <w:vAlign w:val="center"/>
          </w:tcPr>
          <w:p w14:paraId="3424CB4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汽车吊车</w:t>
            </w:r>
          </w:p>
        </w:tc>
        <w:tc>
          <w:tcPr>
            <w:tcW w:w="2311" w:type="dxa"/>
            <w:tcBorders>
              <w:tl2br w:val="nil"/>
              <w:tr2bl w:val="nil"/>
            </w:tcBorders>
            <w:vAlign w:val="center"/>
          </w:tcPr>
          <w:p w14:paraId="6840C13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81/5</w:t>
            </w:r>
          </w:p>
        </w:tc>
        <w:tc>
          <w:tcPr>
            <w:tcW w:w="2307" w:type="dxa"/>
            <w:tcBorders>
              <w:tl2br w:val="nil"/>
              <w:tr2bl w:val="nil"/>
            </w:tcBorders>
            <w:vAlign w:val="center"/>
          </w:tcPr>
          <w:p w14:paraId="30B0578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103.0</w:t>
            </w:r>
          </w:p>
        </w:tc>
        <w:tc>
          <w:tcPr>
            <w:tcW w:w="2308" w:type="dxa"/>
            <w:vMerge w:val="restart"/>
            <w:tcBorders>
              <w:tl2br w:val="nil"/>
              <w:tr2bl w:val="nil"/>
            </w:tcBorders>
            <w:vAlign w:val="center"/>
          </w:tcPr>
          <w:p w14:paraId="6E9CCC5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112</w:t>
            </w:r>
          </w:p>
        </w:tc>
      </w:tr>
      <w:tr w14:paraId="1FB188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918" w:type="dxa"/>
            <w:tcBorders>
              <w:tl2br w:val="nil"/>
              <w:tr2bl w:val="nil"/>
            </w:tcBorders>
            <w:vAlign w:val="center"/>
          </w:tcPr>
          <w:p w14:paraId="7981307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振捣棒</w:t>
            </w:r>
          </w:p>
        </w:tc>
        <w:tc>
          <w:tcPr>
            <w:tcW w:w="2311" w:type="dxa"/>
            <w:tcBorders>
              <w:tl2br w:val="nil"/>
              <w:tr2bl w:val="nil"/>
            </w:tcBorders>
            <w:vAlign w:val="center"/>
          </w:tcPr>
          <w:p w14:paraId="6BA5FF1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79/5</w:t>
            </w:r>
          </w:p>
        </w:tc>
        <w:tc>
          <w:tcPr>
            <w:tcW w:w="2307" w:type="dxa"/>
            <w:tcBorders>
              <w:tl2br w:val="nil"/>
              <w:tr2bl w:val="nil"/>
            </w:tcBorders>
            <w:vAlign w:val="center"/>
          </w:tcPr>
          <w:p w14:paraId="5F72A5C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101.0</w:t>
            </w:r>
          </w:p>
        </w:tc>
        <w:tc>
          <w:tcPr>
            <w:tcW w:w="2308" w:type="dxa"/>
            <w:vMerge w:val="continue"/>
            <w:tcBorders>
              <w:tl2br w:val="nil"/>
              <w:tr2bl w:val="nil"/>
            </w:tcBorders>
            <w:vAlign w:val="center"/>
          </w:tcPr>
          <w:p w14:paraId="5AF88DED">
            <w:pPr>
              <w:pStyle w:val="56"/>
              <w:rPr>
                <w:rFonts w:ascii="Times New Roman" w:hAnsi="Times New Roman"/>
                <w:color w:val="000000" w:themeColor="text1"/>
                <w:szCs w:val="21"/>
                <w14:textFill>
                  <w14:solidFill>
                    <w14:schemeClr w14:val="tx1"/>
                  </w14:solidFill>
                </w14:textFill>
              </w:rPr>
            </w:pPr>
          </w:p>
        </w:tc>
      </w:tr>
      <w:tr w14:paraId="5B6D91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918" w:type="dxa"/>
            <w:tcBorders>
              <w:tl2br w:val="nil"/>
              <w:tr2bl w:val="nil"/>
            </w:tcBorders>
            <w:vAlign w:val="center"/>
          </w:tcPr>
          <w:p w14:paraId="79A0C84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电锯</w:t>
            </w:r>
          </w:p>
        </w:tc>
        <w:tc>
          <w:tcPr>
            <w:tcW w:w="2311" w:type="dxa"/>
            <w:tcBorders>
              <w:tl2br w:val="nil"/>
              <w:tr2bl w:val="nil"/>
            </w:tcBorders>
            <w:vAlign w:val="center"/>
          </w:tcPr>
          <w:p w14:paraId="6608DA1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89/5</w:t>
            </w:r>
          </w:p>
        </w:tc>
        <w:tc>
          <w:tcPr>
            <w:tcW w:w="2307" w:type="dxa"/>
            <w:tcBorders>
              <w:tl2br w:val="nil"/>
              <w:tr2bl w:val="nil"/>
            </w:tcBorders>
            <w:vAlign w:val="center"/>
          </w:tcPr>
          <w:p w14:paraId="7F830F1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111.0</w:t>
            </w:r>
          </w:p>
        </w:tc>
        <w:tc>
          <w:tcPr>
            <w:tcW w:w="2308" w:type="dxa"/>
            <w:vMerge w:val="continue"/>
            <w:tcBorders>
              <w:tl2br w:val="nil"/>
              <w:tr2bl w:val="nil"/>
            </w:tcBorders>
            <w:vAlign w:val="center"/>
          </w:tcPr>
          <w:p w14:paraId="27C2BA88">
            <w:pPr>
              <w:pStyle w:val="56"/>
              <w:rPr>
                <w:rFonts w:ascii="Times New Roman" w:hAnsi="Times New Roman"/>
                <w:color w:val="000000" w:themeColor="text1"/>
                <w:szCs w:val="21"/>
                <w14:textFill>
                  <w14:solidFill>
                    <w14:schemeClr w14:val="tx1"/>
                  </w14:solidFill>
                </w14:textFill>
              </w:rPr>
            </w:pPr>
          </w:p>
        </w:tc>
      </w:tr>
    </w:tbl>
    <w:p w14:paraId="72668BE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第三阶段为装修工程，主要产噪设备有砂轮锯、切割机、卷扬机等。装修阶段施工机械的噪声特性见下表。</w:t>
      </w:r>
    </w:p>
    <w:p w14:paraId="743EAC50">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.3-4</w:t>
      </w:r>
      <w:r>
        <w:rPr>
          <w:rFonts w:ascii="Times New Roman" w:hAnsi="Times New Roman" w:eastAsia="宋体" w:cs="Times New Roman"/>
          <w:b/>
          <w:bCs/>
          <w:color w:val="000000" w:themeColor="text1"/>
          <w14:textFill>
            <w14:solidFill>
              <w14:schemeClr w14:val="tx1"/>
            </w14:solidFill>
          </w14:textFill>
        </w:rPr>
        <w:t xml:space="preserve">    装修阶段主要施工机械的噪声特性</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2384"/>
        <w:gridCol w:w="2384"/>
        <w:gridCol w:w="2384"/>
      </w:tblGrid>
      <w:tr w14:paraId="4CF08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2C0FCEA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设备类型</w:t>
            </w:r>
          </w:p>
        </w:tc>
        <w:tc>
          <w:tcPr>
            <w:tcW w:w="2384" w:type="dxa"/>
            <w:tcBorders>
              <w:tl2br w:val="nil"/>
              <w:tr2bl w:val="nil"/>
            </w:tcBorders>
            <w:vAlign w:val="center"/>
          </w:tcPr>
          <w:p w14:paraId="2C503B2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声级/距离</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dB/m</w:t>
            </w:r>
            <w:r>
              <w:rPr>
                <w:rFonts w:hint="eastAsia"/>
                <w:color w:val="000000" w:themeColor="text1"/>
                <w:szCs w:val="21"/>
                <w:lang w:eastAsia="zh-CN"/>
                <w14:textFill>
                  <w14:solidFill>
                    <w14:schemeClr w14:val="tx1"/>
                  </w14:solidFill>
                </w14:textFill>
              </w:rPr>
              <w:t>）</w:t>
            </w:r>
          </w:p>
        </w:tc>
        <w:tc>
          <w:tcPr>
            <w:tcW w:w="2384" w:type="dxa"/>
            <w:tcBorders>
              <w:tl2br w:val="nil"/>
              <w:tr2bl w:val="nil"/>
            </w:tcBorders>
            <w:vAlign w:val="center"/>
          </w:tcPr>
          <w:p w14:paraId="1642BCB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声功率级</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dB</w:t>
            </w:r>
            <w:r>
              <w:rPr>
                <w:rFonts w:hint="eastAsia"/>
                <w:color w:val="000000" w:themeColor="text1"/>
                <w:szCs w:val="21"/>
                <w:lang w:eastAsia="zh-CN"/>
                <w14:textFill>
                  <w14:solidFill>
                    <w14:schemeClr w14:val="tx1"/>
                  </w14:solidFill>
                </w14:textFill>
              </w:rPr>
              <w:t>）</w:t>
            </w:r>
          </w:p>
        </w:tc>
        <w:tc>
          <w:tcPr>
            <w:tcW w:w="2384" w:type="dxa"/>
            <w:tcBorders>
              <w:tl2br w:val="nil"/>
              <w:tr2bl w:val="nil"/>
            </w:tcBorders>
            <w:vAlign w:val="center"/>
          </w:tcPr>
          <w:p w14:paraId="5B9E0E9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叠加后声级（dB）</w:t>
            </w:r>
          </w:p>
        </w:tc>
      </w:tr>
      <w:tr w14:paraId="4A616E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2C6B5B4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砂轮锯</w:t>
            </w:r>
          </w:p>
        </w:tc>
        <w:tc>
          <w:tcPr>
            <w:tcW w:w="2384" w:type="dxa"/>
            <w:tcBorders>
              <w:tl2br w:val="nil"/>
              <w:tr2bl w:val="nil"/>
            </w:tcBorders>
            <w:vAlign w:val="center"/>
          </w:tcPr>
          <w:p w14:paraId="6D92515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82/5</w:t>
            </w:r>
          </w:p>
        </w:tc>
        <w:tc>
          <w:tcPr>
            <w:tcW w:w="2384" w:type="dxa"/>
            <w:tcBorders>
              <w:tl2br w:val="nil"/>
              <w:tr2bl w:val="nil"/>
            </w:tcBorders>
            <w:vAlign w:val="center"/>
          </w:tcPr>
          <w:p w14:paraId="57ED1CC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104.0</w:t>
            </w:r>
          </w:p>
        </w:tc>
        <w:tc>
          <w:tcPr>
            <w:tcW w:w="2384" w:type="dxa"/>
            <w:vMerge w:val="restart"/>
            <w:tcBorders>
              <w:tl2br w:val="nil"/>
              <w:tr2bl w:val="nil"/>
            </w:tcBorders>
            <w:vAlign w:val="center"/>
          </w:tcPr>
          <w:p w14:paraId="4792121B">
            <w:pPr>
              <w:pStyle w:val="56"/>
              <w:rPr>
                <w:rFonts w:hint="eastAsia" w:ascii="Times New Roman" w:hAnsi="Times New Roman" w:eastAsia="宋体"/>
                <w:color w:val="000000" w:themeColor="text1"/>
                <w:szCs w:val="21"/>
                <w:lang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104.</w:t>
            </w:r>
            <w:r>
              <w:rPr>
                <w:rFonts w:hint="eastAsia"/>
                <w:color w:val="000000" w:themeColor="text1"/>
                <w:szCs w:val="21"/>
                <w:lang w:val="en-US" w:eastAsia="zh-CN"/>
                <w14:textFill>
                  <w14:solidFill>
                    <w14:schemeClr w14:val="tx1"/>
                  </w14:solidFill>
                </w14:textFill>
              </w:rPr>
              <w:t>5</w:t>
            </w:r>
          </w:p>
        </w:tc>
      </w:tr>
      <w:tr w14:paraId="7A45B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5136C3C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切割机</w:t>
            </w:r>
          </w:p>
        </w:tc>
        <w:tc>
          <w:tcPr>
            <w:tcW w:w="2384" w:type="dxa"/>
            <w:tcBorders>
              <w:tl2br w:val="nil"/>
              <w:tr2bl w:val="nil"/>
            </w:tcBorders>
            <w:vAlign w:val="center"/>
          </w:tcPr>
          <w:p w14:paraId="49EB8C2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75/5</w:t>
            </w:r>
          </w:p>
        </w:tc>
        <w:tc>
          <w:tcPr>
            <w:tcW w:w="2384" w:type="dxa"/>
            <w:tcBorders>
              <w:tl2br w:val="nil"/>
              <w:tr2bl w:val="nil"/>
            </w:tcBorders>
            <w:vAlign w:val="center"/>
          </w:tcPr>
          <w:p w14:paraId="4D32C23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96.0</w:t>
            </w:r>
          </w:p>
        </w:tc>
        <w:tc>
          <w:tcPr>
            <w:tcW w:w="2384" w:type="dxa"/>
            <w:vMerge w:val="continue"/>
            <w:tcBorders>
              <w:tl2br w:val="nil"/>
              <w:tr2bl w:val="nil"/>
            </w:tcBorders>
            <w:vAlign w:val="center"/>
          </w:tcPr>
          <w:p w14:paraId="6A5E6DC9">
            <w:pPr>
              <w:pStyle w:val="56"/>
              <w:rPr>
                <w:rFonts w:ascii="Times New Roman" w:hAnsi="Times New Roman"/>
                <w:color w:val="000000" w:themeColor="text1"/>
                <w:szCs w:val="21"/>
                <w14:textFill>
                  <w14:solidFill>
                    <w14:schemeClr w14:val="tx1"/>
                  </w14:solidFill>
                </w14:textFill>
              </w:rPr>
            </w:pPr>
          </w:p>
        </w:tc>
      </w:tr>
      <w:tr w14:paraId="49201A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4FD9BDE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磨石机</w:t>
            </w:r>
          </w:p>
        </w:tc>
        <w:tc>
          <w:tcPr>
            <w:tcW w:w="2384" w:type="dxa"/>
            <w:tcBorders>
              <w:tl2br w:val="nil"/>
              <w:tr2bl w:val="nil"/>
            </w:tcBorders>
            <w:vAlign w:val="center"/>
          </w:tcPr>
          <w:p w14:paraId="6269999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69.5/5</w:t>
            </w:r>
          </w:p>
        </w:tc>
        <w:tc>
          <w:tcPr>
            <w:tcW w:w="2384" w:type="dxa"/>
            <w:tcBorders>
              <w:tl2br w:val="nil"/>
              <w:tr2bl w:val="nil"/>
            </w:tcBorders>
            <w:vAlign w:val="center"/>
          </w:tcPr>
          <w:p w14:paraId="202A665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90.5</w:t>
            </w:r>
          </w:p>
        </w:tc>
        <w:tc>
          <w:tcPr>
            <w:tcW w:w="2384" w:type="dxa"/>
            <w:vMerge w:val="continue"/>
            <w:tcBorders>
              <w:tl2br w:val="nil"/>
              <w:tr2bl w:val="nil"/>
            </w:tcBorders>
            <w:vAlign w:val="center"/>
          </w:tcPr>
          <w:p w14:paraId="4521A8A7">
            <w:pPr>
              <w:pStyle w:val="56"/>
              <w:rPr>
                <w:rFonts w:ascii="Times New Roman" w:hAnsi="Times New Roman"/>
                <w:color w:val="000000" w:themeColor="text1"/>
                <w:szCs w:val="21"/>
                <w14:textFill>
                  <w14:solidFill>
                    <w14:schemeClr w14:val="tx1"/>
                  </w14:solidFill>
                </w14:textFill>
              </w:rPr>
            </w:pPr>
          </w:p>
        </w:tc>
      </w:tr>
      <w:tr w14:paraId="4EE915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692" w:type="dxa"/>
            <w:tcBorders>
              <w:tl2br w:val="nil"/>
              <w:tr2bl w:val="nil"/>
            </w:tcBorders>
            <w:vAlign w:val="center"/>
          </w:tcPr>
          <w:p w14:paraId="07AF80C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电动卷扬机</w:t>
            </w:r>
          </w:p>
        </w:tc>
        <w:tc>
          <w:tcPr>
            <w:tcW w:w="2384" w:type="dxa"/>
            <w:tcBorders>
              <w:tl2br w:val="nil"/>
              <w:tr2bl w:val="nil"/>
            </w:tcBorders>
            <w:vAlign w:val="center"/>
          </w:tcPr>
          <w:p w14:paraId="176C780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64/5</w:t>
            </w:r>
          </w:p>
        </w:tc>
        <w:tc>
          <w:tcPr>
            <w:tcW w:w="2384" w:type="dxa"/>
            <w:tcBorders>
              <w:tl2br w:val="nil"/>
              <w:tr2bl w:val="nil"/>
            </w:tcBorders>
            <w:vAlign w:val="center"/>
          </w:tcPr>
          <w:p w14:paraId="3E27A4E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85.0</w:t>
            </w:r>
          </w:p>
        </w:tc>
        <w:tc>
          <w:tcPr>
            <w:tcW w:w="2384" w:type="dxa"/>
            <w:vMerge w:val="continue"/>
            <w:tcBorders>
              <w:tl2br w:val="nil"/>
              <w:tr2bl w:val="nil"/>
            </w:tcBorders>
            <w:vAlign w:val="center"/>
          </w:tcPr>
          <w:p w14:paraId="73B7FDD4">
            <w:pPr>
              <w:pStyle w:val="56"/>
              <w:rPr>
                <w:rFonts w:ascii="Times New Roman" w:hAnsi="Times New Roman"/>
                <w:color w:val="000000" w:themeColor="text1"/>
                <w:szCs w:val="21"/>
                <w14:textFill>
                  <w14:solidFill>
                    <w14:schemeClr w14:val="tx1"/>
                  </w14:solidFill>
                </w14:textFill>
              </w:rPr>
            </w:pPr>
          </w:p>
        </w:tc>
      </w:tr>
    </w:tbl>
    <w:p w14:paraId="415104E6">
      <w:pPr>
        <w:pStyle w:val="6"/>
        <w:ind w:left="24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.3.2.4施工期固体废物</w:t>
      </w:r>
    </w:p>
    <w:p w14:paraId="5F08A4BD">
      <w:pPr>
        <w:spacing w:line="52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施工期会产生弃土、建筑垃圾、生活垃圾等固体废物。</w:t>
      </w:r>
    </w:p>
    <w:p w14:paraId="3B2ABE6E">
      <w:pPr>
        <w:numPr>
          <w:ilvl w:val="0"/>
          <w:numId w:val="0"/>
        </w:numPr>
        <w:spacing w:line="520" w:lineRule="exact"/>
        <w:ind w:firstLine="480" w:firstLineChars="200"/>
        <w:rPr>
          <w:rFonts w:ascii="Times New Roman" w:hAnsi="Times New Roman"/>
          <w:color w:val="000000" w:themeColor="text1"/>
          <w14:textFill>
            <w14:solidFill>
              <w14:schemeClr w14:val="tx1"/>
            </w14:solidFill>
          </w14:textFill>
        </w:rPr>
      </w:pPr>
      <w:r>
        <w:rPr>
          <w:rFonts w:ascii="Times New Roman" w:hAnsi="Times New Roman" w:eastAsiaTheme="minorEastAsia" w:cstheme="minorBidi"/>
          <w:color w:val="000000" w:themeColor="text1"/>
          <w:kern w:val="2"/>
          <w:sz w:val="24"/>
          <w:szCs w:val="22"/>
          <w:lang w:val="en-US" w:eastAsia="zh-CN" w:bidi="ar-SA"/>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施工土石方</w:t>
      </w:r>
    </w:p>
    <w:p w14:paraId="0785CF7E">
      <w:pPr>
        <w:spacing w:line="520" w:lineRule="exact"/>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本工程新建项目占地</w:t>
      </w:r>
      <w:r>
        <w:rPr>
          <w:rFonts w:hint="eastAsia" w:cs="Times New Roman"/>
          <w:color w:val="000000" w:themeColor="text1"/>
          <w:lang w:val="en-US" w:eastAsia="zh-CN"/>
          <w14:textFill>
            <w14:solidFill>
              <w14:schemeClr w14:val="tx1"/>
            </w14:solidFill>
          </w14:textFill>
        </w:rPr>
        <w:t>13.38</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lang w:val="en-US" w:eastAsia="zh-CN"/>
          <w14:textFill>
            <w14:solidFill>
              <w14:schemeClr w14:val="tx1"/>
            </w14:solidFill>
          </w14:textFill>
        </w:rPr>
        <w:t>m²</w:t>
      </w:r>
      <w:r>
        <w:rPr>
          <w:rFonts w:hint="eastAsia" w:ascii="Times New Roman" w:hAnsi="Times New Roman" w:cs="Times New Roman"/>
          <w:color w:val="000000" w:themeColor="text1"/>
          <w:lang w:val="en-US" w:eastAsia="zh-CN"/>
          <w14:textFill>
            <w14:solidFill>
              <w14:schemeClr w14:val="tx1"/>
            </w14:solidFill>
          </w14:textFill>
        </w:rPr>
        <w:t>，建筑面积</w:t>
      </w:r>
      <w:r>
        <w:rPr>
          <w:rFonts w:hint="eastAsia" w:cs="Times New Roman"/>
          <w:color w:val="000000" w:themeColor="text1"/>
          <w:lang w:val="en-US" w:eastAsia="zh-CN"/>
          <w14:textFill>
            <w14:solidFill>
              <w14:schemeClr w14:val="tx1"/>
            </w14:solidFill>
          </w14:textFill>
        </w:rPr>
        <w:t>约5.53</w:t>
      </w:r>
      <w:r>
        <w:rPr>
          <w:rFonts w:hint="eastAsia" w:ascii="Times New Roman" w:hAnsi="Times New Roman" w:cs="Times New Roman"/>
          <w:color w:val="000000" w:themeColor="text1"/>
          <w:lang w:val="en-US" w:eastAsia="zh-CN"/>
          <w14:textFill>
            <w14:solidFill>
              <w14:schemeClr w14:val="tx1"/>
            </w14:solidFill>
          </w14:textFill>
        </w:rPr>
        <w:t>hm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vertAlign w:val="baseline"/>
          <w:lang w:val="en-US" w:eastAsia="zh-CN"/>
          <w14:textFill>
            <w14:solidFill>
              <w14:schemeClr w14:val="tx1"/>
            </w14:solidFill>
          </w14:textFill>
        </w:rPr>
        <w:t>，建筑物为条形基础，</w:t>
      </w:r>
      <w:r>
        <w:rPr>
          <w:rFonts w:hint="eastAsia" w:ascii="Times New Roman" w:hAnsi="Times New Roman" w:cs="Times New Roman"/>
          <w:color w:val="000000" w:themeColor="text1"/>
          <w:lang w:val="en-US" w:eastAsia="zh-CN"/>
          <w14:textFill>
            <w14:solidFill>
              <w14:schemeClr w14:val="tx1"/>
            </w14:solidFill>
          </w14:textFill>
        </w:rPr>
        <w:t>挖方量</w:t>
      </w:r>
      <w:r>
        <w:rPr>
          <w:rFonts w:hint="eastAsia" w:cs="Times New Roman"/>
          <w:color w:val="000000" w:themeColor="text1"/>
          <w:lang w:val="en-US" w:eastAsia="zh-CN"/>
          <w14:textFill>
            <w14:solidFill>
              <w14:schemeClr w14:val="tx1"/>
            </w14:solidFill>
          </w14:textFill>
        </w:rPr>
        <w:t>3.32</w:t>
      </w:r>
      <w:r>
        <w:rPr>
          <w:rFonts w:hint="eastAsia" w:ascii="Times New Roman" w:hAnsi="Times New Roman" w:cs="Times New Roman"/>
          <w:color w:val="000000" w:themeColor="text1"/>
          <w:lang w:val="en-US" w:eastAsia="zh-CN"/>
          <w14:textFill>
            <w14:solidFill>
              <w14:schemeClr w14:val="tx1"/>
            </w14:solidFill>
          </w14:textFill>
        </w:rPr>
        <w:t>万</w:t>
      </w:r>
      <w:r>
        <w:rPr>
          <w:rFonts w:hint="default" w:ascii="Times New Roman" w:hAnsi="Times New Roman" w:cs="Times New Roman"/>
          <w:color w:val="000000" w:themeColor="text1"/>
          <w:lang w:val="en-US" w:eastAsia="zh-CN"/>
          <w14:textFill>
            <w14:solidFill>
              <w14:schemeClr w14:val="tx1"/>
            </w14:solidFill>
          </w14:textFill>
        </w:rPr>
        <w:t>m³</w:t>
      </w:r>
      <w:r>
        <w:rPr>
          <w:rFonts w:hint="eastAsia" w:ascii="Times New Roman" w:hAnsi="Times New Roman" w:cs="Times New Roman"/>
          <w:color w:val="000000" w:themeColor="text1"/>
          <w:lang w:val="en-US" w:eastAsia="zh-CN"/>
          <w14:textFill>
            <w14:solidFill>
              <w14:schemeClr w14:val="tx1"/>
            </w14:solidFill>
          </w14:textFill>
        </w:rPr>
        <w:t>，项目更换垫层以天然砂砾石为主，借量约</w:t>
      </w:r>
      <w:r>
        <w:rPr>
          <w:rFonts w:hint="eastAsia" w:cs="Times New Roman"/>
          <w:color w:val="000000" w:themeColor="text1"/>
          <w:lang w:val="en-US" w:eastAsia="zh-CN"/>
          <w14:textFill>
            <w14:solidFill>
              <w14:schemeClr w14:val="tx1"/>
            </w14:solidFill>
          </w14:textFill>
        </w:rPr>
        <w:t>1.9</w:t>
      </w:r>
      <w:r>
        <w:rPr>
          <w:rFonts w:hint="eastAsia" w:ascii="Times New Roman" w:hAnsi="Times New Roman" w:cs="Times New Roman"/>
          <w:color w:val="000000" w:themeColor="text1"/>
          <w:lang w:val="en-US" w:eastAsia="zh-CN"/>
          <w14:textFill>
            <w14:solidFill>
              <w14:schemeClr w14:val="tx1"/>
            </w14:solidFill>
          </w14:textFill>
        </w:rPr>
        <w:t>万</w:t>
      </w:r>
      <w:r>
        <w:rPr>
          <w:rFonts w:hint="default" w:ascii="Times New Roman" w:hAnsi="Times New Roman" w:cs="Times New Roman"/>
          <w:color w:val="000000" w:themeColor="text1"/>
          <w:lang w:val="en-US" w:eastAsia="zh-CN"/>
          <w14:textFill>
            <w14:solidFill>
              <w14:schemeClr w14:val="tx1"/>
            </w14:solidFill>
          </w14:textFill>
        </w:rPr>
        <w:t>m³</w:t>
      </w:r>
      <w:r>
        <w:rPr>
          <w:rFonts w:hint="eastAsia" w:ascii="Times New Roman" w:hAnsi="Times New Roman" w:cs="Times New Roman"/>
          <w:color w:val="000000" w:themeColor="text1"/>
          <w:lang w:val="en-US" w:eastAsia="zh-CN"/>
          <w14:textFill>
            <w14:solidFill>
              <w14:schemeClr w14:val="tx1"/>
            </w14:solidFill>
          </w14:textFill>
        </w:rPr>
        <w:t>，填方</w:t>
      </w: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万</w:t>
      </w:r>
      <w:r>
        <w:rPr>
          <w:rFonts w:hint="default" w:ascii="Times New Roman" w:hAnsi="Times New Roman" w:cs="Times New Roman"/>
          <w:color w:val="000000" w:themeColor="text1"/>
          <w:lang w:val="en-US" w:eastAsia="zh-CN"/>
          <w14:textFill>
            <w14:solidFill>
              <w14:schemeClr w14:val="tx1"/>
            </w14:solidFill>
          </w14:textFill>
        </w:rPr>
        <w:t>m³</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开挖土方大部分利用，剩余少量用于项目鸭运动场地铺垫，不外运土方</w:t>
      </w:r>
      <w:r>
        <w:rPr>
          <w:rFonts w:hint="eastAsia" w:ascii="Times New Roman" w:hAnsi="Times New Roman" w:cs="Times New Roman"/>
          <w:color w:val="000000" w:themeColor="text1"/>
          <w:lang w:val="en-US" w:eastAsia="zh-CN"/>
          <w14:textFill>
            <w14:solidFill>
              <w14:schemeClr w14:val="tx1"/>
            </w14:solidFill>
          </w14:textFill>
        </w:rPr>
        <w:t>。项目土石方平衡表见表</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5。</w:t>
      </w:r>
    </w:p>
    <w:p w14:paraId="44A7BFED">
      <w:pPr>
        <w:pStyle w:val="61"/>
        <w:spacing w:before="32" w:after="32"/>
        <w:rPr>
          <w:rFonts w:hint="default" w:ascii="Times New Roman" w:hAnsi="Times New Roman" w:eastAsia="宋体" w:cs="Times New Roman"/>
          <w:color w:val="000000" w:themeColor="text1"/>
          <w:vertAlign w:val="superscript"/>
          <w:lang w:val="en-US" w:eastAsia="zh-CN"/>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.3-5</w:t>
      </w:r>
      <w:r>
        <w:rPr>
          <w:rFonts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项目土石方平衡表             单位：万m</w:t>
      </w:r>
      <w:r>
        <w:rPr>
          <w:rFonts w:hint="eastAsia" w:ascii="Times New Roman" w:hAnsi="Times New Roman" w:eastAsia="宋体" w:cs="Times New Roman"/>
          <w:b/>
          <w:bCs/>
          <w:color w:val="000000" w:themeColor="text1"/>
          <w:vertAlign w:val="superscript"/>
          <w:lang w:val="en-US" w:eastAsia="zh-CN"/>
          <w14:textFill>
            <w14:solidFill>
              <w14:schemeClr w14:val="tx1"/>
            </w14:solidFill>
          </w14:textFill>
        </w:rPr>
        <w:t>3</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48"/>
        <w:gridCol w:w="1760"/>
        <w:gridCol w:w="1820"/>
        <w:gridCol w:w="1840"/>
        <w:gridCol w:w="1571"/>
      </w:tblGrid>
      <w:tr w14:paraId="0BA74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45" w:type="pct"/>
            <w:tcBorders>
              <w:tl2br w:val="nil"/>
              <w:tr2bl w:val="nil"/>
            </w:tcBorders>
            <w:vAlign w:val="center"/>
          </w:tcPr>
          <w:p w14:paraId="32DBF13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项目组成</w:t>
            </w:r>
          </w:p>
        </w:tc>
        <w:tc>
          <w:tcPr>
            <w:tcW w:w="995" w:type="pct"/>
            <w:tcBorders>
              <w:tl2br w:val="nil"/>
              <w:tr2bl w:val="nil"/>
            </w:tcBorders>
            <w:vAlign w:val="center"/>
          </w:tcPr>
          <w:p w14:paraId="61B41884">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挖方</w:t>
            </w:r>
          </w:p>
        </w:tc>
        <w:tc>
          <w:tcPr>
            <w:tcW w:w="1029" w:type="pct"/>
            <w:tcBorders>
              <w:tl2br w:val="nil"/>
              <w:tr2bl w:val="nil"/>
            </w:tcBorders>
            <w:vAlign w:val="center"/>
          </w:tcPr>
          <w:p w14:paraId="151B8766">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填方</w:t>
            </w:r>
          </w:p>
        </w:tc>
        <w:tc>
          <w:tcPr>
            <w:tcW w:w="1040" w:type="pct"/>
            <w:tcBorders>
              <w:tl2br w:val="nil"/>
              <w:tr2bl w:val="nil"/>
            </w:tcBorders>
            <w:vAlign w:val="center"/>
          </w:tcPr>
          <w:p w14:paraId="27609468">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借方</w:t>
            </w:r>
          </w:p>
        </w:tc>
        <w:tc>
          <w:tcPr>
            <w:tcW w:w="888" w:type="pct"/>
            <w:tcBorders>
              <w:tl2br w:val="nil"/>
              <w:tr2bl w:val="nil"/>
            </w:tcBorders>
            <w:vAlign w:val="center"/>
          </w:tcPr>
          <w:p w14:paraId="796DACC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弃方</w:t>
            </w:r>
          </w:p>
        </w:tc>
      </w:tr>
      <w:tr w14:paraId="0185FE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45" w:type="pct"/>
            <w:tcBorders>
              <w:tl2br w:val="nil"/>
              <w:tr2bl w:val="nil"/>
            </w:tcBorders>
            <w:vAlign w:val="center"/>
          </w:tcPr>
          <w:p w14:paraId="228DD74A">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基础开挖、回填，运动场垫层</w:t>
            </w:r>
          </w:p>
        </w:tc>
        <w:tc>
          <w:tcPr>
            <w:tcW w:w="995" w:type="pct"/>
            <w:tcBorders>
              <w:tl2br w:val="nil"/>
              <w:tr2bl w:val="nil"/>
            </w:tcBorders>
            <w:vAlign w:val="center"/>
          </w:tcPr>
          <w:p w14:paraId="3976056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3.32</w:t>
            </w:r>
          </w:p>
        </w:tc>
        <w:tc>
          <w:tcPr>
            <w:tcW w:w="1029" w:type="pct"/>
            <w:tcBorders>
              <w:tl2br w:val="nil"/>
              <w:tr2bl w:val="nil"/>
            </w:tcBorders>
            <w:vAlign w:val="center"/>
          </w:tcPr>
          <w:p w14:paraId="73755DB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040" w:type="pct"/>
            <w:tcBorders>
              <w:tl2br w:val="nil"/>
              <w:tr2bl w:val="nil"/>
            </w:tcBorders>
            <w:vAlign w:val="center"/>
          </w:tcPr>
          <w:p w14:paraId="2BA37F7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w:t>
            </w:r>
          </w:p>
        </w:tc>
        <w:tc>
          <w:tcPr>
            <w:tcW w:w="888" w:type="pct"/>
            <w:tcBorders>
              <w:tl2br w:val="nil"/>
              <w:tr2bl w:val="nil"/>
            </w:tcBorders>
            <w:vAlign w:val="center"/>
          </w:tcPr>
          <w:p w14:paraId="60BD2DC8">
            <w:pPr>
              <w:pStyle w:val="56"/>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0.22</w:t>
            </w:r>
          </w:p>
        </w:tc>
      </w:tr>
    </w:tbl>
    <w:p w14:paraId="781D8F16">
      <w:pPr>
        <w:spacing w:line="520" w:lineRule="exact"/>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建筑垃圾</w:t>
      </w:r>
    </w:p>
    <w:p w14:paraId="266164C4">
      <w:pPr>
        <w:spacing w:line="520" w:lineRule="exact"/>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建筑施工垃圾的成分有：废钢筋、废铁丝和各种废钢配件、金属管线废料、木屑、刨花、各种装饰材料的包装箱等。废钢筋、废铁丝和各种废钢配件、金属管线废料</w:t>
      </w:r>
      <w:r>
        <w:rPr>
          <w:rFonts w:hint="eastAsia" w:ascii="Times New Roman" w:hAnsi="Times New Roman" w:cs="Times New Roman"/>
          <w:color w:val="000000" w:themeColor="text1"/>
          <w:lang w:val="en-US" w:eastAsia="zh-CN"/>
          <w14:textFill>
            <w14:solidFill>
              <w14:schemeClr w14:val="tx1"/>
            </w14:solidFill>
          </w14:textFill>
        </w:rPr>
        <w:t>均交由第三方单位回收利用，</w:t>
      </w:r>
      <w:r>
        <w:rPr>
          <w:rFonts w:ascii="Times New Roman" w:hAnsi="Times New Roman" w:cs="Times New Roman"/>
          <w:color w:val="000000" w:themeColor="text1"/>
          <w14:textFill>
            <w14:solidFill>
              <w14:schemeClr w14:val="tx1"/>
            </w14:solidFill>
          </w14:textFill>
        </w:rPr>
        <w:t>木屑、刨花、各种装饰材料的包装箱</w:t>
      </w:r>
      <w:r>
        <w:rPr>
          <w:rFonts w:hint="eastAsia" w:ascii="Times New Roman" w:hAnsi="Times New Roman" w:cs="Times New Roman"/>
          <w:color w:val="000000" w:themeColor="text1"/>
          <w:lang w:val="en-US" w:eastAsia="zh-CN"/>
          <w14:textFill>
            <w14:solidFill>
              <w14:schemeClr w14:val="tx1"/>
            </w14:solidFill>
          </w14:textFill>
        </w:rPr>
        <w:t>等拉运至可克达拉市建筑垃圾填埋场。</w:t>
      </w:r>
    </w:p>
    <w:p w14:paraId="05EC51A1">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）生活垃圾</w:t>
      </w:r>
    </w:p>
    <w:p w14:paraId="35A9E294">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施工人员所产生的生活垃圾量以施工期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92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天计，施工人员进场高峰期约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人，排放系数取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0.5kg/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计，则施工期间生活垃圾产生量约为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0.92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，施工人员生活垃圾由施工区域垃圾桶收集，并设专人定时进行卫生清理工作，由63团环卫部门定期收运集中处置。</w:t>
      </w:r>
    </w:p>
    <w:p w14:paraId="0438603D">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综上所述，本项目固体废弃物都得到合理地处置，不会对周围环境产生太大的影响。</w:t>
      </w:r>
    </w:p>
    <w:p w14:paraId="13D2A011">
      <w:pPr>
        <w:pStyle w:val="6"/>
        <w:ind w:left="24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.3.2.5施工期生态影响</w:t>
      </w:r>
    </w:p>
    <w:p w14:paraId="36C59440">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（1）占地的影响</w:t>
      </w:r>
    </w:p>
    <w:p w14:paraId="01A383A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本项目永久占地属于设施农用地，</w:t>
      </w:r>
      <w:r>
        <w:rPr>
          <w:rFonts w:hint="eastAsia" w:cs="Times New Roman"/>
          <w:color w:val="000000" w:themeColor="text1"/>
          <w:lang w:val="en-US" w:eastAsia="zh-CN"/>
          <w14:textFill>
            <w14:solidFill>
              <w14:schemeClr w14:val="tx1"/>
            </w14:solidFill>
          </w14:textFill>
        </w:rPr>
        <w:t>占地面积13.38</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lang w:val="en-US" w:eastAsia="zh-CN"/>
          <w14:textFill>
            <w14:solidFill>
              <w14:schemeClr w14:val="tx1"/>
            </w14:solidFill>
          </w14:textFill>
        </w:rPr>
        <w:t>m²</w:t>
      </w:r>
      <w:r>
        <w:rPr>
          <w:rFonts w:hint="eastAsia"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土地利用状况不属于林地、耕地，</w:t>
      </w:r>
      <w:r>
        <w:rPr>
          <w:rFonts w:hint="eastAsia" w:ascii="Times New Roman" w:hAnsi="Times New Roman" w:cs="Times New Roman"/>
          <w:color w:val="000000" w:themeColor="text1"/>
          <w:lang w:val="en-US" w:eastAsia="zh-CN"/>
          <w14:textFill>
            <w14:solidFill>
              <w14:schemeClr w14:val="tx1"/>
            </w14:solidFill>
          </w14:textFill>
        </w:rPr>
        <w:t>占地现状为</w:t>
      </w:r>
      <w:r>
        <w:rPr>
          <w:rFonts w:hint="eastAsia" w:cs="Times New Roman"/>
          <w:color w:val="000000" w:themeColor="text1"/>
          <w:lang w:val="en-US" w:eastAsia="zh-CN"/>
          <w14:textFill>
            <w14:solidFill>
              <w14:schemeClr w14:val="tx1"/>
            </w14:solidFill>
          </w14:textFill>
        </w:rPr>
        <w:t>沙</w:t>
      </w:r>
      <w:r>
        <w:rPr>
          <w:rFonts w:hint="eastAsia" w:ascii="Times New Roman" w:hAnsi="Times New Roman" w:cs="Times New Roman"/>
          <w:color w:val="000000" w:themeColor="text1"/>
          <w:lang w:val="en-US" w:eastAsia="zh-CN"/>
          <w14:textFill>
            <w14:solidFill>
              <w14:schemeClr w14:val="tx1"/>
            </w14:solidFill>
          </w14:textFill>
        </w:rPr>
        <w:t>地，植被覆盖率较低，</w:t>
      </w:r>
      <w:r>
        <w:rPr>
          <w:rFonts w:ascii="Times New Roman" w:hAnsi="Times New Roman" w:cs="Times New Roman"/>
          <w:color w:val="000000" w:themeColor="text1"/>
          <w14:textFill>
            <w14:solidFill>
              <w14:schemeClr w14:val="tx1"/>
            </w14:solidFill>
          </w14:textFill>
        </w:rPr>
        <w:t>投产后的养殖场建成混凝土地面，因此本项目的实施可以提高土地利用率和生产力。</w:t>
      </w:r>
    </w:p>
    <w:p w14:paraId="39315D14">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（2）对植被的影响</w:t>
      </w:r>
    </w:p>
    <w:p w14:paraId="7FE430D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程占地为永久性占用，永久性占地改变了原有土地使用功能，由于施工人员及施工机械对地表植被的践踏、碾压等外力因素，破坏了原有土壤结构及性能，降低了土壤生产力。严重影响了原有的地表形态、土壤结构和理化性质，在工程结束后也难以恢复原有形态及生产力。</w:t>
      </w:r>
    </w:p>
    <w:p w14:paraId="2060BBE8">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（3）对动物的影响</w:t>
      </w:r>
    </w:p>
    <w:p w14:paraId="121E686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期间，土地的占用及施工人员的活动，将影响区域内的动物。本工程施工范围内无珍稀动物及大型哺乳动物，无国家重要动物保护资源，仅有一些常见鸟类和啮齿类动物少量存在，施工过程中各类机械运转造成的轰鸣声会使生活在较为安静环境中的鸟类、啮齿类动物的正常生活受到暂时的轻微干扰，将会使区域内少量动物出现迁徙。</w:t>
      </w:r>
    </w:p>
    <w:p w14:paraId="0867BD43">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（4）对土壤环境的影响</w:t>
      </w:r>
    </w:p>
    <w:p w14:paraId="7CF6CA1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施工作业必然会对原有土壤结构形成扰动，其结果会使土壤原有的土层发生紊乱，造成生熟土和石砾混杂，团粒结构破坏，土壤毛细管断裂，从而导致土壤性质恶化。</w:t>
      </w:r>
    </w:p>
    <w:p w14:paraId="2FAD8997">
      <w:pPr>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（5）水土流失的影响</w:t>
      </w:r>
    </w:p>
    <w:p w14:paraId="1D8912FA">
      <w:pPr>
        <w:rPr>
          <w:rFonts w:ascii="Times New Roman" w:hAnsi="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工程施工过程中将产生开挖土石方，土石方的堆放占地将破坏地表植被；且在堆放过程中，若不加强管理易产生水土流失影响。</w:t>
      </w:r>
    </w:p>
    <w:p w14:paraId="19FC5457">
      <w:pPr>
        <w:pStyle w:val="5"/>
        <w:ind w:left="12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运营期工艺流程及产污节点分析</w:t>
      </w:r>
    </w:p>
    <w:p w14:paraId="06D51948">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-28575</wp:posOffset>
            </wp:positionH>
            <wp:positionV relativeFrom="paragraph">
              <wp:posOffset>499110</wp:posOffset>
            </wp:positionV>
            <wp:extent cx="5610225" cy="4756150"/>
            <wp:effectExtent l="0" t="0" r="9525" b="6350"/>
            <wp:wrapTopAndBottom/>
            <wp:docPr id="17" name="图片 17" descr="产排污环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产排污环节图"/>
                    <pic:cNvPicPr>
                      <a:picLocks noChangeAspect="1"/>
                    </pic:cNvPicPr>
                  </pic:nvPicPr>
                  <pic:blipFill>
                    <a:blip r:embed="rId32"/>
                    <a:stretch>
                      <a:fillRect/>
                    </a:stretch>
                  </pic:blipFill>
                  <pic:spPr>
                    <a:xfrm>
                      <a:off x="0" y="0"/>
                      <a:ext cx="5610225" cy="4756150"/>
                    </a:xfrm>
                    <a:prstGeom prst="rect">
                      <a:avLst/>
                    </a:prstGeom>
                  </pic:spPr>
                </pic:pic>
              </a:graphicData>
            </a:graphic>
          </wp:anchor>
        </w:drawing>
      </w:r>
      <w:r>
        <w:rPr>
          <w:rFonts w:hint="eastAsia" w:ascii="Times New Roman" w:hAnsi="Times New Roman" w:cs="Times New Roman"/>
          <w:color w:val="000000" w:themeColor="text1"/>
          <w:lang w:val="en-US" w:eastAsia="zh-CN"/>
          <w14:textFill>
            <w14:solidFill>
              <w14:schemeClr w14:val="tx1"/>
            </w14:solidFill>
          </w14:textFill>
        </w:rPr>
        <w:t>本项目种鸭养殖过程工艺流程及产排污环节见图</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lang w:val="zh-CN"/>
          <w14:textFill>
            <w14:solidFill>
              <w14:schemeClr w14:val="tx1"/>
            </w14:solidFill>
          </w14:textFill>
        </w:rPr>
        <w:t>。</w:t>
      </w:r>
    </w:p>
    <w:p w14:paraId="5B1F999D">
      <w:pPr>
        <w:ind w:firstLine="480"/>
        <w:jc w:val="center"/>
        <w:rPr>
          <w:rFonts w:ascii="Times New Roman" w:hAnsi="Times New Roman" w:cs="Times New Roman"/>
          <w:b/>
          <w:bCs/>
          <w:color w:val="000000" w:themeColor="text1"/>
          <w:lang w:val="zh-CN"/>
          <w14:textFill>
            <w14:solidFill>
              <w14:schemeClr w14:val="tx1"/>
            </w14:solidFill>
          </w14:textFill>
        </w:rPr>
      </w:pPr>
      <w:r>
        <w:rPr>
          <w:rFonts w:ascii="Times New Roman" w:hAnsi="Times New Roman" w:cs="Times New Roman"/>
          <w:b/>
          <w:bCs/>
          <w:color w:val="000000" w:themeColor="text1"/>
          <w:lang w:val="zh-CN"/>
          <w14:textFill>
            <w14:solidFill>
              <w14:schemeClr w14:val="tx1"/>
            </w14:solidFill>
          </w14:textFill>
        </w:rPr>
        <w:t>图</w:t>
      </w:r>
      <w:r>
        <w:rPr>
          <w:rFonts w:hint="eastAsia" w:cs="Times New Roman"/>
          <w:b/>
          <w:bCs/>
          <w:color w:val="000000" w:themeColor="text1"/>
          <w:lang w:val="en-US" w:eastAsia="zh-CN"/>
          <w14:textFill>
            <w14:solidFill>
              <w14:schemeClr w14:val="tx1"/>
            </w14:solidFill>
          </w14:textFill>
        </w:rPr>
        <w:t>3</w:t>
      </w:r>
      <w:r>
        <w:rPr>
          <w:rFonts w:hint="eastAsia" w:ascii="Times New Roman" w:hAnsi="Times New Roman" w:cs="Times New Roman"/>
          <w:b/>
          <w:bCs/>
          <w:color w:val="000000" w:themeColor="text1"/>
          <w:lang w:val="en-US" w:eastAsia="zh-CN"/>
          <w14:textFill>
            <w14:solidFill>
              <w14:schemeClr w14:val="tx1"/>
            </w14:solidFill>
          </w14:textFill>
        </w:rPr>
        <w:t>.3-2</w:t>
      </w:r>
      <w:r>
        <w:rPr>
          <w:rFonts w:ascii="Times New Roman" w:hAnsi="Times New Roman" w:cs="Times New Roman"/>
          <w:b/>
          <w:bCs/>
          <w:color w:val="000000" w:themeColor="text1"/>
          <w14:textFill>
            <w14:solidFill>
              <w14:schemeClr w14:val="tx1"/>
            </w14:solidFill>
          </w14:textFill>
        </w:rPr>
        <w:t xml:space="preserve">    </w:t>
      </w:r>
      <w:r>
        <w:rPr>
          <w:rFonts w:hint="eastAsia" w:ascii="Times New Roman" w:hAnsi="Times New Roman" w:cs="Times New Roman"/>
          <w:b/>
          <w:bCs/>
          <w:color w:val="000000" w:themeColor="text1"/>
          <w:lang w:val="en-US" w:eastAsia="zh-CN"/>
          <w14:textFill>
            <w14:solidFill>
              <w14:schemeClr w14:val="tx1"/>
            </w14:solidFill>
          </w14:textFill>
        </w:rPr>
        <w:t>种鸭</w:t>
      </w:r>
      <w:r>
        <w:rPr>
          <w:rFonts w:ascii="Times New Roman" w:hAnsi="Times New Roman" w:cs="Times New Roman"/>
          <w:b/>
          <w:bCs/>
          <w:color w:val="000000" w:themeColor="text1"/>
          <w:lang w:val="zh-CN"/>
          <w14:textFill>
            <w14:solidFill>
              <w14:schemeClr w14:val="tx1"/>
            </w14:solidFill>
          </w14:textFill>
        </w:rPr>
        <w:t>养殖过程产污节点图</w:t>
      </w:r>
    </w:p>
    <w:p w14:paraId="1D2ABB9D">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具体工艺如下：</w:t>
      </w:r>
    </w:p>
    <w:p w14:paraId="39A72E43">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）育雏前准备工作</w:t>
      </w:r>
    </w:p>
    <w:p w14:paraId="1340808F">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育雏前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天左右，对鸭舍进行彻底消毒；</w:t>
      </w:r>
    </w:p>
    <w:p w14:paraId="203653B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进雏前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天，对消毒好的鸭舍进行通风干燥；</w:t>
      </w:r>
    </w:p>
    <w:p w14:paraId="7FFE6FA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进雏前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天准备好育雏用的所有工具，器具、垫料、饲料、药等，尽量避免进鸭后频繁外出；</w:t>
      </w:r>
    </w:p>
    <w:p w14:paraId="02FAE8D8">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雏鸭到达前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分钟，要准备好水和药。</w:t>
      </w:r>
    </w:p>
    <w:p w14:paraId="0697448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）种鸭饲养</w:t>
      </w:r>
    </w:p>
    <w:p w14:paraId="28D2FBA3">
      <w:pPr>
        <w:keepNext w:val="0"/>
        <w:keepLines w:val="0"/>
        <w:widowControl/>
        <w:suppressLineNumbers w:val="0"/>
        <w:jc w:val="left"/>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雏鸭均来自外购，雏鸭的运输要求迅速、及时、舒适。运输时间应在雏鸭羽毛干燥后开始，至出壳后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小时结束，如果远距离运输，也不能超过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小时，以减少中途死亡。运输工具：运雏时选用专门的运雏箱，箱壁四周适当设通气孔，箱底要平而且柔软，箱体不得变形</w:t>
      </w:r>
      <w:r>
        <w:rPr>
          <w:rFonts w:ascii="Times New Roman" w:hAnsi="Times New Roman" w:cs="Times New Roman"/>
          <w:color w:val="000000" w:themeColor="text1"/>
          <w:lang w:val="zh-CN"/>
          <w14:textFill>
            <w14:solidFill>
              <w14:schemeClr w14:val="tx1"/>
            </w14:solidFill>
          </w14:textFill>
        </w:rPr>
        <w:t>。</w:t>
      </w:r>
    </w:p>
    <w:p w14:paraId="2639FAF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外购的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日龄的雏鸭由专门的运输车辆运输至养殖场内，然后将雏鸭投放至各鸭舍饲喂。雏鸭入舍后要先喝水，喝水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小时后开食。</w:t>
      </w:r>
    </w:p>
    <w:p w14:paraId="4953516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种鸭饲养过程中按照每平方米</w:t>
      </w:r>
      <w:r>
        <w:rPr>
          <w:rFonts w:hint="eastAsia" w:eastAsia="宋体" w:cs="Times New Roman"/>
          <w:color w:val="000000" w:themeColor="text1"/>
          <w:kern w:val="0"/>
          <w:sz w:val="24"/>
          <w:szCs w:val="24"/>
          <w:lang w:val="en-US" w:eastAsia="zh-CN" w:bidi="ar"/>
          <w14:textFill>
            <w14:solidFill>
              <w14:schemeClr w14:val="tx1"/>
            </w14:solidFill>
          </w14:textFill>
        </w:rPr>
        <w:t>约3.5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只进行饲养，单位面积内，冬天适当提高养殖密度，夏天适当降低养殖密度。在考虑养殖密度的同时，要求种鸭从小到大都要保证其充足的饮食槽位。从育雏到满圈舍要逐渐降低饲养密度，逐步扩群。分群时要适当控食以避免大的应激。</w:t>
      </w:r>
    </w:p>
    <w:p w14:paraId="451F37F2">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种鸭开产之前的体重控制，对种鸭的产蛋性能和繁殖性能至关重要。</w:t>
      </w:r>
    </w:p>
    <w:p w14:paraId="4A18BECD">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周育雏期：确保每只雏鸭有均等的采食机会，以减少种鸭的体重均匀度下降、死淘率上升。</w:t>
      </w:r>
    </w:p>
    <w:p w14:paraId="6F8A5501">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5~18</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周</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育成期：严格遵守育种公司给的体重曲线，确保体重达标。此阶段种鸭体重过轻或过重，种鸭的生长和产蛋表现都达不到最佳。</w:t>
      </w:r>
    </w:p>
    <w:p w14:paraId="3DE666C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19~25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周预产期：种鸭即将开产，饲养应从定量饲喂到定时饲喂。</w:t>
      </w:r>
    </w:p>
    <w:p w14:paraId="58D80380">
      <w:pPr>
        <w:keepNext w:val="0"/>
        <w:keepLines w:val="0"/>
        <w:widowControl/>
        <w:suppressLineNumbers w:val="0"/>
        <w:jc w:val="left"/>
        <w:rPr>
          <w:rFonts w:hint="eastAsia" w:ascii="Times New Roman" w:hAnsi="Times New Roman" w:eastAsia="宋体" w:cs="宋体"/>
          <w:color w:val="FF0000"/>
          <w:kern w:val="0"/>
          <w:sz w:val="24"/>
          <w:szCs w:val="24"/>
          <w:lang w:val="en-US" w:eastAsia="zh-CN" w:bidi="ar"/>
        </w:rPr>
      </w:pPr>
      <w:r>
        <w:rPr>
          <w:rFonts w:hint="default" w:ascii="Times New Roman" w:hAnsi="Times New Roman" w:eastAsia="宋体" w:cs="Times New Roman"/>
          <w:color w:val="FF0000"/>
          <w:kern w:val="0"/>
          <w:sz w:val="24"/>
          <w:szCs w:val="24"/>
          <w:lang w:val="en-US" w:eastAsia="zh-CN" w:bidi="ar"/>
        </w:rPr>
        <w:t>26~</w:t>
      </w:r>
      <w:r>
        <w:rPr>
          <w:rFonts w:hint="eastAsia" w:eastAsia="宋体" w:cs="Times New Roman"/>
          <w:color w:val="FF0000"/>
          <w:kern w:val="0"/>
          <w:sz w:val="24"/>
          <w:szCs w:val="24"/>
          <w:lang w:val="en-US" w:eastAsia="zh-CN" w:bidi="ar"/>
        </w:rPr>
        <w:t>100</w:t>
      </w:r>
      <w:r>
        <w:rPr>
          <w:rFonts w:hint="eastAsia" w:ascii="Times New Roman" w:hAnsi="Times New Roman" w:eastAsia="宋体" w:cs="宋体"/>
          <w:color w:val="FF0000"/>
          <w:kern w:val="0"/>
          <w:sz w:val="24"/>
          <w:szCs w:val="24"/>
          <w:lang w:val="en-US" w:eastAsia="zh-CN" w:bidi="ar"/>
        </w:rPr>
        <w:t>周产蛋期：种鸭开始产蛋，定时饲养。</w:t>
      </w:r>
    </w:p>
    <w:p w14:paraId="4EAF5C5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eastAsia="宋体" w:cs="宋体"/>
          <w:color w:val="FF0000"/>
          <w:kern w:val="0"/>
          <w:sz w:val="24"/>
          <w:szCs w:val="24"/>
          <w:lang w:val="en-US" w:eastAsia="zh-CN" w:bidi="ar"/>
        </w:rPr>
        <w:t>100</w:t>
      </w:r>
      <w:r>
        <w:rPr>
          <w:rFonts w:hint="eastAsia" w:ascii="Times New Roman" w:hAnsi="Times New Roman" w:eastAsia="宋体" w:cs="宋体"/>
          <w:color w:val="FF0000"/>
          <w:kern w:val="0"/>
          <w:sz w:val="24"/>
          <w:szCs w:val="24"/>
          <w:lang w:val="en-US" w:eastAsia="zh-CN" w:bidi="ar"/>
        </w:rPr>
        <w:t>周后本项目种鸭进行淘汰，淘汰的种鸭</w:t>
      </w:r>
      <w:r>
        <w:rPr>
          <w:rFonts w:hint="eastAsia" w:eastAsia="宋体" w:cs="宋体"/>
          <w:color w:val="FF0000"/>
          <w:kern w:val="0"/>
          <w:sz w:val="24"/>
          <w:szCs w:val="24"/>
          <w:lang w:val="en-US" w:eastAsia="zh-CN" w:bidi="ar"/>
        </w:rPr>
        <w:t>按照肉鸭销售屠宰场</w:t>
      </w:r>
      <w:r>
        <w:rPr>
          <w:rFonts w:hint="eastAsia" w:ascii="Times New Roman" w:hAnsi="Times New Roman" w:eastAsia="宋体" w:cs="宋体"/>
          <w:color w:val="FF0000"/>
          <w:kern w:val="0"/>
          <w:sz w:val="24"/>
          <w:szCs w:val="24"/>
          <w:lang w:val="en-US" w:eastAsia="zh-CN" w:bidi="ar"/>
        </w:rPr>
        <w:t>。</w:t>
      </w:r>
    </w:p>
    <w:p w14:paraId="3BC2F6D3">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）上料</w:t>
      </w:r>
    </w:p>
    <w:p w14:paraId="0B5883E9">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采用料塔和自动上料系统为各鸭舍提供饲料。卸料时，料车卸料管道与卸料口对接，经密闭管道卸料至料塔中，完成卸料。料塔内饲料密闭暂存。采用自用上料，管道输送，饲料经密闭管道输送至鸭舍内。</w:t>
      </w:r>
    </w:p>
    <w:p w14:paraId="0FEF0B2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）饮水</w:t>
      </w:r>
    </w:p>
    <w:p w14:paraId="5246E19E">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种鸭饮用水采用全自动饮水系统，由水嘴、阀杆、钢球及滤水网等组成。饮水时，鸭嘴顶推阀杆，使之向上顶起钢球，水由钢球和水嘴体之间的缝隙流出，供鸭饮用。鸭饮毕后钢球和阀杆靠自重复位，同时在水压作用下严密封闭水流出口。为避免杂质进入鸭嘴内，常在鸭嘴入口处增设滤水网。全自动饮水系统能够在很大程度上减少鸭饲养中造成的水浪费。</w:t>
      </w:r>
    </w:p>
    <w:p w14:paraId="172CCBD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）温度控制</w:t>
      </w:r>
    </w:p>
    <w:p w14:paraId="08B4F8CC">
      <w:pPr>
        <w:keepNext w:val="0"/>
        <w:keepLines w:val="0"/>
        <w:widowControl/>
        <w:suppressLineNumbers w:val="0"/>
        <w:jc w:val="left"/>
        <w:rPr>
          <w:rFonts w:ascii="Times New Roman" w:hAnsi="Times New Roman"/>
          <w:color w:val="auto"/>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鸭舍采用全舍供热方式，适宜的育雏温度是以鸭群感到舒适为最佳标准。项目未接入配套的供热或供气管网，为了满足鸭苗时期鸭舍内所需的温度，</w:t>
      </w:r>
      <w:r>
        <w:rPr>
          <w:rFonts w:hint="eastAsia" w:ascii="Times New Roman" w:hAnsi="Times New Roman" w:eastAsia="宋体" w:cs="宋体"/>
          <w:color w:val="auto"/>
          <w:kern w:val="0"/>
          <w:sz w:val="24"/>
          <w:szCs w:val="24"/>
          <w:lang w:val="en-US" w:eastAsia="zh-CN" w:bidi="ar"/>
        </w:rPr>
        <w:t>项目</w:t>
      </w:r>
      <w:r>
        <w:rPr>
          <w:rFonts w:hint="eastAsia" w:eastAsia="宋体" w:cs="宋体"/>
          <w:color w:val="auto"/>
          <w:kern w:val="0"/>
          <w:sz w:val="24"/>
          <w:szCs w:val="24"/>
          <w:lang w:val="en-US" w:eastAsia="zh-CN" w:bidi="ar"/>
        </w:rPr>
        <w:t>建设2台生物质燃料锅炉</w:t>
      </w:r>
      <w:r>
        <w:rPr>
          <w:rFonts w:hint="eastAsia" w:ascii="Times New Roman" w:hAnsi="Times New Roman" w:eastAsia="宋体" w:cs="宋体"/>
          <w:color w:val="auto"/>
          <w:kern w:val="0"/>
          <w:sz w:val="24"/>
          <w:szCs w:val="24"/>
          <w:lang w:val="en-US" w:eastAsia="zh-CN" w:bidi="ar"/>
        </w:rPr>
        <w:t>。</w:t>
      </w:r>
    </w:p>
    <w:p w14:paraId="1ADE057A">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）光照控制</w:t>
      </w:r>
    </w:p>
    <w:p w14:paraId="07387A91">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本项目采用密闭鸭舍，光照为人工光源。在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日龄，光照强度为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20~40Lux</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，以便让雏鸭熟悉环境。以后光照强度应逐渐变弱，</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日龄为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10~15Lux</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日龄以后为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3~5Lux</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2F2E0DE2">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）通风</w:t>
      </w:r>
    </w:p>
    <w:p w14:paraId="661C9C19">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鸭舍通风采用机械通风系统，两端装有换风机，强制空气对流。通风一方面可将鸭舍内污浊的空气排出，更换新鲜空气，另一方面，夏季可排出舍内热量，阴雨季可降低舍内湿度。</w:t>
      </w:r>
    </w:p>
    <w:p w14:paraId="5BA154B2">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）防疫消毒</w:t>
      </w:r>
    </w:p>
    <w:p w14:paraId="023CC242">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养殖场采取如下措施加强养殖区的疾病传播预防措施：</w:t>
      </w:r>
    </w:p>
    <w:p w14:paraId="6DD85FD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①种鸭养殖场根据《中华人民共和国动物防疫法》的要求，结合当地实际情况，制定疫病监测方案。</w:t>
      </w:r>
    </w:p>
    <w:p w14:paraId="1272C069">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②根据当地实际情况由动物疫病监测机构定期或不定期进行必要的疫病监督抽查，并将抽查结果报告当地畜牧兽医行政管理部门。</w:t>
      </w:r>
    </w:p>
    <w:p w14:paraId="7E5BB693">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③当养殖场发生疫病或怀疑发生疫病时，应采取措施，驻场兽医及时进行诊断，并尽快向当地畜牧兽医行政主管部门报告疫情。确诊发生鸭疫、禽流行性感冒疫病等一类疫病时，应配合当地畜牧兽医管理部门对种鸭群实施紧急、严厉控制、扑灭措施，发生二类疫病时，应对种鸭实施严格的隔离、扑杀措施；发生鸭病毒性关节炎、禽结核病等三类疫病时，应对种鸭实施隔离和净化措施，全厂进行彻底的清洗消毒。</w:t>
      </w:r>
    </w:p>
    <w:p w14:paraId="3C107331">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为了尽量规避疫病风险及符合养殖场的选址要求，厂区选址全部位于相对比较偏僻的地带，远离城区。</w:t>
      </w:r>
    </w:p>
    <w:p w14:paraId="1ACBB0EA">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采用全进全出制饲养种鸭。全进全出制饲养制度是保证鸭群健康、根除传染病的根本措施，也是生产中计划管理的重要组成部分。使用的主要疫苗为细小病毒抗体、鸭流感疫苗等，使用的兽药主要为阿莫西林、双抗、维生素等。</w:t>
      </w:r>
    </w:p>
    <w:p w14:paraId="26AD9141">
      <w:pP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的消毒措施包括：进雏前气雾清洗消毒；鸭的成长周期内定期消毒，夏季约三天一次，冬季约每周一次，消毒剂为双氧水、过氧乙酸以及生石灰、火碱溶液交替使用，带鸭从上而下、雾化喷雾消毒。消毒措施符合《畜禽养殖业污染防治技术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HJ497-2009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）中“养殖场场区、畜禽舍、器械等消毒”规范要求</w:t>
      </w:r>
      <w:r>
        <w:rPr>
          <w:rFonts w:hint="eastAsia" w:eastAsia="宋体" w:cs="宋体"/>
          <w:color w:val="000000" w:themeColor="text1"/>
          <w:kern w:val="0"/>
          <w:sz w:val="24"/>
          <w:szCs w:val="24"/>
          <w:lang w:val="en-US" w:eastAsia="zh-CN" w:bidi="ar"/>
          <w14:textFill>
            <w14:solidFill>
              <w14:schemeClr w14:val="tx1"/>
            </w14:solidFill>
          </w14:textFill>
        </w:rPr>
        <w:t>。</w:t>
      </w:r>
    </w:p>
    <w:p w14:paraId="72C940EE">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运营期污染源分析</w:t>
      </w:r>
    </w:p>
    <w:p w14:paraId="6C8DCC1E">
      <w:pPr>
        <w:pStyle w:val="6"/>
        <w:ind w:left="24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.3.4.1运营期大气污染源</w:t>
      </w:r>
    </w:p>
    <w:p w14:paraId="3628526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本项目的废气污染源主要为</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恶臭无组织排放，环保化粪池臭气无组织排放，饲料塔粉尘无组织排放，以及食堂油烟净化器处理后排放</w:t>
      </w:r>
      <w:r>
        <w:rPr>
          <w:rFonts w:ascii="Times New Roman" w:hAnsi="Times New Roman" w:cs="Times New Roman"/>
          <w:color w:val="000000" w:themeColor="text1"/>
          <w14:textFill>
            <w14:solidFill>
              <w14:schemeClr w14:val="tx1"/>
            </w14:solidFill>
          </w14:textFill>
        </w:rPr>
        <w:t>。</w:t>
      </w:r>
    </w:p>
    <w:p w14:paraId="48CF7D6D">
      <w:pPr>
        <w:numPr>
          <w:ilvl w:val="0"/>
          <w:numId w:val="0"/>
        </w:numPr>
        <w:ind w:firstLine="480" w:firstLineChars="200"/>
        <w:rPr>
          <w:rFonts w:ascii="Times New Roman" w:hAnsi="Times New Roman"/>
          <w:color w:val="000000" w:themeColor="text1"/>
          <w14:textFill>
            <w14:solidFill>
              <w14:schemeClr w14:val="tx1"/>
            </w14:solidFill>
          </w14:textFill>
        </w:rPr>
      </w:pPr>
      <w:r>
        <w:rPr>
          <w:rFonts w:hint="eastAsia" w:cstheme="minorBidi"/>
          <w:color w:val="000000" w:themeColor="text1"/>
          <w:kern w:val="2"/>
          <w:sz w:val="24"/>
          <w:szCs w:val="22"/>
          <w:lang w:val="en-US" w:eastAsia="zh-CN" w:bidi="ar-SA"/>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鸭舍</w:t>
      </w:r>
      <w:r>
        <w:rPr>
          <w:rFonts w:ascii="Times New Roman" w:hAnsi="Times New Roman" w:cs="Times New Roman"/>
          <w:color w:val="000000" w:themeColor="text1"/>
          <w14:textFill>
            <w14:solidFill>
              <w14:schemeClr w14:val="tx1"/>
            </w14:solidFill>
          </w14:textFill>
        </w:rPr>
        <w:t>恶臭</w:t>
      </w:r>
    </w:p>
    <w:p w14:paraId="1D1FE84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鸭舍废气主要是恶臭气体，该部分废气主要源自鸭的粪便、鸭的呼吸以及自身代谢产生的气体等所产生的臭味。</w:t>
      </w:r>
    </w:p>
    <w:p w14:paraId="2332A8C9">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散发的臭气主要来自含蛋白质废弃物的厌氧分解，这些废弃物包括畜禽粪、皮屑、毛、饲料等。而大部分臭气是由粪厌氧分解产生。畜禽排泄物的有机物主要由碳水化合物和含氮化合物组成，在一定条件下，这些粪便发酵以及含硫蛋白分解产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等臭味气体。碳水化合物转化成挥发性脂肪酸、醇类及二氧化碳等，这些物质略带臭味和酸味；含氮化合物转化生成氨、乙烯醇、二甲基硫醚、硫化氢、三甲胺等，这些气体有的具有腐败洋葱臭，有的具有腐败的蛋臭、鱼臭等；一些有机物酶解，如硫酸盐类被水解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，马尿酸生成苯甲酸等。这些具有不同臭味的气体混合在一起，即为人们常说的恶臭，在高温季节尤为明显。本环评对鸭舍恶臭气体评价主要以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为主。</w:t>
      </w:r>
    </w:p>
    <w:p w14:paraId="7D227EE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根据《排污许可证申请与核发技术规范 畜禽养殖行业》（HJ 1029-2019）表9：</w:t>
      </w:r>
      <w:r>
        <w:rPr>
          <w:rFonts w:hint="eastAsia" w:ascii="Times New Roman" w:hAnsi="Times New Roman" w:cs="Times New Roman"/>
          <w:color w:val="000000" w:themeColor="text1"/>
          <w:lang w:val="en-US" w:eastAsia="zh-CN"/>
          <w14:textFill>
            <w14:solidFill>
              <w14:schemeClr w14:val="tx1"/>
            </w14:solidFill>
          </w14:textFill>
        </w:rPr>
        <w:t>蛋鸡</w:t>
      </w:r>
      <w:r>
        <w:rPr>
          <w:rFonts w:ascii="Times New Roman" w:hAnsi="Times New Roman" w:cs="Times New Roman"/>
          <w:color w:val="000000" w:themeColor="text1"/>
          <w14:textFill>
            <w14:solidFill>
              <w14:schemeClr w14:val="tx1"/>
            </w14:solidFill>
          </w14:textFill>
        </w:rPr>
        <w:t>粪</w:t>
      </w:r>
      <w:r>
        <w:rPr>
          <w:rFonts w:hint="eastAsia" w:ascii="Times New Roman" w:hAnsi="Times New Roman" w:cs="Times New Roman"/>
          <w:color w:val="000000" w:themeColor="text1"/>
          <w:lang w:val="en-US" w:eastAsia="zh-CN"/>
          <w14:textFill>
            <w14:solidFill>
              <w14:schemeClr w14:val="tx1"/>
            </w14:solidFill>
          </w14:textFill>
        </w:rPr>
        <w:t>便产生量为0.13kg/d.只，粪便</w:t>
      </w:r>
      <w:r>
        <w:rPr>
          <w:rFonts w:ascii="Times New Roman" w:hAnsi="Times New Roman" w:cs="Times New Roman"/>
          <w:color w:val="000000" w:themeColor="text1"/>
          <w14:textFill>
            <w14:solidFill>
              <w14:schemeClr w14:val="tx1"/>
            </w14:solidFill>
          </w14:textFill>
        </w:rPr>
        <w:t>中含</w:t>
      </w:r>
      <w:r>
        <w:rPr>
          <w:rFonts w:hint="eastAsia" w:ascii="Times New Roman" w:hAnsi="Times New Roman" w:cs="Times New Roman"/>
          <w:color w:val="000000" w:themeColor="text1"/>
          <w:lang w:val="en-US" w:eastAsia="zh-CN"/>
          <w14:textFill>
            <w14:solidFill>
              <w14:schemeClr w14:val="tx1"/>
            </w14:solidFill>
          </w14:textFill>
        </w:rPr>
        <w:t>总</w:t>
      </w:r>
      <w:r>
        <w:rPr>
          <w:rFonts w:ascii="Times New Roman" w:hAnsi="Times New Roman" w:cs="Times New Roman"/>
          <w:color w:val="000000" w:themeColor="text1"/>
          <w14:textFill>
            <w14:solidFill>
              <w14:schemeClr w14:val="tx1"/>
            </w14:solidFill>
          </w14:textFill>
        </w:rPr>
        <w:t>氮量为</w:t>
      </w:r>
      <w:r>
        <w:rPr>
          <w:rFonts w:hint="eastAsia" w:ascii="Times New Roman" w:hAnsi="Times New Roman" w:cs="Times New Roman"/>
          <w:color w:val="000000" w:themeColor="text1"/>
          <w:lang w:val="en-US" w:eastAsia="zh-CN"/>
          <w14:textFill>
            <w14:solidFill>
              <w14:schemeClr w14:val="tx1"/>
            </w14:solidFill>
          </w14:textFill>
        </w:rPr>
        <w:t>1.2</w:t>
      </w:r>
      <w:r>
        <w:rPr>
          <w:rFonts w:ascii="Times New Roman" w:hAnsi="Times New Roman" w:cs="Times New Roman"/>
          <w:color w:val="000000" w:themeColor="text1"/>
          <w14:textFill>
            <w14:solidFill>
              <w14:schemeClr w14:val="tx1"/>
            </w14:solidFill>
          </w14:textFill>
        </w:rPr>
        <w:t>g/d·</w:t>
      </w:r>
      <w:r>
        <w:rPr>
          <w:rFonts w:hint="eastAsia" w:ascii="Times New Roman" w:hAnsi="Times New Roman" w:cs="Times New Roman"/>
          <w:color w:val="000000" w:themeColor="text1"/>
          <w:lang w:val="en-US" w:eastAsia="zh-CN"/>
          <w14:textFill>
            <w14:solidFill>
              <w14:schemeClr w14:val="tx1"/>
            </w14:solidFill>
          </w14:textFill>
        </w:rPr>
        <w:t>只</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根据《畜禽场环境评价》（刘成国主编，中国标准出版社）和《农业污染源产排污系统手册》（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月，中国农业科学院农业环境与可持续发展研究所和环境保护部南京环境科学研究所编写）中的数据，鸡粪中氮挥发量约占总氮含量的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，其中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占挥发氮总量的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lang w:val="en-US" w:eastAsia="zh-CN"/>
          <w14:textFill>
            <w14:solidFill>
              <w14:schemeClr w14:val="tx1"/>
            </w14:solidFill>
          </w14:textFill>
        </w:rPr>
        <w:t>含量约为</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的10%</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一只蛋鸭折算成1只蛋鸡，本项目</w:t>
      </w:r>
      <w:r>
        <w:rPr>
          <w:rFonts w:ascii="Times New Roman" w:hAnsi="Times New Roman" w:cs="Times New Roman"/>
          <w:color w:val="000000" w:themeColor="text1"/>
          <w14:textFill>
            <w14:solidFill>
              <w14:schemeClr w14:val="tx1"/>
            </w14:solidFill>
          </w14:textFill>
        </w:rPr>
        <w:t>按照设计常年</w:t>
      </w:r>
      <w:r>
        <w:rPr>
          <w:rFonts w:hint="eastAsia" w:ascii="Times New Roman" w:hAnsi="Times New Roman" w:cs="Times New Roman"/>
          <w:color w:val="000000" w:themeColor="text1"/>
          <w:lang w:val="en-US" w:eastAsia="zh-CN"/>
          <w14:textFill>
            <w14:solidFill>
              <w14:schemeClr w14:val="tx1"/>
            </w14:solidFill>
          </w14:textFill>
        </w:rPr>
        <w:t>蛋鸭</w:t>
      </w:r>
      <w:r>
        <w:rPr>
          <w:rFonts w:ascii="Times New Roman" w:hAnsi="Times New Roman" w:cs="Times New Roman"/>
          <w:color w:val="000000" w:themeColor="text1"/>
          <w14:textFill>
            <w14:solidFill>
              <w14:schemeClr w14:val="tx1"/>
            </w14:solidFill>
          </w14:textFill>
        </w:rPr>
        <w:t>存栏量</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lang w:val="en-US" w:eastAsia="zh-CN"/>
          <w14:textFill>
            <w14:solidFill>
              <w14:schemeClr w14:val="tx1"/>
            </w14:solidFill>
          </w14:textFill>
        </w:rPr>
        <w:t>万只</w:t>
      </w:r>
      <w:r>
        <w:rPr>
          <w:rFonts w:ascii="Times New Roman" w:hAnsi="Times New Roman" w:cs="Times New Roman"/>
          <w:color w:val="000000" w:themeColor="text1"/>
          <w14:textFill>
            <w14:solidFill>
              <w14:schemeClr w14:val="tx1"/>
            </w14:solidFill>
          </w14:textFill>
        </w:rPr>
        <w:t>，年运营365天</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每天24小时</w:t>
      </w:r>
      <w:r>
        <w:rPr>
          <w:rFonts w:ascii="Times New Roman" w:hAnsi="Times New Roman" w:cs="Times New Roman"/>
          <w:color w:val="000000" w:themeColor="text1"/>
          <w14:textFill>
            <w14:solidFill>
              <w14:schemeClr w14:val="tx1"/>
            </w14:solidFill>
          </w14:textFill>
        </w:rPr>
        <w:t>计算</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则圈舍恶臭污染物产生量为NH</w:t>
      </w:r>
      <w:r>
        <w:rPr>
          <w:rFonts w:ascii="Times New Roman" w:hAnsi="Times New Roman" w:cs="Times New Roman"/>
          <w:color w:val="000000" w:themeColor="text1"/>
          <w:vertAlign w:val="subscript"/>
          <w14:textFill>
            <w14:solidFill>
              <w14:schemeClr w14:val="tx1"/>
            </w14:solidFill>
          </w14:textFill>
        </w:rPr>
        <w:t>3</w:t>
      </w:r>
      <w:r>
        <w:rPr>
          <w:rFonts w:hint="eastAsia" w:cs="Times New Roman"/>
          <w:color w:val="000000" w:themeColor="text1"/>
          <w:vertAlign w:val="subscript"/>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1.97</w:t>
      </w:r>
      <w:r>
        <w:rPr>
          <w:rFonts w:ascii="Times New Roman" w:hAnsi="Times New Roman" w:cs="Times New Roman"/>
          <w:color w:val="000000" w:themeColor="text1"/>
          <w14:textFill>
            <w14:solidFill>
              <w14:schemeClr w14:val="tx1"/>
            </w14:solidFill>
          </w14:textFill>
        </w:rPr>
        <w:t>t/a，H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lang w:val="en-US" w:eastAsia="zh-CN"/>
          <w14:textFill>
            <w14:solidFill>
              <w14:schemeClr w14:val="tx1"/>
            </w14:solidFill>
          </w14:textFill>
        </w:rPr>
        <w:t>0.2</w:t>
      </w:r>
      <w:r>
        <w:rPr>
          <w:rFonts w:ascii="Times New Roman" w:hAnsi="Times New Roman" w:cs="Times New Roman"/>
          <w:color w:val="000000" w:themeColor="text1"/>
          <w14:textFill>
            <w14:solidFill>
              <w14:schemeClr w14:val="tx1"/>
            </w14:solidFill>
          </w14:textFill>
        </w:rPr>
        <w:t>t/a。</w:t>
      </w:r>
    </w:p>
    <w:p w14:paraId="3D157022">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因鸭舍需要通风保持空气流通，不能密闭收集后有组织排放，因此本项目鸭舍产生的恶臭气体无组织排放。</w:t>
      </w:r>
    </w:p>
    <w:p w14:paraId="546CE961">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参考《排污许可证申请与核发技术规范畜禽养殖行业》（</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HJ1029-2019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畜禽养殖行业排污单位恶臭无组织排放控制要求”，本项目拟采取以下环保措施：</w:t>
      </w:r>
    </w:p>
    <w:p w14:paraId="1CF9496B">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及时清理鸭舍粪便：采用干清粪工艺，及时收集、清运产生的粪便，合理的粪便收集频率能减少禽畜畜栏的恶臭。在不利于污染物稀释、扩散的气象条件下，增加粪便的收集次数，减少粪便堆积挥发的恶臭污染物排放量。</w:t>
      </w:r>
    </w:p>
    <w:p w14:paraId="63D00A4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b.</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科学</w:t>
      </w:r>
      <w:r>
        <w:rPr>
          <w:rFonts w:hint="eastAsia" w:eastAsia="宋体" w:cs="宋体"/>
          <w:color w:val="000000" w:themeColor="text1"/>
          <w:kern w:val="0"/>
          <w:sz w:val="24"/>
          <w:szCs w:val="24"/>
          <w:lang w:val="en-US" w:eastAsia="zh-CN" w:bidi="ar"/>
          <w14:textFill>
            <w14:solidFill>
              <w14:schemeClr w14:val="tx1"/>
            </w14:solidFill>
          </w14:textFill>
        </w:rPr>
        <w:t>地</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设计日粮，提高饲料利用率：提高日粮的消化率、减少干物质（特别是蛋白质）排出量，既减少肠道臭气的产生，又可减少粪便排出后的臭气的产生，这是减少恶臭来源的有效措施。</w:t>
      </w:r>
    </w:p>
    <w:p w14:paraId="424D1169">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鸭舍设置机械通风系统，定期对鸭舍进行消毒。</w:t>
      </w:r>
    </w:p>
    <w:p w14:paraId="0860B64A">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鸭舍采取喷洒除臭剂方式抑制恶臭的产生。</w:t>
      </w:r>
    </w:p>
    <w:p w14:paraId="3E0B4F34">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通过采取以上措施，鸭舍恶臭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的综合去除效率约为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ascii="Times New Roman" w:hAnsi="Times New Roman" w:cs="Times New Roman"/>
          <w:color w:val="000000" w:themeColor="text1"/>
          <w14:textFill>
            <w14:solidFill>
              <w14:schemeClr w14:val="tx1"/>
            </w14:solidFill>
          </w14:textFill>
        </w:rPr>
        <w:t>。达产后</w:t>
      </w:r>
      <w:r>
        <w:rPr>
          <w:rFonts w:hint="eastAsia" w:ascii="Times New Roman" w:hAnsi="Times New Roman" w:cs="Times New Roman"/>
          <w:color w:val="000000" w:themeColor="text1"/>
          <w:lang w:val="en-US" w:eastAsia="zh-CN"/>
          <w14:textFill>
            <w14:solidFill>
              <w14:schemeClr w14:val="tx1"/>
            </w14:solidFill>
          </w14:textFill>
        </w:rPr>
        <w:t>本项目蛋鸭</w:t>
      </w:r>
      <w:r>
        <w:rPr>
          <w:rFonts w:ascii="Times New Roman" w:hAnsi="Times New Roman" w:cs="Times New Roman"/>
          <w:color w:val="000000" w:themeColor="text1"/>
          <w14:textFill>
            <w14:solidFill>
              <w14:schemeClr w14:val="tx1"/>
            </w14:solidFill>
          </w14:textFill>
        </w:rPr>
        <w:t>养殖区恶臭污染物排放速率为NH</w:t>
      </w:r>
      <w:r>
        <w:rPr>
          <w:rFonts w:ascii="Times New Roman" w:hAnsi="Times New Roman" w:cs="Times New Roman"/>
          <w:color w:val="000000" w:themeColor="text1"/>
          <w:vertAlign w:val="subscript"/>
          <w14:textFill>
            <w14:solidFill>
              <w14:schemeClr w14:val="tx1"/>
            </w14:solidFill>
          </w14:textFill>
        </w:rPr>
        <w:t>3</w:t>
      </w:r>
      <w:r>
        <w:rPr>
          <w:rFonts w:hint="eastAsia" w:cs="Times New Roman"/>
          <w:color w:val="000000" w:themeColor="text1"/>
          <w:vertAlign w:val="subscript"/>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45</w:t>
      </w:r>
      <w:r>
        <w:rPr>
          <w:rFonts w:ascii="Times New Roman" w:hAnsi="Times New Roman" w:cs="Times New Roman"/>
          <w:color w:val="000000" w:themeColor="text1"/>
          <w14:textFill>
            <w14:solidFill>
              <w14:schemeClr w14:val="tx1"/>
            </w14:solidFill>
          </w14:textFill>
        </w:rPr>
        <w:t>kg/h、H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lang w:val="en-US" w:eastAsia="zh-CN"/>
          <w14:textFill>
            <w14:solidFill>
              <w14:schemeClr w14:val="tx1"/>
            </w14:solidFill>
          </w14:textFill>
        </w:rPr>
        <w:t>0.00</w:t>
      </w:r>
      <w:r>
        <w:rPr>
          <w:rFonts w:hint="eastAsia" w:cs="Times New Roman"/>
          <w:color w:val="000000" w:themeColor="text1"/>
          <w:lang w:val="en-US" w:eastAsia="zh-CN"/>
          <w14:textFill>
            <w14:solidFill>
              <w14:schemeClr w14:val="tx1"/>
            </w14:solidFill>
          </w14:textFill>
        </w:rPr>
        <w:t>45</w:t>
      </w:r>
      <w:r>
        <w:rPr>
          <w:rFonts w:ascii="Times New Roman" w:hAnsi="Times New Roman" w:cs="Times New Roman"/>
          <w:color w:val="000000" w:themeColor="text1"/>
          <w14:textFill>
            <w14:solidFill>
              <w14:schemeClr w14:val="tx1"/>
            </w14:solidFill>
          </w14:textFill>
        </w:rPr>
        <w:t>kg/h；排放量为NH</w:t>
      </w:r>
      <w:r>
        <w:rPr>
          <w:rFonts w:ascii="Times New Roman" w:hAnsi="Times New Roman" w:cs="Times New Roman"/>
          <w:color w:val="000000" w:themeColor="text1"/>
          <w:vertAlign w:val="subscript"/>
          <w14:textFill>
            <w14:solidFill>
              <w14:schemeClr w14:val="tx1"/>
            </w14:solidFill>
          </w14:textFill>
        </w:rPr>
        <w:t>3</w:t>
      </w:r>
      <w:r>
        <w:rPr>
          <w:rFonts w:hint="eastAsia" w:cs="Times New Roman"/>
          <w:color w:val="000000" w:themeColor="text1"/>
          <w:vertAlign w:val="subscript"/>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394</w:t>
      </w:r>
      <w:r>
        <w:rPr>
          <w:rFonts w:ascii="Times New Roman" w:hAnsi="Times New Roman" w:cs="Times New Roman"/>
          <w:color w:val="000000" w:themeColor="text1"/>
          <w14:textFill>
            <w14:solidFill>
              <w14:schemeClr w14:val="tx1"/>
            </w14:solidFill>
          </w14:textFill>
        </w:rPr>
        <w:t>t/a、H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t/a。</w:t>
      </w:r>
    </w:p>
    <w:p w14:paraId="226C4685">
      <w:pPr>
        <w:pStyle w:val="61"/>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.3-6   本项目鸭舍恶臭产生情况一览表</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3"/>
        <w:gridCol w:w="1050"/>
        <w:gridCol w:w="1005"/>
        <w:gridCol w:w="1275"/>
        <w:gridCol w:w="1125"/>
        <w:gridCol w:w="1035"/>
        <w:gridCol w:w="1260"/>
        <w:gridCol w:w="1236"/>
      </w:tblGrid>
      <w:tr w14:paraId="0DBBA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tcBorders>
              <w:tl2br w:val="nil"/>
              <w:tr2bl w:val="nil"/>
            </w:tcBorders>
            <w:vAlign w:val="center"/>
          </w:tcPr>
          <w:p w14:paraId="3A7FA3B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污染源</w:t>
            </w:r>
          </w:p>
        </w:tc>
        <w:tc>
          <w:tcPr>
            <w:tcW w:w="593" w:type="pct"/>
            <w:tcBorders>
              <w:tl2br w:val="nil"/>
              <w:tr2bl w:val="nil"/>
            </w:tcBorders>
            <w:vAlign w:val="center"/>
          </w:tcPr>
          <w:p w14:paraId="420F29A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w:t>
            </w:r>
          </w:p>
        </w:tc>
        <w:tc>
          <w:tcPr>
            <w:tcW w:w="568" w:type="pct"/>
            <w:tcBorders>
              <w:tl2br w:val="nil"/>
              <w:tr2bl w:val="nil"/>
            </w:tcBorders>
            <w:vAlign w:val="center"/>
          </w:tcPr>
          <w:p w14:paraId="7E1564A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产生量（</w:t>
            </w:r>
            <w:r>
              <w:rPr>
                <w:rFonts w:ascii="Times New Roman" w:hAnsi="Times New Roman" w:cs="Times New Roman"/>
                <w:color w:val="000000" w:themeColor="text1"/>
                <w14:textFill>
                  <w14:solidFill>
                    <w14:schemeClr w14:val="tx1"/>
                  </w14:solidFill>
                </w14:textFill>
              </w:rPr>
              <w:t>t/a</w:t>
            </w:r>
            <w:r>
              <w:rPr>
                <w:rFonts w:hint="eastAsia" w:ascii="Times New Roman" w:hAnsi="Times New Roman"/>
                <w:color w:val="000000" w:themeColor="text1"/>
                <w:szCs w:val="21"/>
                <w:lang w:val="en-US" w:eastAsia="zh-CN"/>
                <w14:textFill>
                  <w14:solidFill>
                    <w14:schemeClr w14:val="tx1"/>
                  </w14:solidFill>
                </w14:textFill>
              </w:rPr>
              <w:t>）</w:t>
            </w:r>
          </w:p>
        </w:tc>
        <w:tc>
          <w:tcPr>
            <w:tcW w:w="721" w:type="pct"/>
            <w:tcBorders>
              <w:tl2br w:val="nil"/>
              <w:tr2bl w:val="nil"/>
            </w:tcBorders>
            <w:vAlign w:val="center"/>
          </w:tcPr>
          <w:p w14:paraId="59FDC4E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产生速率（</w:t>
            </w:r>
            <w:r>
              <w:rPr>
                <w:rFonts w:ascii="Times New Roman" w:hAnsi="Times New Roman" w:cs="Times New Roman"/>
                <w:color w:val="000000" w:themeColor="text1"/>
                <w14:textFill>
                  <w14:solidFill>
                    <w14:schemeClr w14:val="tx1"/>
                  </w14:solidFill>
                </w14:textFill>
              </w:rPr>
              <w:t>kg/h</w:t>
            </w:r>
            <w:r>
              <w:rPr>
                <w:rFonts w:hint="eastAsia" w:ascii="Times New Roman" w:hAnsi="Times New Roman"/>
                <w:color w:val="000000" w:themeColor="text1"/>
                <w:szCs w:val="21"/>
                <w:lang w:val="en-US" w:eastAsia="zh-CN"/>
                <w14:textFill>
                  <w14:solidFill>
                    <w14:schemeClr w14:val="tx1"/>
                  </w14:solidFill>
                </w14:textFill>
              </w:rPr>
              <w:t>）</w:t>
            </w:r>
          </w:p>
        </w:tc>
        <w:tc>
          <w:tcPr>
            <w:tcW w:w="636" w:type="pct"/>
            <w:tcBorders>
              <w:tl2br w:val="nil"/>
              <w:tr2bl w:val="nil"/>
            </w:tcBorders>
            <w:vAlign w:val="center"/>
          </w:tcPr>
          <w:p w14:paraId="1935A89D">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去除效率</w:t>
            </w:r>
          </w:p>
        </w:tc>
        <w:tc>
          <w:tcPr>
            <w:tcW w:w="585" w:type="pct"/>
            <w:tcBorders>
              <w:tl2br w:val="nil"/>
              <w:tr2bl w:val="nil"/>
            </w:tcBorders>
            <w:vAlign w:val="center"/>
          </w:tcPr>
          <w:p w14:paraId="4FAD2F9E">
            <w:pPr>
              <w:pStyle w:val="56"/>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排放量</w:t>
            </w:r>
            <w:r>
              <w:rPr>
                <w:rFonts w:hint="eastAsia" w:ascii="Times New Roman" w:hAnsi="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t/a</w:t>
            </w:r>
            <w:r>
              <w:rPr>
                <w:rFonts w:hint="eastAsia" w:ascii="Times New Roman" w:hAnsi="Times New Roman"/>
                <w:color w:val="000000" w:themeColor="text1"/>
                <w:szCs w:val="21"/>
                <w:lang w:val="en-US" w:eastAsia="zh-CN"/>
                <w14:textFill>
                  <w14:solidFill>
                    <w14:schemeClr w14:val="tx1"/>
                  </w14:solidFill>
                </w14:textFill>
              </w:rPr>
              <w:t>）</w:t>
            </w:r>
          </w:p>
        </w:tc>
        <w:tc>
          <w:tcPr>
            <w:tcW w:w="712" w:type="pct"/>
            <w:tcBorders>
              <w:tl2br w:val="nil"/>
              <w:tr2bl w:val="nil"/>
            </w:tcBorders>
            <w:vAlign w:val="center"/>
          </w:tcPr>
          <w:p w14:paraId="74F8D448">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排放速率</w:t>
            </w:r>
            <w:r>
              <w:rPr>
                <w:rFonts w:hint="eastAsia" w:ascii="Times New Roman" w:hAnsi="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kg/h</w:t>
            </w:r>
            <w:r>
              <w:rPr>
                <w:rFonts w:hint="eastAsia" w:ascii="Times New Roman" w:hAnsi="Times New Roman"/>
                <w:color w:val="000000" w:themeColor="text1"/>
                <w:szCs w:val="21"/>
                <w:lang w:val="en-US" w:eastAsia="zh-CN"/>
                <w14:textFill>
                  <w14:solidFill>
                    <w14:schemeClr w14:val="tx1"/>
                  </w14:solidFill>
                </w14:textFill>
              </w:rPr>
              <w:t>）</w:t>
            </w:r>
          </w:p>
        </w:tc>
        <w:tc>
          <w:tcPr>
            <w:tcW w:w="699" w:type="pct"/>
            <w:tcBorders>
              <w:tl2br w:val="nil"/>
              <w:tr2bl w:val="nil"/>
            </w:tcBorders>
            <w:vAlign w:val="center"/>
          </w:tcPr>
          <w:p w14:paraId="74E143D6">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排放形式</w:t>
            </w:r>
          </w:p>
        </w:tc>
      </w:tr>
      <w:tr w14:paraId="04B490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1765AA8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鸭舍</w:t>
            </w:r>
          </w:p>
        </w:tc>
        <w:tc>
          <w:tcPr>
            <w:tcW w:w="593" w:type="pct"/>
            <w:tcBorders>
              <w:tl2br w:val="nil"/>
              <w:tr2bl w:val="nil"/>
            </w:tcBorders>
            <w:vAlign w:val="center"/>
          </w:tcPr>
          <w:p w14:paraId="31C3644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p>
        </w:tc>
        <w:tc>
          <w:tcPr>
            <w:tcW w:w="568" w:type="pct"/>
            <w:tcBorders>
              <w:tl2br w:val="nil"/>
              <w:tr2bl w:val="nil"/>
            </w:tcBorders>
            <w:vAlign w:val="center"/>
          </w:tcPr>
          <w:p w14:paraId="2F0A35B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1.97</w:t>
            </w:r>
          </w:p>
        </w:tc>
        <w:tc>
          <w:tcPr>
            <w:tcW w:w="1275" w:type="dxa"/>
            <w:tcBorders>
              <w:tl2br w:val="nil"/>
              <w:tr2bl w:val="nil"/>
            </w:tcBorders>
            <w:vAlign w:val="center"/>
          </w:tcPr>
          <w:p w14:paraId="3CD1685D">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0.2</w:t>
            </w:r>
            <w:r>
              <w:rPr>
                <w:rFonts w:hint="eastAsia"/>
                <w:color w:val="000000" w:themeColor="text1"/>
                <w:szCs w:val="21"/>
                <w:lang w:val="en-US" w:eastAsia="zh-CN"/>
                <w14:textFill>
                  <w14:solidFill>
                    <w14:schemeClr w14:val="tx1"/>
                  </w14:solidFill>
                </w14:textFill>
              </w:rPr>
              <w:t>25</w:t>
            </w:r>
            <w:r>
              <w:rPr>
                <w:rFonts w:hint="default" w:ascii="Times New Roman" w:hAnsi="Times New Roman"/>
                <w:color w:val="000000" w:themeColor="text1"/>
                <w:szCs w:val="21"/>
                <w:lang w:val="en-US" w:eastAsia="zh-CN"/>
                <w14:textFill>
                  <w14:solidFill>
                    <w14:schemeClr w14:val="tx1"/>
                  </w14:solidFill>
                </w14:textFill>
              </w:rPr>
              <w:t xml:space="preserve"> </w:t>
            </w:r>
          </w:p>
        </w:tc>
        <w:tc>
          <w:tcPr>
            <w:tcW w:w="636" w:type="pct"/>
            <w:vMerge w:val="restart"/>
            <w:tcBorders>
              <w:tl2br w:val="nil"/>
              <w:tr2bl w:val="nil"/>
            </w:tcBorders>
            <w:vAlign w:val="center"/>
          </w:tcPr>
          <w:p w14:paraId="39C4EA0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w:t>
            </w:r>
          </w:p>
        </w:tc>
        <w:tc>
          <w:tcPr>
            <w:tcW w:w="1035" w:type="dxa"/>
            <w:tcBorders>
              <w:tl2br w:val="nil"/>
              <w:tr2bl w:val="nil"/>
            </w:tcBorders>
            <w:vAlign w:val="center"/>
          </w:tcPr>
          <w:p w14:paraId="326A5725">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394</w:t>
            </w:r>
          </w:p>
        </w:tc>
        <w:tc>
          <w:tcPr>
            <w:tcW w:w="1260" w:type="dxa"/>
            <w:tcBorders>
              <w:tl2br w:val="nil"/>
              <w:tr2bl w:val="nil"/>
            </w:tcBorders>
            <w:vAlign w:val="center"/>
          </w:tcPr>
          <w:p w14:paraId="6F5E2934">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0.0</w:t>
            </w:r>
            <w:r>
              <w:rPr>
                <w:rFonts w:hint="eastAsia"/>
                <w:color w:val="000000" w:themeColor="text1"/>
                <w:szCs w:val="21"/>
                <w:lang w:val="en-US" w:eastAsia="zh-CN"/>
                <w14:textFill>
                  <w14:solidFill>
                    <w14:schemeClr w14:val="tx1"/>
                  </w14:solidFill>
                </w14:textFill>
              </w:rPr>
              <w:t>45</w:t>
            </w:r>
          </w:p>
        </w:tc>
        <w:tc>
          <w:tcPr>
            <w:tcW w:w="699" w:type="pct"/>
            <w:vMerge w:val="restart"/>
            <w:tcBorders>
              <w:tl2br w:val="nil"/>
              <w:tr2bl w:val="nil"/>
            </w:tcBorders>
            <w:vAlign w:val="center"/>
          </w:tcPr>
          <w:p w14:paraId="4D66BA7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无组织排放</w:t>
            </w:r>
          </w:p>
        </w:tc>
      </w:tr>
      <w:tr w14:paraId="14269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7AAE2FE8">
            <w:pPr>
              <w:pStyle w:val="56"/>
              <w:rPr>
                <w:rFonts w:hint="eastAsia" w:ascii="Times New Roman" w:hAnsi="Times New Roman"/>
                <w:color w:val="000000" w:themeColor="text1"/>
                <w:szCs w:val="21"/>
                <w:lang w:val="en-US" w:eastAsia="zh-CN"/>
                <w14:textFill>
                  <w14:solidFill>
                    <w14:schemeClr w14:val="tx1"/>
                  </w14:solidFill>
                </w14:textFill>
              </w:rPr>
            </w:pPr>
          </w:p>
        </w:tc>
        <w:tc>
          <w:tcPr>
            <w:tcW w:w="593" w:type="pct"/>
            <w:tcBorders>
              <w:tl2br w:val="nil"/>
              <w:tr2bl w:val="nil"/>
            </w:tcBorders>
            <w:vAlign w:val="center"/>
          </w:tcPr>
          <w:p w14:paraId="343B1C85">
            <w:pPr>
              <w:pStyle w:val="56"/>
              <w:rPr>
                <w:rFonts w:hint="default" w:ascii="Times New Roman" w:hAnsi="Times New Roman"/>
                <w:color w:val="000000" w:themeColor="text1"/>
                <w:szCs w:val="21"/>
                <w:vertAlign w:val="baseline"/>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p>
        </w:tc>
        <w:tc>
          <w:tcPr>
            <w:tcW w:w="568" w:type="pct"/>
            <w:tcBorders>
              <w:tl2br w:val="nil"/>
              <w:tr2bl w:val="nil"/>
            </w:tcBorders>
            <w:vAlign w:val="center"/>
          </w:tcPr>
          <w:p w14:paraId="0FE85D0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c>
          <w:tcPr>
            <w:tcW w:w="1275" w:type="dxa"/>
            <w:tcBorders>
              <w:tl2br w:val="nil"/>
              <w:tr2bl w:val="nil"/>
            </w:tcBorders>
            <w:vAlign w:val="center"/>
          </w:tcPr>
          <w:p w14:paraId="253F1B0B">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0.02</w:t>
            </w:r>
            <w:r>
              <w:rPr>
                <w:rFonts w:hint="eastAsia"/>
                <w:color w:val="000000" w:themeColor="text1"/>
                <w:szCs w:val="21"/>
                <w:lang w:val="en-US" w:eastAsia="zh-CN"/>
                <w14:textFill>
                  <w14:solidFill>
                    <w14:schemeClr w14:val="tx1"/>
                  </w14:solidFill>
                </w14:textFill>
              </w:rPr>
              <w:t>3</w:t>
            </w:r>
            <w:r>
              <w:rPr>
                <w:rFonts w:hint="default" w:ascii="Times New Roman" w:hAnsi="Times New Roman"/>
                <w:color w:val="000000" w:themeColor="text1"/>
                <w:szCs w:val="21"/>
                <w:lang w:val="en-US" w:eastAsia="zh-CN"/>
                <w14:textFill>
                  <w14:solidFill>
                    <w14:schemeClr w14:val="tx1"/>
                  </w14:solidFill>
                </w14:textFill>
              </w:rPr>
              <w:t xml:space="preserve"> </w:t>
            </w:r>
          </w:p>
        </w:tc>
        <w:tc>
          <w:tcPr>
            <w:tcW w:w="636" w:type="pct"/>
            <w:vMerge w:val="continue"/>
            <w:tcBorders>
              <w:tl2br w:val="nil"/>
              <w:tr2bl w:val="nil"/>
            </w:tcBorders>
            <w:vAlign w:val="center"/>
          </w:tcPr>
          <w:p w14:paraId="7A21B3C7">
            <w:pPr>
              <w:pStyle w:val="56"/>
              <w:rPr>
                <w:rFonts w:hint="default" w:ascii="Times New Roman" w:hAnsi="Times New Roman"/>
                <w:color w:val="000000" w:themeColor="text1"/>
                <w:szCs w:val="21"/>
                <w:lang w:val="en-US" w:eastAsia="zh-CN"/>
                <w14:textFill>
                  <w14:solidFill>
                    <w14:schemeClr w14:val="tx1"/>
                  </w14:solidFill>
                </w14:textFill>
              </w:rPr>
            </w:pPr>
          </w:p>
        </w:tc>
        <w:tc>
          <w:tcPr>
            <w:tcW w:w="1035" w:type="dxa"/>
            <w:tcBorders>
              <w:tl2br w:val="nil"/>
              <w:tr2bl w:val="nil"/>
            </w:tcBorders>
            <w:vAlign w:val="center"/>
          </w:tcPr>
          <w:p w14:paraId="01BC1B06">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04</w:t>
            </w:r>
          </w:p>
        </w:tc>
        <w:tc>
          <w:tcPr>
            <w:tcW w:w="1260" w:type="dxa"/>
            <w:tcBorders>
              <w:tl2br w:val="nil"/>
              <w:tr2bl w:val="nil"/>
            </w:tcBorders>
            <w:vAlign w:val="center"/>
          </w:tcPr>
          <w:p w14:paraId="43CDB4B5">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0.00</w:t>
            </w:r>
            <w:r>
              <w:rPr>
                <w:rFonts w:hint="eastAsia"/>
                <w:color w:val="000000" w:themeColor="text1"/>
                <w:szCs w:val="21"/>
                <w:lang w:val="en-US" w:eastAsia="zh-CN"/>
                <w14:textFill>
                  <w14:solidFill>
                    <w14:schemeClr w14:val="tx1"/>
                  </w14:solidFill>
                </w14:textFill>
              </w:rPr>
              <w:t>45</w:t>
            </w:r>
          </w:p>
        </w:tc>
        <w:tc>
          <w:tcPr>
            <w:tcW w:w="699" w:type="pct"/>
            <w:vMerge w:val="continue"/>
            <w:tcBorders>
              <w:tl2br w:val="nil"/>
              <w:tr2bl w:val="nil"/>
            </w:tcBorders>
            <w:vAlign w:val="center"/>
          </w:tcPr>
          <w:p w14:paraId="65D60DF7">
            <w:pPr>
              <w:pStyle w:val="56"/>
              <w:rPr>
                <w:rFonts w:hint="eastAsia" w:ascii="Times New Roman" w:hAnsi="Times New Roman"/>
                <w:color w:val="000000" w:themeColor="text1"/>
                <w:szCs w:val="21"/>
                <w:lang w:val="en-US" w:eastAsia="zh-CN"/>
                <w14:textFill>
                  <w14:solidFill>
                    <w14:schemeClr w14:val="tx1"/>
                  </w14:solidFill>
                </w14:textFill>
              </w:rPr>
            </w:pPr>
          </w:p>
        </w:tc>
      </w:tr>
    </w:tbl>
    <w:p w14:paraId="26F0A6F5">
      <w:pPr>
        <w:keepNext w:val="0"/>
        <w:keepLines w:val="0"/>
        <w:widowControl/>
        <w:suppressLineNumbers w:val="0"/>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环保化粪池恶臭</w:t>
      </w:r>
    </w:p>
    <w:p w14:paraId="09626644">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本项目鸭舍配套的环保化粪池及生活区配套的环保化粪池均全密闭且位于地下，通过定期喷洒除臭剂，定期清运措施，产生的恶臭气体量可以忽略不计。</w:t>
      </w:r>
    </w:p>
    <w:p w14:paraId="7630F536">
      <w:pPr>
        <w:keepNext w:val="0"/>
        <w:keepLines w:val="0"/>
        <w:widowControl/>
        <w:suppressLineNumbers w:val="0"/>
        <w:jc w:val="left"/>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ascii="Times New Roman" w:hAnsi="Times New Roman"/>
          <w:color w:val="000000" w:themeColor="text1"/>
          <w:lang w:val="en-US" w:eastAsia="zh-CN"/>
          <w14:textFill>
            <w14:solidFill>
              <w14:schemeClr w14:val="tx1"/>
            </w14:solidFill>
          </w14:textFill>
        </w:rPr>
        <w:t>食堂油烟</w:t>
      </w:r>
    </w:p>
    <w:p w14:paraId="364F6D7E">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本项目员工人数为</w:t>
      </w:r>
      <w:r>
        <w:rPr>
          <w:rFonts w:hint="eastAsia" w:eastAsia="宋体" w:cs="Times New Roman"/>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人，根据有关统计资料，一般食堂的食用油耗油系数为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30g/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，则本项目食用油用量为</w:t>
      </w:r>
      <w:r>
        <w:rPr>
          <w:rFonts w:hint="eastAsia" w:eastAsia="宋体" w:cs="Times New Roman"/>
          <w:color w:val="000000" w:themeColor="text1"/>
          <w:kern w:val="0"/>
          <w:sz w:val="24"/>
          <w:szCs w:val="24"/>
          <w:lang w:val="en-US" w:eastAsia="zh-CN" w:bidi="ar"/>
          <w14:textFill>
            <w14:solidFill>
              <w14:schemeClr w14:val="tx1"/>
            </w14:solidFill>
          </w14:textFill>
        </w:rPr>
        <w:t>0.75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，一般油烟挥发量占总耗油量的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，取其均值</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，则油烟产生量约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eastAsia="宋体" w:cs="Times New Roman"/>
          <w:color w:val="000000" w:themeColor="text1"/>
          <w:kern w:val="0"/>
          <w:sz w:val="24"/>
          <w:szCs w:val="24"/>
          <w:lang w:val="en-US" w:eastAsia="zh-CN" w:bidi="ar"/>
          <w14:textFill>
            <w14:solidFill>
              <w14:schemeClr w14:val="tx1"/>
            </w14:solidFill>
          </w14:textFill>
        </w:rPr>
        <w:t>225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8.213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，经一套静电除油烟机对厨房油烟进行净化处置后经</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专用烟道引至</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楼顶排放，净化效率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，则油烟排放量约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eastAsia="宋体" w:cs="Times New Roman"/>
          <w:color w:val="000000" w:themeColor="text1"/>
          <w:kern w:val="0"/>
          <w:sz w:val="24"/>
          <w:szCs w:val="24"/>
          <w:lang w:val="en-US" w:eastAsia="zh-CN" w:bidi="ar"/>
          <w14:textFill>
            <w14:solidFill>
              <w14:schemeClr w14:val="tx1"/>
            </w14:solidFill>
          </w14:textFill>
        </w:rPr>
        <w:t>09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3.285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。风机风量约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2500m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，厨房工作时间按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4h/d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计，则油烟排放浓度约</w:t>
      </w:r>
      <w:r>
        <w:rPr>
          <w:rFonts w:hint="eastAsia" w:eastAsia="宋体" w:cs="Times New Roman"/>
          <w:color w:val="000000" w:themeColor="text1"/>
          <w:kern w:val="0"/>
          <w:sz w:val="24"/>
          <w:szCs w:val="24"/>
          <w:lang w:val="en-US" w:eastAsia="zh-CN" w:bidi="ar"/>
          <w14:textFill>
            <w14:solidFill>
              <w14:schemeClr w14:val="tx1"/>
            </w14:solidFill>
          </w14:textFill>
        </w:rPr>
        <w:t>0.9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，可以达到《饮食业油烟排放标准（试行）》（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GB18483-2001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）小型标准（油烟排放浓度≤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），对周围环境影响不大。</w:t>
      </w:r>
    </w:p>
    <w:p w14:paraId="2299C87A">
      <w:pPr>
        <w:pStyle w:val="61"/>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.3-7   本项目食堂油烟产生情况一览表</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96"/>
        <w:gridCol w:w="1226"/>
        <w:gridCol w:w="1175"/>
        <w:gridCol w:w="1315"/>
        <w:gridCol w:w="1210"/>
        <w:gridCol w:w="1472"/>
        <w:gridCol w:w="1446"/>
      </w:tblGrid>
      <w:tr w14:paraId="26ABD6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65B5E2F9">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污染源</w:t>
            </w:r>
          </w:p>
        </w:tc>
        <w:tc>
          <w:tcPr>
            <w:tcW w:w="693" w:type="pct"/>
            <w:tcBorders>
              <w:tl2br w:val="nil"/>
              <w:tr2bl w:val="nil"/>
            </w:tcBorders>
            <w:vAlign w:val="center"/>
          </w:tcPr>
          <w:p w14:paraId="44596D4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w:t>
            </w:r>
          </w:p>
        </w:tc>
        <w:tc>
          <w:tcPr>
            <w:tcW w:w="664" w:type="pct"/>
            <w:tcBorders>
              <w:tl2br w:val="nil"/>
              <w:tr2bl w:val="nil"/>
            </w:tcBorders>
            <w:vAlign w:val="center"/>
          </w:tcPr>
          <w:p w14:paraId="00145DD2">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产生量（</w:t>
            </w:r>
            <w:r>
              <w:rPr>
                <w:rFonts w:hint="eastAsia" w:ascii="Times New Roman" w:hAnsi="Times New Roman" w:cs="Times New Roman"/>
                <w:color w:val="000000" w:themeColor="text1"/>
                <w:lang w:val="en-US" w:eastAsia="zh-CN"/>
                <w14:textFill>
                  <w14:solidFill>
                    <w14:schemeClr w14:val="tx1"/>
                  </w14:solidFill>
                </w14:textFill>
              </w:rPr>
              <w:t>kg</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olor w:val="000000" w:themeColor="text1"/>
                <w:szCs w:val="21"/>
                <w:lang w:val="en-US" w:eastAsia="zh-CN"/>
                <w14:textFill>
                  <w14:solidFill>
                    <w14:schemeClr w14:val="tx1"/>
                  </w14:solidFill>
                </w14:textFill>
              </w:rPr>
              <w:t>）</w:t>
            </w:r>
          </w:p>
        </w:tc>
        <w:tc>
          <w:tcPr>
            <w:tcW w:w="743" w:type="pct"/>
            <w:tcBorders>
              <w:tl2br w:val="nil"/>
              <w:tr2bl w:val="nil"/>
            </w:tcBorders>
            <w:vAlign w:val="center"/>
          </w:tcPr>
          <w:p w14:paraId="55FBE26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去除效率</w:t>
            </w:r>
          </w:p>
        </w:tc>
        <w:tc>
          <w:tcPr>
            <w:tcW w:w="684" w:type="pct"/>
            <w:tcBorders>
              <w:tl2br w:val="nil"/>
              <w:tr2bl w:val="nil"/>
            </w:tcBorders>
            <w:vAlign w:val="center"/>
          </w:tcPr>
          <w:p w14:paraId="7916EC23">
            <w:pPr>
              <w:pStyle w:val="56"/>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排放量</w:t>
            </w:r>
            <w:r>
              <w:rPr>
                <w:rFonts w:hint="eastAsia" w:ascii="Times New Roman" w:hAnsi="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kg</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olor w:val="000000" w:themeColor="text1"/>
                <w:szCs w:val="21"/>
                <w:lang w:val="en-US" w:eastAsia="zh-CN"/>
                <w14:textFill>
                  <w14:solidFill>
                    <w14:schemeClr w14:val="tx1"/>
                  </w14:solidFill>
                </w14:textFill>
              </w:rPr>
              <w:t>）</w:t>
            </w:r>
          </w:p>
        </w:tc>
        <w:tc>
          <w:tcPr>
            <w:tcW w:w="832" w:type="pct"/>
            <w:tcBorders>
              <w:tl2br w:val="nil"/>
              <w:tr2bl w:val="nil"/>
            </w:tcBorders>
            <w:vAlign w:val="center"/>
          </w:tcPr>
          <w:p w14:paraId="6769F89C">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排放浓度</w:t>
            </w:r>
            <w:r>
              <w:rPr>
                <w:rFonts w:hint="eastAsia" w:ascii="Times New Roman" w:hAnsi="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color w:val="000000" w:themeColor="text1"/>
                <w:szCs w:val="21"/>
                <w:lang w:val="en-US" w:eastAsia="zh-CN"/>
                <w14:textFill>
                  <w14:solidFill>
                    <w14:schemeClr w14:val="tx1"/>
                  </w14:solidFill>
                </w14:textFill>
              </w:rPr>
              <w:t>）</w:t>
            </w:r>
          </w:p>
        </w:tc>
        <w:tc>
          <w:tcPr>
            <w:tcW w:w="817" w:type="pct"/>
            <w:tcBorders>
              <w:tl2br w:val="nil"/>
              <w:tr2bl w:val="nil"/>
            </w:tcBorders>
            <w:vAlign w:val="center"/>
          </w:tcPr>
          <w:p w14:paraId="3A0E911A">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排放形式</w:t>
            </w:r>
          </w:p>
        </w:tc>
      </w:tr>
      <w:tr w14:paraId="55E8EB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773E04C9">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食堂油烟</w:t>
            </w:r>
          </w:p>
        </w:tc>
        <w:tc>
          <w:tcPr>
            <w:tcW w:w="693" w:type="pct"/>
            <w:tcBorders>
              <w:tl2br w:val="nil"/>
              <w:tr2bl w:val="nil"/>
            </w:tcBorders>
            <w:vAlign w:val="center"/>
          </w:tcPr>
          <w:p w14:paraId="4F4659D1">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油烟</w:t>
            </w:r>
          </w:p>
        </w:tc>
        <w:tc>
          <w:tcPr>
            <w:tcW w:w="664" w:type="pct"/>
            <w:tcBorders>
              <w:tl2br w:val="nil"/>
              <w:tr2bl w:val="nil"/>
            </w:tcBorders>
            <w:vAlign w:val="center"/>
          </w:tcPr>
          <w:p w14:paraId="2431997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8.213</w:t>
            </w:r>
          </w:p>
        </w:tc>
        <w:tc>
          <w:tcPr>
            <w:tcW w:w="743" w:type="pct"/>
            <w:tcBorders>
              <w:tl2br w:val="nil"/>
              <w:tr2bl w:val="nil"/>
            </w:tcBorders>
            <w:vAlign w:val="center"/>
          </w:tcPr>
          <w:p w14:paraId="62564E5A">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60%</w:t>
            </w:r>
          </w:p>
        </w:tc>
        <w:tc>
          <w:tcPr>
            <w:tcW w:w="684" w:type="pct"/>
            <w:tcBorders>
              <w:tl2br w:val="nil"/>
              <w:tr2bl w:val="nil"/>
            </w:tcBorders>
            <w:vAlign w:val="center"/>
          </w:tcPr>
          <w:p w14:paraId="7DDA3ADE">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3.285</w:t>
            </w:r>
          </w:p>
        </w:tc>
        <w:tc>
          <w:tcPr>
            <w:tcW w:w="832" w:type="pct"/>
            <w:tcBorders>
              <w:tl2br w:val="nil"/>
              <w:tr2bl w:val="nil"/>
            </w:tcBorders>
            <w:vAlign w:val="center"/>
          </w:tcPr>
          <w:p w14:paraId="6A8501C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w:t>
            </w:r>
          </w:p>
        </w:tc>
        <w:tc>
          <w:tcPr>
            <w:tcW w:w="817" w:type="pct"/>
            <w:tcBorders>
              <w:tl2br w:val="nil"/>
              <w:tr2bl w:val="nil"/>
            </w:tcBorders>
            <w:vAlign w:val="center"/>
          </w:tcPr>
          <w:p w14:paraId="5513C0EE">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有组织排放</w:t>
            </w:r>
          </w:p>
        </w:tc>
      </w:tr>
    </w:tbl>
    <w:p w14:paraId="0E1ED0B4">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4.生物质燃料锅炉烟气</w:t>
      </w:r>
    </w:p>
    <w:p w14:paraId="1D6C01B5">
      <w:pPr>
        <w:spacing w:line="360" w:lineRule="auto"/>
        <w:ind w:firstLine="480" w:firstLineChars="200"/>
        <w:rPr>
          <w:rFonts w:ascii="Times New Roman" w:hAnsi="Times New Roman" w:cs="Times New Roman"/>
          <w:color w:val="FF0000"/>
        </w:rPr>
      </w:pPr>
      <w:r>
        <w:rPr>
          <w:rFonts w:ascii="Times New Roman" w:hAnsi="Times New Roman" w:cs="Times New Roman"/>
          <w:color w:val="auto"/>
        </w:rPr>
        <w:t>本项目所</w:t>
      </w:r>
      <w:r>
        <w:rPr>
          <w:rFonts w:hint="eastAsia" w:cs="Times New Roman"/>
          <w:color w:val="auto"/>
          <w:lang w:val="en-US" w:eastAsia="zh-CN"/>
        </w:rPr>
        <w:t>用生物质燃料锅炉如表4.3-8</w:t>
      </w:r>
      <w:r>
        <w:rPr>
          <w:rFonts w:ascii="Times New Roman" w:hAnsi="Times New Roman" w:cs="Times New Roman"/>
          <w:color w:val="auto"/>
        </w:rPr>
        <w:t>，</w:t>
      </w:r>
      <w:r>
        <w:rPr>
          <w:rFonts w:hint="eastAsia" w:ascii="宋体" w:hAnsi="宋体" w:eastAsia="宋体" w:cs="宋体"/>
          <w:color w:val="auto"/>
          <w:sz w:val="24"/>
          <w:lang w:val="en-US" w:eastAsia="zh-CN"/>
        </w:rPr>
        <w:t>本项目锅炉炉型为炉排炉，根据《生物质成型燃料锅炉》（NB/T47062-2017）表1中的链条炉排锅炉的指标，</w:t>
      </w:r>
      <w:r>
        <w:rPr>
          <w:rFonts w:hint="eastAsia" w:ascii="宋体" w:hAnsi="宋体" w:eastAsia="宋体" w:cs="宋体"/>
          <w:sz w:val="24"/>
          <w:szCs w:val="24"/>
        </w:rPr>
        <w:t>收到基低位发热值</w:t>
      </w:r>
      <w:r>
        <w:rPr>
          <w:rFonts w:hint="eastAsia" w:ascii="宋体" w:hAnsi="宋体" w:eastAsia="宋体" w:cs="宋体"/>
          <w:sz w:val="24"/>
          <w:szCs w:val="24"/>
          <w:lang w:val="en-US" w:eastAsia="zh-CN"/>
        </w:rPr>
        <w:t>≥14600kj/kg，全水分≤12%，灰分≤10%</w:t>
      </w:r>
      <w:r>
        <w:rPr>
          <w:rFonts w:hint="eastAsia" w:ascii="宋体" w:hAnsi="宋体" w:eastAsia="宋体" w:cs="宋体"/>
          <w:color w:val="auto"/>
          <w:sz w:val="24"/>
          <w:lang w:val="en-US" w:eastAsia="zh-CN"/>
        </w:rPr>
        <w:t>，依据上表生物质颗粒燃料分析表中的数值：低位发热量（收到基）4048kcal/kg（16986.19 </w:t>
      </w:r>
      <w:r>
        <w:rPr>
          <w:rFonts w:hint="eastAsia" w:ascii="宋体" w:hAnsi="宋体" w:eastAsia="宋体" w:cs="宋体"/>
          <w:sz w:val="24"/>
          <w:szCs w:val="24"/>
          <w:lang w:val="en-US" w:eastAsia="zh-CN"/>
        </w:rPr>
        <w:t>kj/kg</w:t>
      </w:r>
      <w:r>
        <w:rPr>
          <w:rFonts w:hint="eastAsia" w:ascii="宋体" w:hAnsi="宋体" w:eastAsia="宋体" w:cs="宋体"/>
          <w:color w:val="auto"/>
          <w:sz w:val="24"/>
          <w:lang w:val="en-US" w:eastAsia="zh-CN"/>
        </w:rPr>
        <w:t>），全水分6.74%，灰分</w:t>
      </w:r>
      <w:r>
        <w:rPr>
          <w:rFonts w:hint="eastAsia" w:ascii="宋体" w:hAnsi="宋体" w:cs="宋体"/>
          <w:color w:val="auto"/>
          <w:sz w:val="24"/>
          <w:lang w:val="en-US" w:eastAsia="zh-CN"/>
        </w:rPr>
        <w:t>2.6</w:t>
      </w:r>
      <w:r>
        <w:rPr>
          <w:rFonts w:hint="eastAsia" w:ascii="宋体" w:hAnsi="宋体" w:eastAsia="宋体" w:cs="宋体"/>
          <w:color w:val="auto"/>
          <w:sz w:val="24"/>
          <w:lang w:val="en-US" w:eastAsia="zh-CN"/>
        </w:rPr>
        <w:t>%。项目使用的成型燃料基本满足《生物质成型燃料锅炉》（NB/T47062-2017）中锅炉用生物质成型燃料的基本要求。</w:t>
      </w:r>
    </w:p>
    <w:p w14:paraId="49F01B38">
      <w:pPr>
        <w:ind w:firstLine="480"/>
        <w:jc w:val="center"/>
        <w:rPr>
          <w:rFonts w:ascii="Times New Roman" w:hAnsi="Times New Roman" w:cs="Times New Roman"/>
          <w:color w:val="FF0000"/>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.3-8   生物质燃料一览表</w:t>
      </w:r>
    </w:p>
    <w:tbl>
      <w:tblPr>
        <w:tblStyle w:val="35"/>
        <w:tblW w:w="0" w:type="auto"/>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3082"/>
        <w:gridCol w:w="1509"/>
        <w:gridCol w:w="3569"/>
      </w:tblGrid>
      <w:tr w14:paraId="2A45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26" w:type="dxa"/>
            <w:vAlign w:val="center"/>
          </w:tcPr>
          <w:p w14:paraId="24DD5C9A">
            <w:pPr>
              <w:widowControl/>
              <w:ind w:left="0" w:leftChars="0" w:firstLine="0" w:firstLineChars="0"/>
              <w:jc w:val="both"/>
              <w:rPr>
                <w:rFonts w:hint="eastAsia" w:ascii="宋体" w:hAnsi="宋体" w:eastAsia="宋体" w:cs="宋体"/>
                <w:b/>
                <w:bCs w:val="0"/>
                <w:color w:val="auto"/>
                <w:szCs w:val="21"/>
              </w:rPr>
            </w:pPr>
            <w:r>
              <w:rPr>
                <w:rFonts w:hint="eastAsia" w:ascii="宋体" w:hAnsi="宋体" w:eastAsia="宋体" w:cs="宋体"/>
                <w:b/>
                <w:bCs w:val="0"/>
                <w:color w:val="auto"/>
                <w:szCs w:val="21"/>
              </w:rPr>
              <w:t>序号</w:t>
            </w:r>
          </w:p>
        </w:tc>
        <w:tc>
          <w:tcPr>
            <w:tcW w:w="3082" w:type="dxa"/>
            <w:vAlign w:val="center"/>
          </w:tcPr>
          <w:p w14:paraId="4F2779C5">
            <w:pPr>
              <w:widowControl/>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项目</w:t>
            </w:r>
          </w:p>
        </w:tc>
        <w:tc>
          <w:tcPr>
            <w:tcW w:w="1509" w:type="dxa"/>
            <w:tcBorders>
              <w:right w:val="single" w:color="auto" w:sz="2" w:space="0"/>
            </w:tcBorders>
            <w:vAlign w:val="center"/>
          </w:tcPr>
          <w:p w14:paraId="4B2F4CED">
            <w:pPr>
              <w:widowControl/>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单位</w:t>
            </w:r>
          </w:p>
        </w:tc>
        <w:tc>
          <w:tcPr>
            <w:tcW w:w="3569" w:type="dxa"/>
            <w:tcBorders>
              <w:left w:val="single" w:color="auto" w:sz="2" w:space="0"/>
            </w:tcBorders>
            <w:vAlign w:val="center"/>
          </w:tcPr>
          <w:p w14:paraId="57FB9678">
            <w:pPr>
              <w:widowControl/>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结果</w:t>
            </w:r>
          </w:p>
        </w:tc>
      </w:tr>
      <w:tr w14:paraId="072D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26" w:type="dxa"/>
            <w:vAlign w:val="center"/>
          </w:tcPr>
          <w:p w14:paraId="12EEC72F">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1</w:t>
            </w:r>
          </w:p>
        </w:tc>
        <w:tc>
          <w:tcPr>
            <w:tcW w:w="3082" w:type="dxa"/>
            <w:vAlign w:val="center"/>
          </w:tcPr>
          <w:p w14:paraId="6C284BA6">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灰分</w:t>
            </w:r>
          </w:p>
        </w:tc>
        <w:tc>
          <w:tcPr>
            <w:tcW w:w="1509" w:type="dxa"/>
            <w:tcBorders>
              <w:right w:val="single" w:color="auto" w:sz="2" w:space="0"/>
            </w:tcBorders>
            <w:vAlign w:val="center"/>
          </w:tcPr>
          <w:p w14:paraId="070725C6">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w:t>
            </w:r>
          </w:p>
        </w:tc>
        <w:tc>
          <w:tcPr>
            <w:tcW w:w="3569" w:type="dxa"/>
            <w:tcBorders>
              <w:left w:val="single" w:color="auto" w:sz="2" w:space="0"/>
            </w:tcBorders>
            <w:vAlign w:val="center"/>
          </w:tcPr>
          <w:p w14:paraId="3B4F5420">
            <w:pPr>
              <w:widowControl/>
              <w:jc w:val="center"/>
              <w:rPr>
                <w:rFonts w:hint="eastAsia" w:ascii="宋体" w:hAnsi="宋体" w:eastAsia="宋体" w:cs="宋体"/>
                <w:bCs/>
                <w:color w:val="auto"/>
                <w:szCs w:val="21"/>
                <w:lang w:val="en-US" w:eastAsia="zh-CN"/>
              </w:rPr>
            </w:pPr>
            <w:r>
              <w:rPr>
                <w:rFonts w:hint="eastAsia" w:ascii="宋体" w:hAnsi="宋体" w:cs="宋体"/>
                <w:bCs/>
                <w:color w:val="auto"/>
                <w:szCs w:val="21"/>
                <w:lang w:val="en-US" w:eastAsia="zh-CN"/>
              </w:rPr>
              <w:t>2</w:t>
            </w:r>
            <w:r>
              <w:rPr>
                <w:rFonts w:hint="eastAsia" w:ascii="宋体" w:hAnsi="宋体" w:eastAsia="宋体" w:cs="宋体"/>
                <w:bCs/>
                <w:color w:val="auto"/>
                <w:szCs w:val="21"/>
                <w:lang w:val="en-US" w:eastAsia="zh-CN"/>
              </w:rPr>
              <w:t>.</w:t>
            </w:r>
            <w:r>
              <w:rPr>
                <w:rFonts w:hint="eastAsia" w:ascii="宋体" w:hAnsi="宋体" w:cs="宋体"/>
                <w:bCs/>
                <w:color w:val="auto"/>
                <w:szCs w:val="21"/>
                <w:lang w:val="en-US" w:eastAsia="zh-CN"/>
              </w:rPr>
              <w:t>6</w:t>
            </w:r>
          </w:p>
        </w:tc>
      </w:tr>
      <w:tr w14:paraId="7D3B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26" w:type="dxa"/>
            <w:vAlign w:val="center"/>
          </w:tcPr>
          <w:p w14:paraId="2BD2C6A2">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2</w:t>
            </w:r>
          </w:p>
        </w:tc>
        <w:tc>
          <w:tcPr>
            <w:tcW w:w="3082" w:type="dxa"/>
            <w:vAlign w:val="center"/>
          </w:tcPr>
          <w:p w14:paraId="74CF606F">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挥发分</w:t>
            </w:r>
          </w:p>
        </w:tc>
        <w:tc>
          <w:tcPr>
            <w:tcW w:w="1509" w:type="dxa"/>
            <w:tcBorders>
              <w:right w:val="single" w:color="auto" w:sz="2" w:space="0"/>
            </w:tcBorders>
            <w:vAlign w:val="center"/>
          </w:tcPr>
          <w:p w14:paraId="289399D6">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w:t>
            </w:r>
          </w:p>
        </w:tc>
        <w:tc>
          <w:tcPr>
            <w:tcW w:w="3569" w:type="dxa"/>
            <w:tcBorders>
              <w:left w:val="single" w:color="auto" w:sz="2" w:space="0"/>
            </w:tcBorders>
            <w:vAlign w:val="center"/>
          </w:tcPr>
          <w:p w14:paraId="7EDDD22F">
            <w:pPr>
              <w:widowControl/>
              <w:jc w:val="center"/>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8</w:t>
            </w:r>
            <w:r>
              <w:rPr>
                <w:rFonts w:hint="eastAsia" w:ascii="宋体" w:hAnsi="宋体" w:cs="宋体"/>
                <w:bCs/>
                <w:color w:val="auto"/>
                <w:szCs w:val="21"/>
                <w:lang w:val="en-US" w:eastAsia="zh-CN"/>
              </w:rPr>
              <w:t>0</w:t>
            </w:r>
            <w:r>
              <w:rPr>
                <w:rFonts w:hint="eastAsia" w:ascii="宋体" w:hAnsi="宋体" w:eastAsia="宋体" w:cs="宋体"/>
                <w:bCs/>
                <w:color w:val="auto"/>
                <w:szCs w:val="21"/>
                <w:lang w:val="en-US" w:eastAsia="zh-CN"/>
              </w:rPr>
              <w:t>.0</w:t>
            </w:r>
            <w:r>
              <w:rPr>
                <w:rFonts w:hint="eastAsia" w:ascii="宋体" w:hAnsi="宋体" w:cs="宋体"/>
                <w:bCs/>
                <w:color w:val="auto"/>
                <w:szCs w:val="21"/>
                <w:lang w:val="en-US" w:eastAsia="zh-CN"/>
              </w:rPr>
              <w:t>5</w:t>
            </w:r>
          </w:p>
        </w:tc>
      </w:tr>
      <w:tr w14:paraId="157C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26" w:type="dxa"/>
            <w:vAlign w:val="center"/>
          </w:tcPr>
          <w:p w14:paraId="5AFD9F31">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3</w:t>
            </w:r>
          </w:p>
        </w:tc>
        <w:tc>
          <w:tcPr>
            <w:tcW w:w="3082" w:type="dxa"/>
            <w:vAlign w:val="center"/>
          </w:tcPr>
          <w:p w14:paraId="0FAE87F7">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全水分</w:t>
            </w:r>
          </w:p>
        </w:tc>
        <w:tc>
          <w:tcPr>
            <w:tcW w:w="1509" w:type="dxa"/>
            <w:tcBorders>
              <w:right w:val="single" w:color="auto" w:sz="2" w:space="0"/>
            </w:tcBorders>
            <w:vAlign w:val="center"/>
          </w:tcPr>
          <w:p w14:paraId="6272DB10">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w:t>
            </w:r>
          </w:p>
        </w:tc>
        <w:tc>
          <w:tcPr>
            <w:tcW w:w="3569" w:type="dxa"/>
            <w:tcBorders>
              <w:left w:val="single" w:color="auto" w:sz="2" w:space="0"/>
            </w:tcBorders>
            <w:vAlign w:val="center"/>
          </w:tcPr>
          <w:p w14:paraId="44286C89">
            <w:pPr>
              <w:widowControl/>
              <w:jc w:val="center"/>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6.74</w:t>
            </w:r>
          </w:p>
        </w:tc>
      </w:tr>
      <w:tr w14:paraId="1EB8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26" w:type="dxa"/>
            <w:vAlign w:val="center"/>
          </w:tcPr>
          <w:p w14:paraId="1EE03C16">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4</w:t>
            </w:r>
          </w:p>
        </w:tc>
        <w:tc>
          <w:tcPr>
            <w:tcW w:w="3082" w:type="dxa"/>
            <w:vAlign w:val="center"/>
          </w:tcPr>
          <w:p w14:paraId="4FA3C733">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全硫</w:t>
            </w:r>
          </w:p>
        </w:tc>
        <w:tc>
          <w:tcPr>
            <w:tcW w:w="1509" w:type="dxa"/>
            <w:tcBorders>
              <w:right w:val="single" w:color="auto" w:sz="2" w:space="0"/>
            </w:tcBorders>
            <w:vAlign w:val="center"/>
          </w:tcPr>
          <w:p w14:paraId="22EA69DC">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w:t>
            </w:r>
          </w:p>
        </w:tc>
        <w:tc>
          <w:tcPr>
            <w:tcW w:w="3569" w:type="dxa"/>
            <w:tcBorders>
              <w:left w:val="single" w:color="auto" w:sz="2" w:space="0"/>
            </w:tcBorders>
            <w:vAlign w:val="center"/>
          </w:tcPr>
          <w:p w14:paraId="00ECCC2E">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0.026</w:t>
            </w:r>
          </w:p>
        </w:tc>
      </w:tr>
      <w:tr w14:paraId="2721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26" w:type="dxa"/>
            <w:vAlign w:val="center"/>
          </w:tcPr>
          <w:p w14:paraId="664C531F">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5</w:t>
            </w:r>
          </w:p>
        </w:tc>
        <w:tc>
          <w:tcPr>
            <w:tcW w:w="3082" w:type="dxa"/>
            <w:vAlign w:val="center"/>
          </w:tcPr>
          <w:p w14:paraId="2E05D3A4">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高位发热量（空干基）</w:t>
            </w:r>
          </w:p>
        </w:tc>
        <w:tc>
          <w:tcPr>
            <w:tcW w:w="1509" w:type="dxa"/>
            <w:tcBorders>
              <w:right w:val="single" w:color="auto" w:sz="2" w:space="0"/>
            </w:tcBorders>
            <w:vAlign w:val="center"/>
          </w:tcPr>
          <w:p w14:paraId="794DBFB1">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kcal/kg</w:t>
            </w:r>
          </w:p>
        </w:tc>
        <w:tc>
          <w:tcPr>
            <w:tcW w:w="3569" w:type="dxa"/>
            <w:tcBorders>
              <w:left w:val="single" w:color="auto" w:sz="2" w:space="0"/>
            </w:tcBorders>
            <w:vAlign w:val="center"/>
          </w:tcPr>
          <w:p w14:paraId="43CB9F70">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4531</w:t>
            </w:r>
          </w:p>
        </w:tc>
      </w:tr>
      <w:tr w14:paraId="7514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26" w:type="dxa"/>
            <w:vAlign w:val="center"/>
          </w:tcPr>
          <w:p w14:paraId="2D7F77F5">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6</w:t>
            </w:r>
          </w:p>
        </w:tc>
        <w:tc>
          <w:tcPr>
            <w:tcW w:w="3082" w:type="dxa"/>
            <w:vAlign w:val="center"/>
          </w:tcPr>
          <w:p w14:paraId="6B872E78">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低位发热量（收到基）</w:t>
            </w:r>
          </w:p>
        </w:tc>
        <w:tc>
          <w:tcPr>
            <w:tcW w:w="1509" w:type="dxa"/>
            <w:tcBorders>
              <w:right w:val="single" w:color="auto" w:sz="2" w:space="0"/>
            </w:tcBorders>
            <w:vAlign w:val="center"/>
          </w:tcPr>
          <w:p w14:paraId="28A76B27">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kcal/kg</w:t>
            </w:r>
          </w:p>
        </w:tc>
        <w:tc>
          <w:tcPr>
            <w:tcW w:w="3569" w:type="dxa"/>
            <w:tcBorders>
              <w:left w:val="single" w:color="auto" w:sz="2" w:space="0"/>
            </w:tcBorders>
            <w:vAlign w:val="center"/>
          </w:tcPr>
          <w:p w14:paraId="6C7E14AC">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4058</w:t>
            </w:r>
          </w:p>
        </w:tc>
      </w:tr>
      <w:tr w14:paraId="5CB7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26" w:type="dxa"/>
            <w:vAlign w:val="center"/>
          </w:tcPr>
          <w:p w14:paraId="594DB207">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7</w:t>
            </w:r>
          </w:p>
        </w:tc>
        <w:tc>
          <w:tcPr>
            <w:tcW w:w="3082" w:type="dxa"/>
            <w:vAlign w:val="center"/>
          </w:tcPr>
          <w:p w14:paraId="40855BA1">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固定碳</w:t>
            </w:r>
          </w:p>
        </w:tc>
        <w:tc>
          <w:tcPr>
            <w:tcW w:w="1509" w:type="dxa"/>
            <w:tcBorders>
              <w:right w:val="single" w:color="auto" w:sz="2" w:space="0"/>
            </w:tcBorders>
            <w:vAlign w:val="center"/>
          </w:tcPr>
          <w:p w14:paraId="40D55038">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w:t>
            </w:r>
          </w:p>
        </w:tc>
        <w:tc>
          <w:tcPr>
            <w:tcW w:w="3569" w:type="dxa"/>
            <w:tcBorders>
              <w:left w:val="single" w:color="auto" w:sz="2" w:space="0"/>
            </w:tcBorders>
            <w:vAlign w:val="center"/>
          </w:tcPr>
          <w:p w14:paraId="497A3151">
            <w:pPr>
              <w:widowControl/>
              <w:jc w:val="center"/>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17.35</w:t>
            </w:r>
          </w:p>
        </w:tc>
      </w:tr>
      <w:tr w14:paraId="6BA8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26" w:type="dxa"/>
            <w:vAlign w:val="center"/>
          </w:tcPr>
          <w:p w14:paraId="6D9A6EDA">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8</w:t>
            </w:r>
          </w:p>
        </w:tc>
        <w:tc>
          <w:tcPr>
            <w:tcW w:w="3082" w:type="dxa"/>
            <w:vAlign w:val="center"/>
          </w:tcPr>
          <w:p w14:paraId="253CC9A7">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焦渣特征</w:t>
            </w:r>
          </w:p>
        </w:tc>
        <w:tc>
          <w:tcPr>
            <w:tcW w:w="1509" w:type="dxa"/>
            <w:tcBorders>
              <w:right w:val="single" w:color="auto" w:sz="2" w:space="0"/>
            </w:tcBorders>
            <w:vAlign w:val="center"/>
          </w:tcPr>
          <w:p w14:paraId="47B7BE8C">
            <w:pPr>
              <w:widowControl/>
              <w:ind w:left="0" w:leftChars="0" w:firstLine="0" w:firstLineChars="0"/>
              <w:jc w:val="center"/>
              <w:rPr>
                <w:rFonts w:hint="eastAsia" w:ascii="宋体" w:hAnsi="宋体" w:eastAsia="宋体" w:cs="宋体"/>
                <w:bCs/>
                <w:color w:val="auto"/>
                <w:szCs w:val="21"/>
              </w:rPr>
            </w:pPr>
            <w:r>
              <w:rPr>
                <w:rFonts w:hint="eastAsia" w:ascii="宋体" w:hAnsi="宋体" w:eastAsia="宋体" w:cs="宋体"/>
                <w:bCs/>
                <w:color w:val="auto"/>
                <w:szCs w:val="21"/>
              </w:rPr>
              <w:t>-</w:t>
            </w:r>
          </w:p>
        </w:tc>
        <w:tc>
          <w:tcPr>
            <w:tcW w:w="3569" w:type="dxa"/>
            <w:tcBorders>
              <w:left w:val="single" w:color="auto" w:sz="2" w:space="0"/>
            </w:tcBorders>
            <w:vAlign w:val="center"/>
          </w:tcPr>
          <w:p w14:paraId="4F116070">
            <w:pPr>
              <w:widowControl/>
              <w:jc w:val="center"/>
              <w:rPr>
                <w:rFonts w:hint="eastAsia" w:ascii="宋体" w:hAnsi="宋体" w:eastAsia="宋体" w:cs="宋体"/>
                <w:bCs/>
                <w:color w:val="auto"/>
                <w:szCs w:val="21"/>
              </w:rPr>
            </w:pPr>
            <w:r>
              <w:rPr>
                <w:rFonts w:hint="eastAsia" w:ascii="宋体" w:hAnsi="宋体" w:eastAsia="宋体" w:cs="宋体"/>
                <w:bCs/>
                <w:color w:val="auto"/>
                <w:szCs w:val="21"/>
              </w:rPr>
              <w:t>1类</w:t>
            </w:r>
          </w:p>
        </w:tc>
      </w:tr>
    </w:tbl>
    <w:p w14:paraId="0E4CB72A">
      <w:pPr>
        <w:ind w:firstLine="480"/>
        <w:rPr>
          <w:rFonts w:hint="eastAsia" w:ascii="Times New Roman" w:hAnsi="Times New Roman" w:cs="Times New Roman"/>
          <w:color w:val="FF0000"/>
          <w:lang w:val="en-US" w:eastAsia="zh-CN"/>
        </w:rPr>
      </w:pPr>
      <w:r>
        <w:rPr>
          <w:rFonts w:hint="eastAsia" w:ascii="Times New Roman" w:hAnsi="Times New Roman" w:cs="Times New Roman"/>
          <w:color w:val="000000" w:themeColor="text1"/>
          <w:lang w:val="en-US" w:eastAsia="zh-CN"/>
          <w14:textFill>
            <w14:solidFill>
              <w14:schemeClr w14:val="tx1"/>
            </w14:solidFill>
          </w14:textFill>
        </w:rPr>
        <w:t>本项目估算供热锅炉冬季供热4个月，其他季节根据气温和养殖控温需求间歇供热，全年供热时间按6个月</w:t>
      </w:r>
      <w:r>
        <w:rPr>
          <w:rFonts w:hint="eastAsia" w:cs="Times New Roman"/>
          <w:color w:val="000000" w:themeColor="text1"/>
          <w:lang w:val="en-US" w:eastAsia="zh-CN"/>
          <w14:textFill>
            <w14:solidFill>
              <w14:schemeClr w14:val="tx1"/>
            </w14:solidFill>
          </w14:textFill>
        </w:rPr>
        <w:t>计算</w:t>
      </w:r>
      <w:r>
        <w:rPr>
          <w:rFonts w:hint="eastAsia" w:ascii="Times New Roman" w:hAnsi="Times New Roman" w:cs="Times New Roman"/>
          <w:color w:val="000000" w:themeColor="text1"/>
          <w:lang w:val="en-US" w:eastAsia="zh-CN"/>
          <w14:textFill>
            <w14:solidFill>
              <w14:schemeClr w14:val="tx1"/>
            </w14:solidFill>
          </w14:textFill>
        </w:rPr>
        <w:t>，正常情况按照启用1台锅炉核算。两台供热锅炉合并使用一套烟气处理设施，</w:t>
      </w:r>
      <w:r>
        <w:rPr>
          <w:rFonts w:hint="eastAsia" w:ascii="Times New Roman" w:hAnsi="Times New Roman" w:cs="Times New Roman"/>
          <w:color w:val="FF0000"/>
          <w:lang w:val="en-US" w:eastAsia="zh-CN"/>
        </w:rPr>
        <w:t>烟气处理工艺为双碱法碱式喷淋塔除尘、脱硫、脱</w:t>
      </w:r>
      <w:r>
        <w:rPr>
          <w:rFonts w:hint="eastAsia" w:cs="Times New Roman"/>
          <w:color w:val="FF0000"/>
          <w:lang w:val="en-US" w:eastAsia="zh-CN"/>
        </w:rPr>
        <w:t>硝</w:t>
      </w:r>
      <w:r>
        <w:rPr>
          <w:rFonts w:hint="eastAsia" w:ascii="Times New Roman" w:hAnsi="Times New Roman" w:cs="Times New Roman"/>
          <w:color w:val="FF0000"/>
          <w:lang w:val="en-US" w:eastAsia="zh-CN"/>
        </w:rPr>
        <w:t>，风量10000m</w:t>
      </w:r>
      <w:r>
        <w:rPr>
          <w:rFonts w:hint="eastAsia" w:ascii="Times New Roman" w:hAnsi="Times New Roman" w:cs="Times New Roman"/>
          <w:color w:val="FF0000"/>
          <w:vertAlign w:val="superscript"/>
          <w:lang w:val="en-US" w:eastAsia="zh-CN"/>
        </w:rPr>
        <w:t>3</w:t>
      </w:r>
      <w:r>
        <w:rPr>
          <w:rFonts w:hint="eastAsia" w:ascii="Times New Roman" w:hAnsi="Times New Roman" w:cs="Times New Roman"/>
          <w:color w:val="FF0000"/>
          <w:lang w:val="en-US" w:eastAsia="zh-CN"/>
        </w:rPr>
        <w:t>/h。</w:t>
      </w:r>
    </w:p>
    <w:p w14:paraId="1AB1DBC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参考《排放源统计调查产排污核算方法和系数手册》中《4430工业锅炉（热力生产和供应行业）产污系数表-生物质工业锅炉》可知，</w:t>
      </w:r>
      <w:r>
        <w:rPr>
          <w:rFonts w:hint="eastAsia" w:ascii="宋体" w:hAnsi="宋体" w:cs="宋体"/>
          <w:color w:val="auto"/>
          <w:kern w:val="2"/>
          <w:sz w:val="24"/>
          <w:szCs w:val="24"/>
          <w:highlight w:val="none"/>
          <w:lang w:val="en-US" w:eastAsia="zh-CN" w:bidi="ar-SA"/>
        </w:rPr>
        <w:t>颗粒物产污系数0.5千克/吨（烟气颗粒物按PM</w:t>
      </w:r>
      <w:r>
        <w:rPr>
          <w:rFonts w:hint="eastAsia" w:ascii="宋体" w:hAnsi="宋体" w:cs="宋体"/>
          <w:color w:val="auto"/>
          <w:kern w:val="2"/>
          <w:sz w:val="24"/>
          <w:szCs w:val="24"/>
          <w:highlight w:val="none"/>
          <w:vertAlign w:val="subscript"/>
          <w:lang w:val="en-US" w:eastAsia="zh-CN" w:bidi="ar-SA"/>
        </w:rPr>
        <w:t>10</w:t>
      </w:r>
      <w:r>
        <w:rPr>
          <w:rFonts w:hint="eastAsia" w:ascii="宋体" w:hAnsi="宋体" w:cs="宋体"/>
          <w:color w:val="auto"/>
          <w:kern w:val="2"/>
          <w:sz w:val="24"/>
          <w:szCs w:val="24"/>
          <w:highlight w:val="none"/>
          <w:lang w:val="en-US" w:eastAsia="zh-CN" w:bidi="ar-SA"/>
        </w:rPr>
        <w:t>计），NOx产污系数1.02千克/吨（全部按</w:t>
      </w:r>
      <w:r>
        <w:rPr>
          <w:rFonts w:hint="eastAsia" w:ascii="宋体" w:hAnsi="宋体" w:cs="宋体"/>
          <w:color w:val="auto"/>
          <w:sz w:val="24"/>
          <w:highlight w:val="none"/>
          <w:lang w:val="en-US" w:eastAsia="zh-CN"/>
        </w:rPr>
        <w:t>NO</w:t>
      </w:r>
      <w:r>
        <w:rPr>
          <w:rFonts w:hint="eastAsia" w:ascii="宋体" w:hAnsi="宋体" w:eastAsia="宋体" w:cs="宋体"/>
          <w:color w:val="auto"/>
          <w:kern w:val="0"/>
          <w:sz w:val="24"/>
          <w:vertAlign w:val="subscript"/>
          <w:lang w:val="en-US" w:eastAsia="zh-CN"/>
        </w:rPr>
        <w:t>2</w:t>
      </w:r>
      <w:r>
        <w:rPr>
          <w:rFonts w:hint="eastAsia" w:ascii="宋体" w:hAnsi="宋体" w:cs="宋体"/>
          <w:color w:val="auto"/>
          <w:kern w:val="2"/>
          <w:sz w:val="24"/>
          <w:szCs w:val="24"/>
          <w:highlight w:val="none"/>
          <w:lang w:val="en-US" w:eastAsia="zh-CN" w:bidi="ar-SA"/>
        </w:rPr>
        <w:t>计），SO</w:t>
      </w:r>
      <w:r>
        <w:rPr>
          <w:rFonts w:hint="eastAsia" w:ascii="宋体" w:hAnsi="宋体" w:cs="宋体"/>
          <w:color w:val="auto"/>
          <w:kern w:val="2"/>
          <w:sz w:val="24"/>
          <w:szCs w:val="24"/>
          <w:highlight w:val="none"/>
          <w:vertAlign w:val="subscript"/>
          <w:lang w:val="en-US" w:eastAsia="zh-CN" w:bidi="ar-SA"/>
        </w:rPr>
        <w:t>2</w:t>
      </w:r>
      <w:r>
        <w:rPr>
          <w:rFonts w:hint="eastAsia" w:ascii="宋体" w:hAnsi="宋体" w:cs="宋体"/>
          <w:color w:val="auto"/>
          <w:kern w:val="2"/>
          <w:sz w:val="24"/>
          <w:szCs w:val="24"/>
          <w:highlight w:val="none"/>
          <w:lang w:val="en-US" w:eastAsia="zh-CN" w:bidi="ar-SA"/>
        </w:rPr>
        <w:t>产污系数17S千克/吨（S：基硫分）。碱式喷淋塔对颗粒物的去除率为87%</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双碱法碱式喷淋塔处理SO</w:t>
      </w:r>
      <w:r>
        <w:rPr>
          <w:rFonts w:hint="eastAsia" w:ascii="宋体" w:hAnsi="宋体" w:cs="宋体"/>
          <w:color w:val="auto"/>
          <w:kern w:val="2"/>
          <w:sz w:val="24"/>
          <w:szCs w:val="24"/>
          <w:highlight w:val="none"/>
          <w:vertAlign w:val="subscript"/>
          <w:lang w:val="en-US" w:eastAsia="zh-CN" w:bidi="ar-SA"/>
        </w:rPr>
        <w:t>2</w:t>
      </w:r>
      <w:r>
        <w:rPr>
          <w:rFonts w:hint="eastAsia" w:ascii="宋体" w:hAnsi="宋体" w:cs="宋体"/>
          <w:color w:val="auto"/>
          <w:kern w:val="2"/>
          <w:sz w:val="24"/>
          <w:szCs w:val="24"/>
          <w:highlight w:val="none"/>
          <w:lang w:val="en-US" w:eastAsia="zh-CN" w:bidi="ar-SA"/>
        </w:rPr>
        <w:t>，去除效率81.5%。碱式喷淋塔对氮氧化物的去除率按70%计。</w:t>
      </w:r>
    </w:p>
    <w:p w14:paraId="351AC5B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颗粒物排污计算：</w:t>
      </w:r>
    </w:p>
    <w:p w14:paraId="3706125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产生量：1000*0.5=500kg/a=0.5t/a；</w:t>
      </w:r>
    </w:p>
    <w:p w14:paraId="28F9599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排放量：0.5*(1-87%)=0.065t/a</w:t>
      </w:r>
    </w:p>
    <w:p w14:paraId="7FFB424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排放速率：0.065*1000/（180*24）=0.015kg/h</w:t>
      </w:r>
    </w:p>
    <w:p w14:paraId="3C15625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排放浓度：0.015*10</w:t>
      </w:r>
      <w:r>
        <w:rPr>
          <w:rFonts w:hint="eastAsia" w:ascii="宋体" w:hAnsi="宋体" w:cs="宋体"/>
          <w:color w:val="auto"/>
          <w:sz w:val="24"/>
          <w:highlight w:val="none"/>
          <w:vertAlign w:val="superscript"/>
          <w:lang w:val="en-US" w:eastAsia="zh-CN"/>
        </w:rPr>
        <w:t>6</w:t>
      </w:r>
      <w:r>
        <w:rPr>
          <w:rFonts w:hint="eastAsia" w:ascii="宋体" w:hAnsi="宋体" w:cs="宋体"/>
          <w:color w:val="auto"/>
          <w:sz w:val="24"/>
          <w:highlight w:val="none"/>
          <w:vertAlign w:val="baseline"/>
          <w:lang w:val="en-US" w:eastAsia="zh-CN"/>
        </w:rPr>
        <w:t>/10000=1.5mg/m</w:t>
      </w:r>
      <w:r>
        <w:rPr>
          <w:rFonts w:hint="eastAsia" w:ascii="宋体" w:hAnsi="宋体" w:cs="宋体"/>
          <w:color w:val="auto"/>
          <w:sz w:val="24"/>
          <w:highlight w:val="none"/>
          <w:vertAlign w:val="superscript"/>
          <w:lang w:val="en-US" w:eastAsia="zh-CN"/>
        </w:rPr>
        <w:t>3</w:t>
      </w:r>
    </w:p>
    <w:p w14:paraId="30B5BE6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SO</w:t>
      </w:r>
      <w:r>
        <w:rPr>
          <w:rFonts w:hint="eastAsia" w:ascii="宋体" w:hAnsi="宋体" w:cs="宋体"/>
          <w:color w:val="auto"/>
          <w:sz w:val="24"/>
          <w:highlight w:val="none"/>
          <w:vertAlign w:val="subscript"/>
          <w:lang w:val="en-US" w:eastAsia="zh-CN"/>
        </w:rPr>
        <w:t>2</w:t>
      </w:r>
      <w:r>
        <w:rPr>
          <w:rFonts w:hint="eastAsia" w:ascii="宋体" w:hAnsi="宋体" w:cs="宋体"/>
          <w:color w:val="auto"/>
          <w:sz w:val="24"/>
          <w:highlight w:val="none"/>
          <w:lang w:val="en-US" w:eastAsia="zh-CN"/>
        </w:rPr>
        <w:t>排污计算：</w:t>
      </w:r>
    </w:p>
    <w:p w14:paraId="2D33111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产生量：1000*17*0.026=442kg/a=0.442t/a；</w:t>
      </w:r>
    </w:p>
    <w:p w14:paraId="7D6AE2B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排放量：0.442*(1-81.5%)=0.0818t/a</w:t>
      </w:r>
    </w:p>
    <w:p w14:paraId="45C6B99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排放速率：0.0818*1000/(180*24)=0.019kg/h</w:t>
      </w:r>
    </w:p>
    <w:p w14:paraId="48CDEF4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排放浓度：0.019*10</w:t>
      </w:r>
      <w:r>
        <w:rPr>
          <w:rFonts w:hint="eastAsia" w:ascii="宋体" w:hAnsi="宋体" w:cs="宋体"/>
          <w:color w:val="auto"/>
          <w:sz w:val="24"/>
          <w:highlight w:val="none"/>
          <w:vertAlign w:val="superscript"/>
          <w:lang w:val="en-US" w:eastAsia="zh-CN"/>
        </w:rPr>
        <w:t>6</w:t>
      </w:r>
      <w:r>
        <w:rPr>
          <w:rFonts w:hint="eastAsia" w:ascii="宋体" w:hAnsi="宋体" w:cs="宋体"/>
          <w:color w:val="auto"/>
          <w:sz w:val="24"/>
          <w:highlight w:val="none"/>
          <w:vertAlign w:val="baseline"/>
          <w:lang w:val="en-US" w:eastAsia="zh-CN"/>
        </w:rPr>
        <w:t>/10000=1.89mg/m</w:t>
      </w:r>
      <w:r>
        <w:rPr>
          <w:rFonts w:hint="eastAsia" w:ascii="宋体" w:hAnsi="宋体" w:cs="宋体"/>
          <w:color w:val="auto"/>
          <w:sz w:val="24"/>
          <w:highlight w:val="none"/>
          <w:vertAlign w:val="superscript"/>
          <w:lang w:val="en-US" w:eastAsia="zh-CN"/>
        </w:rPr>
        <w:t>3</w:t>
      </w:r>
    </w:p>
    <w:p w14:paraId="1FF0A65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NO</w:t>
      </w:r>
      <w:r>
        <w:rPr>
          <w:rFonts w:hint="eastAsia" w:ascii="宋体" w:hAnsi="宋体" w:eastAsia="宋体" w:cs="宋体"/>
          <w:color w:val="auto"/>
          <w:kern w:val="0"/>
          <w:sz w:val="24"/>
          <w:vertAlign w:val="subscript"/>
          <w:lang w:val="en-US" w:eastAsia="zh-CN"/>
        </w:rPr>
        <w:t>2</w:t>
      </w:r>
      <w:r>
        <w:rPr>
          <w:rFonts w:hint="eastAsia" w:ascii="宋体" w:hAnsi="宋体" w:cs="宋体"/>
          <w:color w:val="auto"/>
          <w:sz w:val="24"/>
          <w:highlight w:val="none"/>
          <w:lang w:val="en-US" w:eastAsia="zh-CN"/>
        </w:rPr>
        <w:t>排污计算：</w:t>
      </w:r>
    </w:p>
    <w:p w14:paraId="3F58AE1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产生量：1000*1.02=1020kg/a=1.02t/a；</w:t>
      </w:r>
    </w:p>
    <w:p w14:paraId="4E5B896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排放量：1.02*(1-70%)=0.306t/a</w:t>
      </w:r>
    </w:p>
    <w:p w14:paraId="3846910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排放速率：0.306*1000/(180*24)=0.071kg/h</w:t>
      </w:r>
    </w:p>
    <w:p w14:paraId="64910F2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排放浓度：0.071*10</w:t>
      </w:r>
      <w:r>
        <w:rPr>
          <w:rFonts w:hint="eastAsia" w:ascii="宋体" w:hAnsi="宋体" w:cs="宋体"/>
          <w:color w:val="auto"/>
          <w:sz w:val="24"/>
          <w:highlight w:val="none"/>
          <w:vertAlign w:val="superscript"/>
          <w:lang w:val="en-US" w:eastAsia="zh-CN"/>
        </w:rPr>
        <w:t>6</w:t>
      </w:r>
      <w:r>
        <w:rPr>
          <w:rFonts w:hint="eastAsia" w:ascii="宋体" w:hAnsi="宋体" w:cs="宋体"/>
          <w:color w:val="auto"/>
          <w:sz w:val="24"/>
          <w:highlight w:val="none"/>
          <w:vertAlign w:val="baseline"/>
          <w:lang w:val="en-US" w:eastAsia="zh-CN"/>
        </w:rPr>
        <w:t>/10000=7.08mg/m</w:t>
      </w:r>
      <w:r>
        <w:rPr>
          <w:rFonts w:hint="eastAsia" w:ascii="宋体" w:hAnsi="宋体" w:cs="宋体"/>
          <w:color w:val="auto"/>
          <w:sz w:val="24"/>
          <w:highlight w:val="none"/>
          <w:vertAlign w:val="superscript"/>
          <w:lang w:val="en-US" w:eastAsia="zh-CN"/>
        </w:rPr>
        <w:t>3</w:t>
      </w:r>
    </w:p>
    <w:p w14:paraId="61C9FEDF">
      <w:pPr>
        <w:ind w:firstLine="480"/>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本项目燃生物质锅炉废气执行《锅炉大气污染物排放标准》（GB13271-2014）表2燃气锅炉大气污染物特别排放限值（颗粒物：20mg/m</w:t>
      </w:r>
      <w:r>
        <w:rPr>
          <w:rFonts w:hint="eastAsia" w:ascii="宋体" w:hAnsi="宋体" w:eastAsia="宋体" w:cs="宋体"/>
          <w:color w:val="auto"/>
          <w:kern w:val="0"/>
          <w:sz w:val="24"/>
          <w:vertAlign w:val="superscript"/>
          <w:lang w:val="en-US" w:eastAsia="zh-CN"/>
        </w:rPr>
        <w:t>3</w:t>
      </w:r>
      <w:r>
        <w:rPr>
          <w:rFonts w:hint="eastAsia" w:ascii="宋体" w:hAnsi="宋体" w:eastAsia="宋体" w:cs="宋体"/>
          <w:color w:val="auto"/>
          <w:kern w:val="0"/>
          <w:sz w:val="24"/>
          <w:lang w:val="en-US" w:eastAsia="zh-CN"/>
        </w:rPr>
        <w:t>、SO</w:t>
      </w:r>
      <w:r>
        <w:rPr>
          <w:rFonts w:hint="eastAsia" w:ascii="宋体" w:hAnsi="宋体" w:eastAsia="宋体" w:cs="宋体"/>
          <w:color w:val="auto"/>
          <w:kern w:val="0"/>
          <w:sz w:val="24"/>
          <w:vertAlign w:val="subscript"/>
          <w:lang w:val="en-US" w:eastAsia="zh-CN"/>
        </w:rPr>
        <w:t>2:</w:t>
      </w:r>
      <w:r>
        <w:rPr>
          <w:rFonts w:hint="eastAsia" w:ascii="宋体" w:hAnsi="宋体" w:eastAsia="宋体" w:cs="宋体"/>
          <w:color w:val="auto"/>
          <w:kern w:val="0"/>
          <w:sz w:val="24"/>
          <w:lang w:val="en-US" w:eastAsia="zh-CN"/>
        </w:rPr>
        <w:t>50mg/m</w:t>
      </w:r>
      <w:r>
        <w:rPr>
          <w:rFonts w:hint="eastAsia" w:ascii="宋体" w:hAnsi="宋体" w:eastAsia="宋体" w:cs="宋体"/>
          <w:color w:val="auto"/>
          <w:kern w:val="0"/>
          <w:sz w:val="24"/>
          <w:vertAlign w:val="superscript"/>
          <w:lang w:val="en-US" w:eastAsia="zh-CN"/>
        </w:rPr>
        <w:t>3</w:t>
      </w:r>
      <w:r>
        <w:rPr>
          <w:rFonts w:hint="eastAsia" w:ascii="宋体" w:hAnsi="宋体" w:eastAsia="宋体" w:cs="宋体"/>
          <w:color w:val="auto"/>
          <w:kern w:val="0"/>
          <w:sz w:val="24"/>
          <w:lang w:val="en-US" w:eastAsia="zh-CN"/>
        </w:rPr>
        <w:t>、NO</w:t>
      </w:r>
      <w:r>
        <w:rPr>
          <w:rFonts w:hint="eastAsia" w:ascii="宋体" w:hAnsi="宋体" w:eastAsia="宋体" w:cs="宋体"/>
          <w:color w:val="auto"/>
          <w:kern w:val="0"/>
          <w:sz w:val="24"/>
          <w:vertAlign w:val="subscript"/>
          <w:lang w:val="en-US" w:eastAsia="zh-CN"/>
        </w:rPr>
        <w:t>X</w:t>
      </w:r>
      <w:r>
        <w:rPr>
          <w:rFonts w:hint="eastAsia" w:ascii="宋体" w:hAnsi="宋体" w:eastAsia="宋体" w:cs="宋体"/>
          <w:color w:val="auto"/>
          <w:kern w:val="0"/>
          <w:sz w:val="24"/>
          <w:lang w:val="en-US" w:eastAsia="zh-CN"/>
        </w:rPr>
        <w:t>：200mg/m</w:t>
      </w:r>
      <w:r>
        <w:rPr>
          <w:rFonts w:hint="eastAsia" w:ascii="宋体" w:hAnsi="宋体" w:eastAsia="宋体" w:cs="宋体"/>
          <w:color w:val="auto"/>
          <w:kern w:val="0"/>
          <w:sz w:val="24"/>
          <w:vertAlign w:val="superscript"/>
          <w:lang w:val="en-US" w:eastAsia="zh-CN"/>
        </w:rPr>
        <w:t>3</w:t>
      </w:r>
      <w:r>
        <w:rPr>
          <w:rFonts w:hint="eastAsia" w:ascii="宋体" w:hAnsi="宋体" w:eastAsia="宋体" w:cs="宋体"/>
          <w:color w:val="auto"/>
          <w:kern w:val="0"/>
          <w:sz w:val="24"/>
          <w:lang w:val="en-US" w:eastAsia="zh-CN"/>
        </w:rPr>
        <w:t>、烟气黑度≤1）。通过计算可知，本项目供热锅炉烟气治理后可以实现达标排放。采用估算模型，预测对厂界外的环境质量影响满足《空气环境质量标准》（GB 3095—2026）要求。</w:t>
      </w:r>
    </w:p>
    <w:p w14:paraId="03620653">
      <w:pPr>
        <w:ind w:firstLine="480"/>
        <w:rPr>
          <w:rFonts w:hint="default" w:ascii="宋体" w:hAnsi="宋体" w:eastAsia="宋体" w:cs="宋体"/>
          <w:color w:val="auto"/>
          <w:kern w:val="0"/>
          <w:sz w:val="24"/>
          <w:lang w:val="en-US" w:eastAsia="zh-CN"/>
        </w:rPr>
      </w:pPr>
      <w:r>
        <w:rPr>
          <w:rFonts w:hint="eastAsia" w:eastAsia="宋体" w:cs="宋体"/>
          <w:color w:val="000000" w:themeColor="text1"/>
          <w:kern w:val="0"/>
          <w:sz w:val="24"/>
          <w:szCs w:val="24"/>
          <w:lang w:val="en-US" w:eastAsia="zh-CN" w:bidi="ar"/>
          <w14:textFill>
            <w14:solidFill>
              <w14:schemeClr w14:val="tx1"/>
            </w14:solidFill>
          </w14:textFill>
        </w:rPr>
        <w:t>本项目生物质燃料锅炉烟气采用碱式喷淋塔处理烟气，烟气处理产生污泥，根据预测的烟气产生量，预计年产生污泥3t，污泥主要成分为收集的颗粒物、烟气治理产生的硫酸钙、硝酸钙、硫酸钠、硝酸钠、碳酸钙、PH等，自然干化后，判定属于第1类工业固体废物，送63团粪污处理厂生产肥料。</w:t>
      </w:r>
    </w:p>
    <w:p w14:paraId="4BB72768">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饲料混合粉尘</w:t>
      </w:r>
    </w:p>
    <w:p w14:paraId="3AAD85C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本项目所需饲料为外购料，场区内不进行精饲料的加工。</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饲料在饲料装卸、储运和使用过程中会产生少量粉尘，本项目种鸭饲养使用散装食用成品饲料，主要成分为玉米、豆饼及动物蛋白等，饲料为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5mm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粒状形式，含水率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。饲料运至场区后卸载储存在饲料塔内，喂料时使用料塔自动上料，产生的粉尘量很小，类比同类报告，粉尘产生量按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饲料（</w:t>
      </w:r>
      <w:r>
        <w:rPr>
          <w:rFonts w:hint="eastAsia" w:eastAsia="宋体" w:cs="Times New Roman"/>
          <w:color w:val="000000" w:themeColor="text1"/>
          <w:kern w:val="0"/>
          <w:sz w:val="24"/>
          <w:szCs w:val="24"/>
          <w:lang w:val="en-US" w:eastAsia="zh-CN" w:bidi="ar"/>
          <w14:textFill>
            <w14:solidFill>
              <w14:schemeClr w14:val="tx1"/>
            </w14:solidFill>
          </w14:textFill>
        </w:rPr>
        <w:t>9855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）核算，粉尘量约为</w:t>
      </w:r>
      <w:r>
        <w:rPr>
          <w:rFonts w:hint="eastAsia" w:eastAsia="宋体" w:cs="宋体"/>
          <w:color w:val="000000" w:themeColor="text1"/>
          <w:kern w:val="0"/>
          <w:sz w:val="24"/>
          <w:szCs w:val="24"/>
          <w:lang w:val="en-US" w:eastAsia="zh-CN" w:bidi="ar"/>
          <w14:textFill>
            <w14:solidFill>
              <w14:schemeClr w14:val="tx1"/>
            </w14:solidFill>
          </w14:textFill>
        </w:rPr>
        <w:t>0.99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，饲料塔自带除尘器，除尘效率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，经处理后饲料粉尘排放量为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0.01</w:t>
      </w:r>
      <w:r>
        <w:rPr>
          <w:rFonts w:hint="eastAsia" w:eastAsia="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此外，养殖场场区面积大</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经类比同类项目，其厂界浓度＜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，满足《大气污染物综合排放标准》（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GB16297-1996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中的无组织排放监控浓度限值（颗粒物：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14:paraId="6C40CBB8">
      <w:pPr>
        <w:pStyle w:val="61"/>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eastAsia" w:eastAsia="宋体" w:cs="Times New Roman"/>
          <w:b/>
          <w:bCs/>
          <w:color w:val="000000" w:themeColor="text1"/>
          <w:lang w:val="en-US" w:eastAsia="zh-CN"/>
          <w14:textFill>
            <w14:solidFill>
              <w14:schemeClr w14:val="tx1"/>
            </w14:solidFill>
          </w14:textFill>
        </w:rPr>
        <w:t>9</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本项目饲料混合粉尘产生情况一览表</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96"/>
        <w:gridCol w:w="1226"/>
        <w:gridCol w:w="1175"/>
        <w:gridCol w:w="1315"/>
        <w:gridCol w:w="1210"/>
        <w:gridCol w:w="1472"/>
        <w:gridCol w:w="1446"/>
      </w:tblGrid>
      <w:tr w14:paraId="2C3D37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1696C5EE">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污染源</w:t>
            </w:r>
          </w:p>
        </w:tc>
        <w:tc>
          <w:tcPr>
            <w:tcW w:w="693" w:type="pct"/>
            <w:tcBorders>
              <w:tl2br w:val="nil"/>
              <w:tr2bl w:val="nil"/>
            </w:tcBorders>
            <w:vAlign w:val="center"/>
          </w:tcPr>
          <w:p w14:paraId="16B1895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w:t>
            </w:r>
          </w:p>
        </w:tc>
        <w:tc>
          <w:tcPr>
            <w:tcW w:w="664" w:type="pct"/>
            <w:tcBorders>
              <w:tl2br w:val="nil"/>
              <w:tr2bl w:val="nil"/>
            </w:tcBorders>
            <w:vAlign w:val="center"/>
          </w:tcPr>
          <w:p w14:paraId="4D93BCB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产生量（</w:t>
            </w:r>
            <w:r>
              <w:rPr>
                <w:rFonts w:hint="eastAsia" w:ascii="Times New Roman" w:hAnsi="Times New Roman" w:cs="Times New Roman"/>
                <w:color w:val="000000" w:themeColor="text1"/>
                <w:lang w:val="en-US" w:eastAsia="zh-CN"/>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olor w:val="000000" w:themeColor="text1"/>
                <w:szCs w:val="21"/>
                <w:lang w:val="en-US" w:eastAsia="zh-CN"/>
                <w14:textFill>
                  <w14:solidFill>
                    <w14:schemeClr w14:val="tx1"/>
                  </w14:solidFill>
                </w14:textFill>
              </w:rPr>
              <w:t>）</w:t>
            </w:r>
          </w:p>
        </w:tc>
        <w:tc>
          <w:tcPr>
            <w:tcW w:w="743" w:type="pct"/>
            <w:tcBorders>
              <w:tl2br w:val="nil"/>
              <w:tr2bl w:val="nil"/>
            </w:tcBorders>
            <w:vAlign w:val="center"/>
          </w:tcPr>
          <w:p w14:paraId="46A4574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去除效率</w:t>
            </w:r>
          </w:p>
        </w:tc>
        <w:tc>
          <w:tcPr>
            <w:tcW w:w="684" w:type="pct"/>
            <w:tcBorders>
              <w:tl2br w:val="nil"/>
              <w:tr2bl w:val="nil"/>
            </w:tcBorders>
            <w:vAlign w:val="center"/>
          </w:tcPr>
          <w:p w14:paraId="0241B74A">
            <w:pPr>
              <w:pStyle w:val="56"/>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排放量</w:t>
            </w:r>
            <w:r>
              <w:rPr>
                <w:rFonts w:hint="eastAsia" w:ascii="Times New Roman" w:hAnsi="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olor w:val="000000" w:themeColor="text1"/>
                <w:szCs w:val="21"/>
                <w:lang w:val="en-US" w:eastAsia="zh-CN"/>
                <w14:textFill>
                  <w14:solidFill>
                    <w14:schemeClr w14:val="tx1"/>
                  </w14:solidFill>
                </w14:textFill>
              </w:rPr>
              <w:t>）</w:t>
            </w:r>
          </w:p>
        </w:tc>
        <w:tc>
          <w:tcPr>
            <w:tcW w:w="832" w:type="pct"/>
            <w:tcBorders>
              <w:tl2br w:val="nil"/>
              <w:tr2bl w:val="nil"/>
            </w:tcBorders>
            <w:vAlign w:val="center"/>
          </w:tcPr>
          <w:p w14:paraId="2ABD8FF4">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排放浓度</w:t>
            </w:r>
            <w:r>
              <w:rPr>
                <w:rFonts w:hint="eastAsia" w:ascii="Times New Roman" w:hAnsi="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color w:val="000000" w:themeColor="text1"/>
                <w:szCs w:val="21"/>
                <w:lang w:val="en-US" w:eastAsia="zh-CN"/>
                <w14:textFill>
                  <w14:solidFill>
                    <w14:schemeClr w14:val="tx1"/>
                  </w14:solidFill>
                </w14:textFill>
              </w:rPr>
              <w:t>）</w:t>
            </w:r>
          </w:p>
        </w:tc>
        <w:tc>
          <w:tcPr>
            <w:tcW w:w="817" w:type="pct"/>
            <w:tcBorders>
              <w:tl2br w:val="nil"/>
              <w:tr2bl w:val="nil"/>
            </w:tcBorders>
            <w:vAlign w:val="center"/>
          </w:tcPr>
          <w:p w14:paraId="0EA5DE5A">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排放形式</w:t>
            </w:r>
          </w:p>
        </w:tc>
      </w:tr>
      <w:tr w14:paraId="11E62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63" w:type="pct"/>
            <w:tcBorders>
              <w:tl2br w:val="nil"/>
              <w:tr2bl w:val="nil"/>
            </w:tcBorders>
            <w:vAlign w:val="center"/>
          </w:tcPr>
          <w:p w14:paraId="279BCF0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饲料混合</w:t>
            </w:r>
          </w:p>
        </w:tc>
        <w:tc>
          <w:tcPr>
            <w:tcW w:w="693" w:type="pct"/>
            <w:tcBorders>
              <w:tl2br w:val="nil"/>
              <w:tr2bl w:val="nil"/>
            </w:tcBorders>
            <w:vAlign w:val="center"/>
          </w:tcPr>
          <w:p w14:paraId="37E6637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TSP</w:t>
            </w:r>
          </w:p>
        </w:tc>
        <w:tc>
          <w:tcPr>
            <w:tcW w:w="664" w:type="pct"/>
            <w:tcBorders>
              <w:tl2br w:val="nil"/>
              <w:tr2bl w:val="nil"/>
            </w:tcBorders>
            <w:vAlign w:val="center"/>
          </w:tcPr>
          <w:p w14:paraId="05D017E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0.99</w:t>
            </w:r>
          </w:p>
        </w:tc>
        <w:tc>
          <w:tcPr>
            <w:tcW w:w="743" w:type="pct"/>
            <w:tcBorders>
              <w:tl2br w:val="nil"/>
              <w:tr2bl w:val="nil"/>
            </w:tcBorders>
            <w:vAlign w:val="center"/>
          </w:tcPr>
          <w:p w14:paraId="7B41D71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99%</w:t>
            </w:r>
          </w:p>
        </w:tc>
        <w:tc>
          <w:tcPr>
            <w:tcW w:w="684" w:type="pct"/>
            <w:tcBorders>
              <w:tl2br w:val="nil"/>
              <w:tr2bl w:val="nil"/>
            </w:tcBorders>
            <w:vAlign w:val="center"/>
          </w:tcPr>
          <w:p w14:paraId="2E50C76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w:t>
            </w:r>
          </w:p>
        </w:tc>
        <w:tc>
          <w:tcPr>
            <w:tcW w:w="832" w:type="pct"/>
            <w:tcBorders>
              <w:tl2br w:val="nil"/>
              <w:tr2bl w:val="nil"/>
            </w:tcBorders>
            <w:vAlign w:val="center"/>
          </w:tcPr>
          <w:p w14:paraId="080966C5">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cs="宋体"/>
                <w:color w:val="000000" w:themeColor="text1"/>
                <w:kern w:val="0"/>
                <w:sz w:val="24"/>
                <w:szCs w:val="24"/>
                <w:lang w:val="en-US" w:eastAsia="zh-CN" w:bidi="ar"/>
                <w14:textFill>
                  <w14:solidFill>
                    <w14:schemeClr w14:val="tx1"/>
                  </w14:solidFill>
                </w14:textFill>
              </w:rPr>
              <w:t>&lt;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p>
        </w:tc>
        <w:tc>
          <w:tcPr>
            <w:tcW w:w="817" w:type="pct"/>
            <w:tcBorders>
              <w:tl2br w:val="nil"/>
              <w:tr2bl w:val="nil"/>
            </w:tcBorders>
            <w:vAlign w:val="center"/>
          </w:tcPr>
          <w:p w14:paraId="56EF6F17">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无组织排放</w:t>
            </w:r>
          </w:p>
        </w:tc>
      </w:tr>
    </w:tbl>
    <w:p w14:paraId="199BECD5">
      <w:pPr>
        <w:pStyle w:val="6"/>
        <w:ind w:left="24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.3.4.2运营期废水污染源</w:t>
      </w:r>
    </w:p>
    <w:p w14:paraId="414AD5FE">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养殖废水</w:t>
      </w:r>
    </w:p>
    <w:p w14:paraId="7251C734">
      <w:pPr>
        <w:ind w:firstLine="480"/>
        <w:rPr>
          <w:rFonts w:ascii="Times New Roman" w:hAnsi="Times New Roman" w:cs="Times New Roman"/>
          <w:color w:val="FF0000"/>
          <w:lang w:val="zh-CN"/>
        </w:rPr>
      </w:pPr>
      <w:r>
        <w:rPr>
          <w:rFonts w:ascii="Times New Roman" w:hAnsi="Times New Roman" w:cs="Times New Roman"/>
          <w:color w:val="FF0000"/>
        </w:rPr>
        <w:t>根据水平衡分析可知，</w:t>
      </w:r>
      <w:r>
        <w:rPr>
          <w:rFonts w:hint="eastAsia" w:ascii="Times New Roman" w:hAnsi="Times New Roman" w:cs="Times New Roman"/>
          <w:color w:val="FF0000"/>
          <w:lang w:val="en-US" w:eastAsia="zh-CN"/>
        </w:rPr>
        <w:t>本</w:t>
      </w:r>
      <w:r>
        <w:rPr>
          <w:rFonts w:ascii="Times New Roman" w:hAnsi="Times New Roman" w:cs="Times New Roman"/>
          <w:color w:val="FF0000"/>
        </w:rPr>
        <w:t>项目养殖废水包括</w:t>
      </w:r>
      <w:r>
        <w:rPr>
          <w:rFonts w:hint="eastAsia" w:ascii="Times New Roman" w:hAnsi="Times New Roman" w:cs="Times New Roman"/>
          <w:color w:val="FF0000"/>
          <w:lang w:val="en-US" w:eastAsia="zh-CN"/>
        </w:rPr>
        <w:t>种鸭饮用水泄漏</w:t>
      </w:r>
      <w:r>
        <w:rPr>
          <w:rFonts w:hint="eastAsia" w:cs="Times New Roman"/>
          <w:color w:val="FF0000"/>
          <w:lang w:val="en-US" w:eastAsia="zh-CN"/>
        </w:rPr>
        <w:t>、粪便水、设施冲洗水、药剂水、消毒水等</w:t>
      </w:r>
      <w:r>
        <w:rPr>
          <w:rFonts w:hint="eastAsia" w:ascii="Times New Roman" w:hAnsi="Times New Roman" w:cs="Times New Roman"/>
          <w:color w:val="FF0000"/>
          <w:lang w:eastAsia="zh-CN"/>
        </w:rPr>
        <w:t>，</w:t>
      </w:r>
      <w:r>
        <w:rPr>
          <w:rFonts w:hint="eastAsia" w:cs="Times New Roman"/>
          <w:color w:val="FF0000"/>
          <w:lang w:val="en-US" w:eastAsia="zh-CN"/>
        </w:rPr>
        <w:t>养殖废水通过铺垫层和</w:t>
      </w:r>
      <w:r>
        <w:rPr>
          <w:rFonts w:hint="eastAsia" w:ascii="Times New Roman" w:hAnsi="Times New Roman" w:eastAsia="宋体" w:cs="宋体"/>
          <w:color w:val="FF0000"/>
          <w:kern w:val="0"/>
          <w:sz w:val="24"/>
          <w:szCs w:val="24"/>
          <w:lang w:val="en-US" w:eastAsia="zh-CN" w:bidi="ar"/>
        </w:rPr>
        <w:t>粪便</w:t>
      </w:r>
      <w:r>
        <w:rPr>
          <w:rFonts w:hint="eastAsia" w:eastAsia="宋体" w:cs="宋体"/>
          <w:color w:val="FF0000"/>
          <w:kern w:val="0"/>
          <w:sz w:val="24"/>
          <w:szCs w:val="24"/>
          <w:lang w:val="en-US" w:eastAsia="zh-CN" w:bidi="ar"/>
        </w:rPr>
        <w:t>渗流到鸭舍污水收集池</w:t>
      </w:r>
      <w:r>
        <w:rPr>
          <w:rFonts w:hint="eastAsia" w:ascii="Times New Roman" w:hAnsi="Times New Roman" w:eastAsia="宋体" w:cs="宋体"/>
          <w:color w:val="FF0000"/>
          <w:kern w:val="0"/>
          <w:sz w:val="24"/>
          <w:szCs w:val="24"/>
          <w:lang w:val="en-US" w:eastAsia="zh-CN" w:bidi="ar"/>
        </w:rPr>
        <w:t>，</w:t>
      </w:r>
      <w:r>
        <w:rPr>
          <w:rFonts w:hint="eastAsia" w:eastAsia="宋体" w:cs="宋体"/>
          <w:color w:val="FF0000"/>
          <w:kern w:val="0"/>
          <w:sz w:val="24"/>
          <w:szCs w:val="24"/>
          <w:lang w:val="en-US" w:eastAsia="zh-CN" w:bidi="ar"/>
        </w:rPr>
        <w:t>经管道排送到养殖场污水处理设施，处理后用于场区绿化浇灌</w:t>
      </w:r>
      <w:r>
        <w:rPr>
          <w:rFonts w:hint="eastAsia" w:ascii="Times New Roman" w:hAnsi="Times New Roman" w:eastAsia="宋体" w:cs="宋体"/>
          <w:color w:val="FF0000"/>
          <w:kern w:val="0"/>
          <w:sz w:val="24"/>
          <w:szCs w:val="24"/>
          <w:lang w:val="en-US" w:eastAsia="zh-CN" w:bidi="ar"/>
        </w:rPr>
        <w:t>。</w:t>
      </w:r>
      <w:r>
        <w:rPr>
          <w:rFonts w:hint="eastAsia" w:eastAsia="宋体" w:cs="宋体"/>
          <w:color w:val="FF0000"/>
          <w:kern w:val="0"/>
          <w:sz w:val="24"/>
          <w:szCs w:val="24"/>
          <w:lang w:val="en-US" w:eastAsia="zh-CN" w:bidi="ar"/>
        </w:rPr>
        <w:t>预计年产生养殖废水1762.5t，用于厂区绿化浇灌，处理后废水执行《畜禽养殖业污染物排放标准》（GB18596-2001）</w:t>
      </w:r>
      <w:r>
        <w:rPr>
          <w:rFonts w:ascii="Times New Roman" w:hAnsi="Times New Roman" w:cs="Times New Roman"/>
          <w:color w:val="FF0000"/>
          <w:lang w:val="zh-CN"/>
        </w:rPr>
        <w:t>。</w:t>
      </w:r>
    </w:p>
    <w:p w14:paraId="3153FABF">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生活污水</w:t>
      </w:r>
    </w:p>
    <w:p w14:paraId="0AD9AD2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根据水平衡分析可知</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w:t>
      </w:r>
      <w:r>
        <w:rPr>
          <w:rFonts w:ascii="Times New Roman" w:hAnsi="Times New Roman" w:cs="Times New Roman"/>
          <w:color w:val="000000" w:themeColor="text1"/>
          <w:lang w:val="zh-CN"/>
          <w14:textFill>
            <w14:solidFill>
              <w14:schemeClr w14:val="tx1"/>
            </w14:solidFill>
          </w14:textFill>
        </w:rPr>
        <w:t>工作人员</w:t>
      </w:r>
      <w:r>
        <w:rPr>
          <w:rFonts w:hint="eastAsia" w:cs="Times New Roman"/>
          <w:color w:val="000000" w:themeColor="text1"/>
          <w:lang w:val="en-US" w:eastAsia="zh-CN"/>
          <w14:textFill>
            <w14:solidFill>
              <w14:schemeClr w14:val="tx1"/>
            </w14:solidFill>
          </w14:textFill>
        </w:rPr>
        <w:t>25</w:t>
      </w:r>
      <w:r>
        <w:rPr>
          <w:rFonts w:hint="eastAsia" w:ascii="Times New Roman" w:hAnsi="Times New Roman" w:cs="Times New Roman"/>
          <w:color w:val="000000" w:themeColor="text1"/>
          <w:lang w:val="en-US" w:eastAsia="zh-CN"/>
          <w14:textFill>
            <w14:solidFill>
              <w14:schemeClr w14:val="tx1"/>
            </w14:solidFill>
          </w14:textFill>
        </w:rPr>
        <w:t>人，</w:t>
      </w:r>
      <w:r>
        <w:rPr>
          <w:rFonts w:hint="eastAsia" w:cs="Times New Roman"/>
          <w:color w:val="000000" w:themeColor="text1"/>
          <w:lang w:val="en-US" w:eastAsia="zh-CN"/>
          <w14:textFill>
            <w14:solidFill>
              <w14:schemeClr w14:val="tx1"/>
            </w14:solidFill>
          </w14:textFill>
        </w:rPr>
        <w:t>生活废水经化粪池处理后，剩余物定期抽排到城镇生活污水处理厂，预计年抽排</w:t>
      </w:r>
      <w:r>
        <w:rPr>
          <w:rFonts w:hint="eastAsia" w:ascii="Times New Roman" w:hAnsi="Times New Roman" w:cs="Times New Roman"/>
          <w:color w:val="000000" w:themeColor="text1"/>
          <w:lang w:val="en-US" w:eastAsia="zh-CN"/>
          <w14:textFill>
            <w14:solidFill>
              <w14:schemeClr w14:val="tx1"/>
            </w14:solidFill>
          </w14:textFill>
        </w:rPr>
        <w:t>生活污水</w:t>
      </w:r>
      <w:r>
        <w:rPr>
          <w:rFonts w:hint="eastAsia" w:cs="Times New Roman"/>
          <w:color w:val="000000" w:themeColor="text1"/>
          <w:lang w:val="en-US" w:eastAsia="zh-CN"/>
          <w14:textFill>
            <w14:solidFill>
              <w14:schemeClr w14:val="tx1"/>
            </w14:solidFill>
          </w14:textFill>
        </w:rPr>
        <w:t>33.6</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污水</w:t>
      </w:r>
      <w:r>
        <w:rPr>
          <w:rFonts w:hint="eastAsia" w:eastAsia="宋体" w:cs="宋体"/>
          <w:color w:val="000000" w:themeColor="text1"/>
          <w:kern w:val="0"/>
          <w:sz w:val="24"/>
          <w:szCs w:val="24"/>
          <w:lang w:val="en-US" w:eastAsia="zh-CN" w:bidi="ar"/>
          <w14:textFill>
            <w14:solidFill>
              <w14:schemeClr w14:val="tx1"/>
            </w14:solidFill>
          </w14:textFill>
        </w:rPr>
        <w:t>执行</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《污水综合排放标准》（</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GB8978-1996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）表</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三级标准限值</w:t>
      </w:r>
      <w:r>
        <w:rPr>
          <w:rFonts w:ascii="Times New Roman" w:hAnsi="Times New Roman" w:cs="Times New Roman"/>
          <w:color w:val="000000" w:themeColor="text1"/>
          <w14:textFill>
            <w14:solidFill>
              <w14:schemeClr w14:val="tx1"/>
            </w14:solidFill>
          </w14:textFill>
        </w:rPr>
        <w:t>。</w:t>
      </w:r>
    </w:p>
    <w:p w14:paraId="62CA6EA5">
      <w:pPr>
        <w:keepNext w:val="0"/>
        <w:keepLines w:val="0"/>
        <w:widowControl/>
        <w:suppressLineNumbers w:val="0"/>
        <w:jc w:val="left"/>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项目污水污染物产排情况见下表。</w:t>
      </w:r>
    </w:p>
    <w:p w14:paraId="3E08097C">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eastAsia" w:eastAsia="宋体" w:cs="Times New Roman"/>
          <w:b/>
          <w:bCs/>
          <w:color w:val="000000" w:themeColor="text1"/>
          <w:lang w:val="en-US" w:eastAsia="zh-CN"/>
          <w14:textFill>
            <w14:solidFill>
              <w14:schemeClr w14:val="tx1"/>
            </w14:solidFill>
          </w14:textFill>
        </w:rPr>
        <w:t>10</w:t>
      </w:r>
      <w:r>
        <w:rPr>
          <w:rFonts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 xml:space="preserve">  项目</w:t>
      </w:r>
      <w:r>
        <w:rPr>
          <w:rFonts w:hint="eastAsia" w:ascii="Times New Roman" w:hAnsi="Times New Roman" w:eastAsia="宋体" w:cs="Times New Roman"/>
          <w:b/>
          <w:bCs/>
          <w:color w:val="000000" w:themeColor="text1"/>
          <w:lang w:val="en-US" w:eastAsia="zh-CN"/>
          <w14:textFill>
            <w14:solidFill>
              <w14:schemeClr w14:val="tx1"/>
            </w14:solidFill>
          </w14:textFill>
        </w:rPr>
        <w:t>污水污染物产排情况</w:t>
      </w:r>
      <w:r>
        <w:rPr>
          <w:rFonts w:ascii="Times New Roman" w:hAnsi="Times New Roman" w:eastAsia="宋体" w:cs="Times New Roman"/>
          <w:b/>
          <w:bCs/>
          <w:color w:val="000000" w:themeColor="text1"/>
          <w14:textFill>
            <w14:solidFill>
              <w14:schemeClr w14:val="tx1"/>
            </w14:solidFill>
          </w14:textFill>
        </w:rPr>
        <w:t>一览表</w:t>
      </w:r>
    </w:p>
    <w:tbl>
      <w:tblPr>
        <w:tblStyle w:val="35"/>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19"/>
        <w:gridCol w:w="1970"/>
        <w:gridCol w:w="969"/>
        <w:gridCol w:w="952"/>
        <w:gridCol w:w="916"/>
        <w:gridCol w:w="948"/>
        <w:gridCol w:w="856"/>
        <w:gridCol w:w="948"/>
        <w:gridCol w:w="659"/>
      </w:tblGrid>
      <w:tr w14:paraId="3E5E24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restart"/>
            <w:tcBorders>
              <w:tl2br w:val="nil"/>
              <w:tr2bl w:val="nil"/>
            </w:tcBorders>
            <w:vAlign w:val="center"/>
          </w:tcPr>
          <w:p w14:paraId="3F204EA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污染类型</w:t>
            </w:r>
          </w:p>
        </w:tc>
        <w:tc>
          <w:tcPr>
            <w:tcW w:w="1114" w:type="pct"/>
            <w:vMerge w:val="restart"/>
            <w:tcBorders>
              <w:tl2br w:val="nil"/>
              <w:tr2bl w:val="nil"/>
            </w:tcBorders>
            <w:vAlign w:val="center"/>
          </w:tcPr>
          <w:p w14:paraId="5333506C">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污染物名称</w:t>
            </w:r>
          </w:p>
        </w:tc>
        <w:tc>
          <w:tcPr>
            <w:tcW w:w="1086" w:type="pct"/>
            <w:gridSpan w:val="2"/>
            <w:tcBorders>
              <w:tl2br w:val="nil"/>
              <w:tr2bl w:val="nil"/>
            </w:tcBorders>
            <w:vAlign w:val="center"/>
          </w:tcPr>
          <w:p w14:paraId="380C6676">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污染物产生情况</w:t>
            </w:r>
          </w:p>
        </w:tc>
        <w:tc>
          <w:tcPr>
            <w:tcW w:w="518" w:type="pct"/>
            <w:vMerge w:val="restart"/>
            <w:tcBorders>
              <w:tl2br w:val="nil"/>
              <w:tr2bl w:val="nil"/>
            </w:tcBorders>
            <w:vAlign w:val="center"/>
          </w:tcPr>
          <w:p w14:paraId="238D444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处理效率（%）</w:t>
            </w:r>
          </w:p>
        </w:tc>
        <w:tc>
          <w:tcPr>
            <w:tcW w:w="1020" w:type="pct"/>
            <w:gridSpan w:val="2"/>
            <w:tcBorders>
              <w:tl2br w:val="nil"/>
              <w:tr2bl w:val="nil"/>
            </w:tcBorders>
            <w:vAlign w:val="center"/>
          </w:tcPr>
          <w:p w14:paraId="41E9816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污染物排放情况</w:t>
            </w:r>
          </w:p>
        </w:tc>
        <w:tc>
          <w:tcPr>
            <w:tcW w:w="536" w:type="pct"/>
            <w:vMerge w:val="restart"/>
            <w:tcBorders>
              <w:tl2br w:val="nil"/>
              <w:tr2bl w:val="nil"/>
            </w:tcBorders>
            <w:vAlign w:val="center"/>
          </w:tcPr>
          <w:p w14:paraId="27887F0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排放标准（mg/L）</w:t>
            </w:r>
          </w:p>
        </w:tc>
        <w:tc>
          <w:tcPr>
            <w:tcW w:w="372" w:type="pct"/>
            <w:vMerge w:val="restart"/>
            <w:tcBorders>
              <w:tl2br w:val="nil"/>
              <w:tr2bl w:val="nil"/>
            </w:tcBorders>
            <w:vAlign w:val="center"/>
          </w:tcPr>
          <w:p w14:paraId="1FCCDB49">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去向</w:t>
            </w:r>
          </w:p>
        </w:tc>
      </w:tr>
      <w:tr w14:paraId="31FE48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continue"/>
            <w:tcBorders>
              <w:tl2br w:val="nil"/>
              <w:tr2bl w:val="nil"/>
            </w:tcBorders>
            <w:vAlign w:val="center"/>
          </w:tcPr>
          <w:p w14:paraId="2D46957D">
            <w:pPr>
              <w:pStyle w:val="56"/>
              <w:rPr>
                <w:rFonts w:ascii="Times New Roman" w:hAnsi="Times New Roman"/>
                <w:color w:val="000000" w:themeColor="text1"/>
                <w:szCs w:val="21"/>
                <w14:textFill>
                  <w14:solidFill>
                    <w14:schemeClr w14:val="tx1"/>
                  </w14:solidFill>
                </w14:textFill>
              </w:rPr>
            </w:pPr>
          </w:p>
        </w:tc>
        <w:tc>
          <w:tcPr>
            <w:tcW w:w="1114" w:type="pct"/>
            <w:vMerge w:val="continue"/>
            <w:tcBorders>
              <w:tl2br w:val="nil"/>
              <w:tr2bl w:val="nil"/>
            </w:tcBorders>
            <w:vAlign w:val="center"/>
          </w:tcPr>
          <w:p w14:paraId="05538974">
            <w:pPr>
              <w:pStyle w:val="56"/>
              <w:rPr>
                <w:rFonts w:hint="eastAsia" w:ascii="Times New Roman" w:hAnsi="Times New Roman"/>
                <w:color w:val="000000" w:themeColor="text1"/>
                <w:szCs w:val="21"/>
                <w:lang w:val="en-US" w:eastAsia="zh-CN"/>
                <w14:textFill>
                  <w14:solidFill>
                    <w14:schemeClr w14:val="tx1"/>
                  </w14:solidFill>
                </w14:textFill>
              </w:rPr>
            </w:pPr>
          </w:p>
        </w:tc>
        <w:tc>
          <w:tcPr>
            <w:tcW w:w="548" w:type="pct"/>
            <w:tcBorders>
              <w:tl2br w:val="nil"/>
              <w:tr2bl w:val="nil"/>
            </w:tcBorders>
            <w:vAlign w:val="center"/>
          </w:tcPr>
          <w:p w14:paraId="08484BF6">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浓度（mg/L）</w:t>
            </w:r>
          </w:p>
        </w:tc>
        <w:tc>
          <w:tcPr>
            <w:tcW w:w="538" w:type="pct"/>
            <w:tcBorders>
              <w:tl2br w:val="nil"/>
              <w:tr2bl w:val="nil"/>
            </w:tcBorders>
            <w:vAlign w:val="center"/>
          </w:tcPr>
          <w:p w14:paraId="0B5816A0">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产生量（t/a）</w:t>
            </w:r>
          </w:p>
        </w:tc>
        <w:tc>
          <w:tcPr>
            <w:tcW w:w="518" w:type="pct"/>
            <w:vMerge w:val="continue"/>
            <w:tcBorders>
              <w:tl2br w:val="nil"/>
              <w:tr2bl w:val="nil"/>
            </w:tcBorders>
            <w:vAlign w:val="center"/>
          </w:tcPr>
          <w:p w14:paraId="2BF35406">
            <w:pPr>
              <w:pStyle w:val="56"/>
              <w:rPr>
                <w:rFonts w:ascii="Times New Roman" w:hAnsi="Times New Roman"/>
                <w:color w:val="000000" w:themeColor="text1"/>
                <w:szCs w:val="21"/>
                <w14:textFill>
                  <w14:solidFill>
                    <w14:schemeClr w14:val="tx1"/>
                  </w14:solidFill>
                </w14:textFill>
              </w:rPr>
            </w:pPr>
          </w:p>
        </w:tc>
        <w:tc>
          <w:tcPr>
            <w:tcW w:w="536" w:type="pct"/>
            <w:tcBorders>
              <w:tl2br w:val="nil"/>
              <w:tr2bl w:val="nil"/>
            </w:tcBorders>
            <w:vAlign w:val="center"/>
          </w:tcPr>
          <w:p w14:paraId="7D81F594">
            <w:pPr>
              <w:pStyle w:val="56"/>
              <w:ind w:firstLine="0" w:firstLineChars="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浓度（mg/L）</w:t>
            </w:r>
          </w:p>
        </w:tc>
        <w:tc>
          <w:tcPr>
            <w:tcW w:w="484" w:type="pct"/>
            <w:tcBorders>
              <w:tl2br w:val="nil"/>
              <w:tr2bl w:val="nil"/>
            </w:tcBorders>
            <w:vAlign w:val="center"/>
          </w:tcPr>
          <w:p w14:paraId="76463638">
            <w:pPr>
              <w:pStyle w:val="56"/>
              <w:ind w:firstLine="0" w:firstLineChars="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排放量（t/a）</w:t>
            </w:r>
          </w:p>
        </w:tc>
        <w:tc>
          <w:tcPr>
            <w:tcW w:w="536" w:type="pct"/>
            <w:vMerge w:val="continue"/>
            <w:tcBorders>
              <w:tl2br w:val="nil"/>
              <w:tr2bl w:val="nil"/>
            </w:tcBorders>
            <w:vAlign w:val="center"/>
          </w:tcPr>
          <w:p w14:paraId="16057787">
            <w:pPr>
              <w:pStyle w:val="56"/>
              <w:rPr>
                <w:rFonts w:ascii="Times New Roman" w:hAnsi="Times New Roman"/>
                <w:color w:val="000000" w:themeColor="text1"/>
                <w:szCs w:val="21"/>
                <w14:textFill>
                  <w14:solidFill>
                    <w14:schemeClr w14:val="tx1"/>
                  </w14:solidFill>
                </w14:textFill>
              </w:rPr>
            </w:pPr>
          </w:p>
        </w:tc>
        <w:tc>
          <w:tcPr>
            <w:tcW w:w="372" w:type="pct"/>
            <w:vMerge w:val="continue"/>
            <w:tcBorders>
              <w:tl2br w:val="nil"/>
              <w:tr2bl w:val="nil"/>
            </w:tcBorders>
            <w:vAlign w:val="center"/>
          </w:tcPr>
          <w:p w14:paraId="07299B06">
            <w:pPr>
              <w:pStyle w:val="56"/>
              <w:rPr>
                <w:rFonts w:ascii="Times New Roman" w:hAnsi="Times New Roman"/>
                <w:color w:val="000000" w:themeColor="text1"/>
                <w:szCs w:val="21"/>
                <w14:textFill>
                  <w14:solidFill>
                    <w14:schemeClr w14:val="tx1"/>
                  </w14:solidFill>
                </w14:textFill>
              </w:rPr>
            </w:pPr>
          </w:p>
        </w:tc>
      </w:tr>
      <w:tr w14:paraId="7E8139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restart"/>
            <w:tcBorders>
              <w:tl2br w:val="nil"/>
              <w:tr2bl w:val="nil"/>
            </w:tcBorders>
            <w:vAlign w:val="center"/>
          </w:tcPr>
          <w:p w14:paraId="09AA728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生活污水</w:t>
            </w:r>
          </w:p>
        </w:tc>
        <w:tc>
          <w:tcPr>
            <w:tcW w:w="1114" w:type="pct"/>
            <w:tcBorders>
              <w:tl2br w:val="nil"/>
              <w:tr2bl w:val="nil"/>
            </w:tcBorders>
            <w:vAlign w:val="center"/>
          </w:tcPr>
          <w:p w14:paraId="7CD7842F">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COD</w:t>
            </w:r>
          </w:p>
        </w:tc>
        <w:tc>
          <w:tcPr>
            <w:tcW w:w="548" w:type="pct"/>
            <w:tcBorders>
              <w:tl2br w:val="nil"/>
              <w:tr2bl w:val="nil"/>
            </w:tcBorders>
            <w:vAlign w:val="center"/>
          </w:tcPr>
          <w:p w14:paraId="3785FC8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400</w:t>
            </w:r>
          </w:p>
        </w:tc>
        <w:tc>
          <w:tcPr>
            <w:tcW w:w="538" w:type="pct"/>
            <w:vMerge w:val="restart"/>
            <w:tcBorders>
              <w:tl2br w:val="nil"/>
              <w:tr2bl w:val="nil"/>
            </w:tcBorders>
            <w:vAlign w:val="center"/>
          </w:tcPr>
          <w:p w14:paraId="554F307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33.6</w:t>
            </w:r>
          </w:p>
        </w:tc>
        <w:tc>
          <w:tcPr>
            <w:tcW w:w="518" w:type="pct"/>
            <w:tcBorders>
              <w:tl2br w:val="nil"/>
              <w:tr2bl w:val="nil"/>
            </w:tcBorders>
            <w:vAlign w:val="center"/>
          </w:tcPr>
          <w:p w14:paraId="75DCFB56">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w:t>
            </w:r>
          </w:p>
        </w:tc>
        <w:tc>
          <w:tcPr>
            <w:tcW w:w="536" w:type="pct"/>
            <w:tcBorders>
              <w:tl2br w:val="nil"/>
              <w:tr2bl w:val="nil"/>
            </w:tcBorders>
            <w:vAlign w:val="center"/>
          </w:tcPr>
          <w:p w14:paraId="45F645EA">
            <w:pPr>
              <w:pStyle w:val="56"/>
              <w:rPr>
                <w:rFonts w:hint="eastAsia"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340</w:t>
            </w:r>
          </w:p>
        </w:tc>
        <w:tc>
          <w:tcPr>
            <w:tcW w:w="484" w:type="pct"/>
            <w:vMerge w:val="restart"/>
            <w:tcBorders>
              <w:tl2br w:val="nil"/>
              <w:tr2bl w:val="nil"/>
            </w:tcBorders>
            <w:vAlign w:val="center"/>
          </w:tcPr>
          <w:p w14:paraId="7820BC91">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33.6</w:t>
            </w:r>
          </w:p>
        </w:tc>
        <w:tc>
          <w:tcPr>
            <w:tcW w:w="536" w:type="pct"/>
            <w:tcBorders>
              <w:tl2br w:val="nil"/>
              <w:tr2bl w:val="nil"/>
            </w:tcBorders>
            <w:vAlign w:val="center"/>
          </w:tcPr>
          <w:p w14:paraId="3137F1E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500</w:t>
            </w:r>
          </w:p>
        </w:tc>
        <w:tc>
          <w:tcPr>
            <w:tcW w:w="372" w:type="pct"/>
            <w:vMerge w:val="restart"/>
            <w:tcBorders>
              <w:tl2br w:val="nil"/>
              <w:tr2bl w:val="nil"/>
            </w:tcBorders>
            <w:vAlign w:val="center"/>
          </w:tcPr>
          <w:p w14:paraId="19E1A45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城镇污水处理厂</w:t>
            </w:r>
          </w:p>
        </w:tc>
      </w:tr>
      <w:tr w14:paraId="778924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continue"/>
            <w:tcBorders>
              <w:tl2br w:val="nil"/>
              <w:tr2bl w:val="nil"/>
            </w:tcBorders>
            <w:vAlign w:val="center"/>
          </w:tcPr>
          <w:p w14:paraId="36136D5E">
            <w:pPr>
              <w:pStyle w:val="56"/>
              <w:rPr>
                <w:rFonts w:hint="default" w:ascii="Times New Roman" w:hAnsi="Times New Roman" w:eastAsia="宋体"/>
                <w:color w:val="000000" w:themeColor="text1"/>
                <w:szCs w:val="21"/>
                <w:lang w:val="en-US" w:eastAsia="zh-CN"/>
                <w14:textFill>
                  <w14:solidFill>
                    <w14:schemeClr w14:val="tx1"/>
                  </w14:solidFill>
                </w14:textFill>
              </w:rPr>
            </w:pPr>
          </w:p>
        </w:tc>
        <w:tc>
          <w:tcPr>
            <w:tcW w:w="1114" w:type="pct"/>
            <w:tcBorders>
              <w:tl2br w:val="nil"/>
              <w:tr2bl w:val="nil"/>
            </w:tcBorders>
            <w:vAlign w:val="center"/>
          </w:tcPr>
          <w:p w14:paraId="6B60EE82">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B</w:t>
            </w:r>
            <w:r>
              <w:rPr>
                <w:rFonts w:hint="eastAsia" w:ascii="Times New Roman" w:hAnsi="Times New Roman"/>
                <w:color w:val="000000" w:themeColor="text1"/>
                <w:szCs w:val="21"/>
                <w:lang w:val="en-US" w:eastAsia="zh-CN"/>
                <w14:textFill>
                  <w14:solidFill>
                    <w14:schemeClr w14:val="tx1"/>
                  </w14:solidFill>
                </w14:textFill>
              </w:rPr>
              <w:t>OD</w:t>
            </w:r>
            <w:r>
              <w:rPr>
                <w:rFonts w:hint="eastAsia" w:ascii="Times New Roman" w:hAnsi="Times New Roman"/>
                <w:color w:val="000000" w:themeColor="text1"/>
                <w:szCs w:val="21"/>
                <w:vertAlign w:val="subscript"/>
                <w:lang w:val="en-US" w:eastAsia="zh-CN"/>
                <w14:textFill>
                  <w14:solidFill>
                    <w14:schemeClr w14:val="tx1"/>
                  </w14:solidFill>
                </w14:textFill>
              </w:rPr>
              <w:t>5</w:t>
            </w:r>
          </w:p>
        </w:tc>
        <w:tc>
          <w:tcPr>
            <w:tcW w:w="548" w:type="pct"/>
            <w:tcBorders>
              <w:tl2br w:val="nil"/>
              <w:tr2bl w:val="nil"/>
            </w:tcBorders>
            <w:vAlign w:val="center"/>
          </w:tcPr>
          <w:p w14:paraId="5FCC21C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300</w:t>
            </w:r>
          </w:p>
        </w:tc>
        <w:tc>
          <w:tcPr>
            <w:tcW w:w="538" w:type="pct"/>
            <w:vMerge w:val="continue"/>
            <w:tcBorders>
              <w:tl2br w:val="nil"/>
              <w:tr2bl w:val="nil"/>
            </w:tcBorders>
            <w:vAlign w:val="center"/>
          </w:tcPr>
          <w:p w14:paraId="5A093C7A">
            <w:pPr>
              <w:pStyle w:val="56"/>
              <w:rPr>
                <w:rFonts w:hint="eastAsia" w:ascii="Times New Roman" w:hAnsi="Times New Roman"/>
                <w:color w:val="000000" w:themeColor="text1"/>
                <w:szCs w:val="21"/>
                <w:lang w:val="en-US" w:eastAsia="zh-CN"/>
                <w14:textFill>
                  <w14:solidFill>
                    <w14:schemeClr w14:val="tx1"/>
                  </w14:solidFill>
                </w14:textFill>
              </w:rPr>
            </w:pPr>
          </w:p>
        </w:tc>
        <w:tc>
          <w:tcPr>
            <w:tcW w:w="518" w:type="pct"/>
            <w:tcBorders>
              <w:tl2br w:val="nil"/>
              <w:tr2bl w:val="nil"/>
            </w:tcBorders>
            <w:vAlign w:val="center"/>
          </w:tcPr>
          <w:p w14:paraId="2859D14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c>
          <w:tcPr>
            <w:tcW w:w="536" w:type="pct"/>
            <w:tcBorders>
              <w:tl2br w:val="nil"/>
              <w:tr2bl w:val="nil"/>
            </w:tcBorders>
            <w:vAlign w:val="center"/>
          </w:tcPr>
          <w:p w14:paraId="71F3E239">
            <w:pPr>
              <w:pStyle w:val="56"/>
              <w:rPr>
                <w:rFonts w:hint="eastAsia"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270</w:t>
            </w:r>
          </w:p>
        </w:tc>
        <w:tc>
          <w:tcPr>
            <w:tcW w:w="484" w:type="pct"/>
            <w:vMerge w:val="continue"/>
            <w:tcBorders>
              <w:tl2br w:val="nil"/>
              <w:tr2bl w:val="nil"/>
            </w:tcBorders>
            <w:vAlign w:val="center"/>
          </w:tcPr>
          <w:p w14:paraId="1970B728">
            <w:pPr>
              <w:pStyle w:val="56"/>
              <w:rPr>
                <w:rFonts w:hint="eastAsia" w:ascii="Times New Roman" w:hAnsi="Times New Roman"/>
                <w:color w:val="000000" w:themeColor="text1"/>
                <w:szCs w:val="21"/>
                <w:lang w:val="en-US" w:eastAsia="zh-CN"/>
                <w14:textFill>
                  <w14:solidFill>
                    <w14:schemeClr w14:val="tx1"/>
                  </w14:solidFill>
                </w14:textFill>
              </w:rPr>
            </w:pPr>
          </w:p>
        </w:tc>
        <w:tc>
          <w:tcPr>
            <w:tcW w:w="536" w:type="pct"/>
            <w:tcBorders>
              <w:tl2br w:val="nil"/>
              <w:tr2bl w:val="nil"/>
            </w:tcBorders>
            <w:vAlign w:val="center"/>
          </w:tcPr>
          <w:p w14:paraId="5166E7C2">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300</w:t>
            </w:r>
          </w:p>
        </w:tc>
        <w:tc>
          <w:tcPr>
            <w:tcW w:w="372" w:type="pct"/>
            <w:vMerge w:val="continue"/>
            <w:tcBorders>
              <w:tl2br w:val="nil"/>
              <w:tr2bl w:val="nil"/>
            </w:tcBorders>
            <w:vAlign w:val="center"/>
          </w:tcPr>
          <w:p w14:paraId="3022A8DC">
            <w:pPr>
              <w:pStyle w:val="56"/>
              <w:rPr>
                <w:rFonts w:ascii="Times New Roman" w:hAnsi="Times New Roman"/>
                <w:color w:val="000000" w:themeColor="text1"/>
                <w:szCs w:val="21"/>
                <w14:textFill>
                  <w14:solidFill>
                    <w14:schemeClr w14:val="tx1"/>
                  </w14:solidFill>
                </w14:textFill>
              </w:rPr>
            </w:pPr>
          </w:p>
        </w:tc>
      </w:tr>
      <w:tr w14:paraId="7610E1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continue"/>
            <w:tcBorders>
              <w:tl2br w:val="nil"/>
              <w:tr2bl w:val="nil"/>
            </w:tcBorders>
            <w:vAlign w:val="center"/>
          </w:tcPr>
          <w:p w14:paraId="2261732B">
            <w:pPr>
              <w:pStyle w:val="56"/>
              <w:rPr>
                <w:rFonts w:hint="default" w:ascii="Times New Roman" w:hAnsi="Times New Roman" w:eastAsia="宋体"/>
                <w:color w:val="000000" w:themeColor="text1"/>
                <w:szCs w:val="21"/>
                <w:lang w:val="en-US" w:eastAsia="zh-CN"/>
                <w14:textFill>
                  <w14:solidFill>
                    <w14:schemeClr w14:val="tx1"/>
                  </w14:solidFill>
                </w14:textFill>
              </w:rPr>
            </w:pPr>
          </w:p>
        </w:tc>
        <w:tc>
          <w:tcPr>
            <w:tcW w:w="1114" w:type="pct"/>
            <w:tcBorders>
              <w:tl2br w:val="nil"/>
              <w:tr2bl w:val="nil"/>
            </w:tcBorders>
            <w:vAlign w:val="center"/>
          </w:tcPr>
          <w:p w14:paraId="2F0366FA">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SS</w:t>
            </w:r>
          </w:p>
        </w:tc>
        <w:tc>
          <w:tcPr>
            <w:tcW w:w="548" w:type="pct"/>
            <w:tcBorders>
              <w:tl2br w:val="nil"/>
              <w:tr2bl w:val="nil"/>
            </w:tcBorders>
            <w:vAlign w:val="center"/>
          </w:tcPr>
          <w:p w14:paraId="5677A6A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500</w:t>
            </w:r>
          </w:p>
        </w:tc>
        <w:tc>
          <w:tcPr>
            <w:tcW w:w="538" w:type="pct"/>
            <w:vMerge w:val="continue"/>
            <w:tcBorders>
              <w:tl2br w:val="nil"/>
              <w:tr2bl w:val="nil"/>
            </w:tcBorders>
            <w:vAlign w:val="center"/>
          </w:tcPr>
          <w:p w14:paraId="7AC06EDA">
            <w:pPr>
              <w:pStyle w:val="56"/>
              <w:rPr>
                <w:rFonts w:hint="eastAsia" w:ascii="Times New Roman" w:hAnsi="Times New Roman"/>
                <w:color w:val="000000" w:themeColor="text1"/>
                <w:szCs w:val="21"/>
                <w:lang w:val="en-US" w:eastAsia="zh-CN"/>
                <w14:textFill>
                  <w14:solidFill>
                    <w14:schemeClr w14:val="tx1"/>
                  </w14:solidFill>
                </w14:textFill>
              </w:rPr>
            </w:pPr>
          </w:p>
        </w:tc>
        <w:tc>
          <w:tcPr>
            <w:tcW w:w="518" w:type="pct"/>
            <w:tcBorders>
              <w:tl2br w:val="nil"/>
              <w:tr2bl w:val="nil"/>
            </w:tcBorders>
            <w:vAlign w:val="center"/>
          </w:tcPr>
          <w:p w14:paraId="3D34C4D7">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30</w:t>
            </w:r>
          </w:p>
        </w:tc>
        <w:tc>
          <w:tcPr>
            <w:tcW w:w="536" w:type="pct"/>
            <w:tcBorders>
              <w:tl2br w:val="nil"/>
              <w:tr2bl w:val="nil"/>
            </w:tcBorders>
            <w:vAlign w:val="center"/>
          </w:tcPr>
          <w:p w14:paraId="24A54BEC">
            <w:pPr>
              <w:pStyle w:val="56"/>
              <w:rPr>
                <w:rFonts w:hint="eastAsia"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350</w:t>
            </w:r>
          </w:p>
        </w:tc>
        <w:tc>
          <w:tcPr>
            <w:tcW w:w="484" w:type="pct"/>
            <w:vMerge w:val="continue"/>
            <w:tcBorders>
              <w:tl2br w:val="nil"/>
              <w:tr2bl w:val="nil"/>
            </w:tcBorders>
            <w:vAlign w:val="center"/>
          </w:tcPr>
          <w:p w14:paraId="7DF61558">
            <w:pPr>
              <w:pStyle w:val="56"/>
              <w:rPr>
                <w:rFonts w:hint="eastAsia" w:ascii="Times New Roman" w:hAnsi="Times New Roman"/>
                <w:color w:val="000000" w:themeColor="text1"/>
                <w:szCs w:val="21"/>
                <w:lang w:val="en-US" w:eastAsia="zh-CN"/>
                <w14:textFill>
                  <w14:solidFill>
                    <w14:schemeClr w14:val="tx1"/>
                  </w14:solidFill>
                </w14:textFill>
              </w:rPr>
            </w:pPr>
          </w:p>
        </w:tc>
        <w:tc>
          <w:tcPr>
            <w:tcW w:w="536" w:type="pct"/>
            <w:tcBorders>
              <w:tl2br w:val="nil"/>
              <w:tr2bl w:val="nil"/>
            </w:tcBorders>
            <w:vAlign w:val="center"/>
          </w:tcPr>
          <w:p w14:paraId="5F11299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400</w:t>
            </w:r>
          </w:p>
        </w:tc>
        <w:tc>
          <w:tcPr>
            <w:tcW w:w="372" w:type="pct"/>
            <w:vMerge w:val="continue"/>
            <w:tcBorders>
              <w:bottom w:val="single" w:color="auto" w:sz="4" w:space="0"/>
              <w:tl2br w:val="nil"/>
              <w:tr2bl w:val="nil"/>
            </w:tcBorders>
            <w:vAlign w:val="center"/>
          </w:tcPr>
          <w:p w14:paraId="7F5677C4">
            <w:pPr>
              <w:pStyle w:val="56"/>
              <w:rPr>
                <w:rFonts w:ascii="Times New Roman" w:hAnsi="Times New Roman"/>
                <w:color w:val="000000" w:themeColor="text1"/>
                <w:szCs w:val="21"/>
                <w14:textFill>
                  <w14:solidFill>
                    <w14:schemeClr w14:val="tx1"/>
                  </w14:solidFill>
                </w14:textFill>
              </w:rPr>
            </w:pPr>
          </w:p>
        </w:tc>
      </w:tr>
      <w:tr w14:paraId="42BBAC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restart"/>
            <w:tcBorders>
              <w:tl2br w:val="nil"/>
              <w:tr2bl w:val="nil"/>
            </w:tcBorders>
            <w:vAlign w:val="center"/>
          </w:tcPr>
          <w:p w14:paraId="373A607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养殖废水</w:t>
            </w:r>
          </w:p>
        </w:tc>
        <w:tc>
          <w:tcPr>
            <w:tcW w:w="1114" w:type="pct"/>
            <w:tcBorders>
              <w:tl2br w:val="nil"/>
              <w:tr2bl w:val="nil"/>
            </w:tcBorders>
            <w:vAlign w:val="center"/>
          </w:tcPr>
          <w:p w14:paraId="6C02556A">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COD</w:t>
            </w:r>
          </w:p>
        </w:tc>
        <w:tc>
          <w:tcPr>
            <w:tcW w:w="548" w:type="pct"/>
            <w:tcBorders>
              <w:tl2br w:val="nil"/>
              <w:tr2bl w:val="nil"/>
            </w:tcBorders>
            <w:vAlign w:val="center"/>
          </w:tcPr>
          <w:p w14:paraId="59D6340F">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538" w:type="pct"/>
            <w:vMerge w:val="restart"/>
            <w:tcBorders>
              <w:tl2br w:val="nil"/>
              <w:tr2bl w:val="nil"/>
            </w:tcBorders>
            <w:vAlign w:val="center"/>
          </w:tcPr>
          <w:p w14:paraId="789CD2A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eastAsia="宋体" w:cs="宋体"/>
                <w:color w:val="000000" w:themeColor="text1"/>
                <w:kern w:val="0"/>
                <w:sz w:val="24"/>
                <w:szCs w:val="24"/>
                <w:lang w:val="en-US" w:eastAsia="zh-CN" w:bidi="ar"/>
                <w14:textFill>
                  <w14:solidFill>
                    <w14:schemeClr w14:val="tx1"/>
                  </w14:solidFill>
                </w14:textFill>
              </w:rPr>
              <w:t>1762.5</w:t>
            </w:r>
          </w:p>
        </w:tc>
        <w:tc>
          <w:tcPr>
            <w:tcW w:w="518" w:type="pct"/>
            <w:tcBorders>
              <w:tl2br w:val="nil"/>
              <w:tr2bl w:val="nil"/>
            </w:tcBorders>
            <w:vAlign w:val="center"/>
          </w:tcPr>
          <w:p w14:paraId="350F148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w:t>
            </w:r>
          </w:p>
        </w:tc>
        <w:tc>
          <w:tcPr>
            <w:tcW w:w="536" w:type="pct"/>
            <w:tcBorders>
              <w:tl2br w:val="nil"/>
              <w:tr2bl w:val="nil"/>
            </w:tcBorders>
            <w:vAlign w:val="center"/>
          </w:tcPr>
          <w:p w14:paraId="16FD71B7">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 xml:space="preserve">298 </w:t>
            </w:r>
          </w:p>
        </w:tc>
        <w:tc>
          <w:tcPr>
            <w:tcW w:w="484" w:type="pct"/>
            <w:vMerge w:val="restart"/>
            <w:tcBorders>
              <w:tl2br w:val="nil"/>
              <w:tr2bl w:val="nil"/>
            </w:tcBorders>
            <w:vAlign w:val="center"/>
          </w:tcPr>
          <w:p w14:paraId="4D7AABF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eastAsia="宋体" w:cs="宋体"/>
                <w:color w:val="000000" w:themeColor="text1"/>
                <w:kern w:val="0"/>
                <w:sz w:val="24"/>
                <w:szCs w:val="24"/>
                <w:lang w:val="en-US" w:eastAsia="zh-CN" w:bidi="ar"/>
                <w14:textFill>
                  <w14:solidFill>
                    <w14:schemeClr w14:val="tx1"/>
                  </w14:solidFill>
                </w14:textFill>
              </w:rPr>
              <w:t>1762.5</w:t>
            </w:r>
          </w:p>
        </w:tc>
        <w:tc>
          <w:tcPr>
            <w:tcW w:w="536" w:type="pct"/>
            <w:tcBorders>
              <w:tl2br w:val="nil"/>
              <w:tr2bl w:val="nil"/>
            </w:tcBorders>
            <w:vAlign w:val="center"/>
          </w:tcPr>
          <w:p w14:paraId="0CB8B36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400</w:t>
            </w:r>
          </w:p>
        </w:tc>
        <w:tc>
          <w:tcPr>
            <w:tcW w:w="372" w:type="pct"/>
            <w:vMerge w:val="restart"/>
            <w:tcBorders>
              <w:top w:val="single" w:color="auto" w:sz="4" w:space="0"/>
              <w:tl2br w:val="nil"/>
              <w:tr2bl w:val="nil"/>
            </w:tcBorders>
            <w:vAlign w:val="center"/>
          </w:tcPr>
          <w:p w14:paraId="6EAC0BE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回用于绿化浇灌</w:t>
            </w:r>
          </w:p>
        </w:tc>
      </w:tr>
      <w:tr w14:paraId="6838CB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continue"/>
            <w:tcBorders>
              <w:tl2br w:val="nil"/>
              <w:tr2bl w:val="nil"/>
            </w:tcBorders>
            <w:vAlign w:val="center"/>
          </w:tcPr>
          <w:p w14:paraId="0D64322A">
            <w:pPr>
              <w:pStyle w:val="56"/>
              <w:rPr>
                <w:rFonts w:hint="default" w:ascii="Times New Roman" w:hAnsi="Times New Roman" w:eastAsia="宋体"/>
                <w:color w:val="000000" w:themeColor="text1"/>
                <w:szCs w:val="21"/>
                <w:lang w:val="en-US" w:eastAsia="zh-CN"/>
                <w14:textFill>
                  <w14:solidFill>
                    <w14:schemeClr w14:val="tx1"/>
                  </w14:solidFill>
                </w14:textFill>
              </w:rPr>
            </w:pPr>
          </w:p>
        </w:tc>
        <w:tc>
          <w:tcPr>
            <w:tcW w:w="1114" w:type="pct"/>
            <w:tcBorders>
              <w:tl2br w:val="nil"/>
              <w:tr2bl w:val="nil"/>
            </w:tcBorders>
            <w:vAlign w:val="center"/>
          </w:tcPr>
          <w:p w14:paraId="546FD36D">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B</w:t>
            </w:r>
            <w:r>
              <w:rPr>
                <w:rFonts w:hint="eastAsia" w:ascii="Times New Roman" w:hAnsi="Times New Roman"/>
                <w:color w:val="000000" w:themeColor="text1"/>
                <w:szCs w:val="21"/>
                <w:lang w:val="en-US" w:eastAsia="zh-CN"/>
                <w14:textFill>
                  <w14:solidFill>
                    <w14:schemeClr w14:val="tx1"/>
                  </w14:solidFill>
                </w14:textFill>
              </w:rPr>
              <w:t>OD</w:t>
            </w:r>
            <w:r>
              <w:rPr>
                <w:rFonts w:hint="eastAsia" w:ascii="Times New Roman" w:hAnsi="Times New Roman"/>
                <w:color w:val="000000" w:themeColor="text1"/>
                <w:szCs w:val="21"/>
                <w:vertAlign w:val="subscript"/>
                <w:lang w:val="en-US" w:eastAsia="zh-CN"/>
                <w14:textFill>
                  <w14:solidFill>
                    <w14:schemeClr w14:val="tx1"/>
                  </w14:solidFill>
                </w14:textFill>
              </w:rPr>
              <w:t>5</w:t>
            </w:r>
          </w:p>
        </w:tc>
        <w:tc>
          <w:tcPr>
            <w:tcW w:w="548" w:type="pct"/>
            <w:tcBorders>
              <w:tl2br w:val="nil"/>
              <w:tr2bl w:val="nil"/>
            </w:tcBorders>
            <w:vAlign w:val="center"/>
          </w:tcPr>
          <w:p w14:paraId="30275B09">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p>
        </w:tc>
        <w:tc>
          <w:tcPr>
            <w:tcW w:w="538" w:type="pct"/>
            <w:vMerge w:val="continue"/>
            <w:tcBorders>
              <w:tl2br w:val="nil"/>
              <w:tr2bl w:val="nil"/>
            </w:tcBorders>
            <w:vAlign w:val="center"/>
          </w:tcPr>
          <w:p w14:paraId="555D03D2">
            <w:pPr>
              <w:pStyle w:val="56"/>
              <w:rPr>
                <w:rFonts w:hint="default" w:ascii="Times New Roman" w:hAnsi="Times New Roman"/>
                <w:color w:val="000000" w:themeColor="text1"/>
                <w:szCs w:val="21"/>
                <w:lang w:val="en-US" w:eastAsia="zh-CN"/>
                <w14:textFill>
                  <w14:solidFill>
                    <w14:schemeClr w14:val="tx1"/>
                  </w14:solidFill>
                </w14:textFill>
              </w:rPr>
            </w:pPr>
          </w:p>
        </w:tc>
        <w:tc>
          <w:tcPr>
            <w:tcW w:w="518" w:type="pct"/>
            <w:tcBorders>
              <w:tl2br w:val="nil"/>
              <w:tr2bl w:val="nil"/>
            </w:tcBorders>
            <w:vAlign w:val="center"/>
          </w:tcPr>
          <w:p w14:paraId="369C811E">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c>
          <w:tcPr>
            <w:tcW w:w="536" w:type="pct"/>
            <w:tcBorders>
              <w:tl2br w:val="nil"/>
              <w:tr2bl w:val="nil"/>
            </w:tcBorders>
            <w:vAlign w:val="center"/>
          </w:tcPr>
          <w:p w14:paraId="5E6B3A86">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180</w:t>
            </w:r>
          </w:p>
        </w:tc>
        <w:tc>
          <w:tcPr>
            <w:tcW w:w="484" w:type="pct"/>
            <w:vMerge w:val="continue"/>
            <w:tcBorders>
              <w:tl2br w:val="nil"/>
              <w:tr2bl w:val="nil"/>
            </w:tcBorders>
            <w:vAlign w:val="center"/>
          </w:tcPr>
          <w:p w14:paraId="5C991C6C">
            <w:pPr>
              <w:pStyle w:val="56"/>
              <w:rPr>
                <w:rFonts w:hint="default" w:ascii="Times New Roman" w:hAnsi="Times New Roman"/>
                <w:color w:val="000000" w:themeColor="text1"/>
                <w:szCs w:val="21"/>
                <w:lang w:val="en-US" w:eastAsia="zh-CN"/>
                <w14:textFill>
                  <w14:solidFill>
                    <w14:schemeClr w14:val="tx1"/>
                  </w14:solidFill>
                </w14:textFill>
              </w:rPr>
            </w:pPr>
          </w:p>
        </w:tc>
        <w:tc>
          <w:tcPr>
            <w:tcW w:w="536" w:type="pct"/>
            <w:tcBorders>
              <w:tl2br w:val="nil"/>
              <w:tr2bl w:val="nil"/>
            </w:tcBorders>
            <w:vAlign w:val="center"/>
          </w:tcPr>
          <w:p w14:paraId="6BF6E48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150</w:t>
            </w:r>
          </w:p>
        </w:tc>
        <w:tc>
          <w:tcPr>
            <w:tcW w:w="372" w:type="pct"/>
            <w:vMerge w:val="continue"/>
            <w:tcBorders>
              <w:top w:val="single" w:color="auto" w:sz="4" w:space="0"/>
              <w:bottom w:val="single" w:color="auto" w:sz="4" w:space="0"/>
              <w:tl2br w:val="nil"/>
              <w:tr2bl w:val="nil"/>
            </w:tcBorders>
            <w:vAlign w:val="center"/>
          </w:tcPr>
          <w:p w14:paraId="66786C1B">
            <w:pPr>
              <w:pStyle w:val="56"/>
              <w:rPr>
                <w:rFonts w:ascii="Times New Roman" w:hAnsi="Times New Roman"/>
                <w:color w:val="000000" w:themeColor="text1"/>
                <w:szCs w:val="21"/>
                <w14:textFill>
                  <w14:solidFill>
                    <w14:schemeClr w14:val="tx1"/>
                  </w14:solidFill>
                </w14:textFill>
              </w:rPr>
            </w:pPr>
          </w:p>
        </w:tc>
      </w:tr>
      <w:tr w14:paraId="2BB46B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continue"/>
            <w:tcBorders>
              <w:tl2br w:val="nil"/>
              <w:tr2bl w:val="nil"/>
            </w:tcBorders>
            <w:vAlign w:val="center"/>
          </w:tcPr>
          <w:p w14:paraId="6286521C">
            <w:pPr>
              <w:pStyle w:val="56"/>
              <w:rPr>
                <w:rFonts w:hint="default" w:ascii="Times New Roman" w:hAnsi="Times New Roman" w:eastAsia="宋体"/>
                <w:color w:val="000000" w:themeColor="text1"/>
                <w:szCs w:val="21"/>
                <w:lang w:val="en-US" w:eastAsia="zh-CN"/>
                <w14:textFill>
                  <w14:solidFill>
                    <w14:schemeClr w14:val="tx1"/>
                  </w14:solidFill>
                </w14:textFill>
              </w:rPr>
            </w:pPr>
          </w:p>
        </w:tc>
        <w:tc>
          <w:tcPr>
            <w:tcW w:w="1114" w:type="pct"/>
            <w:tcBorders>
              <w:tl2br w:val="nil"/>
              <w:tr2bl w:val="nil"/>
            </w:tcBorders>
            <w:vAlign w:val="center"/>
          </w:tcPr>
          <w:p w14:paraId="3F87D85E">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SS</w:t>
            </w:r>
          </w:p>
        </w:tc>
        <w:tc>
          <w:tcPr>
            <w:tcW w:w="548" w:type="pct"/>
            <w:tcBorders>
              <w:tl2br w:val="nil"/>
              <w:tr2bl w:val="nil"/>
            </w:tcBorders>
            <w:vAlign w:val="center"/>
          </w:tcPr>
          <w:p w14:paraId="63975149">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250</w:t>
            </w:r>
          </w:p>
        </w:tc>
        <w:tc>
          <w:tcPr>
            <w:tcW w:w="538" w:type="pct"/>
            <w:vMerge w:val="continue"/>
            <w:tcBorders>
              <w:tl2br w:val="nil"/>
              <w:tr2bl w:val="nil"/>
            </w:tcBorders>
            <w:vAlign w:val="center"/>
          </w:tcPr>
          <w:p w14:paraId="080C9ED3">
            <w:pPr>
              <w:pStyle w:val="56"/>
              <w:rPr>
                <w:rFonts w:hint="default" w:ascii="Times New Roman" w:hAnsi="Times New Roman"/>
                <w:color w:val="000000" w:themeColor="text1"/>
                <w:szCs w:val="21"/>
                <w:lang w:val="en-US" w:eastAsia="zh-CN"/>
                <w14:textFill>
                  <w14:solidFill>
                    <w14:schemeClr w14:val="tx1"/>
                  </w14:solidFill>
                </w14:textFill>
              </w:rPr>
            </w:pPr>
          </w:p>
        </w:tc>
        <w:tc>
          <w:tcPr>
            <w:tcW w:w="518" w:type="pct"/>
            <w:tcBorders>
              <w:tl2br w:val="nil"/>
              <w:tr2bl w:val="nil"/>
            </w:tcBorders>
            <w:vAlign w:val="center"/>
          </w:tcPr>
          <w:p w14:paraId="13F46E1D">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30</w:t>
            </w:r>
          </w:p>
        </w:tc>
        <w:tc>
          <w:tcPr>
            <w:tcW w:w="536" w:type="pct"/>
            <w:tcBorders>
              <w:tl2br w:val="nil"/>
              <w:tr2bl w:val="nil"/>
            </w:tcBorders>
            <w:vAlign w:val="center"/>
          </w:tcPr>
          <w:p w14:paraId="1C2054FA">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175</w:t>
            </w:r>
          </w:p>
        </w:tc>
        <w:tc>
          <w:tcPr>
            <w:tcW w:w="484" w:type="pct"/>
            <w:vMerge w:val="continue"/>
            <w:tcBorders>
              <w:tl2br w:val="nil"/>
              <w:tr2bl w:val="nil"/>
            </w:tcBorders>
            <w:vAlign w:val="center"/>
          </w:tcPr>
          <w:p w14:paraId="499DC98E">
            <w:pPr>
              <w:pStyle w:val="56"/>
              <w:rPr>
                <w:rFonts w:hint="default" w:ascii="Times New Roman" w:hAnsi="Times New Roman"/>
                <w:color w:val="000000" w:themeColor="text1"/>
                <w:szCs w:val="21"/>
                <w:lang w:val="en-US" w:eastAsia="zh-CN"/>
                <w14:textFill>
                  <w14:solidFill>
                    <w14:schemeClr w14:val="tx1"/>
                  </w14:solidFill>
                </w14:textFill>
              </w:rPr>
            </w:pPr>
          </w:p>
        </w:tc>
        <w:tc>
          <w:tcPr>
            <w:tcW w:w="536" w:type="pct"/>
            <w:tcBorders>
              <w:tl2br w:val="nil"/>
              <w:tr2bl w:val="nil"/>
            </w:tcBorders>
            <w:vAlign w:val="center"/>
          </w:tcPr>
          <w:p w14:paraId="6EBC280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w:t>
            </w:r>
          </w:p>
        </w:tc>
        <w:tc>
          <w:tcPr>
            <w:tcW w:w="372" w:type="pct"/>
            <w:vMerge w:val="continue"/>
            <w:tcBorders>
              <w:top w:val="single" w:color="auto" w:sz="4" w:space="0"/>
              <w:bottom w:val="single" w:color="auto" w:sz="4" w:space="0"/>
              <w:tl2br w:val="nil"/>
              <w:tr2bl w:val="nil"/>
            </w:tcBorders>
            <w:vAlign w:val="center"/>
          </w:tcPr>
          <w:p w14:paraId="4984EB46">
            <w:pPr>
              <w:pStyle w:val="56"/>
              <w:rPr>
                <w:rFonts w:ascii="Times New Roman" w:hAnsi="Times New Roman"/>
                <w:color w:val="000000" w:themeColor="text1"/>
                <w:szCs w:val="21"/>
                <w14:textFill>
                  <w14:solidFill>
                    <w14:schemeClr w14:val="tx1"/>
                  </w14:solidFill>
                </w14:textFill>
              </w:rPr>
            </w:pPr>
          </w:p>
        </w:tc>
      </w:tr>
      <w:tr w14:paraId="44B9A14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continue"/>
            <w:tcBorders>
              <w:tl2br w:val="nil"/>
              <w:tr2bl w:val="nil"/>
            </w:tcBorders>
            <w:vAlign w:val="center"/>
          </w:tcPr>
          <w:p w14:paraId="5ABE2939">
            <w:pPr>
              <w:pStyle w:val="56"/>
              <w:rPr>
                <w:rFonts w:hint="default" w:ascii="Times New Roman" w:hAnsi="Times New Roman" w:eastAsia="宋体"/>
                <w:color w:val="000000" w:themeColor="text1"/>
                <w:szCs w:val="21"/>
                <w:lang w:val="en-US" w:eastAsia="zh-CN"/>
                <w14:textFill>
                  <w14:solidFill>
                    <w14:schemeClr w14:val="tx1"/>
                  </w14:solidFill>
                </w14:textFill>
              </w:rPr>
            </w:pPr>
          </w:p>
        </w:tc>
        <w:tc>
          <w:tcPr>
            <w:tcW w:w="1114" w:type="pct"/>
            <w:tcBorders>
              <w:tl2br w:val="nil"/>
              <w:tr2bl w:val="nil"/>
            </w:tcBorders>
            <w:vAlign w:val="center"/>
          </w:tcPr>
          <w:p w14:paraId="171E27C1">
            <w:pPr>
              <w:pStyle w:val="56"/>
              <w:ind w:firstLine="0" w:firstLineChars="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氨氮</w:t>
            </w:r>
          </w:p>
        </w:tc>
        <w:tc>
          <w:tcPr>
            <w:tcW w:w="548" w:type="pct"/>
            <w:tcBorders>
              <w:tl2br w:val="nil"/>
              <w:tr2bl w:val="nil"/>
            </w:tcBorders>
            <w:vAlign w:val="center"/>
          </w:tcPr>
          <w:p w14:paraId="5E391B69">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45</w:t>
            </w:r>
          </w:p>
        </w:tc>
        <w:tc>
          <w:tcPr>
            <w:tcW w:w="538" w:type="pct"/>
            <w:vMerge w:val="continue"/>
            <w:tcBorders>
              <w:tl2br w:val="nil"/>
              <w:tr2bl w:val="nil"/>
            </w:tcBorders>
            <w:vAlign w:val="center"/>
          </w:tcPr>
          <w:p w14:paraId="347B7623">
            <w:pPr>
              <w:pStyle w:val="56"/>
              <w:rPr>
                <w:rFonts w:hint="default" w:ascii="Times New Roman" w:hAnsi="Times New Roman"/>
                <w:color w:val="000000" w:themeColor="text1"/>
                <w:szCs w:val="21"/>
                <w:lang w:val="en-US" w:eastAsia="zh-CN"/>
                <w14:textFill>
                  <w14:solidFill>
                    <w14:schemeClr w14:val="tx1"/>
                  </w14:solidFill>
                </w14:textFill>
              </w:rPr>
            </w:pPr>
          </w:p>
        </w:tc>
        <w:tc>
          <w:tcPr>
            <w:tcW w:w="518" w:type="pct"/>
            <w:tcBorders>
              <w:tl2br w:val="nil"/>
              <w:tr2bl w:val="nil"/>
            </w:tcBorders>
            <w:vAlign w:val="center"/>
          </w:tcPr>
          <w:p w14:paraId="7DC87E3F">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c>
          <w:tcPr>
            <w:tcW w:w="536" w:type="pct"/>
            <w:tcBorders>
              <w:tl2br w:val="nil"/>
              <w:tr2bl w:val="nil"/>
            </w:tcBorders>
            <w:vAlign w:val="center"/>
          </w:tcPr>
          <w:p w14:paraId="35AD6C2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41</w:t>
            </w:r>
          </w:p>
        </w:tc>
        <w:tc>
          <w:tcPr>
            <w:tcW w:w="484" w:type="pct"/>
            <w:vMerge w:val="continue"/>
            <w:tcBorders>
              <w:tl2br w:val="nil"/>
              <w:tr2bl w:val="nil"/>
            </w:tcBorders>
            <w:vAlign w:val="center"/>
          </w:tcPr>
          <w:p w14:paraId="28782866">
            <w:pPr>
              <w:pStyle w:val="56"/>
              <w:rPr>
                <w:rFonts w:hint="default" w:ascii="Times New Roman" w:hAnsi="Times New Roman"/>
                <w:color w:val="000000" w:themeColor="text1"/>
                <w:szCs w:val="21"/>
                <w:lang w:val="en-US" w:eastAsia="zh-CN"/>
                <w14:textFill>
                  <w14:solidFill>
                    <w14:schemeClr w14:val="tx1"/>
                  </w14:solidFill>
                </w14:textFill>
              </w:rPr>
            </w:pPr>
          </w:p>
        </w:tc>
        <w:tc>
          <w:tcPr>
            <w:tcW w:w="536" w:type="pct"/>
            <w:tcBorders>
              <w:tl2br w:val="nil"/>
              <w:tr2bl w:val="nil"/>
            </w:tcBorders>
            <w:vAlign w:val="center"/>
          </w:tcPr>
          <w:p w14:paraId="25C1A17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w:t>
            </w:r>
          </w:p>
        </w:tc>
        <w:tc>
          <w:tcPr>
            <w:tcW w:w="372" w:type="pct"/>
            <w:vMerge w:val="continue"/>
            <w:tcBorders>
              <w:top w:val="single" w:color="auto" w:sz="4" w:space="0"/>
              <w:bottom w:val="single" w:color="auto" w:sz="4" w:space="0"/>
              <w:tl2br w:val="nil"/>
              <w:tr2bl w:val="nil"/>
            </w:tcBorders>
            <w:vAlign w:val="center"/>
          </w:tcPr>
          <w:p w14:paraId="11212078">
            <w:pPr>
              <w:pStyle w:val="56"/>
              <w:rPr>
                <w:rFonts w:ascii="Times New Roman" w:hAnsi="Times New Roman"/>
                <w:color w:val="000000" w:themeColor="text1"/>
                <w:szCs w:val="21"/>
                <w14:textFill>
                  <w14:solidFill>
                    <w14:schemeClr w14:val="tx1"/>
                  </w14:solidFill>
                </w14:textFill>
              </w:rPr>
            </w:pPr>
          </w:p>
        </w:tc>
      </w:tr>
      <w:tr w14:paraId="4A5E03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0" w:type="pct"/>
            <w:vMerge w:val="continue"/>
            <w:tcBorders>
              <w:tl2br w:val="nil"/>
              <w:tr2bl w:val="nil"/>
            </w:tcBorders>
            <w:vAlign w:val="center"/>
          </w:tcPr>
          <w:p w14:paraId="6B3BD476">
            <w:pPr>
              <w:pStyle w:val="56"/>
              <w:rPr>
                <w:rFonts w:hint="default" w:ascii="Times New Roman" w:hAnsi="Times New Roman" w:eastAsia="宋体"/>
                <w:color w:val="000000" w:themeColor="text1"/>
                <w:szCs w:val="21"/>
                <w:lang w:val="en-US" w:eastAsia="zh-CN"/>
                <w14:textFill>
                  <w14:solidFill>
                    <w14:schemeClr w14:val="tx1"/>
                  </w14:solidFill>
                </w14:textFill>
              </w:rPr>
            </w:pPr>
          </w:p>
        </w:tc>
        <w:tc>
          <w:tcPr>
            <w:tcW w:w="1114" w:type="pct"/>
            <w:tcBorders>
              <w:tl2br w:val="nil"/>
              <w:tr2bl w:val="nil"/>
            </w:tcBorders>
            <w:vAlign w:val="center"/>
          </w:tcPr>
          <w:p w14:paraId="16A6856E">
            <w:pPr>
              <w:pStyle w:val="56"/>
              <w:ind w:firstLine="0" w:firstLineChars="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c>
          <w:tcPr>
            <w:tcW w:w="548" w:type="pct"/>
            <w:tcBorders>
              <w:tl2br w:val="nil"/>
              <w:tr2bl w:val="nil"/>
            </w:tcBorders>
            <w:vAlign w:val="center"/>
          </w:tcPr>
          <w:p w14:paraId="1D0198E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p>
        </w:tc>
        <w:tc>
          <w:tcPr>
            <w:tcW w:w="538" w:type="pct"/>
            <w:vMerge w:val="continue"/>
            <w:tcBorders>
              <w:tl2br w:val="nil"/>
              <w:tr2bl w:val="nil"/>
            </w:tcBorders>
            <w:vAlign w:val="center"/>
          </w:tcPr>
          <w:p w14:paraId="02530359">
            <w:pPr>
              <w:pStyle w:val="56"/>
              <w:rPr>
                <w:rFonts w:hint="default" w:ascii="Times New Roman" w:hAnsi="Times New Roman"/>
                <w:color w:val="000000" w:themeColor="text1"/>
                <w:szCs w:val="21"/>
                <w:lang w:val="en-US" w:eastAsia="zh-CN"/>
                <w14:textFill>
                  <w14:solidFill>
                    <w14:schemeClr w14:val="tx1"/>
                  </w14:solidFill>
                </w14:textFill>
              </w:rPr>
            </w:pPr>
          </w:p>
        </w:tc>
        <w:tc>
          <w:tcPr>
            <w:tcW w:w="518" w:type="pct"/>
            <w:tcBorders>
              <w:tl2br w:val="nil"/>
              <w:tr2bl w:val="nil"/>
            </w:tcBorders>
            <w:vAlign w:val="center"/>
          </w:tcPr>
          <w:p w14:paraId="54B7AB36">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c>
          <w:tcPr>
            <w:tcW w:w="536" w:type="pct"/>
            <w:tcBorders>
              <w:tl2br w:val="nil"/>
              <w:tr2bl w:val="nil"/>
            </w:tcBorders>
            <w:vAlign w:val="center"/>
          </w:tcPr>
          <w:p w14:paraId="7B86B824">
            <w:pPr>
              <w:pStyle w:val="56"/>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7.2</w:t>
            </w:r>
          </w:p>
        </w:tc>
        <w:tc>
          <w:tcPr>
            <w:tcW w:w="484" w:type="pct"/>
            <w:vMerge w:val="continue"/>
            <w:tcBorders>
              <w:tl2br w:val="nil"/>
              <w:tr2bl w:val="nil"/>
            </w:tcBorders>
            <w:vAlign w:val="center"/>
          </w:tcPr>
          <w:p w14:paraId="497D3DDB">
            <w:pPr>
              <w:pStyle w:val="56"/>
              <w:rPr>
                <w:rFonts w:hint="default" w:ascii="Times New Roman" w:hAnsi="Times New Roman"/>
                <w:color w:val="000000" w:themeColor="text1"/>
                <w:szCs w:val="21"/>
                <w:lang w:val="en-US" w:eastAsia="zh-CN"/>
                <w14:textFill>
                  <w14:solidFill>
                    <w14:schemeClr w14:val="tx1"/>
                  </w14:solidFill>
                </w14:textFill>
              </w:rPr>
            </w:pPr>
          </w:p>
        </w:tc>
        <w:tc>
          <w:tcPr>
            <w:tcW w:w="536" w:type="pct"/>
            <w:tcBorders>
              <w:tl2br w:val="nil"/>
              <w:tr2bl w:val="nil"/>
            </w:tcBorders>
            <w:vAlign w:val="center"/>
          </w:tcPr>
          <w:p w14:paraId="3B79ACE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w:t>
            </w:r>
          </w:p>
        </w:tc>
        <w:tc>
          <w:tcPr>
            <w:tcW w:w="372" w:type="pct"/>
            <w:vMerge w:val="continue"/>
            <w:tcBorders>
              <w:top w:val="single" w:color="auto" w:sz="4" w:space="0"/>
              <w:bottom w:val="single" w:color="auto" w:sz="4" w:space="0"/>
              <w:tl2br w:val="nil"/>
              <w:tr2bl w:val="nil"/>
            </w:tcBorders>
            <w:vAlign w:val="center"/>
          </w:tcPr>
          <w:p w14:paraId="2F0F844C">
            <w:pPr>
              <w:pStyle w:val="56"/>
              <w:rPr>
                <w:rFonts w:ascii="Times New Roman" w:hAnsi="Times New Roman"/>
                <w:color w:val="000000" w:themeColor="text1"/>
                <w:szCs w:val="21"/>
                <w14:textFill>
                  <w14:solidFill>
                    <w14:schemeClr w14:val="tx1"/>
                  </w14:solidFill>
                </w14:textFill>
              </w:rPr>
            </w:pPr>
          </w:p>
        </w:tc>
      </w:tr>
    </w:tbl>
    <w:p w14:paraId="33CA6B27">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畜禽养殖污染防治管理办法》中对畜禽养殖污染防治措施的规定主要为综合利用优先，遵循资源化、无害化和减量化的原则，主要措施包括：畜禽废渣还田、制造有机肥料、制造再生饲料等方法进行综合利用，本项目养殖废水</w:t>
      </w:r>
      <w:r>
        <w:rPr>
          <w:rFonts w:hint="eastAsia" w:eastAsia="宋体" w:cs="宋体"/>
          <w:color w:val="000000" w:themeColor="text1"/>
          <w:kern w:val="0"/>
          <w:sz w:val="24"/>
          <w:szCs w:val="24"/>
          <w:lang w:val="en-US" w:eastAsia="zh-CN" w:bidi="ar"/>
          <w14:textFill>
            <w14:solidFill>
              <w14:schemeClr w14:val="tx1"/>
            </w14:solidFill>
          </w14:textFill>
        </w:rPr>
        <w:t>全部处理后回用于本项目绿化浇灌</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做到养殖</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废水不外排，</w:t>
      </w:r>
      <w:r>
        <w:rPr>
          <w:rFonts w:hint="eastAsia" w:eastAsia="宋体" w:cs="宋体"/>
          <w:color w:val="000000" w:themeColor="text1"/>
          <w:kern w:val="0"/>
          <w:sz w:val="24"/>
          <w:szCs w:val="24"/>
          <w:lang w:val="en-US" w:eastAsia="zh-CN" w:bidi="ar"/>
          <w14:textFill>
            <w14:solidFill>
              <w14:schemeClr w14:val="tx1"/>
            </w14:solidFill>
          </w14:textFill>
        </w:rPr>
        <w:t>符合</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遵循资源化利用</w:t>
      </w:r>
      <w:r>
        <w:rPr>
          <w:rFonts w:hint="eastAsia" w:eastAsia="宋体" w:cs="宋体"/>
          <w:color w:val="000000" w:themeColor="text1"/>
          <w:kern w:val="0"/>
          <w:sz w:val="24"/>
          <w:szCs w:val="24"/>
          <w:lang w:val="en-US" w:eastAsia="zh-CN" w:bidi="ar"/>
          <w14:textFill>
            <w14:solidFill>
              <w14:schemeClr w14:val="tx1"/>
            </w14:solidFill>
          </w14:textFill>
        </w:rPr>
        <w:t>的原则</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2261378C">
      <w:pPr>
        <w:pStyle w:val="6"/>
        <w:ind w:left="24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.3.4.3运营期噪声污染源</w:t>
      </w:r>
    </w:p>
    <w:p w14:paraId="314E56F2">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本项目主要噪声源为鸭只、风机、运输车辆等，噪声级一般在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85dB</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主要噪声设备噪声值及采取的治理措施情况详见表</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.3-1</w:t>
      </w:r>
      <w:r>
        <w:rPr>
          <w:rFonts w:hint="eastAsia"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w:t>
      </w:r>
    </w:p>
    <w:p w14:paraId="0F482E79">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.3-1</w:t>
      </w:r>
      <w:r>
        <w:rPr>
          <w:rFonts w:hint="eastAsia" w:eastAsia="宋体" w:cs="Times New Roman"/>
          <w:b/>
          <w:bCs/>
          <w:color w:val="000000" w:themeColor="text1"/>
          <w:lang w:val="en-US" w:eastAsia="zh-CN"/>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 xml:space="preserve">    项目噪声源强核算结果及相关参数一览表    单位：dB（A）</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340"/>
        <w:gridCol w:w="1134"/>
        <w:gridCol w:w="1840"/>
        <w:gridCol w:w="1702"/>
        <w:gridCol w:w="1136"/>
        <w:gridCol w:w="1044"/>
      </w:tblGrid>
      <w:tr w14:paraId="4DF427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vMerge w:val="restart"/>
            <w:tcBorders>
              <w:tl2br w:val="nil"/>
              <w:tr2bl w:val="nil"/>
            </w:tcBorders>
            <w:vAlign w:val="center"/>
          </w:tcPr>
          <w:p w14:paraId="1400C96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1340" w:type="dxa"/>
            <w:vMerge w:val="restart"/>
            <w:tcBorders>
              <w:tl2br w:val="nil"/>
              <w:tr2bl w:val="nil"/>
            </w:tcBorders>
            <w:vAlign w:val="center"/>
          </w:tcPr>
          <w:p w14:paraId="62AF549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设备名称</w:t>
            </w:r>
          </w:p>
        </w:tc>
        <w:tc>
          <w:tcPr>
            <w:tcW w:w="1134" w:type="dxa"/>
            <w:vMerge w:val="restart"/>
            <w:tcBorders>
              <w:tl2br w:val="nil"/>
              <w:tr2bl w:val="nil"/>
            </w:tcBorders>
            <w:vAlign w:val="center"/>
          </w:tcPr>
          <w:p w14:paraId="7DF0853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噪声值</w:t>
            </w:r>
          </w:p>
        </w:tc>
        <w:tc>
          <w:tcPr>
            <w:tcW w:w="3542" w:type="dxa"/>
            <w:gridSpan w:val="2"/>
            <w:tcBorders>
              <w:tl2br w:val="nil"/>
              <w:tr2bl w:val="nil"/>
            </w:tcBorders>
            <w:vAlign w:val="center"/>
          </w:tcPr>
          <w:p w14:paraId="2E95780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治理措施</w:t>
            </w:r>
          </w:p>
        </w:tc>
        <w:tc>
          <w:tcPr>
            <w:tcW w:w="1136" w:type="dxa"/>
            <w:vMerge w:val="restart"/>
            <w:tcBorders>
              <w:tl2br w:val="nil"/>
              <w:tr2bl w:val="nil"/>
            </w:tcBorders>
            <w:vAlign w:val="center"/>
          </w:tcPr>
          <w:p w14:paraId="5C3D010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降噪后的噪声值</w:t>
            </w:r>
          </w:p>
        </w:tc>
        <w:tc>
          <w:tcPr>
            <w:tcW w:w="1044" w:type="dxa"/>
            <w:vMerge w:val="restart"/>
            <w:tcBorders>
              <w:tl2br w:val="nil"/>
              <w:tr2bl w:val="nil"/>
            </w:tcBorders>
            <w:vAlign w:val="center"/>
          </w:tcPr>
          <w:p w14:paraId="1940F30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排放特征</w:t>
            </w:r>
          </w:p>
        </w:tc>
      </w:tr>
      <w:tr w14:paraId="29CC77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vMerge w:val="continue"/>
            <w:tcBorders>
              <w:tl2br w:val="nil"/>
              <w:tr2bl w:val="nil"/>
            </w:tcBorders>
            <w:vAlign w:val="center"/>
          </w:tcPr>
          <w:p w14:paraId="6A52A31F">
            <w:pPr>
              <w:pStyle w:val="56"/>
              <w:rPr>
                <w:rFonts w:ascii="Times New Roman" w:hAnsi="Times New Roman"/>
                <w:color w:val="000000" w:themeColor="text1"/>
                <w:szCs w:val="21"/>
                <w14:textFill>
                  <w14:solidFill>
                    <w14:schemeClr w14:val="tx1"/>
                  </w14:solidFill>
                </w14:textFill>
              </w:rPr>
            </w:pPr>
          </w:p>
        </w:tc>
        <w:tc>
          <w:tcPr>
            <w:tcW w:w="1340" w:type="dxa"/>
            <w:vMerge w:val="continue"/>
            <w:tcBorders>
              <w:tl2br w:val="nil"/>
              <w:tr2bl w:val="nil"/>
            </w:tcBorders>
            <w:vAlign w:val="center"/>
          </w:tcPr>
          <w:p w14:paraId="2B9F2363">
            <w:pPr>
              <w:pStyle w:val="56"/>
              <w:rPr>
                <w:rFonts w:ascii="Times New Roman" w:hAnsi="Times New Roman"/>
                <w:color w:val="000000" w:themeColor="text1"/>
                <w:szCs w:val="21"/>
                <w14:textFill>
                  <w14:solidFill>
                    <w14:schemeClr w14:val="tx1"/>
                  </w14:solidFill>
                </w14:textFill>
              </w:rPr>
            </w:pPr>
          </w:p>
        </w:tc>
        <w:tc>
          <w:tcPr>
            <w:tcW w:w="1134" w:type="dxa"/>
            <w:vMerge w:val="continue"/>
            <w:tcBorders>
              <w:tl2br w:val="nil"/>
              <w:tr2bl w:val="nil"/>
            </w:tcBorders>
            <w:vAlign w:val="center"/>
          </w:tcPr>
          <w:p w14:paraId="7D1A3465">
            <w:pPr>
              <w:pStyle w:val="56"/>
              <w:rPr>
                <w:rFonts w:ascii="Times New Roman" w:hAnsi="Times New Roman"/>
                <w:color w:val="000000" w:themeColor="text1"/>
                <w:szCs w:val="21"/>
                <w14:textFill>
                  <w14:solidFill>
                    <w14:schemeClr w14:val="tx1"/>
                  </w14:solidFill>
                </w14:textFill>
              </w:rPr>
            </w:pPr>
          </w:p>
        </w:tc>
        <w:tc>
          <w:tcPr>
            <w:tcW w:w="1840" w:type="dxa"/>
            <w:tcBorders>
              <w:tl2br w:val="nil"/>
              <w:tr2bl w:val="nil"/>
            </w:tcBorders>
            <w:vAlign w:val="center"/>
          </w:tcPr>
          <w:p w14:paraId="0825516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工艺</w:t>
            </w:r>
          </w:p>
        </w:tc>
        <w:tc>
          <w:tcPr>
            <w:tcW w:w="1702" w:type="dxa"/>
            <w:tcBorders>
              <w:tl2br w:val="nil"/>
              <w:tr2bl w:val="nil"/>
            </w:tcBorders>
            <w:vAlign w:val="center"/>
          </w:tcPr>
          <w:p w14:paraId="2D24DA9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降噪效果</w:t>
            </w:r>
          </w:p>
        </w:tc>
        <w:tc>
          <w:tcPr>
            <w:tcW w:w="1136" w:type="dxa"/>
            <w:vMerge w:val="continue"/>
            <w:tcBorders>
              <w:tl2br w:val="nil"/>
              <w:tr2bl w:val="nil"/>
            </w:tcBorders>
            <w:vAlign w:val="center"/>
          </w:tcPr>
          <w:p w14:paraId="1595F9C9">
            <w:pPr>
              <w:pStyle w:val="56"/>
              <w:rPr>
                <w:rFonts w:ascii="Times New Roman" w:hAnsi="Times New Roman"/>
                <w:color w:val="000000" w:themeColor="text1"/>
                <w:szCs w:val="21"/>
                <w14:textFill>
                  <w14:solidFill>
                    <w14:schemeClr w14:val="tx1"/>
                  </w14:solidFill>
                </w14:textFill>
              </w:rPr>
            </w:pPr>
          </w:p>
        </w:tc>
        <w:tc>
          <w:tcPr>
            <w:tcW w:w="1044" w:type="dxa"/>
            <w:vMerge w:val="continue"/>
            <w:tcBorders>
              <w:tl2br w:val="nil"/>
              <w:tr2bl w:val="nil"/>
            </w:tcBorders>
            <w:vAlign w:val="center"/>
          </w:tcPr>
          <w:p w14:paraId="67A8E814">
            <w:pPr>
              <w:pStyle w:val="56"/>
              <w:rPr>
                <w:rFonts w:ascii="Times New Roman" w:hAnsi="Times New Roman"/>
                <w:color w:val="000000" w:themeColor="text1"/>
                <w:szCs w:val="21"/>
                <w14:textFill>
                  <w14:solidFill>
                    <w14:schemeClr w14:val="tx1"/>
                  </w14:solidFill>
                </w14:textFill>
              </w:rPr>
            </w:pPr>
          </w:p>
        </w:tc>
      </w:tr>
      <w:tr w14:paraId="725CF2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122FFDD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340" w:type="dxa"/>
            <w:tcBorders>
              <w:tl2br w:val="nil"/>
              <w:tr2bl w:val="nil"/>
            </w:tcBorders>
            <w:vAlign w:val="center"/>
          </w:tcPr>
          <w:p w14:paraId="7B00E23A">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风机</w:t>
            </w:r>
          </w:p>
        </w:tc>
        <w:tc>
          <w:tcPr>
            <w:tcW w:w="1134" w:type="dxa"/>
            <w:tcBorders>
              <w:tl2br w:val="nil"/>
              <w:tr2bl w:val="nil"/>
            </w:tcBorders>
            <w:vAlign w:val="center"/>
          </w:tcPr>
          <w:p w14:paraId="1F2EFBB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w:t>
            </w:r>
          </w:p>
        </w:tc>
        <w:tc>
          <w:tcPr>
            <w:tcW w:w="1840" w:type="dxa"/>
            <w:tcBorders>
              <w:tl2br w:val="nil"/>
              <w:tr2bl w:val="nil"/>
            </w:tcBorders>
            <w:vAlign w:val="center"/>
          </w:tcPr>
          <w:p w14:paraId="5854B84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选用低噪声设备、基础减振</w:t>
            </w:r>
          </w:p>
        </w:tc>
        <w:tc>
          <w:tcPr>
            <w:tcW w:w="1702" w:type="dxa"/>
            <w:tcBorders>
              <w:tl2br w:val="nil"/>
              <w:tr2bl w:val="nil"/>
            </w:tcBorders>
            <w:vAlign w:val="center"/>
          </w:tcPr>
          <w:p w14:paraId="31F9FB8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1136" w:type="dxa"/>
            <w:tcBorders>
              <w:tl2br w:val="nil"/>
              <w:tr2bl w:val="nil"/>
            </w:tcBorders>
            <w:vAlign w:val="center"/>
          </w:tcPr>
          <w:p w14:paraId="295DC0C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65</w:t>
            </w:r>
          </w:p>
        </w:tc>
        <w:tc>
          <w:tcPr>
            <w:tcW w:w="1044" w:type="dxa"/>
            <w:tcBorders>
              <w:tl2br w:val="nil"/>
              <w:tr2bl w:val="nil"/>
            </w:tcBorders>
            <w:vAlign w:val="center"/>
          </w:tcPr>
          <w:p w14:paraId="4E98F5B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间歇</w:t>
            </w:r>
          </w:p>
        </w:tc>
      </w:tr>
      <w:tr w14:paraId="0D5ECE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4B31584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340" w:type="dxa"/>
            <w:tcBorders>
              <w:tl2br w:val="nil"/>
              <w:tr2bl w:val="nil"/>
            </w:tcBorders>
            <w:vAlign w:val="center"/>
          </w:tcPr>
          <w:p w14:paraId="0B86A17B">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运输车</w:t>
            </w:r>
          </w:p>
        </w:tc>
        <w:tc>
          <w:tcPr>
            <w:tcW w:w="1134" w:type="dxa"/>
            <w:tcBorders>
              <w:tl2br w:val="nil"/>
              <w:tr2bl w:val="nil"/>
            </w:tcBorders>
            <w:vAlign w:val="center"/>
          </w:tcPr>
          <w:p w14:paraId="7F3DFE9D">
            <w:pPr>
              <w:pStyle w:val="56"/>
              <w:rPr>
                <w:rFonts w:hint="eastAsia" w:ascii="Times New Roman" w:hAnsi="Times New Roman" w:eastAsia="宋体"/>
                <w:color w:val="000000" w:themeColor="text1"/>
                <w:szCs w:val="21"/>
                <w:lang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r>
              <w:rPr>
                <w:rFonts w:hint="eastAsia" w:ascii="Times New Roman" w:hAnsi="Times New Roman"/>
                <w:color w:val="000000" w:themeColor="text1"/>
                <w:szCs w:val="21"/>
                <w:lang w:val="en-US" w:eastAsia="zh-CN"/>
                <w14:textFill>
                  <w14:solidFill>
                    <w14:schemeClr w14:val="tx1"/>
                  </w14:solidFill>
                </w14:textFill>
              </w:rPr>
              <w:t>5</w:t>
            </w:r>
          </w:p>
        </w:tc>
        <w:tc>
          <w:tcPr>
            <w:tcW w:w="1840" w:type="dxa"/>
            <w:tcBorders>
              <w:tl2br w:val="nil"/>
              <w:tr2bl w:val="nil"/>
            </w:tcBorders>
            <w:vAlign w:val="center"/>
          </w:tcPr>
          <w:p w14:paraId="61346AD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选用低噪声设备、基础减振</w:t>
            </w:r>
          </w:p>
        </w:tc>
        <w:tc>
          <w:tcPr>
            <w:tcW w:w="1702" w:type="dxa"/>
            <w:tcBorders>
              <w:tl2br w:val="nil"/>
              <w:tr2bl w:val="nil"/>
            </w:tcBorders>
            <w:vAlign w:val="center"/>
          </w:tcPr>
          <w:p w14:paraId="1C661A8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1136" w:type="dxa"/>
            <w:tcBorders>
              <w:tl2br w:val="nil"/>
              <w:tr2bl w:val="nil"/>
            </w:tcBorders>
            <w:vAlign w:val="center"/>
          </w:tcPr>
          <w:p w14:paraId="01E8732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60</w:t>
            </w:r>
          </w:p>
        </w:tc>
        <w:tc>
          <w:tcPr>
            <w:tcW w:w="1044" w:type="dxa"/>
            <w:tcBorders>
              <w:tl2br w:val="nil"/>
              <w:tr2bl w:val="nil"/>
            </w:tcBorders>
            <w:vAlign w:val="center"/>
          </w:tcPr>
          <w:p w14:paraId="27D84F8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间歇</w:t>
            </w:r>
          </w:p>
        </w:tc>
      </w:tr>
      <w:tr w14:paraId="053532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5DACCC2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1340" w:type="dxa"/>
            <w:tcBorders>
              <w:tl2br w:val="nil"/>
              <w:tr2bl w:val="nil"/>
            </w:tcBorders>
            <w:vAlign w:val="center"/>
          </w:tcPr>
          <w:p w14:paraId="3829BB1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清粪系统</w:t>
            </w:r>
          </w:p>
        </w:tc>
        <w:tc>
          <w:tcPr>
            <w:tcW w:w="1134" w:type="dxa"/>
            <w:tcBorders>
              <w:tl2br w:val="nil"/>
              <w:tr2bl w:val="nil"/>
            </w:tcBorders>
            <w:vAlign w:val="center"/>
          </w:tcPr>
          <w:p w14:paraId="1DE9947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85</w:t>
            </w:r>
          </w:p>
        </w:tc>
        <w:tc>
          <w:tcPr>
            <w:tcW w:w="1840" w:type="dxa"/>
            <w:tcBorders>
              <w:tl2br w:val="nil"/>
              <w:tr2bl w:val="nil"/>
            </w:tcBorders>
            <w:vAlign w:val="center"/>
          </w:tcPr>
          <w:p w14:paraId="7DA7533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选用低噪声设备、基础减振</w:t>
            </w:r>
          </w:p>
        </w:tc>
        <w:tc>
          <w:tcPr>
            <w:tcW w:w="1702" w:type="dxa"/>
            <w:tcBorders>
              <w:tl2br w:val="nil"/>
              <w:tr2bl w:val="nil"/>
            </w:tcBorders>
            <w:vAlign w:val="center"/>
          </w:tcPr>
          <w:p w14:paraId="33CF1FE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1136" w:type="dxa"/>
            <w:tcBorders>
              <w:tl2br w:val="nil"/>
              <w:tr2bl w:val="nil"/>
            </w:tcBorders>
            <w:vAlign w:val="center"/>
          </w:tcPr>
          <w:p w14:paraId="16B3E25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w:t>
            </w:r>
          </w:p>
        </w:tc>
        <w:tc>
          <w:tcPr>
            <w:tcW w:w="1044" w:type="dxa"/>
            <w:tcBorders>
              <w:tl2br w:val="nil"/>
              <w:tr2bl w:val="nil"/>
            </w:tcBorders>
            <w:vAlign w:val="center"/>
          </w:tcPr>
          <w:p w14:paraId="767AF57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间歇</w:t>
            </w:r>
          </w:p>
        </w:tc>
      </w:tr>
      <w:tr w14:paraId="588122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3DF4B9E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340" w:type="dxa"/>
            <w:tcBorders>
              <w:tl2br w:val="nil"/>
              <w:tr2bl w:val="nil"/>
            </w:tcBorders>
            <w:vAlign w:val="center"/>
          </w:tcPr>
          <w:p w14:paraId="07A24C7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消毒设备</w:t>
            </w:r>
          </w:p>
        </w:tc>
        <w:tc>
          <w:tcPr>
            <w:tcW w:w="1134" w:type="dxa"/>
            <w:tcBorders>
              <w:tl2br w:val="nil"/>
              <w:tr2bl w:val="nil"/>
            </w:tcBorders>
            <w:vAlign w:val="center"/>
          </w:tcPr>
          <w:p w14:paraId="48CDF7C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70</w:t>
            </w:r>
          </w:p>
        </w:tc>
        <w:tc>
          <w:tcPr>
            <w:tcW w:w="1840" w:type="dxa"/>
            <w:tcBorders>
              <w:tl2br w:val="nil"/>
              <w:tr2bl w:val="nil"/>
            </w:tcBorders>
            <w:vAlign w:val="center"/>
          </w:tcPr>
          <w:p w14:paraId="24ABD62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选用低噪声设备</w:t>
            </w:r>
          </w:p>
        </w:tc>
        <w:tc>
          <w:tcPr>
            <w:tcW w:w="1702" w:type="dxa"/>
            <w:tcBorders>
              <w:tl2br w:val="nil"/>
              <w:tr2bl w:val="nil"/>
            </w:tcBorders>
            <w:vAlign w:val="center"/>
          </w:tcPr>
          <w:p w14:paraId="6313318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1136" w:type="dxa"/>
            <w:tcBorders>
              <w:tl2br w:val="nil"/>
              <w:tr2bl w:val="nil"/>
            </w:tcBorders>
            <w:vAlign w:val="center"/>
          </w:tcPr>
          <w:p w14:paraId="0935A2E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70</w:t>
            </w:r>
          </w:p>
        </w:tc>
        <w:tc>
          <w:tcPr>
            <w:tcW w:w="1044" w:type="dxa"/>
            <w:tcBorders>
              <w:tl2br w:val="nil"/>
              <w:tr2bl w:val="nil"/>
            </w:tcBorders>
            <w:vAlign w:val="center"/>
          </w:tcPr>
          <w:p w14:paraId="78DDFB8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间歇</w:t>
            </w:r>
          </w:p>
        </w:tc>
      </w:tr>
      <w:tr w14:paraId="084D73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7E1B9F3A">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w:t>
            </w:r>
          </w:p>
        </w:tc>
        <w:tc>
          <w:tcPr>
            <w:tcW w:w="1340" w:type="dxa"/>
            <w:tcBorders>
              <w:tl2br w:val="nil"/>
              <w:tr2bl w:val="nil"/>
            </w:tcBorders>
            <w:vAlign w:val="center"/>
          </w:tcPr>
          <w:p w14:paraId="6980B05F">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w:t>
            </w:r>
            <w:r>
              <w:rPr>
                <w:rFonts w:ascii="Times New Roman" w:hAnsi="Times New Roman"/>
                <w:color w:val="000000" w:themeColor="text1"/>
                <w:szCs w:val="21"/>
                <w14:textFill>
                  <w14:solidFill>
                    <w14:schemeClr w14:val="tx1"/>
                  </w14:solidFill>
                </w14:textFill>
              </w:rPr>
              <w:t>叫声</w:t>
            </w:r>
          </w:p>
        </w:tc>
        <w:tc>
          <w:tcPr>
            <w:tcW w:w="1134" w:type="dxa"/>
            <w:tcBorders>
              <w:tl2br w:val="nil"/>
              <w:tr2bl w:val="nil"/>
            </w:tcBorders>
            <w:vAlign w:val="center"/>
          </w:tcPr>
          <w:p w14:paraId="0084014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70</w:t>
            </w:r>
          </w:p>
        </w:tc>
        <w:tc>
          <w:tcPr>
            <w:tcW w:w="1840" w:type="dxa"/>
            <w:tcBorders>
              <w:tl2br w:val="nil"/>
              <w:tr2bl w:val="nil"/>
            </w:tcBorders>
            <w:vAlign w:val="center"/>
          </w:tcPr>
          <w:p w14:paraId="4F1CA60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喂足饲料和水，避免饥渴及突发性噪声</w:t>
            </w:r>
          </w:p>
        </w:tc>
        <w:tc>
          <w:tcPr>
            <w:tcW w:w="1702" w:type="dxa"/>
            <w:tcBorders>
              <w:tl2br w:val="nil"/>
              <w:tr2bl w:val="nil"/>
            </w:tcBorders>
            <w:vAlign w:val="center"/>
          </w:tcPr>
          <w:p w14:paraId="67D72C7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1136" w:type="dxa"/>
            <w:tcBorders>
              <w:tl2br w:val="nil"/>
              <w:tr2bl w:val="nil"/>
            </w:tcBorders>
            <w:vAlign w:val="center"/>
          </w:tcPr>
          <w:p w14:paraId="5671C6A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70</w:t>
            </w:r>
          </w:p>
        </w:tc>
        <w:tc>
          <w:tcPr>
            <w:tcW w:w="1044" w:type="dxa"/>
            <w:tcBorders>
              <w:tl2br w:val="nil"/>
              <w:tr2bl w:val="nil"/>
            </w:tcBorders>
            <w:vAlign w:val="center"/>
          </w:tcPr>
          <w:p w14:paraId="61378398">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连续</w:t>
            </w:r>
          </w:p>
        </w:tc>
      </w:tr>
    </w:tbl>
    <w:p w14:paraId="4EE41472">
      <w:pPr>
        <w:pStyle w:val="6"/>
        <w:ind w:left="24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.3.4.4运营期固体废物污染源</w:t>
      </w:r>
    </w:p>
    <w:p w14:paraId="49B53903">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本项目固体废物主要</w:t>
      </w:r>
      <w:r>
        <w:rPr>
          <w:rFonts w:hint="eastAsia" w:ascii="Times New Roman" w:hAnsi="Times New Roman" w:cs="Times New Roman"/>
          <w:color w:val="000000" w:themeColor="text1"/>
          <w:lang w:val="en-US" w:eastAsia="zh-CN"/>
          <w14:textFill>
            <w14:solidFill>
              <w14:schemeClr w14:val="tx1"/>
            </w14:solidFill>
          </w14:textFill>
        </w:rPr>
        <w:t>包括</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生活垃圾、</w:t>
      </w:r>
      <w:r>
        <w:rPr>
          <w:rFonts w:hint="eastAsia" w:eastAsia="宋体" w:cs="宋体"/>
          <w:color w:val="000000" w:themeColor="text1"/>
          <w:kern w:val="0"/>
          <w:sz w:val="24"/>
          <w:szCs w:val="24"/>
          <w:lang w:val="en-US" w:eastAsia="zh-CN" w:bidi="ar"/>
          <w14:textFill>
            <w14:solidFill>
              <w14:schemeClr w14:val="tx1"/>
            </w14:solidFill>
          </w14:textFill>
        </w:rPr>
        <w:t>锅炉灰渣、碱式喷淋塔污泥、</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鸭粪</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垫料、</w:t>
      </w:r>
      <w:r>
        <w:rPr>
          <w:rFonts w:hint="eastAsia" w:eastAsia="宋体" w:cs="宋体"/>
          <w:color w:val="000000" w:themeColor="text1"/>
          <w:kern w:val="0"/>
          <w:sz w:val="24"/>
          <w:szCs w:val="24"/>
          <w:lang w:val="en-US" w:eastAsia="zh-CN" w:bidi="ar"/>
          <w14:textFill>
            <w14:solidFill>
              <w14:schemeClr w14:val="tx1"/>
            </w14:solidFill>
          </w14:textFill>
        </w:rPr>
        <w:t>淘汰鸭、病死鸭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和医疗废物等，根据《国家危险废物名录》（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年版）以及《危险废物鉴别标准通则》（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GB5085.7-2007</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）判定项目产生的固体废物是否属于危险废物，具体判定结果见下表</w:t>
      </w:r>
      <w:r>
        <w:rPr>
          <w:rFonts w:ascii="Times New Roman" w:hAnsi="Times New Roman" w:cs="Times New Roman"/>
          <w:color w:val="000000" w:themeColor="text1"/>
          <w14:textFill>
            <w14:solidFill>
              <w14:schemeClr w14:val="tx1"/>
            </w14:solidFill>
          </w14:textFill>
        </w:rPr>
        <w:t>。</w:t>
      </w:r>
    </w:p>
    <w:p w14:paraId="6CEA29B5">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.3-1</w:t>
      </w:r>
      <w:r>
        <w:rPr>
          <w:rFonts w:hint="eastAsia" w:eastAsia="宋体" w:cs="Times New Roman"/>
          <w:b/>
          <w:bCs/>
          <w:color w:val="000000" w:themeColor="text1"/>
          <w:lang w:val="en-US" w:eastAsia="zh-CN"/>
          <w14:textFill>
            <w14:solidFill>
              <w14:schemeClr w14:val="tx1"/>
            </w14:solidFill>
          </w14:textFill>
        </w:rPr>
        <w:t>2</w:t>
      </w:r>
      <w:r>
        <w:rPr>
          <w:rFonts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 xml:space="preserve">   项目</w:t>
      </w:r>
      <w:r>
        <w:rPr>
          <w:rFonts w:hint="eastAsia" w:ascii="Times New Roman" w:hAnsi="Times New Roman" w:eastAsia="宋体" w:cs="Times New Roman"/>
          <w:b/>
          <w:bCs/>
          <w:color w:val="000000" w:themeColor="text1"/>
          <w:lang w:val="en-US" w:eastAsia="zh-CN"/>
          <w14:textFill>
            <w14:solidFill>
              <w14:schemeClr w14:val="tx1"/>
            </w14:solidFill>
          </w14:textFill>
        </w:rPr>
        <w:t>固体废物危险属性判定</w:t>
      </w:r>
      <w:r>
        <w:rPr>
          <w:rFonts w:ascii="Times New Roman" w:hAnsi="Times New Roman" w:eastAsia="宋体" w:cs="Times New Roman"/>
          <w:b/>
          <w:bCs/>
          <w:color w:val="000000" w:themeColor="text1"/>
          <w14:textFill>
            <w14:solidFill>
              <w14:schemeClr w14:val="tx1"/>
            </w14:solidFill>
          </w14:textFill>
        </w:rPr>
        <w:t>一览表</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340"/>
        <w:gridCol w:w="1134"/>
        <w:gridCol w:w="1663"/>
        <w:gridCol w:w="1365"/>
        <w:gridCol w:w="1650"/>
        <w:gridCol w:w="1044"/>
      </w:tblGrid>
      <w:tr w14:paraId="55F568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648" w:type="dxa"/>
            <w:tcBorders>
              <w:tl2br w:val="nil"/>
              <w:tr2bl w:val="nil"/>
            </w:tcBorders>
            <w:vAlign w:val="center"/>
          </w:tcPr>
          <w:p w14:paraId="523B51C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1340" w:type="dxa"/>
            <w:tcBorders>
              <w:tl2br w:val="nil"/>
              <w:tr2bl w:val="nil"/>
            </w:tcBorders>
            <w:vAlign w:val="center"/>
          </w:tcPr>
          <w:p w14:paraId="5702C74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固体废物名称</w:t>
            </w:r>
          </w:p>
        </w:tc>
        <w:tc>
          <w:tcPr>
            <w:tcW w:w="1134" w:type="dxa"/>
            <w:tcBorders>
              <w:tl2br w:val="nil"/>
              <w:tr2bl w:val="nil"/>
            </w:tcBorders>
            <w:vAlign w:val="center"/>
          </w:tcPr>
          <w:p w14:paraId="4AF8B48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产生工序</w:t>
            </w:r>
          </w:p>
        </w:tc>
        <w:tc>
          <w:tcPr>
            <w:tcW w:w="1663" w:type="dxa"/>
            <w:tcBorders>
              <w:tl2br w:val="nil"/>
              <w:tr2bl w:val="nil"/>
            </w:tcBorders>
            <w:vAlign w:val="center"/>
          </w:tcPr>
          <w:p w14:paraId="11A9F5D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主要成分</w:t>
            </w:r>
          </w:p>
        </w:tc>
        <w:tc>
          <w:tcPr>
            <w:tcW w:w="1365" w:type="dxa"/>
            <w:tcBorders>
              <w:tl2br w:val="nil"/>
              <w:tr2bl w:val="nil"/>
            </w:tcBorders>
            <w:vAlign w:val="center"/>
          </w:tcPr>
          <w:p w14:paraId="6FC3E13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危废</w:t>
            </w:r>
            <w:r>
              <w:rPr>
                <w:rFonts w:hint="eastAsia" w:ascii="Times New Roman" w:hAnsi="Times New Roman"/>
                <w:color w:val="000000" w:themeColor="text1"/>
                <w:szCs w:val="21"/>
                <w:lang w:val="en-US" w:eastAsia="zh-CN"/>
                <w14:textFill>
                  <w14:solidFill>
                    <w14:schemeClr w14:val="tx1"/>
                  </w14:solidFill>
                </w14:textFill>
              </w:rPr>
              <w:t>属性</w:t>
            </w:r>
          </w:p>
        </w:tc>
        <w:tc>
          <w:tcPr>
            <w:tcW w:w="1650" w:type="dxa"/>
            <w:tcBorders>
              <w:tl2br w:val="nil"/>
              <w:tr2bl w:val="nil"/>
            </w:tcBorders>
            <w:vAlign w:val="center"/>
          </w:tcPr>
          <w:p w14:paraId="6E4D272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废物类别</w:t>
            </w:r>
          </w:p>
        </w:tc>
        <w:tc>
          <w:tcPr>
            <w:tcW w:w="1044" w:type="dxa"/>
            <w:tcBorders>
              <w:tl2br w:val="nil"/>
              <w:tr2bl w:val="nil"/>
            </w:tcBorders>
            <w:vAlign w:val="center"/>
          </w:tcPr>
          <w:p w14:paraId="450F864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废物代码</w:t>
            </w:r>
          </w:p>
        </w:tc>
      </w:tr>
      <w:tr w14:paraId="7E2A9F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60B87F1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340" w:type="dxa"/>
            <w:tcBorders>
              <w:tl2br w:val="nil"/>
              <w:tr2bl w:val="nil"/>
            </w:tcBorders>
            <w:vAlign w:val="center"/>
          </w:tcPr>
          <w:p w14:paraId="7B2EE80E">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医疗废物</w:t>
            </w:r>
          </w:p>
        </w:tc>
        <w:tc>
          <w:tcPr>
            <w:tcW w:w="1134" w:type="dxa"/>
            <w:tcBorders>
              <w:tl2br w:val="nil"/>
              <w:tr2bl w:val="nil"/>
            </w:tcBorders>
            <w:vAlign w:val="center"/>
          </w:tcPr>
          <w:p w14:paraId="6FC56D3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鸭只防疫</w:t>
            </w:r>
          </w:p>
        </w:tc>
        <w:tc>
          <w:tcPr>
            <w:tcW w:w="1663" w:type="dxa"/>
            <w:tcBorders>
              <w:tl2br w:val="nil"/>
              <w:tr2bl w:val="nil"/>
            </w:tcBorders>
            <w:vAlign w:val="center"/>
          </w:tcPr>
          <w:p w14:paraId="6225501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废药品、废针管、过期药</w:t>
            </w:r>
          </w:p>
        </w:tc>
        <w:tc>
          <w:tcPr>
            <w:tcW w:w="1365" w:type="dxa"/>
            <w:tcBorders>
              <w:tl2br w:val="nil"/>
              <w:tr2bl w:val="nil"/>
            </w:tcBorders>
            <w:vAlign w:val="center"/>
          </w:tcPr>
          <w:p w14:paraId="127571EF">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是</w:t>
            </w:r>
          </w:p>
        </w:tc>
        <w:tc>
          <w:tcPr>
            <w:tcW w:w="1650" w:type="dxa"/>
            <w:tcBorders>
              <w:tl2br w:val="nil"/>
              <w:tr2bl w:val="nil"/>
            </w:tcBorders>
            <w:vAlign w:val="center"/>
          </w:tcPr>
          <w:p w14:paraId="58AE50B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危险废物</w:t>
            </w:r>
          </w:p>
        </w:tc>
        <w:tc>
          <w:tcPr>
            <w:tcW w:w="1044" w:type="dxa"/>
            <w:tcBorders>
              <w:tl2br w:val="nil"/>
              <w:tr2bl w:val="nil"/>
            </w:tcBorders>
            <w:vAlign w:val="center"/>
          </w:tcPr>
          <w:p w14:paraId="345364C8">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HW01</w:t>
            </w:r>
          </w:p>
        </w:tc>
      </w:tr>
      <w:tr w14:paraId="75A52F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30E436A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340" w:type="dxa"/>
            <w:tcBorders>
              <w:tl2br w:val="nil"/>
              <w:tr2bl w:val="nil"/>
            </w:tcBorders>
            <w:vAlign w:val="center"/>
          </w:tcPr>
          <w:p w14:paraId="351343B1">
            <w:pPr>
              <w:pStyle w:val="56"/>
              <w:rPr>
                <w:rFonts w:hint="eastAsia"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鸭粪</w:t>
            </w:r>
            <w:r>
              <w:rPr>
                <w:rFonts w:hint="default" w:ascii="Times New Roman" w:hAnsi="Times New Roman"/>
                <w:color w:val="000000" w:themeColor="text1"/>
                <w:szCs w:val="21"/>
                <w:lang w:val="en-US"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垫料</w:t>
            </w:r>
          </w:p>
        </w:tc>
        <w:tc>
          <w:tcPr>
            <w:tcW w:w="1134" w:type="dxa"/>
            <w:tcBorders>
              <w:tl2br w:val="nil"/>
              <w:tr2bl w:val="nil"/>
            </w:tcBorders>
            <w:vAlign w:val="center"/>
          </w:tcPr>
          <w:p w14:paraId="578B4E8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鸭舍</w:t>
            </w:r>
          </w:p>
        </w:tc>
        <w:tc>
          <w:tcPr>
            <w:tcW w:w="1663" w:type="dxa"/>
            <w:tcBorders>
              <w:tl2br w:val="nil"/>
              <w:tr2bl w:val="nil"/>
            </w:tcBorders>
            <w:vAlign w:val="center"/>
          </w:tcPr>
          <w:p w14:paraId="59E013D7">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粪污</w:t>
            </w:r>
          </w:p>
        </w:tc>
        <w:tc>
          <w:tcPr>
            <w:tcW w:w="1365" w:type="dxa"/>
            <w:tcBorders>
              <w:tl2br w:val="nil"/>
              <w:tr2bl w:val="nil"/>
            </w:tcBorders>
            <w:vAlign w:val="center"/>
          </w:tcPr>
          <w:p w14:paraId="02D79834">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否</w:t>
            </w:r>
          </w:p>
        </w:tc>
        <w:tc>
          <w:tcPr>
            <w:tcW w:w="1650" w:type="dxa"/>
            <w:tcBorders>
              <w:tl2br w:val="nil"/>
              <w:tr2bl w:val="nil"/>
            </w:tcBorders>
            <w:vAlign w:val="center"/>
          </w:tcPr>
          <w:p w14:paraId="1DE0E7B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一般固体废物</w:t>
            </w:r>
          </w:p>
        </w:tc>
        <w:tc>
          <w:tcPr>
            <w:tcW w:w="1044" w:type="dxa"/>
            <w:tcBorders>
              <w:tl2br w:val="nil"/>
              <w:tr2bl w:val="nil"/>
            </w:tcBorders>
            <w:vAlign w:val="center"/>
          </w:tcPr>
          <w:p w14:paraId="2ADDC0F2">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14:paraId="75CB99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2249B6F7">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w:t>
            </w:r>
          </w:p>
        </w:tc>
        <w:tc>
          <w:tcPr>
            <w:tcW w:w="1340" w:type="dxa"/>
            <w:tcBorders>
              <w:tl2br w:val="nil"/>
              <w:tr2bl w:val="nil"/>
            </w:tcBorders>
            <w:vAlign w:val="center"/>
          </w:tcPr>
          <w:p w14:paraId="6CC5EF6B">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淘汰鸭、病死鸭</w:t>
            </w:r>
          </w:p>
        </w:tc>
        <w:tc>
          <w:tcPr>
            <w:tcW w:w="1134" w:type="dxa"/>
            <w:tcBorders>
              <w:tl2br w:val="nil"/>
              <w:tr2bl w:val="nil"/>
            </w:tcBorders>
            <w:vAlign w:val="center"/>
          </w:tcPr>
          <w:p w14:paraId="14F10186">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鸭舍</w:t>
            </w:r>
          </w:p>
        </w:tc>
        <w:tc>
          <w:tcPr>
            <w:tcW w:w="1663" w:type="dxa"/>
            <w:tcBorders>
              <w:tl2br w:val="nil"/>
              <w:tr2bl w:val="nil"/>
            </w:tcBorders>
            <w:vAlign w:val="center"/>
          </w:tcPr>
          <w:p w14:paraId="43B42157">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淘汰鸭、病死鸭</w:t>
            </w:r>
          </w:p>
        </w:tc>
        <w:tc>
          <w:tcPr>
            <w:tcW w:w="1365" w:type="dxa"/>
            <w:tcBorders>
              <w:tl2br w:val="nil"/>
              <w:tr2bl w:val="nil"/>
            </w:tcBorders>
            <w:vAlign w:val="center"/>
          </w:tcPr>
          <w:p w14:paraId="3FE42FF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否</w:t>
            </w:r>
          </w:p>
        </w:tc>
        <w:tc>
          <w:tcPr>
            <w:tcW w:w="1650" w:type="dxa"/>
            <w:tcBorders>
              <w:tl2br w:val="nil"/>
              <w:tr2bl w:val="nil"/>
            </w:tcBorders>
            <w:vAlign w:val="center"/>
          </w:tcPr>
          <w:p w14:paraId="31B9ADA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一般固体废物</w:t>
            </w:r>
          </w:p>
        </w:tc>
        <w:tc>
          <w:tcPr>
            <w:tcW w:w="1044" w:type="dxa"/>
            <w:tcBorders>
              <w:tl2br w:val="nil"/>
              <w:tr2bl w:val="nil"/>
            </w:tcBorders>
            <w:vAlign w:val="center"/>
          </w:tcPr>
          <w:p w14:paraId="24ECF0CD">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14:paraId="310B24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195F1D11">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w:t>
            </w:r>
          </w:p>
        </w:tc>
        <w:tc>
          <w:tcPr>
            <w:tcW w:w="1340" w:type="dxa"/>
            <w:tcBorders>
              <w:tl2br w:val="nil"/>
              <w:tr2bl w:val="nil"/>
            </w:tcBorders>
            <w:vAlign w:val="center"/>
          </w:tcPr>
          <w:p w14:paraId="037936A4">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生活垃圾</w:t>
            </w:r>
          </w:p>
        </w:tc>
        <w:tc>
          <w:tcPr>
            <w:tcW w:w="1134" w:type="dxa"/>
            <w:tcBorders>
              <w:tl2br w:val="nil"/>
              <w:tr2bl w:val="nil"/>
            </w:tcBorders>
            <w:vAlign w:val="center"/>
          </w:tcPr>
          <w:p w14:paraId="16B7BD0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办公生活区</w:t>
            </w:r>
          </w:p>
        </w:tc>
        <w:tc>
          <w:tcPr>
            <w:tcW w:w="1663" w:type="dxa"/>
            <w:tcBorders>
              <w:tl2br w:val="nil"/>
              <w:tr2bl w:val="nil"/>
            </w:tcBorders>
            <w:vAlign w:val="center"/>
          </w:tcPr>
          <w:p w14:paraId="5B8792A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废纸、食物残渣等</w:t>
            </w:r>
          </w:p>
        </w:tc>
        <w:tc>
          <w:tcPr>
            <w:tcW w:w="1365" w:type="dxa"/>
            <w:tcBorders>
              <w:tl2br w:val="nil"/>
              <w:tr2bl w:val="nil"/>
            </w:tcBorders>
            <w:vAlign w:val="center"/>
          </w:tcPr>
          <w:p w14:paraId="55762C64">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否</w:t>
            </w:r>
          </w:p>
        </w:tc>
        <w:tc>
          <w:tcPr>
            <w:tcW w:w="1650" w:type="dxa"/>
            <w:tcBorders>
              <w:tl2br w:val="nil"/>
              <w:tr2bl w:val="nil"/>
            </w:tcBorders>
            <w:vAlign w:val="center"/>
          </w:tcPr>
          <w:p w14:paraId="457AC7F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一般固体废物</w:t>
            </w:r>
          </w:p>
        </w:tc>
        <w:tc>
          <w:tcPr>
            <w:tcW w:w="1044" w:type="dxa"/>
            <w:tcBorders>
              <w:tl2br w:val="nil"/>
              <w:tr2bl w:val="nil"/>
            </w:tcBorders>
            <w:vAlign w:val="center"/>
          </w:tcPr>
          <w:p w14:paraId="23BAE3E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14:paraId="404532A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33AE51A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340" w:type="dxa"/>
            <w:tcBorders>
              <w:tl2br w:val="nil"/>
              <w:tr2bl w:val="nil"/>
            </w:tcBorders>
            <w:vAlign w:val="center"/>
          </w:tcPr>
          <w:p w14:paraId="4605C84F">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锅炉灰渣</w:t>
            </w:r>
          </w:p>
        </w:tc>
        <w:tc>
          <w:tcPr>
            <w:tcW w:w="1134" w:type="dxa"/>
            <w:tcBorders>
              <w:tl2br w:val="nil"/>
              <w:tr2bl w:val="nil"/>
            </w:tcBorders>
            <w:vAlign w:val="center"/>
          </w:tcPr>
          <w:p w14:paraId="298C70DA">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供热</w:t>
            </w:r>
          </w:p>
        </w:tc>
        <w:tc>
          <w:tcPr>
            <w:tcW w:w="1663" w:type="dxa"/>
            <w:tcBorders>
              <w:tl2br w:val="nil"/>
              <w:tr2bl w:val="nil"/>
            </w:tcBorders>
            <w:vAlign w:val="center"/>
          </w:tcPr>
          <w:p w14:paraId="0D93A68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灰渣</w:t>
            </w:r>
          </w:p>
        </w:tc>
        <w:tc>
          <w:tcPr>
            <w:tcW w:w="1365" w:type="dxa"/>
            <w:tcBorders>
              <w:tl2br w:val="nil"/>
              <w:tr2bl w:val="nil"/>
            </w:tcBorders>
            <w:vAlign w:val="center"/>
          </w:tcPr>
          <w:p w14:paraId="7E87E8D7">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否</w:t>
            </w:r>
          </w:p>
        </w:tc>
        <w:tc>
          <w:tcPr>
            <w:tcW w:w="1650" w:type="dxa"/>
            <w:tcBorders>
              <w:tl2br w:val="nil"/>
              <w:tr2bl w:val="nil"/>
            </w:tcBorders>
            <w:vAlign w:val="center"/>
          </w:tcPr>
          <w:p w14:paraId="341BFA6E">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一般固体废物</w:t>
            </w:r>
          </w:p>
        </w:tc>
        <w:tc>
          <w:tcPr>
            <w:tcW w:w="1044" w:type="dxa"/>
            <w:tcBorders>
              <w:tl2br w:val="nil"/>
              <w:tr2bl w:val="nil"/>
            </w:tcBorders>
            <w:vAlign w:val="center"/>
          </w:tcPr>
          <w:p w14:paraId="7254B4A7">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14:paraId="3C6C53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648" w:type="dxa"/>
            <w:tcBorders>
              <w:tl2br w:val="nil"/>
              <w:tr2bl w:val="nil"/>
            </w:tcBorders>
            <w:vAlign w:val="center"/>
          </w:tcPr>
          <w:p w14:paraId="599FCEB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340" w:type="dxa"/>
            <w:tcBorders>
              <w:tl2br w:val="nil"/>
              <w:tr2bl w:val="nil"/>
            </w:tcBorders>
            <w:vAlign w:val="center"/>
          </w:tcPr>
          <w:p w14:paraId="414BB542">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喷淋塔污泥</w:t>
            </w:r>
          </w:p>
        </w:tc>
        <w:tc>
          <w:tcPr>
            <w:tcW w:w="1134" w:type="dxa"/>
            <w:tcBorders>
              <w:tl2br w:val="nil"/>
              <w:tr2bl w:val="nil"/>
            </w:tcBorders>
            <w:vAlign w:val="center"/>
          </w:tcPr>
          <w:p w14:paraId="368D75F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烟气治理</w:t>
            </w:r>
          </w:p>
        </w:tc>
        <w:tc>
          <w:tcPr>
            <w:tcW w:w="1663" w:type="dxa"/>
            <w:tcBorders>
              <w:tl2br w:val="nil"/>
              <w:tr2bl w:val="nil"/>
            </w:tcBorders>
            <w:vAlign w:val="center"/>
          </w:tcPr>
          <w:p w14:paraId="2D80347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灰渣、硫酸钙、硝酸钙等</w:t>
            </w:r>
          </w:p>
        </w:tc>
        <w:tc>
          <w:tcPr>
            <w:tcW w:w="1365" w:type="dxa"/>
            <w:tcBorders>
              <w:tl2br w:val="nil"/>
              <w:tr2bl w:val="nil"/>
            </w:tcBorders>
            <w:vAlign w:val="center"/>
          </w:tcPr>
          <w:p w14:paraId="46BB7501">
            <w:pPr>
              <w:pStyle w:val="56"/>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否</w:t>
            </w:r>
          </w:p>
        </w:tc>
        <w:tc>
          <w:tcPr>
            <w:tcW w:w="1650" w:type="dxa"/>
            <w:tcBorders>
              <w:tl2br w:val="nil"/>
              <w:tr2bl w:val="nil"/>
            </w:tcBorders>
            <w:vAlign w:val="center"/>
          </w:tcPr>
          <w:p w14:paraId="5F555FE5">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一般固体废物</w:t>
            </w:r>
          </w:p>
        </w:tc>
        <w:tc>
          <w:tcPr>
            <w:tcW w:w="1044" w:type="dxa"/>
            <w:tcBorders>
              <w:tl2br w:val="nil"/>
              <w:tr2bl w:val="nil"/>
            </w:tcBorders>
            <w:vAlign w:val="center"/>
          </w:tcPr>
          <w:p w14:paraId="3C89A04B">
            <w:pPr>
              <w:pStyle w:val="56"/>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bl>
    <w:p w14:paraId="4A506BDB">
      <w:pPr>
        <w:numPr>
          <w:ilvl w:val="0"/>
          <w:numId w:val="0"/>
        </w:num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sz w:val="24"/>
          <w:szCs w:val="22"/>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2"/>
          <w:lang w:val="en-US" w:eastAsia="zh-CN" w:bidi="ar-SA"/>
          <w14:textFill>
            <w14:solidFill>
              <w14:schemeClr w14:val="tx1"/>
            </w14:solidFill>
          </w14:textFill>
        </w:rPr>
        <w:t>1</w:t>
      </w:r>
      <w:r>
        <w:rPr>
          <w:rFonts w:hint="eastAsia" w:ascii="Times New Roman" w:hAnsi="Times New Roman" w:cs="Times New Roman" w:eastAsiaTheme="minorEastAsia"/>
          <w:color w:val="000000" w:themeColor="text1"/>
          <w:kern w:val="2"/>
          <w:sz w:val="24"/>
          <w:szCs w:val="22"/>
          <w:lang w:val="en-US" w:eastAsia="zh-CN" w:bidi="ar-SA"/>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医疗废物</w:t>
      </w:r>
    </w:p>
    <w:p w14:paraId="666244C8">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拟建项目运营过程中产生的危险废物主要包括医疗废物。危险废物储存在危废暂存间中，委托有资质的单位处置。</w:t>
      </w:r>
    </w:p>
    <w:p w14:paraId="57C25F88">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鸭只防疫会产生废疫苗瓶、废消毒剂瓶、废兽药瓶等医疗废物。本疫苗使用量为</w:t>
      </w:r>
      <w:r>
        <w:rPr>
          <w:rFonts w:hint="eastAsia" w:eastAsia="宋体" w:cs="Times New Roman"/>
          <w:color w:val="000000" w:themeColor="text1"/>
          <w:kern w:val="0"/>
          <w:sz w:val="24"/>
          <w:szCs w:val="24"/>
          <w:lang w:val="en-US" w:eastAsia="zh-CN" w:bidi="ar"/>
          <w14:textFill>
            <w14:solidFill>
              <w14:schemeClr w14:val="tx1"/>
            </w14:solidFill>
          </w14:textFill>
        </w:rPr>
        <w:t>90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，每支按照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0.1kg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计，则废疫苗瓶产生量约为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eastAsia="宋体" w:cs="Times New Roman"/>
          <w:color w:val="000000" w:themeColor="text1"/>
          <w:kern w:val="0"/>
          <w:sz w:val="24"/>
          <w:szCs w:val="24"/>
          <w:lang w:val="en-US" w:eastAsia="zh-CN" w:bidi="ar"/>
          <w14:textFill>
            <w14:solidFill>
              <w14:schemeClr w14:val="tx1"/>
            </w14:solidFill>
          </w14:textFill>
        </w:rPr>
        <w:t>09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；双抗使用量为</w:t>
      </w:r>
      <w:r>
        <w:rPr>
          <w:rFonts w:hint="eastAsia" w:eastAsia="宋体" w:cs="Times New Roman"/>
          <w:color w:val="000000" w:themeColor="text1"/>
          <w:kern w:val="0"/>
          <w:sz w:val="24"/>
          <w:szCs w:val="24"/>
          <w:lang w:val="en-US" w:eastAsia="zh-CN" w:bidi="ar"/>
          <w14:textFill>
            <w14:solidFill>
              <w14:schemeClr w14:val="tx1"/>
            </w14:solidFill>
          </w14:textFill>
        </w:rPr>
        <w:t>18</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，维生素使用量为</w:t>
      </w:r>
      <w:r>
        <w:rPr>
          <w:rFonts w:hint="eastAsia" w:eastAsia="宋体" w:cs="宋体"/>
          <w:color w:val="000000" w:themeColor="text1"/>
          <w:kern w:val="0"/>
          <w:sz w:val="24"/>
          <w:szCs w:val="24"/>
          <w:lang w:val="en-US" w:eastAsia="zh-CN" w:bidi="ar"/>
          <w14:textFill>
            <w14:solidFill>
              <w14:schemeClr w14:val="tx1"/>
            </w14:solidFill>
          </w14:textFill>
        </w:rPr>
        <w:t>18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0包/a，阿莫西林使用量为</w:t>
      </w:r>
      <w:r>
        <w:rPr>
          <w:rFonts w:hint="eastAsia" w:eastAsia="宋体" w:cs="宋体"/>
          <w:color w:val="000000" w:themeColor="text1"/>
          <w:kern w:val="0"/>
          <w:sz w:val="24"/>
          <w:szCs w:val="24"/>
          <w:lang w:val="en-US" w:eastAsia="zh-CN" w:bidi="ar"/>
          <w14:textFill>
            <w14:solidFill>
              <w14:schemeClr w14:val="tx1"/>
            </w14:solidFill>
          </w14:textFill>
        </w:rPr>
        <w:t>90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0包/a，每包按照</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计，则废药包产生量约为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0.1</w:t>
      </w:r>
      <w:r>
        <w:rPr>
          <w:rFonts w:hint="eastAsia" w:eastAsia="宋体" w:cs="Times New Roman"/>
          <w:color w:val="000000" w:themeColor="text1"/>
          <w:kern w:val="0"/>
          <w:sz w:val="24"/>
          <w:szCs w:val="24"/>
          <w:lang w:val="en-US" w:eastAsia="zh-CN" w:bidi="ar"/>
          <w14:textFill>
            <w14:solidFill>
              <w14:schemeClr w14:val="tx1"/>
            </w14:solidFill>
          </w14:textFill>
        </w:rPr>
        <w:t>44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；消毒剂使用量为</w:t>
      </w:r>
      <w:r>
        <w:rPr>
          <w:rFonts w:hint="eastAsia" w:eastAsia="宋体" w:cs="Times New Roman"/>
          <w:color w:val="000000" w:themeColor="text1"/>
          <w:kern w:val="0"/>
          <w:sz w:val="24"/>
          <w:szCs w:val="24"/>
          <w:lang w:val="en-US" w:eastAsia="zh-CN" w:bidi="ar"/>
          <w14:textFill>
            <w14:solidFill>
              <w14:schemeClr w14:val="tx1"/>
            </w14:solidFill>
          </w14:textFill>
        </w:rPr>
        <w:t>10000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，每个瓶按照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计，则废消毒剂瓶产生量约为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；项目废疫苗瓶、废消毒剂瓶、废药袋等医疗废物产生量约为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eastAsia="宋体" w:cs="Times New Roman"/>
          <w:color w:val="000000" w:themeColor="text1"/>
          <w:kern w:val="0"/>
          <w:sz w:val="24"/>
          <w:szCs w:val="24"/>
          <w:lang w:val="en-US" w:eastAsia="zh-CN" w:bidi="ar"/>
          <w14:textFill>
            <w14:solidFill>
              <w14:schemeClr w14:val="tx1"/>
            </w14:solidFill>
          </w14:textFill>
        </w:rPr>
        <w:t>153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，根据《国家危险废物名录》（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年本），废疫苗瓶属于“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卫生”中“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841-005-01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药物性废物”。防疫医疗废物均暂存于场区危废间（</w:t>
      </w:r>
      <w:r>
        <w:rPr>
          <w:rFonts w:hint="eastAsia" w:eastAsia="宋体" w:cs="宋体"/>
          <w:color w:val="000000" w:themeColor="text1"/>
          <w:kern w:val="0"/>
          <w:sz w:val="24"/>
          <w:szCs w:val="24"/>
          <w:lang w:val="en-US" w:eastAsia="zh-CN" w:bidi="ar"/>
          <w14:textFill>
            <w14:solidFill>
              <w14:schemeClr w14:val="tx1"/>
            </w14:solidFill>
          </w14:textFill>
        </w:rPr>
        <w:t>拟建于场区南部管理用房</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）后，定期委托有资质单位进行处置。</w:t>
      </w:r>
    </w:p>
    <w:p w14:paraId="7E3178B7">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.3-1</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 xml:space="preserve">   项目</w:t>
      </w:r>
      <w:r>
        <w:rPr>
          <w:rFonts w:hint="eastAsia" w:ascii="Times New Roman" w:hAnsi="Times New Roman" w:eastAsia="宋体" w:cs="Times New Roman"/>
          <w:b/>
          <w:bCs/>
          <w:color w:val="000000" w:themeColor="text1"/>
          <w:lang w:val="en-US" w:eastAsia="zh-CN"/>
          <w14:textFill>
            <w14:solidFill>
              <w14:schemeClr w14:val="tx1"/>
            </w14:solidFill>
          </w14:textFill>
        </w:rPr>
        <w:t>危险废物产生情况</w:t>
      </w:r>
      <w:r>
        <w:rPr>
          <w:rFonts w:ascii="Times New Roman" w:hAnsi="Times New Roman" w:eastAsia="宋体" w:cs="Times New Roman"/>
          <w:b/>
          <w:bCs/>
          <w:color w:val="000000" w:themeColor="text1"/>
          <w14:textFill>
            <w14:solidFill>
              <w14:schemeClr w14:val="tx1"/>
            </w14:solidFill>
          </w14:textFill>
        </w:rPr>
        <w:t>一览表</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59"/>
        <w:gridCol w:w="1180"/>
        <w:gridCol w:w="1136"/>
        <w:gridCol w:w="1470"/>
        <w:gridCol w:w="1203"/>
        <w:gridCol w:w="1459"/>
        <w:gridCol w:w="916"/>
        <w:gridCol w:w="916"/>
      </w:tblGrid>
      <w:tr w14:paraId="1C5F26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326" w:type="pct"/>
            <w:tcBorders>
              <w:tl2br w:val="nil"/>
              <w:tr2bl w:val="nil"/>
            </w:tcBorders>
            <w:vAlign w:val="center"/>
          </w:tcPr>
          <w:p w14:paraId="6318A5C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677" w:type="pct"/>
            <w:tcBorders>
              <w:tl2br w:val="nil"/>
              <w:tr2bl w:val="nil"/>
            </w:tcBorders>
            <w:vAlign w:val="center"/>
          </w:tcPr>
          <w:p w14:paraId="6B0D013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危废名称</w:t>
            </w:r>
          </w:p>
        </w:tc>
        <w:tc>
          <w:tcPr>
            <w:tcW w:w="573" w:type="pct"/>
            <w:tcBorders>
              <w:tl2br w:val="nil"/>
              <w:tr2bl w:val="nil"/>
            </w:tcBorders>
            <w:vAlign w:val="center"/>
          </w:tcPr>
          <w:p w14:paraId="7094138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危废代码</w:t>
            </w:r>
          </w:p>
        </w:tc>
        <w:tc>
          <w:tcPr>
            <w:tcW w:w="841" w:type="pct"/>
            <w:tcBorders>
              <w:tl2br w:val="nil"/>
              <w:tr2bl w:val="nil"/>
            </w:tcBorders>
            <w:vAlign w:val="center"/>
          </w:tcPr>
          <w:p w14:paraId="4C95B98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color w:val="000000" w:themeColor="text1"/>
                <w:szCs w:val="21"/>
                <w:lang w:val="en-US" w:eastAsia="zh-CN"/>
                <w14:textFill>
                  <w14:solidFill>
                    <w14:schemeClr w14:val="tx1"/>
                  </w14:solidFill>
                </w14:textFill>
              </w:rPr>
              <w:t>）</w:t>
            </w:r>
          </w:p>
        </w:tc>
        <w:tc>
          <w:tcPr>
            <w:tcW w:w="690" w:type="pct"/>
            <w:tcBorders>
              <w:tl2br w:val="nil"/>
              <w:tr2bl w:val="nil"/>
            </w:tcBorders>
            <w:vAlign w:val="center"/>
          </w:tcPr>
          <w:p w14:paraId="5912F27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形态</w:t>
            </w:r>
          </w:p>
        </w:tc>
        <w:tc>
          <w:tcPr>
            <w:tcW w:w="834" w:type="pct"/>
            <w:tcBorders>
              <w:tl2br w:val="nil"/>
              <w:tr2bl w:val="nil"/>
            </w:tcBorders>
            <w:vAlign w:val="center"/>
          </w:tcPr>
          <w:p w14:paraId="504F301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主要成分</w:t>
            </w:r>
          </w:p>
        </w:tc>
        <w:tc>
          <w:tcPr>
            <w:tcW w:w="527" w:type="pct"/>
            <w:tcBorders>
              <w:tl2br w:val="nil"/>
              <w:tr2bl w:val="nil"/>
            </w:tcBorders>
            <w:vAlign w:val="center"/>
          </w:tcPr>
          <w:p w14:paraId="31CBF0C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危险特性</w:t>
            </w:r>
          </w:p>
        </w:tc>
        <w:tc>
          <w:tcPr>
            <w:tcW w:w="527" w:type="pct"/>
            <w:tcBorders>
              <w:tl2br w:val="nil"/>
              <w:tr2bl w:val="nil"/>
            </w:tcBorders>
            <w:vAlign w:val="center"/>
          </w:tcPr>
          <w:p w14:paraId="6CAD8FD3">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措施</w:t>
            </w:r>
          </w:p>
        </w:tc>
      </w:tr>
      <w:tr w14:paraId="7EFAF1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326" w:type="pct"/>
            <w:tcBorders>
              <w:tl2br w:val="nil"/>
              <w:tr2bl w:val="nil"/>
            </w:tcBorders>
            <w:vAlign w:val="center"/>
          </w:tcPr>
          <w:p w14:paraId="64C908F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677" w:type="pct"/>
            <w:tcBorders>
              <w:tl2br w:val="nil"/>
              <w:tr2bl w:val="nil"/>
            </w:tcBorders>
            <w:vAlign w:val="center"/>
          </w:tcPr>
          <w:p w14:paraId="04F7CA9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医疗废物</w:t>
            </w:r>
          </w:p>
        </w:tc>
        <w:tc>
          <w:tcPr>
            <w:tcW w:w="573" w:type="pct"/>
            <w:tcBorders>
              <w:tl2br w:val="nil"/>
              <w:tr2bl w:val="nil"/>
            </w:tcBorders>
            <w:vAlign w:val="center"/>
          </w:tcPr>
          <w:p w14:paraId="5D06342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841-005-01</w:t>
            </w:r>
          </w:p>
        </w:tc>
        <w:tc>
          <w:tcPr>
            <w:tcW w:w="841" w:type="pct"/>
            <w:tcBorders>
              <w:tl2br w:val="nil"/>
              <w:tr2bl w:val="nil"/>
            </w:tcBorders>
            <w:vAlign w:val="center"/>
          </w:tcPr>
          <w:p w14:paraId="6B97485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2.153</w:t>
            </w:r>
          </w:p>
        </w:tc>
        <w:tc>
          <w:tcPr>
            <w:tcW w:w="690" w:type="pct"/>
            <w:tcBorders>
              <w:tl2br w:val="nil"/>
              <w:tr2bl w:val="nil"/>
            </w:tcBorders>
            <w:vAlign w:val="center"/>
          </w:tcPr>
          <w:p w14:paraId="1E4B1A2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固体</w:t>
            </w:r>
          </w:p>
        </w:tc>
        <w:tc>
          <w:tcPr>
            <w:tcW w:w="834" w:type="pct"/>
            <w:tcBorders>
              <w:tl2br w:val="nil"/>
              <w:tr2bl w:val="nil"/>
            </w:tcBorders>
            <w:vAlign w:val="center"/>
          </w:tcPr>
          <w:p w14:paraId="5944497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疫苗、药品等</w:t>
            </w:r>
          </w:p>
        </w:tc>
        <w:tc>
          <w:tcPr>
            <w:tcW w:w="527" w:type="pct"/>
            <w:tcBorders>
              <w:tl2br w:val="nil"/>
              <w:tr2bl w:val="nil"/>
            </w:tcBorders>
            <w:vAlign w:val="center"/>
          </w:tcPr>
          <w:p w14:paraId="06C4B79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感染性</w:t>
            </w:r>
          </w:p>
        </w:tc>
        <w:tc>
          <w:tcPr>
            <w:tcW w:w="527" w:type="pct"/>
            <w:tcBorders>
              <w:tl2br w:val="nil"/>
              <w:tr2bl w:val="nil"/>
            </w:tcBorders>
            <w:vAlign w:val="center"/>
          </w:tcPr>
          <w:p w14:paraId="37533BE3">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桶装，暂存于危废间</w:t>
            </w:r>
          </w:p>
        </w:tc>
      </w:tr>
    </w:tbl>
    <w:p w14:paraId="611BEDF1">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危险废物收集和临时储存措施按《危险废物贮存污染控制标准》（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 18597—2023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）中规定进行：</w:t>
      </w:r>
    </w:p>
    <w:p w14:paraId="7C715A29">
      <w:pPr>
        <w:keepNext w:val="0"/>
        <w:keepLines w:val="0"/>
        <w:widowControl/>
        <w:suppressLineNumbers w:val="0"/>
        <w:jc w:val="left"/>
        <w:rPr>
          <w:rFonts w:hint="default" w:ascii="Times New Roman" w:hAnsi="Times New Roman"/>
          <w:color w:val="000000" w:themeColor="text1"/>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14:paraId="1D4E5F9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②贮存设施应根据危险废物的类别、数量、形态、物理化学性质和污染防治等要求设置必要的贮存分区，避免不相容的危险废物接触、混合。</w:t>
      </w:r>
    </w:p>
    <w:p w14:paraId="3B72C4F0">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③贮存设施或贮存分区内地面、墙面裙角、堵截泄漏的围堰、接触危险废物的隔板和墙体等应采用坚固的材料建造，表面无裂缝。</w:t>
      </w:r>
    </w:p>
    <w:p w14:paraId="427941F9">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w:t>
      </w:r>
    </w:p>
    <w:p w14:paraId="1CC93DAD">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⑤贮存设施应采取技术和管理措施防止无关人员进入。</w:t>
      </w:r>
    </w:p>
    <w:p w14:paraId="5B185C88">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⑥同一贮存设施宜采用相同的防渗、防腐工艺（包括防渗、防腐结构或材料），防渗、防腐材料应覆盖所有可能与废物及其渗滤液、渗漏液等接触的构筑物表面；采用不同防渗、防腐工艺应分别建设贮存分区。</w:t>
      </w:r>
    </w:p>
    <w:p w14:paraId="40F2F058">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⑦医疗废物暂存贮存必须与生活垃圾存放地分开。防鼠。防蚊蝇、防蟑螂，防盗以及预防儿童接触等安全措施到位。</w:t>
      </w:r>
    </w:p>
    <w:p w14:paraId="16805D14">
      <w:pPr>
        <w:keepNext w:val="0"/>
        <w:keepLines w:val="0"/>
        <w:widowControl/>
        <w:suppressLineNumbers w:val="0"/>
        <w:jc w:val="left"/>
        <w:rPr>
          <w:rFonts w:ascii="Times New Roman" w:hAnsi="Times New Roman"/>
          <w:color w:val="auto"/>
        </w:rPr>
      </w:pPr>
      <w:r>
        <w:rPr>
          <w:rFonts w:hint="eastAsia" w:ascii="Times New Roman" w:hAnsi="Times New Roman" w:eastAsia="宋体" w:cs="宋体"/>
          <w:color w:val="auto"/>
          <w:kern w:val="0"/>
          <w:sz w:val="24"/>
          <w:szCs w:val="24"/>
          <w:lang w:val="en-US" w:eastAsia="zh-CN" w:bidi="ar"/>
        </w:rPr>
        <w:t>⑧如暂存间内有散落废弃物，及时收集到包装袋内，医疗废物暂存时间不得超过</w:t>
      </w:r>
      <w:r>
        <w:rPr>
          <w:rFonts w:hint="default" w:ascii="Times New Roman" w:hAnsi="Times New Roman" w:eastAsia="宋体" w:cs="Times New Roman"/>
          <w:color w:val="auto"/>
          <w:kern w:val="0"/>
          <w:sz w:val="24"/>
          <w:szCs w:val="24"/>
          <w:lang w:val="en-US" w:eastAsia="zh-CN" w:bidi="ar"/>
        </w:rPr>
        <w:t>48</w:t>
      </w:r>
      <w:r>
        <w:rPr>
          <w:rFonts w:hint="eastAsia" w:ascii="Times New Roman" w:hAnsi="Times New Roman" w:eastAsia="宋体" w:cs="宋体"/>
          <w:color w:val="auto"/>
          <w:kern w:val="0"/>
          <w:sz w:val="24"/>
          <w:szCs w:val="24"/>
          <w:lang w:val="en-US" w:eastAsia="zh-CN" w:bidi="ar"/>
        </w:rPr>
        <w:t>小时。</w:t>
      </w:r>
    </w:p>
    <w:p w14:paraId="161C6E0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⑨医疗废物暂存间每日工作完毕后冲洗消毒，地面每日用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1000mg/L</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含氯消毒液</w:t>
      </w:r>
      <w:r>
        <w:rPr>
          <w:rFonts w:hint="eastAsia"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密闭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小时，并做好记录，保存备查。</w:t>
      </w:r>
    </w:p>
    <w:p w14:paraId="7802508B">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⑩医疗废物转动车每次转动完毕后，必须立即在指定地点对车体及车厢内进行消毒，禁止在其他场所清洗医疗废物转动车辆。</w:t>
      </w:r>
    </w:p>
    <w:p w14:paraId="37EEE1C3">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ascii="Times New Roman" w:hAnsi="Times New Roman" w:eastAsia="MS PGothic" w:cs="MS PGothic"/>
          <w:color w:val="000000" w:themeColor="text1"/>
          <w:kern w:val="0"/>
          <w:sz w:val="24"/>
          <w:szCs w:val="24"/>
          <w:lang w:val="en-US" w:eastAsia="zh-CN" w:bidi="ar"/>
          <w14:textFill>
            <w14:solidFill>
              <w14:schemeClr w14:val="tx1"/>
            </w14:solidFill>
          </w14:textFill>
        </w:rPr>
        <w:t>⑪</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医疗废物运送车辆在每天运送医疗废物后，及时清洁后、</w:t>
      </w:r>
      <w:r>
        <w:rPr>
          <w:rFonts w:hint="eastAsia"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含氯消毒液</w:t>
      </w:r>
      <w:r>
        <w:rPr>
          <w:rFonts w:hint="eastAsia"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喷洒消毒，干燥后备用，并进行登记，记录消毒日期、时间。</w:t>
      </w:r>
    </w:p>
    <w:p w14:paraId="2D8E05E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MS PGothic" w:cs="MS PGothic"/>
          <w:color w:val="000000" w:themeColor="text1"/>
          <w:kern w:val="0"/>
          <w:sz w:val="24"/>
          <w:szCs w:val="24"/>
          <w:lang w:val="en-US" w:eastAsia="zh-CN" w:bidi="ar"/>
          <w14:textFill>
            <w14:solidFill>
              <w14:schemeClr w14:val="tx1"/>
            </w14:solidFill>
          </w14:textFill>
        </w:rPr>
        <w:t>⑫</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医疗废物转动车不得装载或混装其它货物，车辆不得丢失。遗撒和在途中开包装取医疗废物。</w:t>
      </w:r>
    </w:p>
    <w:p w14:paraId="5B540216">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MS PGothic" w:cs="MS PGothic"/>
          <w:color w:val="000000" w:themeColor="text1"/>
          <w:kern w:val="0"/>
          <w:sz w:val="24"/>
          <w:szCs w:val="24"/>
          <w:lang w:val="en-US" w:eastAsia="zh-CN" w:bidi="ar"/>
          <w14:textFill>
            <w14:solidFill>
              <w14:schemeClr w14:val="tx1"/>
            </w14:solidFill>
          </w14:textFill>
        </w:rPr>
        <w:t>⑬</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医疗废物暂存间内的设备及工具，一律不得挪作他用，严禁外借，如有违反者将从重处罚。</w:t>
      </w:r>
    </w:p>
    <w:p w14:paraId="48ADE92E">
      <w:pPr>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本项目有单独的危废间，不存在露天堆放，桶装保存，</w:t>
      </w:r>
      <w:r>
        <w:rPr>
          <w:rFonts w:hint="eastAsia" w:ascii="Times New Roman" w:hAnsi="Times New Roman" w:cs="宋体"/>
          <w:color w:val="000000" w:themeColor="text1"/>
          <w:kern w:val="0"/>
          <w:sz w:val="24"/>
          <w:szCs w:val="24"/>
          <w:lang w:val="en-US" w:eastAsia="zh-CN" w:bidi="ar"/>
          <w14:textFill>
            <w14:solidFill>
              <w14:schemeClr w14:val="tx1"/>
            </w14:solidFill>
          </w14:textFill>
        </w:rPr>
        <w:t>医疗废物定期清运，定期消毒，医疗废物处置委托有资质的单位进行处置，危废间采用抗渗混凝土进行方式，</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符合要求</w:t>
      </w:r>
      <w:r>
        <w:rPr>
          <w:rFonts w:ascii="Times New Roman" w:hAnsi="Times New Roman" w:cs="Times New Roman"/>
          <w:color w:val="000000" w:themeColor="text1"/>
          <w14:textFill>
            <w14:solidFill>
              <w14:schemeClr w14:val="tx1"/>
            </w14:solidFill>
          </w14:textFill>
        </w:rPr>
        <w:t>。</w:t>
      </w:r>
    </w:p>
    <w:p w14:paraId="2F0BB437">
      <w:pPr>
        <w:pStyle w:val="11"/>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一般固体废物</w:t>
      </w:r>
    </w:p>
    <w:p w14:paraId="2179679E">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鸭粪</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b/>
          <w:bCs/>
          <w:color w:val="000000" w:themeColor="text1"/>
          <w:kern w:val="0"/>
          <w:sz w:val="24"/>
          <w:szCs w:val="24"/>
          <w:lang w:val="en-US" w:eastAsia="zh-CN" w:bidi="ar"/>
          <w14:textFill>
            <w14:solidFill>
              <w14:schemeClr w14:val="tx1"/>
            </w14:solidFill>
          </w14:textFill>
        </w:rPr>
        <w:t>垫料</w:t>
      </w:r>
    </w:p>
    <w:p w14:paraId="6363DE6C">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根据《畜禽养殖业污染治理工程技术规范》（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HJ497-2009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）附录A，按每只种鸭每天产生粪便</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0.13kg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计算，本项目种鸭存栏量</w:t>
      </w:r>
      <w:r>
        <w:rPr>
          <w:rFonts w:hint="eastAsia" w:eastAsia="宋体" w:cs="Times New Roman"/>
          <w:color w:val="000000" w:themeColor="text1"/>
          <w:kern w:val="0"/>
          <w:sz w:val="24"/>
          <w:szCs w:val="24"/>
          <w:lang w:val="en-US" w:eastAsia="zh-CN" w:bidi="ar"/>
          <w14:textFill>
            <w14:solidFill>
              <w14:schemeClr w14:val="tx1"/>
            </w14:solidFill>
          </w14:textFill>
        </w:rPr>
        <w:t>18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万只</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年，饲养周期为</w:t>
      </w:r>
      <w:r>
        <w:rPr>
          <w:rFonts w:hint="eastAsia" w:eastAsia="宋体" w:cs="Times New Roman"/>
          <w:color w:val="000000" w:themeColor="text1"/>
          <w:kern w:val="0"/>
          <w:sz w:val="24"/>
          <w:szCs w:val="24"/>
          <w:lang w:val="en-US" w:eastAsia="zh-CN" w:bidi="ar"/>
          <w14:textFill>
            <w14:solidFill>
              <w14:schemeClr w14:val="tx1"/>
            </w14:solidFill>
          </w14:textFill>
        </w:rPr>
        <w:t>100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周，按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36</w:t>
      </w:r>
      <w:r>
        <w:rPr>
          <w:rFonts w:hint="eastAsia"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计算一年，</w:t>
      </w:r>
      <w:r>
        <w:rPr>
          <w:rFonts w:hint="eastAsia" w:eastAsia="宋体" w:cs="宋体"/>
          <w:color w:val="000000" w:themeColor="text1"/>
          <w:kern w:val="0"/>
          <w:sz w:val="24"/>
          <w:szCs w:val="24"/>
          <w:lang w:val="en-US" w:eastAsia="zh-CN" w:bidi="ar"/>
          <w14:textFill>
            <w14:solidFill>
              <w14:schemeClr w14:val="tx1"/>
            </w14:solidFill>
          </w14:textFill>
        </w:rPr>
        <w:t>（垫料180t）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则本项目粪便量</w:t>
      </w:r>
      <w:r>
        <w:rPr>
          <w:rFonts w:hint="eastAsia" w:eastAsia="宋体" w:cs="宋体"/>
          <w:color w:val="000000" w:themeColor="text1"/>
          <w:kern w:val="0"/>
          <w:sz w:val="24"/>
          <w:szCs w:val="24"/>
          <w:lang w:val="en-US" w:eastAsia="zh-CN" w:bidi="ar"/>
          <w14:textFill>
            <w14:solidFill>
              <w14:schemeClr w14:val="tx1"/>
            </w14:solidFill>
          </w14:textFill>
        </w:rPr>
        <w:t>（含垫料）约</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为</w:t>
      </w:r>
      <w:r>
        <w:rPr>
          <w:rFonts w:hint="eastAsia" w:eastAsia="宋体" w:cs="Times New Roman"/>
          <w:color w:val="000000" w:themeColor="text1"/>
          <w:kern w:val="0"/>
          <w:sz w:val="24"/>
          <w:szCs w:val="24"/>
          <w:lang w:val="en-US" w:eastAsia="zh-CN" w:bidi="ar"/>
          <w14:textFill>
            <w14:solidFill>
              <w14:schemeClr w14:val="tx1"/>
            </w14:solidFill>
          </w14:textFill>
        </w:rPr>
        <w:t>8721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eastAsia="宋体" w:cs="Times New Roman"/>
          <w:color w:val="000000" w:themeColor="text1"/>
          <w:kern w:val="0"/>
          <w:sz w:val="24"/>
          <w:szCs w:val="24"/>
          <w:lang w:val="en-US" w:eastAsia="zh-CN" w:bidi="ar"/>
          <w14:textFill>
            <w14:solidFill>
              <w14:schemeClr w14:val="tx1"/>
            </w14:solidFill>
          </w14:textFill>
        </w:rPr>
        <w:t>，新鲜粪便（含垫料）含水按75%计，因鸭粪每个周期结束清理，在养殖周期内水分自然散失，最终清粪时，粪便（含垫料）水分含量按50%计，则最终实际清粪估算为4360.5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eastAsia="宋体" w:cs="Times New Roman"/>
          <w:color w:val="000000" w:themeColor="text1"/>
          <w:kern w:val="0"/>
          <w:sz w:val="24"/>
          <w:szCs w:val="24"/>
          <w:lang w:val="en-US" w:eastAsia="zh-CN" w:bidi="ar"/>
          <w14:textFill>
            <w14:solidFill>
              <w14:schemeClr w14:val="tx1"/>
            </w14:solidFill>
          </w14:textFill>
        </w:rPr>
        <w:t>，每个养殖周期约为2年，周期结束干清粪，一次清粪预计不超过8000t（幼鸭期鸭粪产生量预计略少），送63团粪污处理厂利用</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25FA317B">
      <w:pPr>
        <w:pStyle w:val="61"/>
        <w:spacing w:before="32" w:after="32"/>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3</w:t>
      </w:r>
      <w:r>
        <w:rPr>
          <w:rFonts w:hint="eastAsia" w:ascii="Times New Roman" w:hAnsi="Times New Roman" w:eastAsia="宋体" w:cs="Times New Roman"/>
          <w:b/>
          <w:bCs/>
          <w:color w:val="000000" w:themeColor="text1"/>
          <w:lang w:val="en-US" w:eastAsia="zh-CN"/>
          <w14:textFill>
            <w14:solidFill>
              <w14:schemeClr w14:val="tx1"/>
            </w14:solidFill>
          </w14:textFill>
        </w:rPr>
        <w:t>.3-1</w:t>
      </w:r>
      <w:r>
        <w:rPr>
          <w:rFonts w:hint="eastAsia" w:eastAsia="宋体" w:cs="Times New Roman"/>
          <w:b/>
          <w:bCs/>
          <w:color w:val="000000" w:themeColor="text1"/>
          <w:lang w:val="en-US" w:eastAsia="zh-CN"/>
          <w14:textFill>
            <w14:solidFill>
              <w14:schemeClr w14:val="tx1"/>
            </w14:solidFill>
          </w14:textFill>
        </w:rPr>
        <w:t>4</w:t>
      </w:r>
      <w:r>
        <w:rPr>
          <w:rFonts w:ascii="Times New Roman" w:hAnsi="Times New Roman" w:eastAsia="宋体" w:cs="Times New Roman"/>
          <w:b/>
          <w:bCs/>
          <w:color w:val="000000" w:themeColor="text1"/>
          <w14:textFill>
            <w14:solidFill>
              <w14:schemeClr w14:val="tx1"/>
            </w14:solidFill>
          </w14:textFill>
        </w:rPr>
        <w:t xml:space="preserve">  项目</w:t>
      </w:r>
      <w:r>
        <w:rPr>
          <w:rFonts w:hint="eastAsia" w:ascii="Times New Roman" w:hAnsi="Times New Roman" w:eastAsia="宋体" w:cs="Times New Roman"/>
          <w:b/>
          <w:bCs/>
          <w:color w:val="000000" w:themeColor="text1"/>
          <w:lang w:val="en-US" w:eastAsia="zh-CN"/>
          <w14:textFill>
            <w14:solidFill>
              <w14:schemeClr w14:val="tx1"/>
            </w14:solidFill>
          </w14:textFill>
        </w:rPr>
        <w:t>鸭粪</w:t>
      </w:r>
      <w:r>
        <w:rPr>
          <w:rFonts w:ascii="Times New Roman" w:hAnsi="Times New Roman" w:eastAsia="宋体" w:cs="Times New Roman"/>
          <w:b/>
          <w:bCs/>
          <w:color w:val="000000" w:themeColor="text1"/>
          <w14:textFill>
            <w14:solidFill>
              <w14:schemeClr w14:val="tx1"/>
            </w14:solidFill>
          </w14:textFill>
        </w:rPr>
        <w:t>及垫料产生情况一览表</w:t>
      </w:r>
    </w:p>
    <w:tbl>
      <w:tblPr>
        <w:tblStyle w:val="35"/>
        <w:tblW w:w="901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85" w:type="dxa"/>
          <w:bottom w:w="0" w:type="dxa"/>
          <w:right w:w="85" w:type="dxa"/>
        </w:tblCellMar>
      </w:tblPr>
      <w:tblGrid>
        <w:gridCol w:w="1009"/>
        <w:gridCol w:w="971"/>
        <w:gridCol w:w="1368"/>
        <w:gridCol w:w="1163"/>
        <w:gridCol w:w="1469"/>
        <w:gridCol w:w="1210"/>
        <w:gridCol w:w="1824"/>
      </w:tblGrid>
      <w:tr w14:paraId="0766E5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170" w:hRule="atLeast"/>
          <w:jc w:val="center"/>
        </w:trPr>
        <w:tc>
          <w:tcPr>
            <w:tcW w:w="1009" w:type="dxa"/>
            <w:tcBorders>
              <w:tl2br w:val="nil"/>
              <w:tr2bl w:val="nil"/>
            </w:tcBorders>
            <w:vAlign w:val="center"/>
          </w:tcPr>
          <w:p w14:paraId="25292EFA">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971" w:type="dxa"/>
            <w:tcBorders>
              <w:tl2br w:val="nil"/>
              <w:tr2bl w:val="nil"/>
            </w:tcBorders>
            <w:vAlign w:val="center"/>
          </w:tcPr>
          <w:p w14:paraId="415B19DD">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数量</w:t>
            </w:r>
          </w:p>
        </w:tc>
        <w:tc>
          <w:tcPr>
            <w:tcW w:w="1368" w:type="dxa"/>
            <w:tcBorders>
              <w:tl2br w:val="nil"/>
              <w:tr2bl w:val="nil"/>
            </w:tcBorders>
            <w:vAlign w:val="center"/>
          </w:tcPr>
          <w:p w14:paraId="63800895">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产污系数</w:t>
            </w:r>
          </w:p>
        </w:tc>
        <w:tc>
          <w:tcPr>
            <w:tcW w:w="1163" w:type="dxa"/>
            <w:tcBorders>
              <w:tl2br w:val="nil"/>
              <w:tr2bl w:val="nil"/>
            </w:tcBorders>
            <w:vAlign w:val="center"/>
          </w:tcPr>
          <w:p w14:paraId="4F020747">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年产生量（t/a）</w:t>
            </w:r>
          </w:p>
        </w:tc>
        <w:tc>
          <w:tcPr>
            <w:tcW w:w="1469" w:type="dxa"/>
            <w:tcBorders>
              <w:tl2br w:val="nil"/>
              <w:tr2bl w:val="nil"/>
            </w:tcBorders>
            <w:vAlign w:val="center"/>
          </w:tcPr>
          <w:p w14:paraId="6C058FB5">
            <w:pPr>
              <w:pStyle w:val="6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处理方式</w:t>
            </w:r>
          </w:p>
        </w:tc>
        <w:tc>
          <w:tcPr>
            <w:tcW w:w="1210" w:type="dxa"/>
            <w:tcBorders>
              <w:tl2br w:val="nil"/>
              <w:tr2bl w:val="nil"/>
            </w:tcBorders>
            <w:vAlign w:val="center"/>
          </w:tcPr>
          <w:p w14:paraId="46EF304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最终处置量（t/a）</w:t>
            </w:r>
          </w:p>
        </w:tc>
        <w:tc>
          <w:tcPr>
            <w:tcW w:w="1824" w:type="dxa"/>
            <w:tcBorders>
              <w:tl2br w:val="nil"/>
              <w:tr2bl w:val="nil"/>
            </w:tcBorders>
            <w:vAlign w:val="center"/>
          </w:tcPr>
          <w:p w14:paraId="40C26C6D">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排放去向</w:t>
            </w:r>
          </w:p>
        </w:tc>
      </w:tr>
      <w:tr w14:paraId="622CFD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170" w:hRule="atLeast"/>
          <w:jc w:val="center"/>
        </w:trPr>
        <w:tc>
          <w:tcPr>
            <w:tcW w:w="1009" w:type="dxa"/>
            <w:tcBorders>
              <w:tl2br w:val="nil"/>
              <w:tr2bl w:val="nil"/>
            </w:tcBorders>
            <w:vAlign w:val="center"/>
          </w:tcPr>
          <w:p w14:paraId="730AB7C6">
            <w:pPr>
              <w:pStyle w:val="6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鸭粪</w:t>
            </w:r>
            <w:r>
              <w:rPr>
                <w:rFonts w:hint="eastAsia" w:cs="Times New Roman"/>
                <w:color w:val="000000" w:themeColor="text1"/>
                <w:lang w:val="en-US" w:eastAsia="zh-CN"/>
                <w14:textFill>
                  <w14:solidFill>
                    <w14:schemeClr w14:val="tx1"/>
                  </w14:solidFill>
                </w14:textFill>
              </w:rPr>
              <w:t>（含垫料）</w:t>
            </w:r>
          </w:p>
        </w:tc>
        <w:tc>
          <w:tcPr>
            <w:tcW w:w="971" w:type="dxa"/>
            <w:tcBorders>
              <w:tl2br w:val="nil"/>
              <w:tr2bl w:val="nil"/>
            </w:tcBorders>
            <w:vAlign w:val="center"/>
          </w:tcPr>
          <w:p w14:paraId="609C057E">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年存栏</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lang w:val="en-US" w:eastAsia="zh-CN"/>
                <w14:textFill>
                  <w14:solidFill>
                    <w14:schemeClr w14:val="tx1"/>
                  </w14:solidFill>
                </w14:textFill>
              </w:rPr>
              <w:t>万只</w:t>
            </w:r>
          </w:p>
        </w:tc>
        <w:tc>
          <w:tcPr>
            <w:tcW w:w="1368" w:type="dxa"/>
            <w:tcBorders>
              <w:tl2br w:val="nil"/>
              <w:tr2bl w:val="nil"/>
            </w:tcBorders>
            <w:vAlign w:val="center"/>
          </w:tcPr>
          <w:p w14:paraId="3DC9CB38">
            <w:pPr>
              <w:pStyle w:val="6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0.13</w:t>
            </w:r>
            <w:r>
              <w:rPr>
                <w:rFonts w:ascii="Times New Roman" w:hAnsi="Times New Roman" w:cs="Times New Roman"/>
                <w:color w:val="000000" w:themeColor="text1"/>
                <w14:textFill>
                  <w14:solidFill>
                    <w14:schemeClr w14:val="tx1"/>
                  </w14:solidFill>
                </w14:textFill>
              </w:rPr>
              <w:t>kg/</w:t>
            </w:r>
            <w:r>
              <w:rPr>
                <w:rFonts w:hint="eastAsia" w:ascii="Times New Roman" w:hAnsi="Times New Roman" w:cs="Times New Roman"/>
                <w:color w:val="000000" w:themeColor="text1"/>
                <w:lang w:val="en-US" w:eastAsia="zh-CN"/>
                <w14:textFill>
                  <w14:solidFill>
                    <w14:schemeClr w14:val="tx1"/>
                  </w14:solidFill>
                </w14:textFill>
              </w:rPr>
              <w:t>只</w:t>
            </w:r>
            <w:r>
              <w:rPr>
                <w:rFonts w:ascii="Times New Roman" w:hAnsi="Times New Roman" w:cs="Times New Roman"/>
                <w:color w:val="000000" w:themeColor="text1"/>
                <w14:textFill>
                  <w14:solidFill>
                    <w14:schemeClr w14:val="tx1"/>
                  </w14:solidFill>
                </w14:textFill>
              </w:rPr>
              <w:t>·d</w:t>
            </w:r>
          </w:p>
        </w:tc>
        <w:tc>
          <w:tcPr>
            <w:tcW w:w="1163" w:type="dxa"/>
            <w:tcBorders>
              <w:tl2br w:val="nil"/>
              <w:tr2bl w:val="nil"/>
            </w:tcBorders>
            <w:vAlign w:val="center"/>
          </w:tcPr>
          <w:p w14:paraId="14BD7C32">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4360.5</w:t>
            </w:r>
          </w:p>
        </w:tc>
        <w:tc>
          <w:tcPr>
            <w:tcW w:w="1469" w:type="dxa"/>
            <w:tcBorders>
              <w:tl2br w:val="nil"/>
              <w:tr2bl w:val="nil"/>
            </w:tcBorders>
            <w:vAlign w:val="center"/>
          </w:tcPr>
          <w:p w14:paraId="7CA82729">
            <w:pPr>
              <w:pStyle w:val="6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掉落在</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下方垫料层</w:t>
            </w:r>
          </w:p>
        </w:tc>
        <w:tc>
          <w:tcPr>
            <w:tcW w:w="1210" w:type="dxa"/>
            <w:tcBorders>
              <w:tl2br w:val="nil"/>
              <w:tr2bl w:val="nil"/>
            </w:tcBorders>
            <w:vAlign w:val="center"/>
          </w:tcPr>
          <w:p w14:paraId="6F9EC75D">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4360.5</w:t>
            </w:r>
          </w:p>
        </w:tc>
        <w:tc>
          <w:tcPr>
            <w:tcW w:w="1824" w:type="dxa"/>
            <w:tcBorders>
              <w:tl2br w:val="nil"/>
              <w:tr2bl w:val="nil"/>
            </w:tcBorders>
            <w:vAlign w:val="center"/>
          </w:tcPr>
          <w:p w14:paraId="0B90E37D">
            <w:pPr>
              <w:pStyle w:val="6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垫料和鸭粪一起直接拉运至63团3连粪污处理场</w:t>
            </w:r>
          </w:p>
        </w:tc>
      </w:tr>
      <w:tr w14:paraId="6D3101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170" w:hRule="atLeast"/>
          <w:jc w:val="center"/>
        </w:trPr>
        <w:tc>
          <w:tcPr>
            <w:tcW w:w="1980" w:type="dxa"/>
            <w:gridSpan w:val="2"/>
            <w:tcBorders>
              <w:tl2br w:val="nil"/>
              <w:tr2bl w:val="nil"/>
            </w:tcBorders>
            <w:vAlign w:val="center"/>
          </w:tcPr>
          <w:p w14:paraId="0C3A55E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合计</w:t>
            </w:r>
          </w:p>
        </w:tc>
        <w:tc>
          <w:tcPr>
            <w:tcW w:w="1368" w:type="dxa"/>
            <w:tcBorders>
              <w:tl2br w:val="nil"/>
              <w:tr2bl w:val="nil"/>
            </w:tcBorders>
            <w:vAlign w:val="center"/>
          </w:tcPr>
          <w:p w14:paraId="7DED150F">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1163" w:type="dxa"/>
            <w:tcBorders>
              <w:tl2br w:val="nil"/>
              <w:tr2bl w:val="nil"/>
            </w:tcBorders>
            <w:vAlign w:val="center"/>
          </w:tcPr>
          <w:p w14:paraId="5D4632F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1469" w:type="dxa"/>
            <w:tcBorders>
              <w:tl2br w:val="nil"/>
              <w:tr2bl w:val="nil"/>
            </w:tcBorders>
            <w:vAlign w:val="center"/>
          </w:tcPr>
          <w:p w14:paraId="4625AAC5">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1210" w:type="dxa"/>
            <w:tcBorders>
              <w:tl2br w:val="nil"/>
              <w:tr2bl w:val="nil"/>
            </w:tcBorders>
            <w:vAlign w:val="center"/>
          </w:tcPr>
          <w:p w14:paraId="3610D8E6">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4360.5</w:t>
            </w:r>
          </w:p>
        </w:tc>
        <w:tc>
          <w:tcPr>
            <w:tcW w:w="1824" w:type="dxa"/>
            <w:tcBorders>
              <w:tl2br w:val="nil"/>
              <w:tr2bl w:val="nil"/>
            </w:tcBorders>
            <w:vAlign w:val="center"/>
          </w:tcPr>
          <w:p w14:paraId="7CFFADB9">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bl>
    <w:p w14:paraId="16DFC868">
      <w:pPr>
        <w:ind w:firstLine="480"/>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w:t>
      </w:r>
      <w:r>
        <w:rPr>
          <w:rFonts w:hint="eastAsia" w:ascii="Times New Roman" w:hAnsi="Times New Roman"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淘汰鸭、</w:t>
      </w:r>
      <w:r>
        <w:rPr>
          <w:rFonts w:hint="eastAsia" w:ascii="Times New Roman" w:hAnsi="Times New Roman" w:cs="Times New Roman"/>
          <w:b/>
          <w:bCs/>
          <w:color w:val="000000" w:themeColor="text1"/>
          <w:lang w:val="en-US" w:eastAsia="zh-CN"/>
          <w14:textFill>
            <w14:solidFill>
              <w14:schemeClr w14:val="tx1"/>
            </w14:solidFill>
          </w14:textFill>
        </w:rPr>
        <w:t>病死鸭</w:t>
      </w:r>
    </w:p>
    <w:p w14:paraId="65FC8D5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在养殖过程中，由于各种意外、疾病等原因导致鸭只</w:t>
      </w:r>
      <w:r>
        <w:rPr>
          <w:rFonts w:hint="eastAsia" w:eastAsia="宋体" w:cs="宋体"/>
          <w:color w:val="000000" w:themeColor="text1"/>
          <w:kern w:val="0"/>
          <w:sz w:val="24"/>
          <w:szCs w:val="24"/>
          <w:lang w:val="en-US" w:eastAsia="zh-CN" w:bidi="ar"/>
          <w14:textFill>
            <w14:solidFill>
              <w14:schemeClr w14:val="tx1"/>
            </w14:solidFill>
          </w14:textFill>
        </w:rPr>
        <w:t>患病或死亡，淘汰病死率按2%计算，根据养殖经验，病死鸭比例占病死淘汰鸭只的约10%，大部分病死鸭为幼鸭，本次环评病死鸭重量估算为0.4t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养殖过程通过观察鸭只健康状况，对不健康鸭只实施隔离和捕杀，称为淘汰鸭，淘汰鸭比例占病死淘汰鸭只的约90%，估算体重约</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均</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拉运至伊宁市无害化处理单位进行处理。</w:t>
      </w:r>
    </w:p>
    <w:p w14:paraId="6B182B8B">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根据环境保护部办公厅《关于病害动物无害化处理有关意见的复函》（环办函〔2014〕789号）：</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传染病需要收集和处置的废物被列入《国家危险废物名录》中，编号为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900-001-01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但是，根据法律位阶高于部门规章的法律适用规则，病害动物的无害化处理应执行《中华人民共和国动物防疫法》。我部认为病害动物无害化处理项目由畜牧部门按照有关法律法规和技术规范进行监管，可以实现病害动物无害化处理和环境污染防控的目的，不宜再认定为危险废物集中处置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。根据以上规定，</w:t>
      </w:r>
      <w:r>
        <w:rPr>
          <w:rFonts w:hint="eastAsia" w:eastAsia="宋体" w:cs="宋体"/>
          <w:color w:val="000000" w:themeColor="text1"/>
          <w:kern w:val="0"/>
          <w:sz w:val="24"/>
          <w:szCs w:val="24"/>
          <w:lang w:val="en-US" w:eastAsia="zh-CN" w:bidi="ar"/>
          <w14:textFill>
            <w14:solidFill>
              <w14:schemeClr w14:val="tx1"/>
            </w14:solidFill>
          </w14:textFill>
        </w:rPr>
        <w:t>淘汰鸭、病死鸭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不属于危险废物。</w:t>
      </w:r>
    </w:p>
    <w:p w14:paraId="2893AE77">
      <w:pPr>
        <w:keepNext w:val="0"/>
        <w:keepLines w:val="0"/>
        <w:widowControl/>
        <w:suppressLineNumbers w:val="0"/>
        <w:jc w:val="left"/>
        <w:rPr>
          <w:rFonts w:ascii="Times New Roman" w:hAnsi="Times New Roman"/>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根据《禽畜养殖业污染防治技术规范》（</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HJ/T 81-2001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）及《病死及病害动物无害化处理技术规范》（农医发</w:t>
      </w:r>
      <w:r>
        <w:rPr>
          <w:rFonts w:hint="eastAsia" w:ascii="Times New Roman" w:hAnsi="Times New Roman" w:eastAsia="仿宋_GB2312" w:cs="仿宋_GB2312"/>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2017</w:t>
      </w:r>
      <w:r>
        <w:rPr>
          <w:rFonts w:hint="eastAsia" w:ascii="Times New Roman" w:hAnsi="Times New Roman" w:eastAsia="仿宋_GB2312" w:cs="仿宋_GB2312"/>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号）的要求，</w:t>
      </w:r>
      <w:r>
        <w:rPr>
          <w:rFonts w:hint="eastAsia" w:eastAsia="宋体" w:cs="宋体"/>
          <w:color w:val="000000" w:themeColor="text1"/>
          <w:kern w:val="0"/>
          <w:sz w:val="24"/>
          <w:szCs w:val="24"/>
          <w:lang w:val="en-US" w:eastAsia="zh-CN" w:bidi="ar"/>
          <w14:textFill>
            <w14:solidFill>
              <w14:schemeClr w14:val="tx1"/>
            </w14:solidFill>
          </w14:textFill>
        </w:rPr>
        <w:t>淘汰鸭、病死鸭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按照危险废物进行收集、暂存，统一收集后，暂存于病死鸭储藏室内，病死鸭储藏室内设冷藏设施，防止病死鸭尸体腐败，且储藏室应按要求进行防水、防渗、防鼠、防盗并易清洗、消毒。本项目区内不对病死鸭进行无害化处置，病死鸭储存室设1台冷柜暂存</w:t>
      </w:r>
      <w:r>
        <w:rPr>
          <w:rFonts w:hint="eastAsia" w:eastAsia="宋体" w:cs="宋体"/>
          <w:color w:val="000000" w:themeColor="text1"/>
          <w:kern w:val="0"/>
          <w:sz w:val="24"/>
          <w:szCs w:val="24"/>
          <w:lang w:val="en-US" w:eastAsia="zh-CN" w:bidi="ar"/>
          <w14:textFill>
            <w14:solidFill>
              <w14:schemeClr w14:val="tx1"/>
            </w14:solidFill>
          </w14:textFill>
        </w:rPr>
        <w:t>淘汰鸭、病死鸭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，暂存时间一般不超过</w:t>
      </w:r>
      <w:r>
        <w:rPr>
          <w:rFonts w:hint="eastAsia" w:eastAsia="宋体" w:cs="宋体"/>
          <w:color w:val="000000" w:themeColor="text1"/>
          <w:kern w:val="0"/>
          <w:sz w:val="24"/>
          <w:szCs w:val="24"/>
          <w:lang w:val="en-US" w:eastAsia="zh-CN" w:bidi="ar"/>
          <w14:textFill>
            <w14:solidFill>
              <w14:schemeClr w14:val="tx1"/>
            </w14:solidFill>
          </w14:textFill>
        </w:rPr>
        <w:t>48</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h</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，及时委托拉运至伊宁市无害化处理单位处置</w:t>
      </w:r>
      <w:r>
        <w:rPr>
          <w:rFonts w:hint="eastAsia" w:ascii="Times New Roman" w:hAnsi="Times New Roman" w:eastAsia="宋体" w:cs="宋体"/>
          <w:color w:val="000000"/>
          <w:kern w:val="0"/>
          <w:sz w:val="24"/>
          <w:szCs w:val="24"/>
          <w:lang w:val="en-US" w:eastAsia="zh-CN" w:bidi="ar"/>
        </w:rPr>
        <w:t>。</w:t>
      </w:r>
    </w:p>
    <w:p w14:paraId="6CDE5DDD">
      <w:pPr>
        <w:ind w:firstLine="48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3）生活垃圾</w:t>
      </w:r>
    </w:p>
    <w:p w14:paraId="3C802162">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本项目劳动定员</w:t>
      </w:r>
      <w:r>
        <w:rPr>
          <w:rFonts w:hint="eastAsia" w:eastAsia="宋体" w:cs="宋体"/>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人，人均生活垃圾产生量按照</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0.5</w:t>
      </w:r>
      <w:r>
        <w:rPr>
          <w:rFonts w:hint="default" w:ascii="Times New Roman" w:hAnsi="Times New Roman" w:cs="Times New Roman"/>
          <w:color w:val="000000" w:themeColor="text1"/>
          <w:lang w:val="en-US" w:eastAsia="zh-CN"/>
          <w14:textFill>
            <w14:solidFill>
              <w14:schemeClr w14:val="tx1"/>
            </w14:solidFill>
          </w14:textFill>
        </w:rPr>
        <w:t>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计算，则生活垃圾的产生量为</w:t>
      </w:r>
      <w:r>
        <w:rPr>
          <w:rFonts w:hint="eastAsia" w:eastAsia="宋体" w:cs="宋体"/>
          <w:color w:val="000000" w:themeColor="text1"/>
          <w:kern w:val="0"/>
          <w:sz w:val="24"/>
          <w:szCs w:val="24"/>
          <w:lang w:val="en-US" w:eastAsia="zh-CN" w:bidi="ar"/>
          <w14:textFill>
            <w14:solidFill>
              <w14:schemeClr w14:val="tx1"/>
            </w14:solidFill>
          </w14:textFill>
        </w:rPr>
        <w:t>12.5</w:t>
      </w:r>
      <w:r>
        <w:rPr>
          <w:rFonts w:hint="default" w:ascii="Times New Roman" w:hAnsi="Times New Roman" w:cs="Times New Roman"/>
          <w:color w:val="000000" w:themeColor="text1"/>
          <w:lang w:val="en-US" w:eastAsia="zh-CN"/>
          <w14:textFill>
            <w14:solidFill>
              <w14:schemeClr w14:val="tx1"/>
            </w14:solidFill>
          </w14:textFill>
        </w:rPr>
        <w:t>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4.56</w:t>
      </w:r>
      <w:r>
        <w:rPr>
          <w:rFonts w:hint="default" w:ascii="Times New Roman" w:hAnsi="Times New Roman" w:cs="Times New Roman"/>
          <w:color w:val="000000" w:themeColor="text1"/>
          <w:lang w:val="en-US" w:eastAsia="zh-CN"/>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，生活垃圾集中收集，定期清运至63团垃圾填埋场。</w:t>
      </w:r>
    </w:p>
    <w:p w14:paraId="33728984">
      <w:pPr>
        <w:ind w:firstLine="48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4）锅炉灰渣</w:t>
      </w:r>
    </w:p>
    <w:p w14:paraId="4E63328F">
      <w:pPr>
        <w:ind w:firstLine="48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w:t>
      </w:r>
      <w:r>
        <w:rPr>
          <w:rFonts w:hint="eastAsia" w:eastAsia="宋体" w:cs="宋体"/>
          <w:color w:val="000000" w:themeColor="text1"/>
          <w:kern w:val="0"/>
          <w:sz w:val="24"/>
          <w:szCs w:val="24"/>
          <w:lang w:val="en-US" w:eastAsia="zh-CN" w:bidi="ar"/>
          <w14:textFill>
            <w14:solidFill>
              <w14:schemeClr w14:val="tx1"/>
            </w14:solidFill>
          </w14:textFill>
        </w:rPr>
        <w:t>采用生物质燃料锅炉供热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预计年消耗生物质燃料1000t，基灰分2.6%，考虑其他因素，预测年产生灰渣30t，属于1类工业固废，生物质燃料灰渣含有农作物需要的养分，无重金属等难降解污染物，参合入粪污内，比例很低，不会形成污染，送63团粪污处理厂用于生产肥料</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6875A452">
      <w:pPr>
        <w:ind w:firstLine="48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5）喷淋塔干化污泥</w:t>
      </w:r>
    </w:p>
    <w:p w14:paraId="2CC22B8E">
      <w:pPr>
        <w:ind w:firstLine="480"/>
        <w:rPr>
          <w:rFonts w:hint="default" w:eastAsia="宋体" w:cs="宋体"/>
          <w:color w:val="000000" w:themeColor="text1"/>
          <w:kern w:val="0"/>
          <w:sz w:val="24"/>
          <w:szCs w:val="24"/>
          <w:lang w:val="en-US" w:eastAsia="zh-CN" w:bidi="ar"/>
          <w14:textFill>
            <w14:solidFill>
              <w14:schemeClr w14:val="tx1"/>
            </w14:solidFill>
          </w14:textFill>
        </w:rPr>
      </w:pPr>
      <w:r>
        <w:rPr>
          <w:rFonts w:hint="eastAsia" w:eastAsia="宋体" w:cs="宋体"/>
          <w:color w:val="000000" w:themeColor="text1"/>
          <w:kern w:val="0"/>
          <w:sz w:val="24"/>
          <w:szCs w:val="24"/>
          <w:lang w:val="en-US" w:eastAsia="zh-CN" w:bidi="ar"/>
          <w14:textFill>
            <w14:solidFill>
              <w14:schemeClr w14:val="tx1"/>
            </w14:solidFill>
          </w14:textFill>
        </w:rPr>
        <w:t>本项目生物质燃料锅炉烟气采用碱式喷淋塔处理烟气，烟气处理产生污泥，根据预测的烟气产生量，预计年产生干化污泥3t，污泥主要成分为收集的颗粒物、烟气治理产生的硫酸钙、硝酸钙、硫酸钠、硝酸钠、碳酸钙等，含有氮肥成分，干化后其他污染物极少，自然干化后，判定属于第1类工业固体废物，送63团粪污处理厂用于生产肥料</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10AE97D3">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p>
    <w:p w14:paraId="7D47655D">
      <w:pPr>
        <w:pStyle w:val="11"/>
        <w:widowControl w:val="0"/>
        <w:numPr>
          <w:ilvl w:val="0"/>
          <w:numId w:val="0"/>
        </w:numPr>
        <w:spacing w:line="360" w:lineRule="auto"/>
        <w:jc w:val="both"/>
        <w:rPr>
          <w:rFonts w:hint="eastAsia" w:ascii="Times New Roman" w:hAnsi="Times New Roman"/>
          <w:b/>
          <w:bCs/>
          <w:color w:val="000000" w:themeColor="text1"/>
          <w:lang w:val="en-US" w:eastAsia="zh-CN"/>
          <w14:textFill>
            <w14:solidFill>
              <w14:schemeClr w14:val="tx1"/>
            </w14:solidFill>
          </w14:textFill>
        </w:rPr>
        <w:sectPr>
          <w:headerReference r:id="rId15"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26CD459E">
      <w:pPr>
        <w:pStyle w:val="5"/>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本项目污染物</w:t>
      </w:r>
      <w:r>
        <w:rPr>
          <w:rFonts w:ascii="Times New Roman" w:hAnsi="Times New Roman" w:cs="Times New Roman"/>
          <w:color w:val="000000" w:themeColor="text1"/>
          <w14:textFill>
            <w14:solidFill>
              <w14:schemeClr w14:val="tx1"/>
            </w14:solidFill>
          </w14:textFill>
        </w:rPr>
        <w:t>排放汇总</w:t>
      </w:r>
    </w:p>
    <w:p w14:paraId="7894915A">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w:t>
      </w:r>
      <w:r>
        <w:rPr>
          <w:rFonts w:hint="eastAsia" w:ascii="Times New Roman" w:hAnsi="Times New Roman" w:cs="Times New Roman"/>
          <w:color w:val="000000" w:themeColor="text1"/>
          <w:lang w:val="en-US" w:eastAsia="zh-CN"/>
          <w14:textFill>
            <w14:solidFill>
              <w14:schemeClr w14:val="tx1"/>
            </w14:solidFill>
          </w14:textFill>
        </w:rPr>
        <w:t>污染物</w:t>
      </w:r>
      <w:r>
        <w:rPr>
          <w:rFonts w:ascii="Times New Roman" w:hAnsi="Times New Roman" w:cs="Times New Roman"/>
          <w:color w:val="000000" w:themeColor="text1"/>
          <w14:textFill>
            <w14:solidFill>
              <w14:schemeClr w14:val="tx1"/>
            </w14:solidFill>
          </w14:textFill>
        </w:rPr>
        <w:t>排放情况见表</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.3-1</w:t>
      </w: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p>
    <w:p w14:paraId="6F0C784B">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4.3-1</w:t>
      </w:r>
      <w:r>
        <w:rPr>
          <w:rFonts w:hint="eastAsia"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本项目</w:t>
      </w:r>
      <w:r>
        <w:rPr>
          <w:rFonts w:ascii="Times New Roman" w:hAnsi="Times New Roman" w:eastAsia="宋体" w:cs="Times New Roman"/>
          <w:b/>
          <w:bCs/>
          <w:color w:val="000000" w:themeColor="text1"/>
          <w14:textFill>
            <w14:solidFill>
              <w14:schemeClr w14:val="tx1"/>
            </w14:solidFill>
          </w14:textFill>
        </w:rPr>
        <w:t>污染物排放汇总表</w:t>
      </w:r>
    </w:p>
    <w:tbl>
      <w:tblPr>
        <w:tblStyle w:val="35"/>
        <w:tblW w:w="15093"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36"/>
        <w:gridCol w:w="1399"/>
        <w:gridCol w:w="1646"/>
        <w:gridCol w:w="1727"/>
        <w:gridCol w:w="7374"/>
        <w:gridCol w:w="1811"/>
      </w:tblGrid>
      <w:tr w14:paraId="19D5C8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tcBorders>
              <w:tl2br w:val="nil"/>
              <w:tr2bl w:val="nil"/>
            </w:tcBorders>
            <w:vAlign w:val="center"/>
          </w:tcPr>
          <w:p w14:paraId="0370EEE3">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类型</w:t>
            </w:r>
          </w:p>
        </w:tc>
        <w:tc>
          <w:tcPr>
            <w:tcW w:w="1399" w:type="dxa"/>
            <w:tcBorders>
              <w:tl2br w:val="nil"/>
              <w:tr2bl w:val="nil"/>
            </w:tcBorders>
            <w:vAlign w:val="center"/>
          </w:tcPr>
          <w:p w14:paraId="229D4937">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排放源</w:t>
            </w:r>
          </w:p>
        </w:tc>
        <w:tc>
          <w:tcPr>
            <w:tcW w:w="1646" w:type="dxa"/>
            <w:tcBorders>
              <w:tl2br w:val="nil"/>
              <w:tr2bl w:val="nil"/>
            </w:tcBorders>
            <w:vAlign w:val="center"/>
          </w:tcPr>
          <w:p w14:paraId="35DFE1DB">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污染物名称</w:t>
            </w:r>
          </w:p>
        </w:tc>
        <w:tc>
          <w:tcPr>
            <w:tcW w:w="1727" w:type="dxa"/>
            <w:tcBorders>
              <w:tl2br w:val="nil"/>
              <w:tr2bl w:val="nil"/>
            </w:tcBorders>
            <w:vAlign w:val="center"/>
          </w:tcPr>
          <w:p w14:paraId="1630925C">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产生量</w:t>
            </w:r>
          </w:p>
        </w:tc>
        <w:tc>
          <w:tcPr>
            <w:tcW w:w="7374" w:type="dxa"/>
            <w:tcBorders>
              <w:tl2br w:val="nil"/>
              <w:tr2bl w:val="nil"/>
            </w:tcBorders>
            <w:vAlign w:val="center"/>
          </w:tcPr>
          <w:p w14:paraId="7D4FC836">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措施</w:t>
            </w:r>
          </w:p>
        </w:tc>
        <w:tc>
          <w:tcPr>
            <w:tcW w:w="1811" w:type="dxa"/>
            <w:tcBorders>
              <w:tl2br w:val="nil"/>
              <w:tr2bl w:val="nil"/>
            </w:tcBorders>
            <w:vAlign w:val="center"/>
          </w:tcPr>
          <w:p w14:paraId="122CA88E">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排放量</w:t>
            </w:r>
          </w:p>
        </w:tc>
      </w:tr>
      <w:tr w14:paraId="51C609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restart"/>
            <w:tcBorders>
              <w:tl2br w:val="nil"/>
              <w:tr2bl w:val="nil"/>
            </w:tcBorders>
            <w:vAlign w:val="center"/>
          </w:tcPr>
          <w:p w14:paraId="70DC4281">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大气污染物</w:t>
            </w:r>
          </w:p>
        </w:tc>
        <w:tc>
          <w:tcPr>
            <w:tcW w:w="1399" w:type="dxa"/>
            <w:tcBorders>
              <w:tl2br w:val="nil"/>
              <w:tr2bl w:val="nil"/>
            </w:tcBorders>
            <w:vAlign w:val="center"/>
          </w:tcPr>
          <w:p w14:paraId="22163860">
            <w:pPr>
              <w:pStyle w:val="56"/>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鸭舍</w:t>
            </w:r>
          </w:p>
        </w:tc>
        <w:tc>
          <w:tcPr>
            <w:tcW w:w="1646" w:type="dxa"/>
            <w:tcBorders>
              <w:tl2br w:val="nil"/>
              <w:tr2bl w:val="nil"/>
            </w:tcBorders>
            <w:vAlign w:val="center"/>
          </w:tcPr>
          <w:p w14:paraId="2560A6EC">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、H</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S</w:t>
            </w:r>
          </w:p>
        </w:tc>
        <w:tc>
          <w:tcPr>
            <w:tcW w:w="1727" w:type="dxa"/>
            <w:tcBorders>
              <w:tl2br w:val="nil"/>
              <w:tr2bl w:val="nil"/>
            </w:tcBorders>
            <w:vAlign w:val="center"/>
          </w:tcPr>
          <w:p w14:paraId="06162838">
            <w:pPr>
              <w:pStyle w:val="56"/>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NH</w:t>
            </w:r>
            <w:r>
              <w:rPr>
                <w:rFonts w:ascii="Times New Roman" w:hAnsi="Times New Roman"/>
                <w:color w:val="000000" w:themeColor="text1"/>
                <w:vertAlign w:val="subscript"/>
                <w:lang w:val="en-US"/>
                <w14:textFill>
                  <w14:solidFill>
                    <w14:schemeClr w14:val="tx1"/>
                  </w14:solidFill>
                </w14:textFill>
              </w:rPr>
              <w:t>3</w:t>
            </w:r>
            <w:r>
              <w:rPr>
                <w:rFonts w:hint="eastAsia"/>
                <w:color w:val="000000" w:themeColor="text1"/>
                <w:vertAlign w:val="subscript"/>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1.97</w:t>
            </w:r>
            <w:r>
              <w:rPr>
                <w:rFonts w:ascii="Times New Roman" w:hAnsi="Times New Roman"/>
                <w:color w:val="000000" w:themeColor="text1"/>
                <w:lang w:val="en-US"/>
                <w14:textFill>
                  <w14:solidFill>
                    <w14:schemeClr w14:val="tx1"/>
                  </w14:solidFill>
                </w14:textFill>
              </w:rPr>
              <w:t>t/a</w:t>
            </w:r>
          </w:p>
          <w:p w14:paraId="59CE56D9">
            <w:pPr>
              <w:pStyle w:val="56"/>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H</w:t>
            </w:r>
            <w:r>
              <w:rPr>
                <w:rFonts w:ascii="Times New Roman" w:hAnsi="Times New Roman"/>
                <w:color w:val="000000" w:themeColor="text1"/>
                <w:vertAlign w:val="subscript"/>
                <w:lang w:val="en-US"/>
                <w14:textFill>
                  <w14:solidFill>
                    <w14:schemeClr w14:val="tx1"/>
                  </w14:solidFill>
                </w14:textFill>
              </w:rPr>
              <w:t>2</w:t>
            </w:r>
            <w:r>
              <w:rPr>
                <w:rFonts w:ascii="Times New Roman" w:hAnsi="Times New Roman"/>
                <w:color w:val="000000" w:themeColor="text1"/>
                <w:lang w:val="en-US"/>
                <w14:textFill>
                  <w14:solidFill>
                    <w14:schemeClr w14:val="tx1"/>
                  </w14:solidFill>
                </w14:textFill>
              </w:rPr>
              <w:t>S</w:t>
            </w:r>
            <w:r>
              <w:rPr>
                <w:rFonts w:hint="eastAsia"/>
                <w:color w:val="000000" w:themeColor="text1"/>
                <w:lang w:val="en-US"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0.2</w:t>
            </w:r>
            <w:r>
              <w:rPr>
                <w:rFonts w:hint="eastAsia"/>
                <w:color w:val="000000" w:themeColor="text1"/>
                <w:lang w:val="en-US" w:eastAsia="zh-CN"/>
                <w14:textFill>
                  <w14:solidFill>
                    <w14:schemeClr w14:val="tx1"/>
                  </w14:solidFill>
                </w14:textFill>
              </w:rPr>
              <w:t>0</w:t>
            </w:r>
            <w:r>
              <w:rPr>
                <w:rFonts w:ascii="Times New Roman" w:hAnsi="Times New Roman"/>
                <w:color w:val="000000" w:themeColor="text1"/>
                <w:lang w:val="en-US"/>
                <w14:textFill>
                  <w14:solidFill>
                    <w14:schemeClr w14:val="tx1"/>
                  </w14:solidFill>
                </w14:textFill>
              </w:rPr>
              <w:t>t/a</w:t>
            </w:r>
          </w:p>
        </w:tc>
        <w:tc>
          <w:tcPr>
            <w:tcW w:w="7374" w:type="dxa"/>
            <w:tcBorders>
              <w:tl2br w:val="nil"/>
              <w:tr2bl w:val="nil"/>
            </w:tcBorders>
            <w:vAlign w:val="center"/>
          </w:tcPr>
          <w:p w14:paraId="7F93A624">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科学合理调控饲粮，合理配置饲料成分，对养殖区域定期喷洒除臭剂，定时清理粪便，加强圈舍通风。</w:t>
            </w:r>
          </w:p>
        </w:tc>
        <w:tc>
          <w:tcPr>
            <w:tcW w:w="1811" w:type="dxa"/>
            <w:tcBorders>
              <w:tl2br w:val="nil"/>
              <w:tr2bl w:val="nil"/>
            </w:tcBorders>
            <w:vAlign w:val="center"/>
          </w:tcPr>
          <w:p w14:paraId="0407A3E8">
            <w:pPr>
              <w:pStyle w:val="56"/>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NH</w:t>
            </w:r>
            <w:r>
              <w:rPr>
                <w:rFonts w:ascii="Times New Roman" w:hAnsi="Times New Roman"/>
                <w:color w:val="000000" w:themeColor="text1"/>
                <w:vertAlign w:val="subscript"/>
                <w:lang w:val="en-US"/>
                <w14:textFill>
                  <w14:solidFill>
                    <w14:schemeClr w14:val="tx1"/>
                  </w14:solidFill>
                </w14:textFill>
              </w:rPr>
              <w:t>3</w:t>
            </w:r>
            <w:r>
              <w:rPr>
                <w:rFonts w:hint="eastAsia"/>
                <w:color w:val="000000" w:themeColor="text1"/>
                <w:vertAlign w:val="subscript"/>
                <w:lang w:val="en-US"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394</w:t>
            </w:r>
            <w:r>
              <w:rPr>
                <w:rFonts w:ascii="Times New Roman" w:hAnsi="Times New Roman"/>
                <w:color w:val="000000" w:themeColor="text1"/>
                <w:lang w:val="en-US"/>
                <w14:textFill>
                  <w14:solidFill>
                    <w14:schemeClr w14:val="tx1"/>
                  </w14:solidFill>
                </w14:textFill>
              </w:rPr>
              <w:t>t/a</w:t>
            </w:r>
          </w:p>
          <w:p w14:paraId="2F5415A2">
            <w:pPr>
              <w:pStyle w:val="56"/>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H</w:t>
            </w:r>
            <w:r>
              <w:rPr>
                <w:rFonts w:ascii="Times New Roman" w:hAnsi="Times New Roman"/>
                <w:color w:val="000000" w:themeColor="text1"/>
                <w:vertAlign w:val="subscript"/>
                <w:lang w:val="en-US"/>
                <w14:textFill>
                  <w14:solidFill>
                    <w14:schemeClr w14:val="tx1"/>
                  </w14:solidFill>
                </w14:textFill>
              </w:rPr>
              <w:t>2</w:t>
            </w:r>
            <w:r>
              <w:rPr>
                <w:rFonts w:ascii="Times New Roman" w:hAnsi="Times New Roman"/>
                <w:color w:val="000000" w:themeColor="text1"/>
                <w:lang w:val="en-US"/>
                <w14:textFill>
                  <w14:solidFill>
                    <w14:schemeClr w14:val="tx1"/>
                  </w14:solidFill>
                </w14:textFill>
              </w:rPr>
              <w:t>S</w:t>
            </w:r>
            <w:r>
              <w:rPr>
                <w:rFonts w:hint="eastAsia"/>
                <w:color w:val="000000" w:themeColor="text1"/>
                <w:lang w:val="en-US"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4</w:t>
            </w:r>
            <w:r>
              <w:rPr>
                <w:rFonts w:ascii="Times New Roman" w:hAnsi="Times New Roman"/>
                <w:color w:val="000000" w:themeColor="text1"/>
                <w:lang w:val="en-US"/>
                <w14:textFill>
                  <w14:solidFill>
                    <w14:schemeClr w14:val="tx1"/>
                  </w14:solidFill>
                </w14:textFill>
              </w:rPr>
              <w:t>t/a</w:t>
            </w:r>
          </w:p>
        </w:tc>
      </w:tr>
      <w:tr w14:paraId="65C181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3430B291">
            <w:pPr>
              <w:pStyle w:val="56"/>
              <w:rPr>
                <w:rFonts w:ascii="Times New Roman" w:hAnsi="Times New Roman"/>
                <w:color w:val="000000" w:themeColor="text1"/>
                <w:lang w:val="en-US"/>
                <w14:textFill>
                  <w14:solidFill>
                    <w14:schemeClr w14:val="tx1"/>
                  </w14:solidFill>
                </w14:textFill>
              </w:rPr>
            </w:pPr>
          </w:p>
        </w:tc>
        <w:tc>
          <w:tcPr>
            <w:tcW w:w="1399" w:type="dxa"/>
            <w:tcBorders>
              <w:tl2br w:val="nil"/>
              <w:tr2bl w:val="nil"/>
            </w:tcBorders>
            <w:vAlign w:val="center"/>
          </w:tcPr>
          <w:p w14:paraId="63160DC0">
            <w:pPr>
              <w:pStyle w:val="56"/>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食堂油烟</w:t>
            </w:r>
          </w:p>
        </w:tc>
        <w:tc>
          <w:tcPr>
            <w:tcW w:w="1646" w:type="dxa"/>
            <w:tcBorders>
              <w:tl2br w:val="nil"/>
              <w:tr2bl w:val="nil"/>
            </w:tcBorders>
            <w:vAlign w:val="center"/>
          </w:tcPr>
          <w:p w14:paraId="6B01ADDD">
            <w:pPr>
              <w:pStyle w:val="56"/>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油烟</w:t>
            </w:r>
          </w:p>
        </w:tc>
        <w:tc>
          <w:tcPr>
            <w:tcW w:w="1727" w:type="dxa"/>
            <w:tcBorders>
              <w:tl2br w:val="nil"/>
              <w:tr2bl w:val="nil"/>
            </w:tcBorders>
            <w:vAlign w:val="center"/>
          </w:tcPr>
          <w:p w14:paraId="493E22A0">
            <w:pPr>
              <w:pStyle w:val="56"/>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8.213</w:t>
            </w:r>
            <w:r>
              <w:rPr>
                <w:rFonts w:hint="default" w:ascii="Times New Roman" w:hAnsi="Times New Roman"/>
                <w:color w:val="000000" w:themeColor="text1"/>
                <w:lang w:val="en-US" w:eastAsia="zh-CN"/>
                <w14:textFill>
                  <w14:solidFill>
                    <w14:schemeClr w14:val="tx1"/>
                  </w14:solidFill>
                </w14:textFill>
              </w:rPr>
              <w:t>kg/a</w:t>
            </w:r>
          </w:p>
        </w:tc>
        <w:tc>
          <w:tcPr>
            <w:tcW w:w="7374" w:type="dxa"/>
            <w:tcBorders>
              <w:tl2br w:val="nil"/>
              <w:tr2bl w:val="nil"/>
            </w:tcBorders>
            <w:vAlign w:val="center"/>
          </w:tcPr>
          <w:p w14:paraId="206BD726">
            <w:pPr>
              <w:pStyle w:val="56"/>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经一套静电除油烟机对厨房油烟进行净化处置后经专用烟道引至楼顶排放</w:t>
            </w:r>
            <w:r>
              <w:rPr>
                <w:rFonts w:ascii="Times New Roman" w:hAnsi="Times New Roman"/>
                <w:color w:val="000000" w:themeColor="text1"/>
                <w14:textFill>
                  <w14:solidFill>
                    <w14:schemeClr w14:val="tx1"/>
                  </w14:solidFill>
                </w14:textFill>
              </w:rPr>
              <w:t>。</w:t>
            </w:r>
          </w:p>
        </w:tc>
        <w:tc>
          <w:tcPr>
            <w:tcW w:w="1811" w:type="dxa"/>
            <w:tcBorders>
              <w:tl2br w:val="nil"/>
              <w:tr2bl w:val="nil"/>
            </w:tcBorders>
            <w:vAlign w:val="center"/>
          </w:tcPr>
          <w:p w14:paraId="6FECE3D4">
            <w:pPr>
              <w:pStyle w:val="56"/>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3.285</w:t>
            </w:r>
            <w:r>
              <w:rPr>
                <w:rFonts w:hint="default" w:ascii="Times New Roman" w:hAnsi="Times New Roman"/>
                <w:color w:val="000000" w:themeColor="text1"/>
                <w:lang w:val="en-US" w:eastAsia="zh-CN"/>
                <w14:textFill>
                  <w14:solidFill>
                    <w14:schemeClr w14:val="tx1"/>
                  </w14:solidFill>
                </w14:textFill>
              </w:rPr>
              <w:t>kg/a</w:t>
            </w:r>
          </w:p>
        </w:tc>
      </w:tr>
      <w:tr w14:paraId="42C0D6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11ED7639">
            <w:pPr>
              <w:pStyle w:val="56"/>
              <w:rPr>
                <w:rFonts w:ascii="Times New Roman" w:hAnsi="Times New Roman"/>
                <w:color w:val="000000" w:themeColor="text1"/>
                <w:lang w:val="en-US"/>
                <w14:textFill>
                  <w14:solidFill>
                    <w14:schemeClr w14:val="tx1"/>
                  </w14:solidFill>
                </w14:textFill>
              </w:rPr>
            </w:pPr>
          </w:p>
        </w:tc>
        <w:tc>
          <w:tcPr>
            <w:tcW w:w="1399" w:type="dxa"/>
            <w:tcBorders>
              <w:tl2br w:val="nil"/>
              <w:tr2bl w:val="nil"/>
            </w:tcBorders>
            <w:vAlign w:val="center"/>
          </w:tcPr>
          <w:p w14:paraId="4A39A01C">
            <w:pPr>
              <w:pStyle w:val="56"/>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供热锅炉</w:t>
            </w:r>
          </w:p>
        </w:tc>
        <w:tc>
          <w:tcPr>
            <w:tcW w:w="1646" w:type="dxa"/>
            <w:tcBorders>
              <w:tl2br w:val="nil"/>
              <w:tr2bl w:val="nil"/>
            </w:tcBorders>
            <w:vAlign w:val="center"/>
          </w:tcPr>
          <w:p w14:paraId="2E66A041">
            <w:pPr>
              <w:pStyle w:val="56"/>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烟气（颗粒物、SO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、NOx）</w:t>
            </w:r>
          </w:p>
        </w:tc>
        <w:tc>
          <w:tcPr>
            <w:tcW w:w="1727" w:type="dxa"/>
            <w:tcBorders>
              <w:tl2br w:val="nil"/>
              <w:tr2bl w:val="nil"/>
            </w:tcBorders>
            <w:vAlign w:val="center"/>
          </w:tcPr>
          <w:p w14:paraId="4293918B">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颗粒物：0.5t/a</w:t>
            </w:r>
          </w:p>
          <w:p w14:paraId="5AA6CE8A">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:0.442t/a</w:t>
            </w:r>
          </w:p>
          <w:p w14:paraId="4F19078A">
            <w:pPr>
              <w:pStyle w:val="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NOx:1.02t/a</w:t>
            </w:r>
          </w:p>
        </w:tc>
        <w:tc>
          <w:tcPr>
            <w:tcW w:w="7374" w:type="dxa"/>
            <w:tcBorders>
              <w:tl2br w:val="nil"/>
              <w:tr2bl w:val="nil"/>
            </w:tcBorders>
            <w:vAlign w:val="center"/>
          </w:tcPr>
          <w:p w14:paraId="56BF5F0D">
            <w:pPr>
              <w:pStyle w:val="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经碱式喷淋塔处理后，设15m烟囱排放</w:t>
            </w:r>
          </w:p>
        </w:tc>
        <w:tc>
          <w:tcPr>
            <w:tcW w:w="1811" w:type="dxa"/>
            <w:tcBorders>
              <w:tl2br w:val="nil"/>
              <w:tr2bl w:val="nil"/>
            </w:tcBorders>
            <w:vAlign w:val="center"/>
          </w:tcPr>
          <w:p w14:paraId="55133C65">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颗粒物：0.065t/a</w:t>
            </w:r>
          </w:p>
          <w:p w14:paraId="706AF9C7">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:0.0818t/a</w:t>
            </w:r>
          </w:p>
          <w:p w14:paraId="08330660">
            <w:pPr>
              <w:pStyle w:val="56"/>
              <w:rPr>
                <w:rFonts w:ascii="Times New Roman" w:hAnsi="Times New Roman"/>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NOx:0.306t/a</w:t>
            </w:r>
          </w:p>
        </w:tc>
      </w:tr>
      <w:tr w14:paraId="3BC89E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4238DEB7">
            <w:pPr>
              <w:pStyle w:val="56"/>
              <w:rPr>
                <w:rFonts w:ascii="Times New Roman" w:hAnsi="Times New Roman"/>
                <w:color w:val="000000" w:themeColor="text1"/>
                <w:lang w:val="en-US"/>
                <w14:textFill>
                  <w14:solidFill>
                    <w14:schemeClr w14:val="tx1"/>
                  </w14:solidFill>
                </w14:textFill>
              </w:rPr>
            </w:pPr>
          </w:p>
        </w:tc>
        <w:tc>
          <w:tcPr>
            <w:tcW w:w="1399" w:type="dxa"/>
            <w:tcBorders>
              <w:tl2br w:val="nil"/>
              <w:tr2bl w:val="nil"/>
            </w:tcBorders>
            <w:vAlign w:val="center"/>
          </w:tcPr>
          <w:p w14:paraId="0685F497">
            <w:pPr>
              <w:pStyle w:val="56"/>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color w:val="000000" w:themeColor="text1"/>
                <w14:textFill>
                  <w14:solidFill>
                    <w14:schemeClr w14:val="tx1"/>
                  </w14:solidFill>
                </w14:textFill>
              </w:rPr>
              <w:t>饲料</w:t>
            </w:r>
            <w:r>
              <w:rPr>
                <w:rFonts w:hint="eastAsia" w:ascii="Times New Roman" w:hAnsi="Times New Roman"/>
                <w:color w:val="000000" w:themeColor="text1"/>
                <w:lang w:val="en-US" w:eastAsia="zh-CN"/>
                <w14:textFill>
                  <w14:solidFill>
                    <w14:schemeClr w14:val="tx1"/>
                  </w14:solidFill>
                </w14:textFill>
              </w:rPr>
              <w:t>粉尘</w:t>
            </w:r>
          </w:p>
        </w:tc>
        <w:tc>
          <w:tcPr>
            <w:tcW w:w="1646" w:type="dxa"/>
            <w:tcBorders>
              <w:tl2br w:val="nil"/>
              <w:tr2bl w:val="nil"/>
            </w:tcBorders>
            <w:vAlign w:val="center"/>
          </w:tcPr>
          <w:p w14:paraId="46B00DFC">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颗粒物</w:t>
            </w:r>
          </w:p>
        </w:tc>
        <w:tc>
          <w:tcPr>
            <w:tcW w:w="1727" w:type="dxa"/>
            <w:tcBorders>
              <w:tl2br w:val="nil"/>
              <w:tr2bl w:val="nil"/>
            </w:tcBorders>
            <w:vAlign w:val="center"/>
          </w:tcPr>
          <w:p w14:paraId="0DBC751B">
            <w:pPr>
              <w:pStyle w:val="56"/>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TSP</w:t>
            </w:r>
            <w:r>
              <w:rPr>
                <w:rFonts w:hint="eastAsia"/>
                <w:color w:val="000000" w:themeColor="text1"/>
                <w:lang w:val="en-US" w:eastAsia="zh-CN"/>
                <w14:textFill>
                  <w14:solidFill>
                    <w14:schemeClr w14:val="tx1"/>
                  </w14:solidFill>
                </w14:textFill>
              </w:rPr>
              <w:t>:0.99</w:t>
            </w:r>
            <w:r>
              <w:rPr>
                <w:rFonts w:ascii="Times New Roman" w:hAnsi="Times New Roman"/>
                <w:color w:val="000000" w:themeColor="text1"/>
                <w14:textFill>
                  <w14:solidFill>
                    <w14:schemeClr w14:val="tx1"/>
                  </w14:solidFill>
                </w14:textFill>
              </w:rPr>
              <w:t>t/a</w:t>
            </w:r>
          </w:p>
        </w:tc>
        <w:tc>
          <w:tcPr>
            <w:tcW w:w="7374" w:type="dxa"/>
            <w:tcBorders>
              <w:tl2br w:val="nil"/>
              <w:tr2bl w:val="nil"/>
            </w:tcBorders>
            <w:vAlign w:val="center"/>
          </w:tcPr>
          <w:p w14:paraId="5991B7D9">
            <w:pPr>
              <w:pStyle w:val="56"/>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饲料塔自带除尘器，除尘效率</w:t>
            </w:r>
            <w:r>
              <w:rPr>
                <w:rFonts w:hint="default" w:ascii="Times New Roman" w:hAnsi="Times New Roman"/>
                <w:color w:val="000000" w:themeColor="text1"/>
                <w:lang w:val="en-US" w:eastAsia="zh-CN"/>
                <w14:textFill>
                  <w14:solidFill>
                    <w14:schemeClr w14:val="tx1"/>
                  </w14:solidFill>
                </w14:textFill>
              </w:rPr>
              <w:t>99%</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自然逸散。</w:t>
            </w:r>
          </w:p>
        </w:tc>
        <w:tc>
          <w:tcPr>
            <w:tcW w:w="1811" w:type="dxa"/>
            <w:tcBorders>
              <w:tl2br w:val="nil"/>
              <w:tr2bl w:val="nil"/>
            </w:tcBorders>
            <w:vAlign w:val="center"/>
          </w:tcPr>
          <w:p w14:paraId="3F0A9B2A">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TSP</w:t>
            </w:r>
            <w:r>
              <w:rPr>
                <w:rFonts w:hint="eastAsia"/>
                <w:color w:val="000000" w:themeColor="text1"/>
                <w:lang w:val="en-US"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0.01</w:t>
            </w:r>
            <w:r>
              <w:rPr>
                <w:rFonts w:ascii="Times New Roman" w:hAnsi="Times New Roman"/>
                <w:color w:val="000000" w:themeColor="text1"/>
                <w14:textFill>
                  <w14:solidFill>
                    <w14:schemeClr w14:val="tx1"/>
                  </w14:solidFill>
                </w14:textFill>
              </w:rPr>
              <w:t>t/a</w:t>
            </w:r>
          </w:p>
        </w:tc>
      </w:tr>
      <w:tr w14:paraId="2007AB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restart"/>
            <w:tcBorders>
              <w:tl2br w:val="nil"/>
              <w:tr2bl w:val="nil"/>
            </w:tcBorders>
            <w:vAlign w:val="center"/>
          </w:tcPr>
          <w:p w14:paraId="3A7AA143">
            <w:pPr>
              <w:pStyle w:val="56"/>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废水</w:t>
            </w:r>
          </w:p>
        </w:tc>
        <w:tc>
          <w:tcPr>
            <w:tcW w:w="1399" w:type="dxa"/>
            <w:vMerge w:val="restart"/>
            <w:tcBorders>
              <w:tl2br w:val="nil"/>
              <w:tr2bl w:val="nil"/>
            </w:tcBorders>
            <w:vAlign w:val="center"/>
          </w:tcPr>
          <w:p w14:paraId="56385FA3">
            <w:pPr>
              <w:pStyle w:val="56"/>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生活污水</w:t>
            </w:r>
          </w:p>
        </w:tc>
        <w:tc>
          <w:tcPr>
            <w:tcW w:w="1646" w:type="dxa"/>
            <w:tcBorders>
              <w:tl2br w:val="nil"/>
              <w:tr2bl w:val="nil"/>
            </w:tcBorders>
            <w:vAlign w:val="center"/>
          </w:tcPr>
          <w:p w14:paraId="1C4BE5C5">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COD</w:t>
            </w:r>
          </w:p>
        </w:tc>
        <w:tc>
          <w:tcPr>
            <w:tcW w:w="1727" w:type="dxa"/>
            <w:vMerge w:val="restart"/>
            <w:tcBorders>
              <w:tl2br w:val="nil"/>
              <w:tr2bl w:val="nil"/>
            </w:tcBorders>
            <w:vAlign w:val="center"/>
          </w:tcPr>
          <w:p w14:paraId="14D357B3">
            <w:pPr>
              <w:pStyle w:val="56"/>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33.6</w:t>
            </w:r>
            <w:r>
              <w:rPr>
                <w:rFonts w:ascii="Times New Roman" w:hAnsi="Times New Roman"/>
                <w:color w:val="000000" w:themeColor="text1"/>
                <w14:textFill>
                  <w14:solidFill>
                    <w14:schemeClr w14:val="tx1"/>
                  </w14:solidFill>
                </w14:textFill>
              </w:rPr>
              <w:t>t/a</w:t>
            </w:r>
          </w:p>
        </w:tc>
        <w:tc>
          <w:tcPr>
            <w:tcW w:w="7374" w:type="dxa"/>
            <w:vMerge w:val="restart"/>
            <w:tcBorders>
              <w:tl2br w:val="nil"/>
              <w:tr2bl w:val="nil"/>
            </w:tcBorders>
            <w:vAlign w:val="center"/>
          </w:tcPr>
          <w:p w14:paraId="7C62C912">
            <w:pPr>
              <w:pStyle w:val="56"/>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定期</w:t>
            </w:r>
            <w:r>
              <w:rPr>
                <w:rFonts w:hint="eastAsia"/>
                <w:color w:val="000000" w:themeColor="text1"/>
                <w:lang w:val="en-US" w:eastAsia="zh-CN"/>
                <w14:textFill>
                  <w14:solidFill>
                    <w14:schemeClr w14:val="tx1"/>
                  </w14:solidFill>
                </w14:textFill>
              </w:rPr>
              <w:t>抽排到污水处理厂</w:t>
            </w:r>
          </w:p>
        </w:tc>
        <w:tc>
          <w:tcPr>
            <w:tcW w:w="1811" w:type="dxa"/>
            <w:vMerge w:val="restart"/>
            <w:tcBorders>
              <w:tl2br w:val="nil"/>
              <w:tr2bl w:val="nil"/>
            </w:tcBorders>
            <w:vAlign w:val="center"/>
          </w:tcPr>
          <w:p w14:paraId="6242ADF0">
            <w:pPr>
              <w:pStyle w:val="56"/>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33.6</w:t>
            </w:r>
            <w:r>
              <w:rPr>
                <w:rFonts w:ascii="Times New Roman" w:hAnsi="Times New Roman"/>
                <w:color w:val="000000" w:themeColor="text1"/>
                <w14:textFill>
                  <w14:solidFill>
                    <w14:schemeClr w14:val="tx1"/>
                  </w14:solidFill>
                </w14:textFill>
              </w:rPr>
              <w:t>t/a</w:t>
            </w:r>
          </w:p>
        </w:tc>
      </w:tr>
      <w:tr w14:paraId="437882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71AA0FBE">
            <w:pPr>
              <w:pStyle w:val="56"/>
              <w:rPr>
                <w:rFonts w:ascii="Times New Roman" w:hAnsi="Times New Roman"/>
                <w:color w:val="000000" w:themeColor="text1"/>
                <w:lang w:val="en-US"/>
                <w14:textFill>
                  <w14:solidFill>
                    <w14:schemeClr w14:val="tx1"/>
                  </w14:solidFill>
                </w14:textFill>
              </w:rPr>
            </w:pPr>
          </w:p>
        </w:tc>
        <w:tc>
          <w:tcPr>
            <w:tcW w:w="1399" w:type="dxa"/>
            <w:vMerge w:val="continue"/>
            <w:tcBorders>
              <w:tl2br w:val="nil"/>
              <w:tr2bl w:val="nil"/>
            </w:tcBorders>
            <w:vAlign w:val="center"/>
          </w:tcPr>
          <w:p w14:paraId="5EF45E10">
            <w:pPr>
              <w:pStyle w:val="56"/>
              <w:rPr>
                <w:rFonts w:hint="eastAsia" w:ascii="Times New Roman" w:hAnsi="Times New Roman"/>
                <w:color w:val="000000" w:themeColor="text1"/>
                <w:lang w:val="en-US" w:eastAsia="zh-CN"/>
                <w14:textFill>
                  <w14:solidFill>
                    <w14:schemeClr w14:val="tx1"/>
                  </w14:solidFill>
                </w14:textFill>
              </w:rPr>
            </w:pPr>
          </w:p>
        </w:tc>
        <w:tc>
          <w:tcPr>
            <w:tcW w:w="1646" w:type="dxa"/>
            <w:tcBorders>
              <w:tl2br w:val="nil"/>
              <w:tr2bl w:val="nil"/>
            </w:tcBorders>
            <w:vAlign w:val="center"/>
          </w:tcPr>
          <w:p w14:paraId="704F844D">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BOD</w:t>
            </w:r>
            <w:r>
              <w:rPr>
                <w:rFonts w:hint="eastAsia" w:ascii="Times New Roman" w:hAnsi="Times New Roman"/>
                <w:color w:val="000000" w:themeColor="text1"/>
                <w:vertAlign w:val="subscript"/>
                <w:lang w:val="en-US" w:eastAsia="zh-CN"/>
                <w14:textFill>
                  <w14:solidFill>
                    <w14:schemeClr w14:val="tx1"/>
                  </w14:solidFill>
                </w14:textFill>
              </w:rPr>
              <w:t>5</w:t>
            </w:r>
          </w:p>
        </w:tc>
        <w:tc>
          <w:tcPr>
            <w:tcW w:w="1727" w:type="dxa"/>
            <w:vMerge w:val="continue"/>
            <w:tcBorders>
              <w:tl2br w:val="nil"/>
              <w:tr2bl w:val="nil"/>
            </w:tcBorders>
            <w:vAlign w:val="center"/>
          </w:tcPr>
          <w:p w14:paraId="638BC73C">
            <w:pPr>
              <w:pStyle w:val="56"/>
              <w:rPr>
                <w:rFonts w:hint="default" w:ascii="Times New Roman" w:hAnsi="Times New Roman"/>
                <w:color w:val="000000" w:themeColor="text1"/>
                <w:lang w:val="en-US" w:eastAsia="zh-CN"/>
                <w14:textFill>
                  <w14:solidFill>
                    <w14:schemeClr w14:val="tx1"/>
                  </w14:solidFill>
                </w14:textFill>
              </w:rPr>
            </w:pPr>
          </w:p>
        </w:tc>
        <w:tc>
          <w:tcPr>
            <w:tcW w:w="7374" w:type="dxa"/>
            <w:vMerge w:val="continue"/>
            <w:tcBorders>
              <w:tl2br w:val="nil"/>
              <w:tr2bl w:val="nil"/>
            </w:tcBorders>
            <w:vAlign w:val="center"/>
          </w:tcPr>
          <w:p w14:paraId="65B29BBB">
            <w:pPr>
              <w:pStyle w:val="56"/>
              <w:rPr>
                <w:rFonts w:hint="eastAsia" w:ascii="Times New Roman" w:hAnsi="Times New Roman"/>
                <w:color w:val="000000" w:themeColor="text1"/>
                <w:lang w:val="en-US" w:eastAsia="zh-CN"/>
                <w14:textFill>
                  <w14:solidFill>
                    <w14:schemeClr w14:val="tx1"/>
                  </w14:solidFill>
                </w14:textFill>
              </w:rPr>
            </w:pPr>
          </w:p>
        </w:tc>
        <w:tc>
          <w:tcPr>
            <w:tcW w:w="1811" w:type="dxa"/>
            <w:vMerge w:val="continue"/>
            <w:tcBorders>
              <w:tl2br w:val="nil"/>
              <w:tr2bl w:val="nil"/>
            </w:tcBorders>
            <w:vAlign w:val="center"/>
          </w:tcPr>
          <w:p w14:paraId="0A318992">
            <w:pPr>
              <w:pStyle w:val="56"/>
              <w:ind w:firstLine="0" w:firstLineChars="0"/>
              <w:rPr>
                <w:rFonts w:hint="eastAsia" w:ascii="Times New Roman" w:hAnsi="Times New Roman" w:eastAsia="宋体"/>
                <w:color w:val="000000" w:themeColor="text1"/>
                <w:lang w:val="en-US" w:eastAsia="zh-CN"/>
                <w14:textFill>
                  <w14:solidFill>
                    <w14:schemeClr w14:val="tx1"/>
                  </w14:solidFill>
                </w14:textFill>
              </w:rPr>
            </w:pPr>
          </w:p>
        </w:tc>
      </w:tr>
      <w:tr w14:paraId="1EF2B9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47F4622A">
            <w:pPr>
              <w:pStyle w:val="56"/>
              <w:rPr>
                <w:rFonts w:ascii="Times New Roman" w:hAnsi="Times New Roman"/>
                <w:color w:val="000000" w:themeColor="text1"/>
                <w:lang w:val="en-US"/>
                <w14:textFill>
                  <w14:solidFill>
                    <w14:schemeClr w14:val="tx1"/>
                  </w14:solidFill>
                </w14:textFill>
              </w:rPr>
            </w:pPr>
          </w:p>
        </w:tc>
        <w:tc>
          <w:tcPr>
            <w:tcW w:w="1399" w:type="dxa"/>
            <w:vMerge w:val="continue"/>
            <w:tcBorders>
              <w:tl2br w:val="nil"/>
              <w:tr2bl w:val="nil"/>
            </w:tcBorders>
            <w:vAlign w:val="center"/>
          </w:tcPr>
          <w:p w14:paraId="2BAF25E5">
            <w:pPr>
              <w:pStyle w:val="56"/>
              <w:rPr>
                <w:rFonts w:hint="eastAsia" w:ascii="Times New Roman" w:hAnsi="Times New Roman"/>
                <w:color w:val="000000" w:themeColor="text1"/>
                <w:lang w:val="en-US" w:eastAsia="zh-CN"/>
                <w14:textFill>
                  <w14:solidFill>
                    <w14:schemeClr w14:val="tx1"/>
                  </w14:solidFill>
                </w14:textFill>
              </w:rPr>
            </w:pPr>
          </w:p>
        </w:tc>
        <w:tc>
          <w:tcPr>
            <w:tcW w:w="1646" w:type="dxa"/>
            <w:tcBorders>
              <w:tl2br w:val="nil"/>
              <w:tr2bl w:val="nil"/>
            </w:tcBorders>
            <w:vAlign w:val="center"/>
          </w:tcPr>
          <w:p w14:paraId="2870E8DD">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SS</w:t>
            </w:r>
          </w:p>
        </w:tc>
        <w:tc>
          <w:tcPr>
            <w:tcW w:w="1727" w:type="dxa"/>
            <w:vMerge w:val="continue"/>
            <w:tcBorders>
              <w:tl2br w:val="nil"/>
              <w:tr2bl w:val="nil"/>
            </w:tcBorders>
            <w:vAlign w:val="center"/>
          </w:tcPr>
          <w:p w14:paraId="27F98058">
            <w:pPr>
              <w:pStyle w:val="56"/>
              <w:rPr>
                <w:rFonts w:hint="eastAsia" w:ascii="Times New Roman" w:hAnsi="Times New Roman"/>
                <w:color w:val="000000" w:themeColor="text1"/>
                <w:lang w:val="en-US" w:eastAsia="zh-CN"/>
                <w14:textFill>
                  <w14:solidFill>
                    <w14:schemeClr w14:val="tx1"/>
                  </w14:solidFill>
                </w14:textFill>
              </w:rPr>
            </w:pPr>
          </w:p>
        </w:tc>
        <w:tc>
          <w:tcPr>
            <w:tcW w:w="7374" w:type="dxa"/>
            <w:vMerge w:val="continue"/>
            <w:tcBorders>
              <w:tl2br w:val="nil"/>
              <w:tr2bl w:val="nil"/>
            </w:tcBorders>
            <w:vAlign w:val="center"/>
          </w:tcPr>
          <w:p w14:paraId="2A378D54">
            <w:pPr>
              <w:pStyle w:val="56"/>
              <w:rPr>
                <w:rFonts w:hint="eastAsia" w:ascii="Times New Roman" w:hAnsi="Times New Roman"/>
                <w:color w:val="000000" w:themeColor="text1"/>
                <w:lang w:val="en-US" w:eastAsia="zh-CN"/>
                <w14:textFill>
                  <w14:solidFill>
                    <w14:schemeClr w14:val="tx1"/>
                  </w14:solidFill>
                </w14:textFill>
              </w:rPr>
            </w:pPr>
          </w:p>
        </w:tc>
        <w:tc>
          <w:tcPr>
            <w:tcW w:w="1811" w:type="dxa"/>
            <w:vMerge w:val="continue"/>
            <w:tcBorders>
              <w:tl2br w:val="nil"/>
              <w:tr2bl w:val="nil"/>
            </w:tcBorders>
            <w:vAlign w:val="center"/>
          </w:tcPr>
          <w:p w14:paraId="4EDDA60A">
            <w:pPr>
              <w:pStyle w:val="56"/>
              <w:ind w:firstLine="0" w:firstLineChars="0"/>
              <w:rPr>
                <w:rFonts w:hint="eastAsia" w:ascii="Times New Roman" w:hAnsi="Times New Roman"/>
                <w:color w:val="000000" w:themeColor="text1"/>
                <w:lang w:val="en-US" w:eastAsia="zh-CN"/>
                <w14:textFill>
                  <w14:solidFill>
                    <w14:schemeClr w14:val="tx1"/>
                  </w14:solidFill>
                </w14:textFill>
              </w:rPr>
            </w:pPr>
          </w:p>
        </w:tc>
      </w:tr>
      <w:tr w14:paraId="5C10B2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1FB931CA">
            <w:pPr>
              <w:pStyle w:val="56"/>
              <w:rPr>
                <w:rFonts w:ascii="Times New Roman" w:hAnsi="Times New Roman"/>
                <w:color w:val="000000" w:themeColor="text1"/>
                <w:lang w:val="en-US"/>
                <w14:textFill>
                  <w14:solidFill>
                    <w14:schemeClr w14:val="tx1"/>
                  </w14:solidFill>
                </w14:textFill>
              </w:rPr>
            </w:pPr>
          </w:p>
        </w:tc>
        <w:tc>
          <w:tcPr>
            <w:tcW w:w="1399" w:type="dxa"/>
            <w:vMerge w:val="restart"/>
            <w:tcBorders>
              <w:tl2br w:val="nil"/>
              <w:tr2bl w:val="nil"/>
            </w:tcBorders>
            <w:vAlign w:val="center"/>
          </w:tcPr>
          <w:p w14:paraId="05D9FCEF">
            <w:pPr>
              <w:pStyle w:val="56"/>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养殖废水</w:t>
            </w:r>
          </w:p>
        </w:tc>
        <w:tc>
          <w:tcPr>
            <w:tcW w:w="1646" w:type="dxa"/>
            <w:tcBorders>
              <w:tl2br w:val="nil"/>
              <w:tr2bl w:val="nil"/>
            </w:tcBorders>
            <w:vAlign w:val="center"/>
          </w:tcPr>
          <w:p w14:paraId="74212DD7">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COD</w:t>
            </w:r>
          </w:p>
        </w:tc>
        <w:tc>
          <w:tcPr>
            <w:tcW w:w="1727" w:type="dxa"/>
            <w:vMerge w:val="restart"/>
            <w:tcBorders>
              <w:tl2br w:val="nil"/>
              <w:tr2bl w:val="nil"/>
            </w:tcBorders>
            <w:vAlign w:val="center"/>
          </w:tcPr>
          <w:p w14:paraId="4C9CCD0D">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1762.5</w:t>
            </w:r>
            <w:r>
              <w:rPr>
                <w:rFonts w:ascii="Times New Roman" w:hAnsi="Times New Roman"/>
                <w:color w:val="000000" w:themeColor="text1"/>
                <w14:textFill>
                  <w14:solidFill>
                    <w14:schemeClr w14:val="tx1"/>
                  </w14:solidFill>
                </w14:textFill>
              </w:rPr>
              <w:t>t/a</w:t>
            </w:r>
          </w:p>
        </w:tc>
        <w:tc>
          <w:tcPr>
            <w:tcW w:w="7374" w:type="dxa"/>
            <w:vMerge w:val="restart"/>
            <w:tcBorders>
              <w:tl2br w:val="nil"/>
              <w:tr2bl w:val="nil"/>
            </w:tcBorders>
            <w:vAlign w:val="center"/>
          </w:tcPr>
          <w:p w14:paraId="2BF91441">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治理后回用于场区绿化灌溉</w:t>
            </w:r>
          </w:p>
        </w:tc>
        <w:tc>
          <w:tcPr>
            <w:tcW w:w="1811" w:type="dxa"/>
            <w:vMerge w:val="restart"/>
            <w:tcBorders>
              <w:tl2br w:val="nil"/>
              <w:tr2bl w:val="nil"/>
            </w:tcBorders>
            <w:vAlign w:val="center"/>
          </w:tcPr>
          <w:p w14:paraId="3A65530A">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不外排</w:t>
            </w:r>
          </w:p>
        </w:tc>
      </w:tr>
      <w:tr w14:paraId="332E93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2FAB0A1B">
            <w:pPr>
              <w:pStyle w:val="56"/>
              <w:rPr>
                <w:rFonts w:ascii="Times New Roman" w:hAnsi="Times New Roman"/>
                <w:color w:val="000000" w:themeColor="text1"/>
                <w:lang w:val="en-US"/>
                <w14:textFill>
                  <w14:solidFill>
                    <w14:schemeClr w14:val="tx1"/>
                  </w14:solidFill>
                </w14:textFill>
              </w:rPr>
            </w:pPr>
          </w:p>
        </w:tc>
        <w:tc>
          <w:tcPr>
            <w:tcW w:w="1399" w:type="dxa"/>
            <w:vMerge w:val="continue"/>
            <w:tcBorders>
              <w:tl2br w:val="nil"/>
              <w:tr2bl w:val="nil"/>
            </w:tcBorders>
            <w:vAlign w:val="center"/>
          </w:tcPr>
          <w:p w14:paraId="1561CC88">
            <w:pPr>
              <w:pStyle w:val="56"/>
              <w:rPr>
                <w:rFonts w:hint="eastAsia" w:ascii="Times New Roman" w:hAnsi="Times New Roman"/>
                <w:color w:val="000000" w:themeColor="text1"/>
                <w:lang w:val="en-US" w:eastAsia="zh-CN"/>
                <w14:textFill>
                  <w14:solidFill>
                    <w14:schemeClr w14:val="tx1"/>
                  </w14:solidFill>
                </w14:textFill>
              </w:rPr>
            </w:pPr>
          </w:p>
        </w:tc>
        <w:tc>
          <w:tcPr>
            <w:tcW w:w="1646" w:type="dxa"/>
            <w:tcBorders>
              <w:tl2br w:val="nil"/>
              <w:tr2bl w:val="nil"/>
            </w:tcBorders>
            <w:vAlign w:val="center"/>
          </w:tcPr>
          <w:p w14:paraId="1058491D">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B</w:t>
            </w:r>
            <w:r>
              <w:rPr>
                <w:rFonts w:hint="eastAsia" w:ascii="Times New Roman" w:hAnsi="Times New Roman"/>
                <w:color w:val="000000" w:themeColor="text1"/>
                <w:szCs w:val="21"/>
                <w:lang w:val="en-US" w:eastAsia="zh-CN"/>
                <w14:textFill>
                  <w14:solidFill>
                    <w14:schemeClr w14:val="tx1"/>
                  </w14:solidFill>
                </w14:textFill>
              </w:rPr>
              <w:t>OD</w:t>
            </w:r>
            <w:r>
              <w:rPr>
                <w:rFonts w:hint="eastAsia" w:ascii="Times New Roman" w:hAnsi="Times New Roman"/>
                <w:color w:val="000000" w:themeColor="text1"/>
                <w:szCs w:val="21"/>
                <w:vertAlign w:val="subscript"/>
                <w:lang w:val="en-US" w:eastAsia="zh-CN"/>
                <w14:textFill>
                  <w14:solidFill>
                    <w14:schemeClr w14:val="tx1"/>
                  </w14:solidFill>
                </w14:textFill>
              </w:rPr>
              <w:t>5</w:t>
            </w:r>
          </w:p>
        </w:tc>
        <w:tc>
          <w:tcPr>
            <w:tcW w:w="1727" w:type="dxa"/>
            <w:vMerge w:val="continue"/>
            <w:tcBorders>
              <w:tl2br w:val="nil"/>
              <w:tr2bl w:val="nil"/>
            </w:tcBorders>
            <w:vAlign w:val="center"/>
          </w:tcPr>
          <w:p w14:paraId="5F9C0C28">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c>
          <w:tcPr>
            <w:tcW w:w="7374" w:type="dxa"/>
            <w:vMerge w:val="continue"/>
            <w:tcBorders>
              <w:tl2br w:val="nil"/>
              <w:tr2bl w:val="nil"/>
            </w:tcBorders>
            <w:vAlign w:val="center"/>
          </w:tcPr>
          <w:p w14:paraId="760C1E1E">
            <w:pPr>
              <w:pStyle w:val="56"/>
              <w:ind w:firstLine="0" w:firstLineChars="0"/>
              <w:rPr>
                <w:rFonts w:hint="eastAsia" w:ascii="Times New Roman" w:hAnsi="Times New Roman"/>
                <w:color w:val="000000" w:themeColor="text1"/>
                <w:lang w:val="en-US" w:eastAsia="zh-CN"/>
                <w14:textFill>
                  <w14:solidFill>
                    <w14:schemeClr w14:val="tx1"/>
                  </w14:solidFill>
                </w14:textFill>
              </w:rPr>
            </w:pPr>
          </w:p>
        </w:tc>
        <w:tc>
          <w:tcPr>
            <w:tcW w:w="1811" w:type="dxa"/>
            <w:vMerge w:val="continue"/>
            <w:tcBorders>
              <w:tl2br w:val="nil"/>
              <w:tr2bl w:val="nil"/>
            </w:tcBorders>
            <w:vAlign w:val="center"/>
          </w:tcPr>
          <w:p w14:paraId="31D63109">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r>
      <w:tr w14:paraId="512D44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07F27E40">
            <w:pPr>
              <w:pStyle w:val="56"/>
              <w:rPr>
                <w:rFonts w:ascii="Times New Roman" w:hAnsi="Times New Roman"/>
                <w:color w:val="000000" w:themeColor="text1"/>
                <w:lang w:val="en-US"/>
                <w14:textFill>
                  <w14:solidFill>
                    <w14:schemeClr w14:val="tx1"/>
                  </w14:solidFill>
                </w14:textFill>
              </w:rPr>
            </w:pPr>
          </w:p>
        </w:tc>
        <w:tc>
          <w:tcPr>
            <w:tcW w:w="1399" w:type="dxa"/>
            <w:vMerge w:val="continue"/>
            <w:tcBorders>
              <w:tl2br w:val="nil"/>
              <w:tr2bl w:val="nil"/>
            </w:tcBorders>
            <w:vAlign w:val="center"/>
          </w:tcPr>
          <w:p w14:paraId="7515480D">
            <w:pPr>
              <w:pStyle w:val="56"/>
              <w:rPr>
                <w:rFonts w:hint="eastAsia" w:ascii="Times New Roman" w:hAnsi="Times New Roman"/>
                <w:color w:val="000000" w:themeColor="text1"/>
                <w:lang w:val="en-US" w:eastAsia="zh-CN"/>
                <w14:textFill>
                  <w14:solidFill>
                    <w14:schemeClr w14:val="tx1"/>
                  </w14:solidFill>
                </w14:textFill>
              </w:rPr>
            </w:pPr>
          </w:p>
        </w:tc>
        <w:tc>
          <w:tcPr>
            <w:tcW w:w="1646" w:type="dxa"/>
            <w:tcBorders>
              <w:tl2br w:val="nil"/>
              <w:tr2bl w:val="nil"/>
            </w:tcBorders>
            <w:vAlign w:val="center"/>
          </w:tcPr>
          <w:p w14:paraId="4AE76630">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SS</w:t>
            </w:r>
          </w:p>
        </w:tc>
        <w:tc>
          <w:tcPr>
            <w:tcW w:w="1727" w:type="dxa"/>
            <w:vMerge w:val="continue"/>
            <w:tcBorders>
              <w:tl2br w:val="nil"/>
              <w:tr2bl w:val="nil"/>
            </w:tcBorders>
            <w:vAlign w:val="center"/>
          </w:tcPr>
          <w:p w14:paraId="30F3B5FA">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c>
          <w:tcPr>
            <w:tcW w:w="7374" w:type="dxa"/>
            <w:vMerge w:val="continue"/>
            <w:tcBorders>
              <w:tl2br w:val="nil"/>
              <w:tr2bl w:val="nil"/>
            </w:tcBorders>
            <w:vAlign w:val="center"/>
          </w:tcPr>
          <w:p w14:paraId="22AC42FE">
            <w:pPr>
              <w:pStyle w:val="56"/>
              <w:ind w:firstLine="0" w:firstLineChars="0"/>
              <w:rPr>
                <w:rFonts w:hint="eastAsia" w:ascii="Times New Roman" w:hAnsi="Times New Roman"/>
                <w:color w:val="000000" w:themeColor="text1"/>
                <w:lang w:val="en-US" w:eastAsia="zh-CN"/>
                <w14:textFill>
                  <w14:solidFill>
                    <w14:schemeClr w14:val="tx1"/>
                  </w14:solidFill>
                </w14:textFill>
              </w:rPr>
            </w:pPr>
          </w:p>
        </w:tc>
        <w:tc>
          <w:tcPr>
            <w:tcW w:w="1811" w:type="dxa"/>
            <w:vMerge w:val="continue"/>
            <w:tcBorders>
              <w:tl2br w:val="nil"/>
              <w:tr2bl w:val="nil"/>
            </w:tcBorders>
            <w:vAlign w:val="center"/>
          </w:tcPr>
          <w:p w14:paraId="61F0FC2B">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r>
      <w:tr w14:paraId="269B23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2A52ECE9">
            <w:pPr>
              <w:pStyle w:val="56"/>
              <w:rPr>
                <w:rFonts w:ascii="Times New Roman" w:hAnsi="Times New Roman"/>
                <w:color w:val="000000" w:themeColor="text1"/>
                <w:lang w:val="en-US"/>
                <w14:textFill>
                  <w14:solidFill>
                    <w14:schemeClr w14:val="tx1"/>
                  </w14:solidFill>
                </w14:textFill>
              </w:rPr>
            </w:pPr>
          </w:p>
        </w:tc>
        <w:tc>
          <w:tcPr>
            <w:tcW w:w="1399" w:type="dxa"/>
            <w:vMerge w:val="continue"/>
            <w:tcBorders>
              <w:tl2br w:val="nil"/>
              <w:tr2bl w:val="nil"/>
            </w:tcBorders>
            <w:vAlign w:val="center"/>
          </w:tcPr>
          <w:p w14:paraId="2E393EEB">
            <w:pPr>
              <w:pStyle w:val="56"/>
              <w:rPr>
                <w:rFonts w:hint="eastAsia" w:ascii="Times New Roman" w:hAnsi="Times New Roman"/>
                <w:color w:val="000000" w:themeColor="text1"/>
                <w:lang w:val="en-US" w:eastAsia="zh-CN"/>
                <w14:textFill>
                  <w14:solidFill>
                    <w14:schemeClr w14:val="tx1"/>
                  </w14:solidFill>
                </w14:textFill>
              </w:rPr>
            </w:pPr>
          </w:p>
        </w:tc>
        <w:tc>
          <w:tcPr>
            <w:tcW w:w="1646" w:type="dxa"/>
            <w:tcBorders>
              <w:tl2br w:val="nil"/>
              <w:tr2bl w:val="nil"/>
            </w:tcBorders>
            <w:vAlign w:val="center"/>
          </w:tcPr>
          <w:p w14:paraId="6C1F4478">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氨氮</w:t>
            </w:r>
          </w:p>
        </w:tc>
        <w:tc>
          <w:tcPr>
            <w:tcW w:w="1727" w:type="dxa"/>
            <w:vMerge w:val="continue"/>
            <w:tcBorders>
              <w:tl2br w:val="nil"/>
              <w:tr2bl w:val="nil"/>
            </w:tcBorders>
            <w:vAlign w:val="center"/>
          </w:tcPr>
          <w:p w14:paraId="5645637B">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c>
          <w:tcPr>
            <w:tcW w:w="7374" w:type="dxa"/>
            <w:vMerge w:val="continue"/>
            <w:tcBorders>
              <w:tl2br w:val="nil"/>
              <w:tr2bl w:val="nil"/>
            </w:tcBorders>
            <w:vAlign w:val="center"/>
          </w:tcPr>
          <w:p w14:paraId="7B9F2CD3">
            <w:pPr>
              <w:pStyle w:val="56"/>
              <w:ind w:firstLine="0" w:firstLineChars="0"/>
              <w:rPr>
                <w:rFonts w:hint="eastAsia" w:ascii="Times New Roman" w:hAnsi="Times New Roman"/>
                <w:color w:val="000000" w:themeColor="text1"/>
                <w:lang w:val="en-US" w:eastAsia="zh-CN"/>
                <w14:textFill>
                  <w14:solidFill>
                    <w14:schemeClr w14:val="tx1"/>
                  </w14:solidFill>
                </w14:textFill>
              </w:rPr>
            </w:pPr>
          </w:p>
        </w:tc>
        <w:tc>
          <w:tcPr>
            <w:tcW w:w="1811" w:type="dxa"/>
            <w:vMerge w:val="continue"/>
            <w:tcBorders>
              <w:tl2br w:val="nil"/>
              <w:tr2bl w:val="nil"/>
            </w:tcBorders>
            <w:vAlign w:val="center"/>
          </w:tcPr>
          <w:p w14:paraId="07BAAE72">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r>
      <w:tr w14:paraId="73EDB6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4036660E">
            <w:pPr>
              <w:pStyle w:val="56"/>
              <w:rPr>
                <w:rFonts w:ascii="Times New Roman" w:hAnsi="Times New Roman"/>
                <w:color w:val="000000" w:themeColor="text1"/>
                <w:lang w:val="en-US"/>
                <w14:textFill>
                  <w14:solidFill>
                    <w14:schemeClr w14:val="tx1"/>
                  </w14:solidFill>
                </w14:textFill>
              </w:rPr>
            </w:pPr>
          </w:p>
        </w:tc>
        <w:tc>
          <w:tcPr>
            <w:tcW w:w="1399" w:type="dxa"/>
            <w:vMerge w:val="continue"/>
            <w:tcBorders>
              <w:tl2br w:val="nil"/>
              <w:tr2bl w:val="nil"/>
            </w:tcBorders>
            <w:vAlign w:val="center"/>
          </w:tcPr>
          <w:p w14:paraId="2EE85134">
            <w:pPr>
              <w:pStyle w:val="56"/>
              <w:rPr>
                <w:rFonts w:hint="eastAsia" w:ascii="Times New Roman" w:hAnsi="Times New Roman"/>
                <w:color w:val="000000" w:themeColor="text1"/>
                <w:lang w:val="en-US" w:eastAsia="zh-CN"/>
                <w14:textFill>
                  <w14:solidFill>
                    <w14:schemeClr w14:val="tx1"/>
                  </w14:solidFill>
                </w14:textFill>
              </w:rPr>
            </w:pPr>
          </w:p>
        </w:tc>
        <w:tc>
          <w:tcPr>
            <w:tcW w:w="1646" w:type="dxa"/>
            <w:tcBorders>
              <w:tl2br w:val="nil"/>
              <w:tr2bl w:val="nil"/>
            </w:tcBorders>
            <w:vAlign w:val="center"/>
          </w:tcPr>
          <w:p w14:paraId="6C9A0A22">
            <w:pPr>
              <w:pStyle w:val="56"/>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c>
          <w:tcPr>
            <w:tcW w:w="1727" w:type="dxa"/>
            <w:vMerge w:val="continue"/>
            <w:tcBorders>
              <w:tl2br w:val="nil"/>
              <w:tr2bl w:val="nil"/>
            </w:tcBorders>
            <w:vAlign w:val="center"/>
          </w:tcPr>
          <w:p w14:paraId="6A4F2627">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c>
          <w:tcPr>
            <w:tcW w:w="7374" w:type="dxa"/>
            <w:vMerge w:val="continue"/>
            <w:tcBorders>
              <w:tl2br w:val="nil"/>
              <w:tr2bl w:val="nil"/>
            </w:tcBorders>
            <w:vAlign w:val="center"/>
          </w:tcPr>
          <w:p w14:paraId="6F00929E">
            <w:pPr>
              <w:pStyle w:val="56"/>
              <w:ind w:firstLine="0" w:firstLineChars="0"/>
              <w:rPr>
                <w:rFonts w:hint="eastAsia" w:ascii="Times New Roman" w:hAnsi="Times New Roman"/>
                <w:color w:val="000000" w:themeColor="text1"/>
                <w:lang w:val="en-US" w:eastAsia="zh-CN"/>
                <w14:textFill>
                  <w14:solidFill>
                    <w14:schemeClr w14:val="tx1"/>
                  </w14:solidFill>
                </w14:textFill>
              </w:rPr>
            </w:pPr>
          </w:p>
        </w:tc>
        <w:tc>
          <w:tcPr>
            <w:tcW w:w="1811" w:type="dxa"/>
            <w:vMerge w:val="continue"/>
            <w:tcBorders>
              <w:tl2br w:val="nil"/>
              <w:tr2bl w:val="nil"/>
            </w:tcBorders>
            <w:vAlign w:val="center"/>
          </w:tcPr>
          <w:p w14:paraId="4455ABE9">
            <w:pPr>
              <w:pStyle w:val="56"/>
              <w:ind w:firstLine="0" w:firstLineChars="0"/>
              <w:rPr>
                <w:rFonts w:hint="default" w:ascii="Times New Roman" w:hAnsi="Times New Roman"/>
                <w:color w:val="000000" w:themeColor="text1"/>
                <w:lang w:val="en-US" w:eastAsia="zh-CN"/>
                <w14:textFill>
                  <w14:solidFill>
                    <w14:schemeClr w14:val="tx1"/>
                  </w14:solidFill>
                </w14:textFill>
              </w:rPr>
            </w:pPr>
          </w:p>
        </w:tc>
      </w:tr>
      <w:tr w14:paraId="59F0E7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restart"/>
            <w:tcBorders>
              <w:tl2br w:val="nil"/>
              <w:tr2bl w:val="nil"/>
            </w:tcBorders>
            <w:vAlign w:val="center"/>
          </w:tcPr>
          <w:p w14:paraId="396C690F">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固体废物</w:t>
            </w:r>
          </w:p>
        </w:tc>
        <w:tc>
          <w:tcPr>
            <w:tcW w:w="3045" w:type="dxa"/>
            <w:gridSpan w:val="2"/>
            <w:tcBorders>
              <w:tl2br w:val="nil"/>
              <w:tr2bl w:val="nil"/>
            </w:tcBorders>
            <w:vAlign w:val="center"/>
          </w:tcPr>
          <w:p w14:paraId="0103F67D">
            <w:pPr>
              <w:pStyle w:val="56"/>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鸭粪</w:t>
            </w:r>
            <w:r>
              <w:rPr>
                <w:rFonts w:ascii="Times New Roman" w:hAnsi="Times New Roman"/>
                <w:color w:val="000000" w:themeColor="text1"/>
                <w14:textFill>
                  <w14:solidFill>
                    <w14:schemeClr w14:val="tx1"/>
                  </w14:solidFill>
                </w14:textFill>
              </w:rPr>
              <w:t>及垫料</w:t>
            </w:r>
          </w:p>
        </w:tc>
        <w:tc>
          <w:tcPr>
            <w:tcW w:w="1727" w:type="dxa"/>
            <w:tcBorders>
              <w:tl2br w:val="nil"/>
              <w:tr2bl w:val="nil"/>
            </w:tcBorders>
            <w:vAlign w:val="center"/>
          </w:tcPr>
          <w:p w14:paraId="353B400A">
            <w:pPr>
              <w:pStyle w:val="56"/>
              <w:rPr>
                <w:rFonts w:ascii="Times New Roman" w:hAnsi="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4360.5</w:t>
            </w:r>
            <w:r>
              <w:rPr>
                <w:rFonts w:ascii="Times New Roman" w:hAnsi="Times New Roman"/>
                <w:color w:val="000000" w:themeColor="text1"/>
                <w14:textFill>
                  <w14:solidFill>
                    <w14:schemeClr w14:val="tx1"/>
                  </w14:solidFill>
                </w14:textFill>
              </w:rPr>
              <w:t>t/a</w:t>
            </w:r>
          </w:p>
        </w:tc>
        <w:tc>
          <w:tcPr>
            <w:tcW w:w="7374" w:type="dxa"/>
            <w:tcBorders>
              <w:tl2br w:val="nil"/>
              <w:tr2bl w:val="nil"/>
            </w:tcBorders>
            <w:vAlign w:val="center"/>
          </w:tcPr>
          <w:p w14:paraId="6D4A75A8">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项目采用干清粪工艺，</w:t>
            </w:r>
            <w:r>
              <w:rPr>
                <w:rFonts w:hint="eastAsia"/>
                <w:color w:val="000000" w:themeColor="text1"/>
                <w:lang w:val="en-US" w:eastAsia="zh-CN"/>
                <w14:textFill>
                  <w14:solidFill>
                    <w14:schemeClr w14:val="tx1"/>
                  </w14:solidFill>
                </w14:textFill>
              </w:rPr>
              <w:t>每个养殖周期结束</w:t>
            </w:r>
            <w:r>
              <w:rPr>
                <w:rFonts w:ascii="Times New Roman" w:hAnsi="Times New Roman"/>
                <w:color w:val="000000" w:themeColor="text1"/>
                <w14:textFill>
                  <w14:solidFill>
                    <w14:schemeClr w14:val="tx1"/>
                  </w14:solidFill>
                </w14:textFill>
              </w:rPr>
              <w:t>，清运至</w:t>
            </w:r>
            <w:r>
              <w:rPr>
                <w:rFonts w:hint="eastAsia" w:ascii="Times New Roman" w:hAnsi="Times New Roman"/>
                <w:color w:val="000000" w:themeColor="text1"/>
                <w:lang w:val="en-US" w:eastAsia="zh-CN"/>
                <w14:textFill>
                  <w14:solidFill>
                    <w14:schemeClr w14:val="tx1"/>
                  </w14:solidFill>
                </w14:textFill>
              </w:rPr>
              <w:t>63团3连粪污处理场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鸭粪</w:t>
            </w:r>
            <w:r>
              <w:rPr>
                <w:rFonts w:ascii="Times New Roman" w:hAnsi="Times New Roman"/>
                <w:color w:val="000000" w:themeColor="text1"/>
                <w14:textFill>
                  <w14:solidFill>
                    <w14:schemeClr w14:val="tx1"/>
                  </w14:solidFill>
                </w14:textFill>
              </w:rPr>
              <w:t>及垫草料不在项目区贮存。</w:t>
            </w:r>
          </w:p>
        </w:tc>
        <w:tc>
          <w:tcPr>
            <w:tcW w:w="1811" w:type="dxa"/>
            <w:tcBorders>
              <w:tl2br w:val="nil"/>
              <w:tr2bl w:val="nil"/>
            </w:tcBorders>
            <w:vAlign w:val="center"/>
          </w:tcPr>
          <w:p w14:paraId="6A6123DE">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4EE84B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4EA246F3">
            <w:pPr>
              <w:pStyle w:val="56"/>
              <w:rPr>
                <w:rFonts w:ascii="Times New Roman" w:hAnsi="Times New Roman"/>
                <w:color w:val="000000" w:themeColor="text1"/>
                <w14:textFill>
                  <w14:solidFill>
                    <w14:schemeClr w14:val="tx1"/>
                  </w14:solidFill>
                </w14:textFill>
              </w:rPr>
            </w:pPr>
          </w:p>
        </w:tc>
        <w:tc>
          <w:tcPr>
            <w:tcW w:w="3045" w:type="dxa"/>
            <w:gridSpan w:val="2"/>
            <w:tcBorders>
              <w:tl2br w:val="nil"/>
              <w:tr2bl w:val="nil"/>
            </w:tcBorders>
            <w:vAlign w:val="center"/>
          </w:tcPr>
          <w:p w14:paraId="0E532E74">
            <w:pPr>
              <w:pStyle w:val="56"/>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病死</w:t>
            </w:r>
            <w:r>
              <w:rPr>
                <w:rFonts w:hint="eastAsia" w:ascii="Times New Roman" w:hAnsi="Times New Roman"/>
                <w:color w:val="000000" w:themeColor="text1"/>
                <w:lang w:val="en-US" w:eastAsia="zh-CN"/>
                <w14:textFill>
                  <w14:solidFill>
                    <w14:schemeClr w14:val="tx1"/>
                  </w14:solidFill>
                </w14:textFill>
              </w:rPr>
              <w:t>鸭</w:t>
            </w:r>
            <w:r>
              <w:rPr>
                <w:rFonts w:hint="eastAsia"/>
                <w:color w:val="000000" w:themeColor="text1"/>
                <w:lang w:val="en-US" w:eastAsia="zh-CN"/>
                <w14:textFill>
                  <w14:solidFill>
                    <w14:schemeClr w14:val="tx1"/>
                  </w14:solidFill>
                </w14:textFill>
              </w:rPr>
              <w:t>、淘汰鸭</w:t>
            </w:r>
          </w:p>
        </w:tc>
        <w:tc>
          <w:tcPr>
            <w:tcW w:w="1727" w:type="dxa"/>
            <w:tcBorders>
              <w:tl2br w:val="nil"/>
              <w:tr2bl w:val="nil"/>
            </w:tcBorders>
            <w:vAlign w:val="center"/>
          </w:tcPr>
          <w:p w14:paraId="4CEFBF21">
            <w:pPr>
              <w:pStyle w:val="56"/>
              <w:rPr>
                <w:rFonts w:ascii="Times New Roman" w:hAnsi="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5.4</w:t>
            </w:r>
            <w:r>
              <w:rPr>
                <w:rFonts w:ascii="Times New Roman" w:hAnsi="Times New Roman"/>
                <w:color w:val="000000" w:themeColor="text1"/>
                <w14:textFill>
                  <w14:solidFill>
                    <w14:schemeClr w14:val="tx1"/>
                  </w14:solidFill>
                </w14:textFill>
              </w:rPr>
              <w:t>t/a</w:t>
            </w:r>
          </w:p>
        </w:tc>
        <w:tc>
          <w:tcPr>
            <w:tcW w:w="7374" w:type="dxa"/>
            <w:tcBorders>
              <w:tl2br w:val="nil"/>
              <w:tr2bl w:val="nil"/>
            </w:tcBorders>
            <w:vAlign w:val="center"/>
          </w:tcPr>
          <w:p w14:paraId="20835D88">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委托伊宁市病死畜禽无害化处理中心处理。</w:t>
            </w:r>
          </w:p>
        </w:tc>
        <w:tc>
          <w:tcPr>
            <w:tcW w:w="1811" w:type="dxa"/>
            <w:tcBorders>
              <w:tl2br w:val="nil"/>
              <w:tr2bl w:val="nil"/>
            </w:tcBorders>
            <w:vAlign w:val="center"/>
          </w:tcPr>
          <w:p w14:paraId="5A146BEC">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1B06A0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2F6B57DC">
            <w:pPr>
              <w:pStyle w:val="56"/>
              <w:rPr>
                <w:rFonts w:ascii="Times New Roman" w:hAnsi="Times New Roman"/>
                <w:color w:val="000000" w:themeColor="text1"/>
                <w14:textFill>
                  <w14:solidFill>
                    <w14:schemeClr w14:val="tx1"/>
                  </w14:solidFill>
                </w14:textFill>
              </w:rPr>
            </w:pPr>
          </w:p>
        </w:tc>
        <w:tc>
          <w:tcPr>
            <w:tcW w:w="3045" w:type="dxa"/>
            <w:gridSpan w:val="2"/>
            <w:tcBorders>
              <w:tl2br w:val="nil"/>
              <w:tr2bl w:val="nil"/>
            </w:tcBorders>
            <w:vAlign w:val="center"/>
          </w:tcPr>
          <w:p w14:paraId="41D76EDD">
            <w:pPr>
              <w:pStyle w:val="56"/>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医疗废物</w:t>
            </w:r>
          </w:p>
        </w:tc>
        <w:tc>
          <w:tcPr>
            <w:tcW w:w="1727" w:type="dxa"/>
            <w:tcBorders>
              <w:tl2br w:val="nil"/>
              <w:tr2bl w:val="nil"/>
            </w:tcBorders>
            <w:vAlign w:val="center"/>
          </w:tcPr>
          <w:p w14:paraId="0FAB6CBF">
            <w:pPr>
              <w:pStyle w:val="56"/>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153</w:t>
            </w:r>
            <w:r>
              <w:rPr>
                <w:rFonts w:hint="default" w:ascii="Times New Roman" w:hAnsi="Times New Roman"/>
                <w:color w:val="000000" w:themeColor="text1"/>
                <w:lang w:val="en-US" w:eastAsia="zh-CN"/>
                <w14:textFill>
                  <w14:solidFill>
                    <w14:schemeClr w14:val="tx1"/>
                  </w14:solidFill>
                </w14:textFill>
              </w:rPr>
              <w:t>t/a</w:t>
            </w:r>
          </w:p>
        </w:tc>
        <w:tc>
          <w:tcPr>
            <w:tcW w:w="7374" w:type="dxa"/>
            <w:tcBorders>
              <w:tl2br w:val="nil"/>
              <w:tr2bl w:val="nil"/>
            </w:tcBorders>
            <w:vAlign w:val="center"/>
          </w:tcPr>
          <w:p w14:paraId="6DFD3D89">
            <w:pPr>
              <w:pStyle w:val="56"/>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防疫医疗废物均暂存于场区危废间（位于场区东南侧，以密封桶单独贮存）后，定期委托有资质单位进行处置</w:t>
            </w:r>
            <w:r>
              <w:rPr>
                <w:rFonts w:ascii="Times New Roman" w:hAnsi="Times New Roman"/>
                <w:color w:val="000000" w:themeColor="text1"/>
                <w:lang w:val="en-US"/>
                <w14:textFill>
                  <w14:solidFill>
                    <w14:schemeClr w14:val="tx1"/>
                  </w14:solidFill>
                </w14:textFill>
              </w:rPr>
              <w:t>。</w:t>
            </w:r>
          </w:p>
        </w:tc>
        <w:tc>
          <w:tcPr>
            <w:tcW w:w="1811" w:type="dxa"/>
            <w:tcBorders>
              <w:tl2br w:val="nil"/>
              <w:tr2bl w:val="nil"/>
            </w:tcBorders>
            <w:vAlign w:val="center"/>
          </w:tcPr>
          <w:p w14:paraId="4E7434FE">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68C54F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14FE7839">
            <w:pPr>
              <w:pStyle w:val="56"/>
              <w:rPr>
                <w:rFonts w:ascii="Times New Roman" w:hAnsi="Times New Roman"/>
                <w:color w:val="000000" w:themeColor="text1"/>
                <w14:textFill>
                  <w14:solidFill>
                    <w14:schemeClr w14:val="tx1"/>
                  </w14:solidFill>
                </w14:textFill>
              </w:rPr>
            </w:pPr>
          </w:p>
        </w:tc>
        <w:tc>
          <w:tcPr>
            <w:tcW w:w="3045" w:type="dxa"/>
            <w:gridSpan w:val="2"/>
            <w:tcBorders>
              <w:tl2br w:val="nil"/>
              <w:tr2bl w:val="nil"/>
            </w:tcBorders>
            <w:vAlign w:val="center"/>
          </w:tcPr>
          <w:p w14:paraId="7E7E6C6D">
            <w:pPr>
              <w:pStyle w:val="56"/>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锅炉灰渣</w:t>
            </w:r>
          </w:p>
        </w:tc>
        <w:tc>
          <w:tcPr>
            <w:tcW w:w="1727" w:type="dxa"/>
            <w:tcBorders>
              <w:tl2br w:val="nil"/>
              <w:tr2bl w:val="nil"/>
            </w:tcBorders>
            <w:vAlign w:val="center"/>
          </w:tcPr>
          <w:p w14:paraId="42247348">
            <w:pPr>
              <w:pStyle w:val="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r>
              <w:rPr>
                <w:rFonts w:hint="default" w:ascii="Times New Roman" w:hAnsi="Times New Roman"/>
                <w:color w:val="000000" w:themeColor="text1"/>
                <w:lang w:val="en-US" w:eastAsia="zh-CN"/>
                <w14:textFill>
                  <w14:solidFill>
                    <w14:schemeClr w14:val="tx1"/>
                  </w14:solidFill>
                </w14:textFill>
              </w:rPr>
              <w:t>t/a</w:t>
            </w:r>
          </w:p>
        </w:tc>
        <w:tc>
          <w:tcPr>
            <w:tcW w:w="7374" w:type="dxa"/>
            <w:tcBorders>
              <w:tl2br w:val="nil"/>
              <w:tr2bl w:val="nil"/>
            </w:tcBorders>
            <w:vAlign w:val="center"/>
          </w:tcPr>
          <w:p w14:paraId="504A7FC2">
            <w:pPr>
              <w:pStyle w:val="56"/>
              <w:rPr>
                <w:rFonts w:hint="default" w:ascii="Times New Roman" w:hAnsi="Times New Roman"/>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清运至</w:t>
            </w:r>
            <w:r>
              <w:rPr>
                <w:rFonts w:hint="eastAsia" w:ascii="Times New Roman" w:hAnsi="Times New Roman"/>
                <w:color w:val="000000" w:themeColor="text1"/>
                <w:lang w:val="en-US" w:eastAsia="zh-CN"/>
                <w14:textFill>
                  <w14:solidFill>
                    <w14:schemeClr w14:val="tx1"/>
                  </w14:solidFill>
                </w14:textFill>
              </w:rPr>
              <w:t>63团3连粪污处理场</w:t>
            </w:r>
            <w:r>
              <w:rPr>
                <w:rFonts w:hint="eastAsia"/>
                <w:color w:val="000000" w:themeColor="text1"/>
                <w:lang w:val="en-US" w:eastAsia="zh-CN"/>
                <w14:textFill>
                  <w14:solidFill>
                    <w14:schemeClr w14:val="tx1"/>
                  </w14:solidFill>
                </w14:textFill>
              </w:rPr>
              <w:t>用于生产肥料</w:t>
            </w:r>
          </w:p>
        </w:tc>
        <w:tc>
          <w:tcPr>
            <w:tcW w:w="1811" w:type="dxa"/>
            <w:tcBorders>
              <w:tl2br w:val="nil"/>
              <w:tr2bl w:val="nil"/>
            </w:tcBorders>
            <w:vAlign w:val="center"/>
          </w:tcPr>
          <w:p w14:paraId="71CA2F35">
            <w:pPr>
              <w:pStyle w:val="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C1040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67384999">
            <w:pPr>
              <w:pStyle w:val="56"/>
              <w:rPr>
                <w:rFonts w:ascii="Times New Roman" w:hAnsi="Times New Roman"/>
                <w:color w:val="000000" w:themeColor="text1"/>
                <w14:textFill>
                  <w14:solidFill>
                    <w14:schemeClr w14:val="tx1"/>
                  </w14:solidFill>
                </w14:textFill>
              </w:rPr>
            </w:pPr>
          </w:p>
        </w:tc>
        <w:tc>
          <w:tcPr>
            <w:tcW w:w="3045" w:type="dxa"/>
            <w:gridSpan w:val="2"/>
            <w:tcBorders>
              <w:tl2br w:val="nil"/>
              <w:tr2bl w:val="nil"/>
            </w:tcBorders>
            <w:vAlign w:val="center"/>
          </w:tcPr>
          <w:p w14:paraId="150DF31E">
            <w:pPr>
              <w:pStyle w:val="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锅炉烟气处理干化污泥</w:t>
            </w:r>
          </w:p>
        </w:tc>
        <w:tc>
          <w:tcPr>
            <w:tcW w:w="1727" w:type="dxa"/>
            <w:tcBorders>
              <w:tl2br w:val="nil"/>
              <w:tr2bl w:val="nil"/>
            </w:tcBorders>
            <w:vAlign w:val="center"/>
          </w:tcPr>
          <w:p w14:paraId="26824631">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ascii="Times New Roman" w:hAnsi="Times New Roman"/>
                <w:color w:val="000000" w:themeColor="text1"/>
                <w:lang w:val="en-US" w:eastAsia="zh-CN"/>
                <w14:textFill>
                  <w14:solidFill>
                    <w14:schemeClr w14:val="tx1"/>
                  </w14:solidFill>
                </w14:textFill>
              </w:rPr>
              <w:t>t/a</w:t>
            </w:r>
          </w:p>
        </w:tc>
        <w:tc>
          <w:tcPr>
            <w:tcW w:w="7374" w:type="dxa"/>
            <w:tcBorders>
              <w:tl2br w:val="nil"/>
              <w:tr2bl w:val="nil"/>
            </w:tcBorders>
            <w:vAlign w:val="center"/>
          </w:tcPr>
          <w:p w14:paraId="519F8D3B">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清运至</w:t>
            </w:r>
            <w:r>
              <w:rPr>
                <w:rFonts w:hint="eastAsia" w:ascii="Times New Roman" w:hAnsi="Times New Roman"/>
                <w:color w:val="000000" w:themeColor="text1"/>
                <w:lang w:val="en-US" w:eastAsia="zh-CN"/>
                <w14:textFill>
                  <w14:solidFill>
                    <w14:schemeClr w14:val="tx1"/>
                  </w14:solidFill>
                </w14:textFill>
              </w:rPr>
              <w:t>63团3连粪污处理场</w:t>
            </w:r>
            <w:r>
              <w:rPr>
                <w:rFonts w:hint="eastAsia"/>
                <w:color w:val="000000" w:themeColor="text1"/>
                <w:lang w:val="en-US" w:eastAsia="zh-CN"/>
                <w14:textFill>
                  <w14:solidFill>
                    <w14:schemeClr w14:val="tx1"/>
                  </w14:solidFill>
                </w14:textFill>
              </w:rPr>
              <w:t>用于生产肥料</w:t>
            </w:r>
          </w:p>
        </w:tc>
        <w:tc>
          <w:tcPr>
            <w:tcW w:w="1811" w:type="dxa"/>
            <w:tcBorders>
              <w:tl2br w:val="nil"/>
              <w:tr2bl w:val="nil"/>
            </w:tcBorders>
            <w:vAlign w:val="center"/>
          </w:tcPr>
          <w:p w14:paraId="037C1BD4">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ascii="Times New Roman" w:hAnsi="Times New Roman"/>
                <w:color w:val="000000" w:themeColor="text1"/>
                <w:lang w:val="en-US" w:eastAsia="zh-CN"/>
                <w14:textFill>
                  <w14:solidFill>
                    <w14:schemeClr w14:val="tx1"/>
                  </w14:solidFill>
                </w14:textFill>
              </w:rPr>
              <w:t>t/a</w:t>
            </w:r>
          </w:p>
        </w:tc>
      </w:tr>
      <w:tr w14:paraId="7B0871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1136" w:type="dxa"/>
            <w:vMerge w:val="continue"/>
            <w:tcBorders>
              <w:tl2br w:val="nil"/>
              <w:tr2bl w:val="nil"/>
            </w:tcBorders>
            <w:vAlign w:val="center"/>
          </w:tcPr>
          <w:p w14:paraId="5A7978DA">
            <w:pPr>
              <w:pStyle w:val="56"/>
              <w:rPr>
                <w:rFonts w:ascii="Times New Roman" w:hAnsi="Times New Roman"/>
                <w:color w:val="000000" w:themeColor="text1"/>
                <w14:textFill>
                  <w14:solidFill>
                    <w14:schemeClr w14:val="tx1"/>
                  </w14:solidFill>
                </w14:textFill>
              </w:rPr>
            </w:pPr>
          </w:p>
        </w:tc>
        <w:tc>
          <w:tcPr>
            <w:tcW w:w="3045" w:type="dxa"/>
            <w:gridSpan w:val="2"/>
            <w:tcBorders>
              <w:tl2br w:val="nil"/>
              <w:tr2bl w:val="nil"/>
            </w:tcBorders>
            <w:vAlign w:val="center"/>
          </w:tcPr>
          <w:p w14:paraId="3625FB14">
            <w:pPr>
              <w:pStyle w:val="56"/>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生活垃圾</w:t>
            </w:r>
          </w:p>
        </w:tc>
        <w:tc>
          <w:tcPr>
            <w:tcW w:w="1727" w:type="dxa"/>
            <w:tcBorders>
              <w:tl2br w:val="nil"/>
              <w:tr2bl w:val="nil"/>
            </w:tcBorders>
            <w:vAlign w:val="center"/>
          </w:tcPr>
          <w:p w14:paraId="2E4A865C">
            <w:pPr>
              <w:pStyle w:val="56"/>
              <w:rPr>
                <w:rFonts w:hint="eastAsia"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4.56</w:t>
            </w:r>
            <w:r>
              <w:rPr>
                <w:rFonts w:hint="default" w:ascii="Times New Roman" w:hAnsi="Times New Roman"/>
                <w:color w:val="000000" w:themeColor="text1"/>
                <w:lang w:val="en-US" w:eastAsia="zh-CN"/>
                <w14:textFill>
                  <w14:solidFill>
                    <w14:schemeClr w14:val="tx1"/>
                  </w14:solidFill>
                </w14:textFill>
              </w:rPr>
              <w:t>t/a</w:t>
            </w:r>
          </w:p>
        </w:tc>
        <w:tc>
          <w:tcPr>
            <w:tcW w:w="7374" w:type="dxa"/>
            <w:tcBorders>
              <w:tl2br w:val="nil"/>
              <w:tr2bl w:val="nil"/>
            </w:tcBorders>
            <w:vAlign w:val="center"/>
          </w:tcPr>
          <w:p w14:paraId="6A79C2E9">
            <w:pPr>
              <w:pStyle w:val="56"/>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定期清运至63团垃圾填埋场</w:t>
            </w:r>
          </w:p>
        </w:tc>
        <w:tc>
          <w:tcPr>
            <w:tcW w:w="1811" w:type="dxa"/>
            <w:tcBorders>
              <w:tl2br w:val="nil"/>
              <w:tr2bl w:val="nil"/>
            </w:tcBorders>
            <w:vAlign w:val="center"/>
          </w:tcPr>
          <w:p w14:paraId="491F0FD8">
            <w:pPr>
              <w:pStyle w:val="56"/>
              <w:rPr>
                <w:rFonts w:ascii="Times New Roman" w:hAnsi="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4.56</w:t>
            </w:r>
            <w:r>
              <w:rPr>
                <w:rFonts w:hint="default" w:ascii="Times New Roman" w:hAnsi="Times New Roman"/>
                <w:color w:val="000000" w:themeColor="text1"/>
                <w:lang w:val="en-US" w:eastAsia="zh-CN"/>
                <w14:textFill>
                  <w14:solidFill>
                    <w14:schemeClr w14:val="tx1"/>
                  </w14:solidFill>
                </w14:textFill>
              </w:rPr>
              <w:t>t/a</w:t>
            </w:r>
          </w:p>
        </w:tc>
      </w:tr>
    </w:tbl>
    <w:p w14:paraId="043AF82B">
      <w:pPr>
        <w:pStyle w:val="56"/>
        <w:jc w:val="both"/>
        <w:rPr>
          <w:rFonts w:ascii="Times New Roman" w:hAnsi="Times New Roman" w:cs="Times New Roman"/>
          <w:color w:val="000000" w:themeColor="text1"/>
          <w14:textFill>
            <w14:solidFill>
              <w14:schemeClr w14:val="tx1"/>
            </w14:solidFill>
          </w14:textFill>
        </w:rPr>
        <w:sectPr>
          <w:type w:val="continuous"/>
          <w:pgSz w:w="16838" w:h="11906" w:orient="landscape"/>
          <w:pgMar w:top="1474" w:right="1474" w:bottom="1588" w:left="1588" w:header="1077" w:footer="850" w:gutter="0"/>
          <w:pgBorders>
            <w:top w:val="none" w:sz="0" w:space="0"/>
            <w:left w:val="none" w:sz="0" w:space="0"/>
            <w:bottom w:val="none" w:sz="0" w:space="0"/>
            <w:right w:val="none" w:sz="0" w:space="0"/>
          </w:pgBorders>
          <w:cols w:space="425" w:num="1"/>
          <w:docGrid w:type="lines" w:linePitch="326" w:charSpace="0"/>
        </w:sectPr>
      </w:pPr>
    </w:p>
    <w:p w14:paraId="1660AE83">
      <w:pPr>
        <w:pStyle w:val="4"/>
        <w:numPr>
          <w:ilvl w:val="1"/>
          <w:numId w:val="1"/>
        </w:numPr>
        <w:ind w:left="120"/>
        <w:rPr>
          <w:rFonts w:ascii="Times New Roman" w:hAnsi="Times New Roman" w:cs="Times New Roman"/>
          <w:color w:val="000000" w:themeColor="text1"/>
          <w14:textFill>
            <w14:solidFill>
              <w14:schemeClr w14:val="tx1"/>
            </w14:solidFill>
          </w14:textFill>
        </w:rPr>
      </w:pPr>
      <w:bookmarkStart w:id="86" w:name="_Toc15043"/>
      <w:r>
        <w:rPr>
          <w:rFonts w:ascii="Times New Roman" w:hAnsi="Times New Roman" w:cs="Times New Roman"/>
          <w:color w:val="000000" w:themeColor="text1"/>
          <w:lang w:val="en-GB"/>
          <w14:textFill>
            <w14:solidFill>
              <w14:schemeClr w14:val="tx1"/>
            </w14:solidFill>
          </w14:textFill>
        </w:rPr>
        <w:t>清洁生产分析</w:t>
      </w:r>
      <w:bookmarkEnd w:id="86"/>
    </w:p>
    <w:p w14:paraId="655C4B06">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本项目清洁生产分析</w:t>
      </w:r>
    </w:p>
    <w:p w14:paraId="37184086">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原辅材料毒性</w:t>
      </w:r>
    </w:p>
    <w:p w14:paraId="2FA2DFC0">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从清洁生产的角度看，规模化畜禽养殖场的原料主要包括畜禽的种类、使用的饲料。首先，规模化养殖场应选择生长速度快、体形好的优质畜禽品种。其次，饲料选择上，一是应选择环保型饲料，合理搭配各组分的含量，添加适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EM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菌，充分提高饲料品质及养分的利用率，降低排泄物中氮、磷的含量和排泄物的数量；二是对饲料进行适当加工，如膨化、制粒等，降低饲料中抗营养因子的含量，提高饲料养分的利用率。减少畜禽产品的药物残留，保证畜禽产品的安全。在饲料营养中，麦麸和玉米属于能量原料，因此麦麸和玉米具有一定的相互替代性，并且麦麸的蛋白质含量较玉米高，使用麦麸一定程度上节约豆粕等蛋白类原料的使用。</w:t>
      </w:r>
    </w:p>
    <w:p w14:paraId="4537A226">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本项目饲料外购，料车运输至项目场区后，直接输送至料塔。本项目饲料主要成分为玉米、豆饼及动物蛋白</w:t>
      </w:r>
      <w:r>
        <w:rPr>
          <w:rFonts w:ascii="Times New Roman" w:hAnsi="Times New Roman" w:cs="Times New Roman"/>
          <w:color w:val="000000" w:themeColor="text1"/>
          <w14:textFill>
            <w14:solidFill>
              <w14:schemeClr w14:val="tx1"/>
            </w14:solidFill>
          </w14:textFill>
        </w:rPr>
        <w:t>等；药品、维生素、</w:t>
      </w:r>
      <w:r>
        <w:rPr>
          <w:rFonts w:hint="eastAsia" w:ascii="Times New Roman" w:hAnsi="Times New Roman" w:cs="Times New Roman"/>
          <w:color w:val="000000" w:themeColor="text1"/>
          <w:lang w:val="en-US" w:eastAsia="zh-CN"/>
          <w14:textFill>
            <w14:solidFill>
              <w14:schemeClr w14:val="tx1"/>
            </w14:solidFill>
          </w14:textFill>
        </w:rPr>
        <w:t>疫苗</w:t>
      </w:r>
      <w:r>
        <w:rPr>
          <w:rFonts w:ascii="Times New Roman" w:hAnsi="Times New Roman" w:cs="Times New Roman"/>
          <w:color w:val="000000" w:themeColor="text1"/>
          <w14:textFill>
            <w14:solidFill>
              <w14:schemeClr w14:val="tx1"/>
            </w14:solidFill>
          </w14:textFill>
        </w:rPr>
        <w:t>均为动物医疗用药；除臭剂主要是提取植物中天然杀菌除臭因子</w:t>
      </w:r>
      <w:r>
        <w:rPr>
          <w:rFonts w:hint="eastAsia" w:ascii="Times New Roman" w:hAnsi="Times New Roman" w:cs="Times New Roman"/>
          <w:color w:val="000000" w:themeColor="text1"/>
          <w:lang w:val="en-US" w:eastAsia="zh-CN"/>
          <w14:textFill>
            <w14:solidFill>
              <w14:schemeClr w14:val="tx1"/>
            </w14:solidFill>
          </w14:textFill>
        </w:rPr>
        <w:t>制成，</w:t>
      </w:r>
      <w:r>
        <w:rPr>
          <w:rFonts w:ascii="Times New Roman" w:hAnsi="Times New Roman" w:cs="Times New Roman"/>
          <w:color w:val="000000" w:themeColor="text1"/>
          <w14:textFill>
            <w14:solidFill>
              <w14:schemeClr w14:val="tx1"/>
            </w14:solidFill>
          </w14:textFill>
        </w:rPr>
        <w:t>不添加任何化学物质，对人体、牲畜无任何毒副作用；消毒剂为环境友好型消毒剂，非含氯消毒剂（过氧乙酸）使用安全，项目所需原料均属于天然材料，无毒性，属于清洁型的原料。</w:t>
      </w:r>
    </w:p>
    <w:p w14:paraId="71612C55">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设备及工艺先进性</w:t>
      </w:r>
    </w:p>
    <w:p w14:paraId="49C250A3">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公司使用现代化鸭舍，实现了为鸭只提供洁净、舒适、健康的生长环境和减少劳动工人、提高劳动效率的目的</w:t>
      </w:r>
      <w:r>
        <w:rPr>
          <w:rFonts w:ascii="Times New Roman" w:hAnsi="Times New Roman" w:cs="Times New Roman"/>
          <w:color w:val="000000" w:themeColor="text1"/>
          <w14:textFill>
            <w14:solidFill>
              <w14:schemeClr w14:val="tx1"/>
            </w14:solidFill>
          </w14:textFill>
        </w:rPr>
        <w:t>。</w:t>
      </w:r>
    </w:p>
    <w:p w14:paraId="005827B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项目养殖场设施完善，圈舍结构合理，设计和建设时将充分考虑环保的要求，</w:t>
      </w:r>
      <w:r>
        <w:rPr>
          <w:rFonts w:ascii="Times New Roman" w:hAnsi="Times New Roman" w:cs="Times New Roman"/>
          <w:color w:val="000000" w:themeColor="text1"/>
          <w:lang w:val="zh-CN"/>
          <w14:textFill>
            <w14:solidFill>
              <w14:schemeClr w14:val="tx1"/>
            </w14:solidFill>
          </w14:textFill>
        </w:rPr>
        <w:t>项目采用干清粪工艺，</w:t>
      </w:r>
      <w:r>
        <w:rPr>
          <w:rFonts w:hint="eastAsia" w:ascii="Times New Roman" w:hAnsi="Times New Roman" w:cs="Times New Roman"/>
          <w:color w:val="000000" w:themeColor="text1"/>
          <w:lang w:val="en-US" w:eastAsia="zh-CN"/>
          <w14:textFill>
            <w14:solidFill>
              <w14:schemeClr w14:val="tx1"/>
            </w14:solidFill>
          </w14:textFill>
        </w:rPr>
        <w:t>鸭粪</w:t>
      </w:r>
      <w:r>
        <w:rPr>
          <w:rFonts w:ascii="Times New Roman" w:hAnsi="Times New Roman" w:cs="Times New Roman"/>
          <w:color w:val="000000" w:themeColor="text1"/>
          <w:lang w:val="zh-CN"/>
          <w14:textFill>
            <w14:solidFill>
              <w14:schemeClr w14:val="tx1"/>
            </w14:solidFill>
          </w14:textFill>
        </w:rPr>
        <w:t>及垫草料不在项目区贮存，</w:t>
      </w:r>
      <w:r>
        <w:rPr>
          <w:rFonts w:hint="eastAsia" w:cs="Times New Roman"/>
          <w:color w:val="000000" w:themeColor="text1"/>
          <w:lang w:val="en-US" w:eastAsia="zh-CN"/>
          <w14:textFill>
            <w14:solidFill>
              <w14:schemeClr w14:val="tx1"/>
            </w14:solidFill>
          </w14:textFill>
        </w:rPr>
        <w:t>养殖周期结束干清粪，</w:t>
      </w:r>
      <w:r>
        <w:rPr>
          <w:rFonts w:ascii="Times New Roman" w:hAnsi="Times New Roman" w:cs="Times New Roman"/>
          <w:color w:val="000000" w:themeColor="text1"/>
          <w:lang w:val="zh-CN"/>
          <w14:textFill>
            <w14:solidFill>
              <w14:schemeClr w14:val="tx1"/>
            </w14:solidFill>
          </w14:textFill>
        </w:rPr>
        <w:t>拉运至</w:t>
      </w:r>
      <w:r>
        <w:rPr>
          <w:rFonts w:hint="eastAsia" w:ascii="Times New Roman" w:hAnsi="Times New Roman" w:cs="Times New Roman"/>
          <w:color w:val="000000" w:themeColor="text1"/>
          <w:lang w:val="en-US" w:eastAsia="zh-CN"/>
          <w14:textFill>
            <w14:solidFill>
              <w14:schemeClr w14:val="tx1"/>
            </w14:solidFill>
          </w14:textFill>
        </w:rPr>
        <w:t>63团3连粪污处理场处理</w:t>
      </w:r>
      <w:r>
        <w:rPr>
          <w:rFonts w:ascii="Times New Roman" w:hAnsi="Times New Roman" w:cs="Times New Roman"/>
          <w:color w:val="000000" w:themeColor="text1"/>
          <w14:textFill>
            <w14:solidFill>
              <w14:schemeClr w14:val="tx1"/>
            </w14:solidFill>
          </w14:textFill>
        </w:rPr>
        <w:t>。通过本项目的建设，养殖场内</w:t>
      </w:r>
      <w:r>
        <w:rPr>
          <w:rFonts w:hint="eastAsia" w:cs="Times New Roman"/>
          <w:color w:val="000000" w:themeColor="text1"/>
          <w:lang w:val="en-US" w:eastAsia="zh-CN"/>
          <w14:textFill>
            <w14:solidFill>
              <w14:schemeClr w14:val="tx1"/>
            </w14:solidFill>
          </w14:textFill>
        </w:rPr>
        <w:t>养殖粪污、废水实现零排放</w:t>
      </w:r>
      <w:r>
        <w:rPr>
          <w:rFonts w:ascii="Times New Roman" w:hAnsi="Times New Roman" w:cs="Times New Roman"/>
          <w:color w:val="000000" w:themeColor="text1"/>
          <w14:textFill>
            <w14:solidFill>
              <w14:schemeClr w14:val="tx1"/>
            </w14:solidFill>
          </w14:textFill>
        </w:rPr>
        <w:t>，很大程度上减轻了对环境的污染。</w:t>
      </w:r>
    </w:p>
    <w:p w14:paraId="3B977410">
      <w:pPr>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按照清洁生产的标准建立养殖基地，全程控制</w:t>
      </w:r>
      <w:r>
        <w:rPr>
          <w:rFonts w:hint="eastAsia" w:ascii="Times New Roman" w:hAnsi="Times New Roman" w:cs="Times New Roman"/>
          <w:color w:val="000000" w:themeColor="text1"/>
          <w:lang w:val="en-US" w:eastAsia="zh-CN"/>
          <w14:textFill>
            <w14:solidFill>
              <w14:schemeClr w14:val="tx1"/>
            </w14:solidFill>
          </w14:textFill>
        </w:rPr>
        <w:t>鸭只</w:t>
      </w:r>
      <w:r>
        <w:rPr>
          <w:rFonts w:ascii="Times New Roman" w:hAnsi="Times New Roman" w:cs="Times New Roman"/>
          <w:color w:val="000000" w:themeColor="text1"/>
          <w14:textFill>
            <w14:solidFill>
              <w14:schemeClr w14:val="tx1"/>
            </w14:solidFill>
          </w14:textFill>
        </w:rPr>
        <w:t>的饲养和管理</w:t>
      </w:r>
      <w:r>
        <w:rPr>
          <w:rFonts w:hint="eastAsia" w:ascii="Times New Roman" w:hAnsi="Times New Roman" w:cs="Times New Roman"/>
          <w:color w:val="000000" w:themeColor="text1"/>
          <w:lang w:eastAsia="zh-CN"/>
          <w14:textFill>
            <w14:solidFill>
              <w14:schemeClr w14:val="tx1"/>
            </w14:solidFill>
          </w14:textFill>
        </w:rPr>
        <w:t>。</w:t>
      </w:r>
    </w:p>
    <w:p w14:paraId="521C6481">
      <w:pPr>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科学设计日粮，选择优质的饲料，除提高</w:t>
      </w:r>
      <w:r>
        <w:rPr>
          <w:rFonts w:hint="eastAsia" w:ascii="Times New Roman" w:hAnsi="Times New Roman" w:cs="Times New Roman"/>
          <w:color w:val="000000" w:themeColor="text1"/>
          <w:lang w:val="en-US" w:eastAsia="zh-CN"/>
          <w14:textFill>
            <w14:solidFill>
              <w14:schemeClr w14:val="tx1"/>
            </w14:solidFill>
          </w14:textFill>
        </w:rPr>
        <w:t>鸭只</w:t>
      </w:r>
      <w:r>
        <w:rPr>
          <w:rFonts w:ascii="Times New Roman" w:hAnsi="Times New Roman" w:cs="Times New Roman"/>
          <w:color w:val="000000" w:themeColor="text1"/>
          <w14:textFill>
            <w14:solidFill>
              <w14:schemeClr w14:val="tx1"/>
            </w14:solidFill>
          </w14:textFill>
        </w:rPr>
        <w:t>生产性能外，对控制恶臭具有重要作用</w:t>
      </w:r>
      <w:r>
        <w:rPr>
          <w:rFonts w:hint="eastAsia" w:ascii="Times New Roman" w:hAnsi="Times New Roman" w:cs="Times New Roman"/>
          <w:color w:val="000000" w:themeColor="text1"/>
          <w:lang w:eastAsia="zh-CN"/>
          <w14:textFill>
            <w14:solidFill>
              <w14:schemeClr w14:val="tx1"/>
            </w14:solidFill>
          </w14:textFill>
        </w:rPr>
        <w:t>。</w:t>
      </w:r>
    </w:p>
    <w:p w14:paraId="7B491433">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能源、资源综合利用</w:t>
      </w:r>
    </w:p>
    <w:p w14:paraId="70F3708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本项目采用干清粪工艺，垫料采用</w:t>
      </w:r>
      <w:r>
        <w:rPr>
          <w:rFonts w:hint="eastAsia" w:ascii="Times New Roman" w:hAnsi="Times New Roman" w:cs="Times New Roman"/>
          <w:color w:val="000000" w:themeColor="text1"/>
          <w:lang w:val="en-US" w:eastAsia="zh-CN"/>
          <w14:textFill>
            <w14:solidFill>
              <w14:schemeClr w14:val="tx1"/>
            </w14:solidFill>
          </w14:textFill>
        </w:rPr>
        <w:t>稻壳</w:t>
      </w:r>
      <w:r>
        <w:rPr>
          <w:rFonts w:ascii="Times New Roman" w:hAnsi="Times New Roman" w:cs="Times New Roman"/>
          <w:color w:val="000000" w:themeColor="text1"/>
          <w14:textFill>
            <w14:solidFill>
              <w14:schemeClr w14:val="tx1"/>
            </w14:solidFill>
          </w14:textFill>
        </w:rPr>
        <w:t>，项目的建设将充分利用此类废弃物的可用价值。干清粪养殖技术大幅减少了圈舍冲洗水的使用，相比传统养殖工艺，很大程度节约了水资源，并且项目在生产过</w:t>
      </w:r>
      <w:r>
        <w:rPr>
          <w:rFonts w:hint="eastAsia" w:cs="Times New Roman"/>
          <w:color w:val="000000" w:themeColor="text1"/>
          <w:lang w:eastAsia="zh-CN"/>
          <w14:textFill>
            <w14:solidFill>
              <w14:schemeClr w14:val="tx1"/>
            </w14:solidFill>
          </w14:textFill>
        </w:rPr>
        <w:t>程中</w:t>
      </w:r>
      <w:r>
        <w:rPr>
          <w:rFonts w:ascii="Times New Roman" w:hAnsi="Times New Roman" w:cs="Times New Roman"/>
          <w:color w:val="000000" w:themeColor="text1"/>
          <w14:textFill>
            <w14:solidFill>
              <w14:schemeClr w14:val="tx1"/>
            </w14:solidFill>
          </w14:textFill>
        </w:rPr>
        <w:t>采取了各项节水措施，减少了水资源的浪费。</w:t>
      </w:r>
    </w:p>
    <w:p w14:paraId="6C3E7825">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本项目粪污均清运至63团3连粪污处理场</w:t>
      </w:r>
      <w:r>
        <w:rPr>
          <w:rFonts w:ascii="Times New Roman" w:hAnsi="Times New Roman" w:cs="Times New Roman"/>
          <w:color w:val="000000" w:themeColor="text1"/>
          <w:lang w:val="zh-CN"/>
          <w14:textFill>
            <w14:solidFill>
              <w14:schemeClr w14:val="tx1"/>
            </w14:solidFill>
          </w14:textFill>
        </w:rPr>
        <w:t>综合利用，</w:t>
      </w:r>
      <w:r>
        <w:rPr>
          <w:rFonts w:hint="eastAsia" w:ascii="Times New Roman" w:hAnsi="Times New Roman" w:cs="Times New Roman"/>
          <w:color w:val="000000" w:themeColor="text1"/>
          <w:lang w:val="en-US" w:eastAsia="zh-CN"/>
          <w14:textFill>
            <w14:solidFill>
              <w14:schemeClr w14:val="tx1"/>
            </w14:solidFill>
          </w14:textFill>
        </w:rPr>
        <w:t>鸭粪</w:t>
      </w:r>
      <w:r>
        <w:rPr>
          <w:rFonts w:ascii="Times New Roman" w:hAnsi="Times New Roman" w:cs="Times New Roman"/>
          <w:color w:val="000000" w:themeColor="text1"/>
          <w:lang w:val="zh-CN"/>
          <w14:textFill>
            <w14:solidFill>
              <w14:schemeClr w14:val="tx1"/>
            </w14:solidFill>
          </w14:textFill>
        </w:rPr>
        <w:t>及垫草料不在项目区贮存，</w:t>
      </w:r>
      <w:r>
        <w:rPr>
          <w:rFonts w:ascii="Times New Roman" w:hAnsi="Times New Roman" w:cs="Times New Roman"/>
          <w:color w:val="000000" w:themeColor="text1"/>
          <w14:textFill>
            <w14:solidFill>
              <w14:schemeClr w14:val="tx1"/>
            </w14:solidFill>
          </w14:textFill>
        </w:rPr>
        <w:t>达到了资源能源的综合利用。</w:t>
      </w:r>
    </w:p>
    <w:p w14:paraId="0205C3BD">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本项目采用先进的温控系统，在满足要求的情况下，尽可能降低供热能耗；本项目供热选择生物质能源锅炉，尽可能降低煤炭等化石能源的消耗。</w:t>
      </w:r>
    </w:p>
    <w:p w14:paraId="161F781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综上所述，项目资源能源利用符合清洁生产要求。</w:t>
      </w:r>
    </w:p>
    <w:p w14:paraId="60D52BE4">
      <w:pPr>
        <w:numPr>
          <w:ilvl w:val="0"/>
          <w:numId w:val="0"/>
        </w:numPr>
        <w:ind w:left="0" w:leftChars="0"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kern w:val="2"/>
          <w:sz w:val="24"/>
          <w:szCs w:val="22"/>
          <w:lang w:val="en-US" w:eastAsia="zh-CN" w:bidi="ar-SA"/>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节能措施</w:t>
      </w:r>
    </w:p>
    <w:p w14:paraId="56BC469C">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通风系统：鸭舍通风系统的设计能及时保持舍内空气流动，最大限</w:t>
      </w:r>
      <w:r>
        <w:rPr>
          <w:rFonts w:hint="eastAsia" w:eastAsia="宋体" w:cs="宋体"/>
          <w:color w:val="000000" w:themeColor="text1"/>
          <w:kern w:val="0"/>
          <w:sz w:val="24"/>
          <w:szCs w:val="24"/>
          <w:lang w:val="en-US" w:eastAsia="zh-CN" w:bidi="ar"/>
          <w14:textFill>
            <w14:solidFill>
              <w14:schemeClr w14:val="tx1"/>
            </w14:solidFill>
          </w14:textFill>
        </w:rPr>
        <w:t>度地</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利用了自然风，大大降低了能耗。</w:t>
      </w:r>
    </w:p>
    <w:p w14:paraId="309D60A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温控系统：项目</w:t>
      </w:r>
      <w:r>
        <w:rPr>
          <w:rFonts w:hint="eastAsia" w:eastAsia="宋体" w:cs="宋体"/>
          <w:color w:val="000000" w:themeColor="text1"/>
          <w:kern w:val="0"/>
          <w:sz w:val="24"/>
          <w:szCs w:val="24"/>
          <w:lang w:val="en-US" w:eastAsia="zh-CN" w:bidi="ar"/>
          <w14:textFill>
            <w14:solidFill>
              <w14:schemeClr w14:val="tx1"/>
            </w14:solidFill>
          </w14:textFill>
        </w:rPr>
        <w:t>建设有供热锅炉房，</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办公用房、宿舍和鸭舍冬季采暖均使用</w:t>
      </w:r>
      <w:r>
        <w:rPr>
          <w:rFonts w:hint="eastAsia" w:eastAsia="宋体" w:cs="宋体"/>
          <w:color w:val="000000" w:themeColor="text1"/>
          <w:kern w:val="0"/>
          <w:sz w:val="24"/>
          <w:szCs w:val="24"/>
          <w:lang w:val="en-US" w:eastAsia="zh-CN" w:bidi="ar"/>
          <w14:textFill>
            <w14:solidFill>
              <w14:schemeClr w14:val="tx1"/>
            </w14:solidFill>
          </w14:textFill>
        </w:rPr>
        <w:t>生物质锅炉集中供热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；鸭舍夏季降温采用风机进行通风降温。</w:t>
      </w:r>
    </w:p>
    <w:p w14:paraId="1A5C5E5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养鸭饮用水采用乳头式饮水系统，能够在很大程度上减少鸭</w:t>
      </w:r>
      <w:r>
        <w:rPr>
          <w:rFonts w:hint="eastAsia" w:eastAsia="宋体" w:cs="宋体"/>
          <w:color w:val="000000" w:themeColor="text1"/>
          <w:kern w:val="0"/>
          <w:sz w:val="24"/>
          <w:szCs w:val="24"/>
          <w:lang w:val="en-US" w:eastAsia="zh-CN" w:bidi="ar"/>
          <w14:textFill>
            <w14:solidFill>
              <w14:schemeClr w14:val="tx1"/>
            </w14:solidFill>
          </w14:textFill>
        </w:rPr>
        <w:t>饮用</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水的跑、冒、滴、漏和</w:t>
      </w:r>
      <w:r>
        <w:rPr>
          <w:rFonts w:hint="eastAsia" w:eastAsia="宋体" w:cs="宋体"/>
          <w:color w:val="000000" w:themeColor="text1"/>
          <w:kern w:val="0"/>
          <w:sz w:val="24"/>
          <w:szCs w:val="24"/>
          <w:lang w:val="en-US" w:eastAsia="zh-CN" w:bidi="ar"/>
          <w14:textFill>
            <w14:solidFill>
              <w14:schemeClr w14:val="tx1"/>
            </w14:solidFill>
          </w14:textFill>
        </w:rPr>
        <w:t>其他</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原因造成的水浪费。</w:t>
      </w:r>
    </w:p>
    <w:p w14:paraId="62FE4C3E">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污染物产生指标</w:t>
      </w:r>
    </w:p>
    <w:p w14:paraId="1433745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w:t>
      </w:r>
      <w:r>
        <w:rPr>
          <w:rFonts w:hint="eastAsia" w:ascii="Times New Roman" w:hAnsi="Times New Roman" w:cs="Times New Roman"/>
          <w:color w:val="000000" w:themeColor="text1"/>
          <w:lang w:val="en-US" w:eastAsia="zh-CN"/>
          <w14:textFill>
            <w14:solidFill>
              <w14:schemeClr w14:val="tx1"/>
            </w14:solidFill>
          </w14:textFill>
        </w:rPr>
        <w:t>本项目生活污水经防渗化粪池</w:t>
      </w:r>
      <w:r>
        <w:rPr>
          <w:rFonts w:hint="eastAsia" w:cs="Times New Roman"/>
          <w:color w:val="000000" w:themeColor="text1"/>
          <w:lang w:val="en-US" w:eastAsia="zh-CN"/>
          <w14:textFill>
            <w14:solidFill>
              <w14:schemeClr w14:val="tx1"/>
            </w14:solidFill>
          </w14:textFill>
        </w:rPr>
        <w:t>处理后抽排到</w:t>
      </w:r>
      <w:r>
        <w:rPr>
          <w:rFonts w:hint="eastAsia" w:ascii="Times New Roman" w:hAnsi="Times New Roman" w:cs="Times New Roman"/>
          <w:color w:val="000000" w:themeColor="text1"/>
          <w:lang w:val="en-US" w:eastAsia="zh-CN"/>
          <w14:textFill>
            <w14:solidFill>
              <w14:schemeClr w14:val="tx1"/>
            </w14:solidFill>
          </w14:textFill>
        </w:rPr>
        <w:t>63团</w:t>
      </w:r>
      <w:r>
        <w:rPr>
          <w:rFonts w:hint="eastAsia" w:cs="Times New Roman"/>
          <w:color w:val="000000" w:themeColor="text1"/>
          <w:lang w:val="en-US" w:eastAsia="zh-CN"/>
          <w14:textFill>
            <w14:solidFill>
              <w14:schemeClr w14:val="tx1"/>
            </w14:solidFill>
          </w14:textFill>
        </w:rPr>
        <w:t>污水处理厂</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养殖废水收集到场区污水处理设施处理后回用于场区绿化浇灌，综上，本项目仅排放生活废水，且排放量很小</w:t>
      </w:r>
      <w:r>
        <w:rPr>
          <w:rFonts w:ascii="Times New Roman" w:hAnsi="Times New Roman" w:cs="Times New Roman"/>
          <w:color w:val="000000" w:themeColor="text1"/>
          <w:lang w:val="zh-CN"/>
          <w14:textFill>
            <w14:solidFill>
              <w14:schemeClr w14:val="tx1"/>
            </w14:solidFill>
          </w14:textFill>
        </w:rPr>
        <w:t>。</w:t>
      </w:r>
    </w:p>
    <w:p w14:paraId="30665F87">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废气：本项目运营后废气排放源主要为养殖区产生的恶臭气体，这部分废气以面源形式排放，通过科学合理调控饲粮，合理配置饲料成分、喷洒除臭剂、合理布局、可以实现场界达标排放。</w:t>
      </w:r>
      <w:r>
        <w:rPr>
          <w:rFonts w:hint="eastAsia" w:cs="Times New Roman"/>
          <w:color w:val="000000" w:themeColor="text1"/>
          <w:lang w:val="en-US" w:eastAsia="zh-CN"/>
          <w14:textFill>
            <w14:solidFill>
              <w14:schemeClr w14:val="tx1"/>
            </w14:solidFill>
          </w14:textFill>
        </w:rPr>
        <w:t>其次是生物质供热锅炉房烟气排放，经治理后可以实现达标排放；本项目料塔饲料加工产生少量颗粒物，排放量很小，对环境的影响极小。</w:t>
      </w:r>
    </w:p>
    <w:p w14:paraId="3C870B2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固废：本项目</w:t>
      </w:r>
      <w:r>
        <w:rPr>
          <w:rFonts w:ascii="Times New Roman" w:hAnsi="Times New Roman" w:cs="Times New Roman"/>
          <w:color w:val="000000" w:themeColor="text1"/>
          <w:lang w:val="zh-CN"/>
          <w14:textFill>
            <w14:solidFill>
              <w14:schemeClr w14:val="tx1"/>
            </w14:solidFill>
          </w14:textFill>
        </w:rPr>
        <w:t>圈舍采用干清粪</w:t>
      </w:r>
      <w:r>
        <w:rPr>
          <w:rFonts w:ascii="Times New Roman" w:hAnsi="Times New Roman" w:cs="Times New Roman"/>
          <w:color w:val="000000" w:themeColor="text1"/>
          <w14:textFill>
            <w14:solidFill>
              <w14:schemeClr w14:val="tx1"/>
            </w14:solidFill>
          </w14:textFill>
        </w:rPr>
        <w:t>工艺</w:t>
      </w:r>
      <w:r>
        <w:rPr>
          <w:rFonts w:ascii="Times New Roman" w:hAnsi="Times New Roman" w:cs="Times New Roman"/>
          <w:color w:val="000000" w:themeColor="text1"/>
          <w:lang w:val="zh-CN"/>
          <w14:textFill>
            <w14:solidFill>
              <w14:schemeClr w14:val="tx1"/>
            </w14:solidFill>
          </w14:textFill>
        </w:rPr>
        <w:t>，养殖过程中产生的</w:t>
      </w:r>
      <w:r>
        <w:rPr>
          <w:rFonts w:hint="eastAsia" w:ascii="Times New Roman" w:hAnsi="Times New Roman" w:cs="Times New Roman"/>
          <w:color w:val="000000" w:themeColor="text1"/>
          <w:lang w:val="en-US" w:eastAsia="zh-CN"/>
          <w14:textFill>
            <w14:solidFill>
              <w14:schemeClr w14:val="tx1"/>
            </w14:solidFill>
          </w14:textFill>
        </w:rPr>
        <w:t>鸭粪</w:t>
      </w:r>
      <w:r>
        <w:rPr>
          <w:rFonts w:ascii="Times New Roman" w:hAnsi="Times New Roman" w:cs="Times New Roman"/>
          <w:color w:val="000000" w:themeColor="text1"/>
          <w:lang w:val="zh-CN"/>
          <w14:textFill>
            <w14:solidFill>
              <w14:schemeClr w14:val="tx1"/>
            </w14:solidFill>
          </w14:textFill>
        </w:rPr>
        <w:t>与垫草料</w:t>
      </w:r>
      <w:r>
        <w:rPr>
          <w:rFonts w:ascii="Times New Roman" w:hAnsi="Times New Roman" w:cs="Times New Roman"/>
          <w:color w:val="000000" w:themeColor="text1"/>
          <w14:textFill>
            <w14:solidFill>
              <w14:schemeClr w14:val="tx1"/>
            </w14:solidFill>
          </w14:textFill>
        </w:rPr>
        <w:t>不在项目区贮存，</w:t>
      </w:r>
      <w:r>
        <w:rPr>
          <w:rFonts w:hint="eastAsia" w:ascii="Times New Roman" w:hAnsi="Times New Roman" w:cs="Times New Roman"/>
          <w:color w:val="000000" w:themeColor="text1"/>
          <w:lang w:val="en-US" w:eastAsia="zh-CN"/>
          <w14:textFill>
            <w14:solidFill>
              <w14:schemeClr w14:val="tx1"/>
            </w14:solidFill>
          </w14:textFill>
        </w:rPr>
        <w:t>定期</w:t>
      </w:r>
      <w:r>
        <w:rPr>
          <w:rFonts w:ascii="Times New Roman" w:hAnsi="Times New Roman" w:cs="Times New Roman"/>
          <w:color w:val="000000" w:themeColor="text1"/>
          <w14:textFill>
            <w14:solidFill>
              <w14:schemeClr w14:val="tx1"/>
            </w14:solidFill>
          </w14:textFill>
        </w:rPr>
        <w:t>直接拉运至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外售；项目</w:t>
      </w:r>
      <w:r>
        <w:rPr>
          <w:rFonts w:hint="eastAsia" w:cs="Times New Roman"/>
          <w:color w:val="000000" w:themeColor="text1"/>
          <w:lang w:val="zh-CN"/>
          <w14:textFill>
            <w14:solidFill>
              <w14:schemeClr w14:val="tx1"/>
            </w14:solidFill>
          </w14:textFill>
        </w:rPr>
        <w:t>淘汰鸭、病死鸭</w:t>
      </w:r>
      <w:r>
        <w:rPr>
          <w:rFonts w:ascii="Times New Roman" w:hAnsi="Times New Roman" w:cs="Times New Roman"/>
          <w:color w:val="000000" w:themeColor="text1"/>
          <w:lang w:val="zh-CN"/>
          <w14:textFill>
            <w14:solidFill>
              <w14:schemeClr w14:val="tx1"/>
            </w14:solidFill>
          </w14:textFill>
        </w:rPr>
        <w:t>尸体委托伊宁市病死畜禽无害化处理</w:t>
      </w:r>
      <w:r>
        <w:rPr>
          <w:rFonts w:hint="eastAsia" w:ascii="Times New Roman" w:hAnsi="Times New Roman" w:cs="Times New Roman"/>
          <w:color w:val="000000" w:themeColor="text1"/>
          <w:lang w:val="en-US" w:eastAsia="zh-CN"/>
          <w14:textFill>
            <w14:solidFill>
              <w14:schemeClr w14:val="tx1"/>
            </w14:solidFill>
          </w14:textFill>
        </w:rPr>
        <w:t>厂</w:t>
      </w:r>
      <w:r>
        <w:rPr>
          <w:rFonts w:ascii="Times New Roman" w:hAnsi="Times New Roman" w:cs="Times New Roman"/>
          <w:color w:val="000000" w:themeColor="text1"/>
          <w:lang w:val="zh-CN"/>
          <w14:textFill>
            <w14:solidFill>
              <w14:schemeClr w14:val="tx1"/>
            </w14:solidFill>
          </w14:textFill>
        </w:rPr>
        <w:t>处理</w:t>
      </w:r>
      <w:r>
        <w:rPr>
          <w:rFonts w:ascii="Times New Roman" w:hAnsi="Times New Roman" w:cs="Times New Roman"/>
          <w:color w:val="000000" w:themeColor="text1"/>
          <w14:textFill>
            <w14:solidFill>
              <w14:schemeClr w14:val="tx1"/>
            </w14:solidFill>
          </w14:textFill>
        </w:rPr>
        <w:t>；医疗废物暂存于危险废物暂存间，由有危险废物处理资质单位处理</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生活垃圾集中收集后交环卫部门送垃圾处理厂处置；生物质锅炉灰渣送</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hint="eastAsia" w:cs="Times New Roman"/>
          <w:color w:val="000000" w:themeColor="text1"/>
          <w:lang w:val="en-US" w:eastAsia="zh-CN"/>
          <w14:textFill>
            <w14:solidFill>
              <w14:schemeClr w14:val="tx1"/>
            </w14:solidFill>
          </w14:textFill>
        </w:rPr>
        <w:t>生产肥料；烟气处理设施干化污泥属于判定属于第1类工业固体废物，干化后送63团</w:t>
      </w:r>
      <w:r>
        <w:rPr>
          <w:rFonts w:hint="eastAsia" w:ascii="Times New Roman" w:hAnsi="Times New Roman" w:cs="Times New Roman"/>
          <w:color w:val="000000" w:themeColor="text1"/>
          <w:lang w:val="en-US" w:eastAsia="zh-CN"/>
          <w14:textFill>
            <w14:solidFill>
              <w14:schemeClr w14:val="tx1"/>
            </w14:solidFill>
          </w14:textFill>
        </w:rPr>
        <w:t>3连粪污处理场</w:t>
      </w:r>
      <w:r>
        <w:rPr>
          <w:rFonts w:hint="eastAsia" w:cs="Times New Roman"/>
          <w:color w:val="000000" w:themeColor="text1"/>
          <w:lang w:val="en-US" w:eastAsia="zh-CN"/>
          <w14:textFill>
            <w14:solidFill>
              <w14:schemeClr w14:val="tx1"/>
            </w14:solidFill>
          </w14:textFill>
        </w:rPr>
        <w:t>生产肥料</w:t>
      </w:r>
      <w:r>
        <w:rPr>
          <w:rFonts w:ascii="Times New Roman" w:hAnsi="Times New Roman" w:cs="Times New Roman"/>
          <w:color w:val="000000" w:themeColor="text1"/>
          <w14:textFill>
            <w14:solidFill>
              <w14:schemeClr w14:val="tx1"/>
            </w14:solidFill>
          </w14:textFill>
        </w:rPr>
        <w:t>。</w:t>
      </w:r>
    </w:p>
    <w:p w14:paraId="4451594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综上所述，项目产生的各类污染经有效措施防控后，可达标排放；项目污染物排放量较少，符合清洁生产要求。</w:t>
      </w:r>
      <w:r>
        <w:rPr>
          <w:rFonts w:hint="eastAsia" w:ascii="Times New Roman" w:hAnsi="Times New Roman" w:cs="Times New Roman"/>
          <w:color w:val="000000" w:themeColor="text1"/>
          <w:lang w:val="en-US" w:eastAsia="zh-CN"/>
          <w14:textFill>
            <w14:solidFill>
              <w14:schemeClr w14:val="tx1"/>
            </w14:solidFill>
          </w14:textFill>
        </w:rPr>
        <w:t>本项目</w:t>
      </w:r>
      <w:r>
        <w:rPr>
          <w:rFonts w:ascii="Times New Roman" w:hAnsi="Times New Roman" w:cs="Times New Roman"/>
          <w:color w:val="000000" w:themeColor="text1"/>
          <w14:textFill>
            <w14:solidFill>
              <w14:schemeClr w14:val="tx1"/>
            </w14:solidFill>
          </w14:textFill>
        </w:rPr>
        <w:t>实现了畜牧养殖业无废物排放，资源再生循环利用，发展了绿色畜牧产业，保证了</w:t>
      </w:r>
      <w:r>
        <w:rPr>
          <w:rFonts w:hint="eastAsia" w:cs="Times New Roman"/>
          <w:color w:val="000000" w:themeColor="text1"/>
          <w:lang w:val="en-US" w:eastAsia="zh-CN"/>
          <w14:textFill>
            <w14:solidFill>
              <w14:schemeClr w14:val="tx1"/>
            </w14:solidFill>
          </w14:textFill>
        </w:rPr>
        <w:t>养殖</w:t>
      </w:r>
      <w:r>
        <w:rPr>
          <w:rFonts w:ascii="Times New Roman" w:hAnsi="Times New Roman" w:cs="Times New Roman"/>
          <w:color w:val="000000" w:themeColor="text1"/>
          <w14:textFill>
            <w14:solidFill>
              <w14:schemeClr w14:val="tx1"/>
            </w14:solidFill>
          </w14:textFill>
        </w:rPr>
        <w:t>业的可持续发展。本项目清洁生产水平可以达到国内先进水平。</w:t>
      </w:r>
    </w:p>
    <w:p w14:paraId="610096BD">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环境管理</w:t>
      </w:r>
    </w:p>
    <w:p w14:paraId="36C425F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（1）生产管理</w:t>
      </w:r>
    </w:p>
    <w:p w14:paraId="7B7E3653">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本项目鸭只</w:t>
      </w:r>
      <w:r>
        <w:rPr>
          <w:rFonts w:ascii="Times New Roman" w:hAnsi="Times New Roman" w:cs="Times New Roman"/>
          <w:color w:val="000000" w:themeColor="text1"/>
          <w14:textFill>
            <w14:solidFill>
              <w14:schemeClr w14:val="tx1"/>
            </w14:solidFill>
          </w14:textFill>
        </w:rPr>
        <w:t>管理记录出生时间、成年体形、疫苗注射等，根据不同的生长阶段给予特定的饲料配比，管理较完善。养殖场实行全进全出，合理分栏，节约原料及场地空间。</w:t>
      </w:r>
    </w:p>
    <w:p w14:paraId="4D2DCE56">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防疫措施的严格性</w:t>
      </w:r>
    </w:p>
    <w:p w14:paraId="5E06C41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严格执行科学的卫生防疫措施，有效预防和控制传染病的发生。养殖场布局合理，养殖区周围设立防护设施，非工作人员不得随意进入养殖区；对</w:t>
      </w:r>
      <w:r>
        <w:rPr>
          <w:rFonts w:hint="eastAsia" w:cs="Times New Roman"/>
          <w:color w:val="000000" w:themeColor="text1"/>
          <w:lang w:val="zh-CN"/>
          <w14:textFill>
            <w14:solidFill>
              <w14:schemeClr w14:val="tx1"/>
            </w14:solidFill>
          </w14:textFill>
        </w:rPr>
        <w:t>淘汰鸭、病死鸭</w:t>
      </w:r>
      <w:r>
        <w:rPr>
          <w:rFonts w:ascii="Times New Roman" w:hAnsi="Times New Roman" w:cs="Times New Roman"/>
          <w:color w:val="000000" w:themeColor="text1"/>
          <w:lang w:val="zh-CN"/>
          <w14:textFill>
            <w14:solidFill>
              <w14:schemeClr w14:val="tx1"/>
            </w14:solidFill>
          </w14:textFill>
        </w:rPr>
        <w:t>尸体委托伊宁市病死畜禽无害化处理</w:t>
      </w:r>
      <w:r>
        <w:rPr>
          <w:rFonts w:hint="eastAsia" w:ascii="Times New Roman" w:hAnsi="Times New Roman" w:cs="Times New Roman"/>
          <w:color w:val="000000" w:themeColor="text1"/>
          <w:lang w:val="en-US" w:eastAsia="zh-CN"/>
          <w14:textFill>
            <w14:solidFill>
              <w14:schemeClr w14:val="tx1"/>
            </w14:solidFill>
          </w14:textFill>
        </w:rPr>
        <w:t>厂</w:t>
      </w:r>
      <w:r>
        <w:rPr>
          <w:rFonts w:ascii="Times New Roman" w:hAnsi="Times New Roman" w:cs="Times New Roman"/>
          <w:color w:val="000000" w:themeColor="text1"/>
          <w:lang w:val="zh-CN"/>
          <w14:textFill>
            <w14:solidFill>
              <w14:schemeClr w14:val="tx1"/>
            </w14:solidFill>
          </w14:textFill>
        </w:rPr>
        <w:t>处理</w:t>
      </w:r>
      <w:r>
        <w:rPr>
          <w:rFonts w:ascii="Times New Roman" w:hAnsi="Times New Roman" w:cs="Times New Roman"/>
          <w:color w:val="000000" w:themeColor="text1"/>
          <w14:textFill>
            <w14:solidFill>
              <w14:schemeClr w14:val="tx1"/>
            </w14:solidFill>
          </w14:textFill>
        </w:rPr>
        <w:t>；严格执行消毒措施，对进出养殖场的运输车辆进行严格消毒。</w:t>
      </w:r>
    </w:p>
    <w:p w14:paraId="7E3C05A9">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t>（</w:t>
      </w:r>
      <w:r>
        <w:rPr>
          <w:rFonts w:hint="eastAsia" w:ascii="Times New Roman" w:hAnsi="Times New Roman" w:eastAsia="宋体" w:cs="宋体"/>
          <w:color w:val="000000" w:themeColor="text1"/>
          <w:lang w:val="en-US" w:eastAsia="zh-CN"/>
          <w14:textFill>
            <w14:solidFill>
              <w14:schemeClr w14:val="tx1"/>
            </w14:solidFill>
          </w14:textFill>
        </w:rPr>
        <w:t>3</w:t>
      </w:r>
      <w:r>
        <w:rPr>
          <w:rFonts w:hint="eastAsia" w:ascii="Times New Roman" w:hAnsi="Times New Roman" w:eastAsia="宋体" w:cs="宋体"/>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制度管理</w:t>
      </w:r>
    </w:p>
    <w:p w14:paraId="64188B7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建成后建议建立相应环境管理体系、环境管理手册、程序文件及作业规范文件等。加强业务培训和宣传教育工作，使每个职工树立节能意识，环保意识，保障清洁生产的目的顺利实施。同时开展清洁生产审核，持续改进和提高企业环境管理水平。</w:t>
      </w:r>
    </w:p>
    <w:p w14:paraId="7F17DFE3">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清洁生产建议</w:t>
      </w:r>
    </w:p>
    <w:p w14:paraId="1136C69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经分析，拟建项目虽然符合清洁生产的要求，但还有进一步加强清洁生产的潜力，为此提出如下建议：</w:t>
      </w:r>
    </w:p>
    <w:p w14:paraId="7B63A14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（1）注重生产现场技术管理，保证生产过程的连续性、比例性和协调性。</w:t>
      </w:r>
    </w:p>
    <w:p w14:paraId="10E2CBB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（2）生产过程中必须加强循环利用和再资源化，对排放物的有效处理和回收利用，既可创造经济效益，又可减少污染。</w:t>
      </w:r>
    </w:p>
    <w:p w14:paraId="0C423BA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（3）进一步降低电耗、水耗，降低单位产品消耗水平，从而降低产品成本，增强市场竞争力。</w:t>
      </w:r>
    </w:p>
    <w:p w14:paraId="3F91835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（4）进一步减少生产过程中的跑、冒、滴、漏，降低对环境造成的危害。</w:t>
      </w:r>
    </w:p>
    <w:p w14:paraId="0CB3F94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（5）落实环评报告书所提出的各项污染防治措施，加强污染防治设施的运行维护和管理，确保对周围环境影响的最小化。</w:t>
      </w:r>
    </w:p>
    <w:p w14:paraId="3DDAD47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（6）不断健全环境管理手册、程序文件及作业文件，进一步理顺全厂环境管理的关系，抓好企业环境管理。同时开展清洁生产审核，持续改进和提高企业环境管理水平。</w:t>
      </w:r>
    </w:p>
    <w:p w14:paraId="2E1E324F">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7</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做好污水处理设施厌氧－缺氧处理部分的密闭措施，合理收集处理厌氧－缺氧污水处理废气，确保安全和降低环境影响。</w:t>
      </w:r>
    </w:p>
    <w:p w14:paraId="6011B244">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清洁生产结论</w:t>
      </w:r>
    </w:p>
    <w:p w14:paraId="01DB9AA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禽畜养殖项目，通过对本项目各清洁生产指标的分析，生产过程中使用的各种原辅材料均为无毒材料，所用能源属清洁能源，产品在使用过程中产生的污染物较少，企业也通过采用节能设备、合理调配饲料、加强日常管理、粪污资源化利用等措施合理利用资源、变废为宝、降低生产运营过程对环境的污染，实现了废物的无害化、资源化，因此，本项目符合清洁生产要求。</w:t>
      </w:r>
    </w:p>
    <w:p w14:paraId="47C949C4">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87" w:name="_Toc21524"/>
      <w:r>
        <w:rPr>
          <w:rFonts w:ascii="Times New Roman" w:hAnsi="Times New Roman" w:cs="Times New Roman"/>
          <w:color w:val="000000" w:themeColor="text1"/>
          <w:lang w:val="en-GB"/>
          <w14:textFill>
            <w14:solidFill>
              <w14:schemeClr w14:val="tx1"/>
            </w14:solidFill>
          </w14:textFill>
        </w:rPr>
        <w:t>总量控制</w:t>
      </w:r>
      <w:bookmarkEnd w:id="87"/>
    </w:p>
    <w:p w14:paraId="52F0F430">
      <w:pPr>
        <w:rPr>
          <w:rFonts w:hint="eastAsia" w:cs="Times New Roman"/>
          <w:color w:val="000000" w:themeColor="text1"/>
          <w:lang w:val="en-US" w:eastAsia="zh-CN"/>
          <w14:textFill>
            <w14:solidFill>
              <w14:schemeClr w14:val="tx1"/>
            </w14:solidFill>
          </w14:textFill>
        </w:rPr>
        <w:sectPr>
          <w:pgSz w:w="11910" w:h="16840"/>
          <w:pgMar w:top="1360" w:right="1280" w:bottom="1440" w:left="1300" w:header="936" w:footer="850" w:gutter="0"/>
          <w:pgBorders>
            <w:top w:val="none" w:sz="0" w:space="0"/>
            <w:left w:val="none" w:sz="0" w:space="0"/>
            <w:bottom w:val="none" w:sz="0" w:space="0"/>
            <w:right w:val="none" w:sz="0" w:space="0"/>
          </w:pgBorders>
          <w:cols w:space="720" w:num="1"/>
        </w:sectPr>
      </w:pPr>
      <w:r>
        <w:rPr>
          <w:rFonts w:hint="eastAsia" w:cs="Times New Roman"/>
          <w:color w:val="000000" w:themeColor="text1"/>
          <w:lang w:val="en-US" w:eastAsia="zh-CN"/>
          <w14:textFill>
            <w14:solidFill>
              <w14:schemeClr w14:val="tx1"/>
            </w14:solidFill>
          </w14:textFill>
        </w:rPr>
        <w:t>根据十四五环境保护规划，本项目废气总量控制的重点污染物是</w:t>
      </w:r>
      <w:r>
        <w:rPr>
          <w:rFonts w:ascii="Times New Roman" w:hAnsi="Times New Roman" w:cs="Times New Roman"/>
          <w:color w:val="000000" w:themeColor="text1"/>
          <w14:textFill>
            <w14:solidFill>
              <w14:schemeClr w14:val="tx1"/>
            </w14:solidFill>
          </w14:textFill>
        </w:rPr>
        <w:t>NOx</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本项目养殖废水不外排，生活废水间接排放且排放量很小，不纳入总量控制管理</w:t>
      </w:r>
      <w:r>
        <w:rPr>
          <w:rFonts w:ascii="Times New Roman" w:hAnsi="Times New Roman" w:cs="Times New Roman"/>
          <w:color w:val="000000" w:themeColor="text1"/>
          <w14:textFill>
            <w14:solidFill>
              <w14:schemeClr w14:val="tx1"/>
            </w14:solidFill>
          </w14:textFill>
        </w:rPr>
        <w:t>。根据本项目的污染源及污染物排放预测分析，</w:t>
      </w:r>
      <w:r>
        <w:rPr>
          <w:rFonts w:hint="eastAsia" w:cs="Times New Roman"/>
          <w:color w:val="000000" w:themeColor="text1"/>
          <w:lang w:val="en-US" w:eastAsia="zh-CN"/>
          <w14:textFill>
            <w14:solidFill>
              <w14:schemeClr w14:val="tx1"/>
            </w14:solidFill>
          </w14:textFill>
        </w:rPr>
        <w:t>本项目需申请</w:t>
      </w:r>
      <w:r>
        <w:rPr>
          <w:rFonts w:ascii="Times New Roman" w:hAnsi="Times New Roman" w:cs="Times New Roman"/>
          <w:color w:val="000000" w:themeColor="text1"/>
          <w14:textFill>
            <w14:solidFill>
              <w14:schemeClr w14:val="tx1"/>
            </w14:solidFill>
          </w14:textFill>
        </w:rPr>
        <w:t>NOx</w:t>
      </w:r>
      <w:r>
        <w:rPr>
          <w:rFonts w:hint="eastAsia" w:cs="Times New Roman"/>
          <w:color w:val="000000" w:themeColor="text1"/>
          <w:lang w:val="en-US" w:eastAsia="zh-CN"/>
          <w14:textFill>
            <w14:solidFill>
              <w14:schemeClr w14:val="tx1"/>
            </w14:solidFill>
          </w14:textFill>
        </w:rPr>
        <w:t>总量指标0.306t/a，为本项目生物质供热锅炉烟气排放的</w:t>
      </w:r>
      <w:r>
        <w:rPr>
          <w:rFonts w:ascii="Times New Roman" w:hAnsi="Times New Roman" w:cs="Times New Roman"/>
          <w:color w:val="000000" w:themeColor="text1"/>
          <w14:textFill>
            <w14:solidFill>
              <w14:schemeClr w14:val="tx1"/>
            </w14:solidFill>
          </w14:textFill>
        </w:rPr>
        <w:t>NOx</w:t>
      </w:r>
      <w:r>
        <w:rPr>
          <w:rFonts w:hint="eastAsia" w:cs="Times New Roman"/>
          <w:color w:val="000000" w:themeColor="text1"/>
          <w:lang w:val="en-US" w:eastAsia="zh-CN"/>
          <w14:textFill>
            <w14:solidFill>
              <w14:schemeClr w14:val="tx1"/>
            </w14:solidFill>
          </w14:textFill>
        </w:rPr>
        <w:t>。</w:t>
      </w:r>
    </w:p>
    <w:p w14:paraId="4CCA45C1">
      <w:pPr>
        <w:pStyle w:val="3"/>
        <w:numPr>
          <w:ilvl w:val="0"/>
          <w:numId w:val="1"/>
        </w:numPr>
        <w:rPr>
          <w:rFonts w:ascii="Times New Roman" w:hAnsi="Times New Roman" w:cs="Times New Roman"/>
          <w:color w:val="000000" w:themeColor="text1"/>
          <w14:textFill>
            <w14:solidFill>
              <w14:schemeClr w14:val="tx1"/>
            </w14:solidFill>
          </w14:textFill>
        </w:rPr>
      </w:pPr>
      <w:bookmarkStart w:id="88" w:name="_Toc490417096"/>
      <w:bookmarkStart w:id="89" w:name="_Toc20114"/>
      <w:bookmarkStart w:id="90" w:name="_Toc483492017"/>
      <w:r>
        <w:rPr>
          <w:rFonts w:ascii="Times New Roman" w:hAnsi="Times New Roman" w:cs="Times New Roman"/>
          <w:color w:val="000000" w:themeColor="text1"/>
          <w14:textFill>
            <w14:solidFill>
              <w14:schemeClr w14:val="tx1"/>
            </w14:solidFill>
          </w14:textFill>
        </w:rPr>
        <w:t>环境现状调查与评价</w:t>
      </w:r>
      <w:bookmarkEnd w:id="88"/>
      <w:bookmarkEnd w:id="89"/>
      <w:bookmarkEnd w:id="90"/>
    </w:p>
    <w:p w14:paraId="2F1F0387">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91" w:name="_Toc490417097"/>
      <w:bookmarkStart w:id="92" w:name="_Toc483492018"/>
      <w:bookmarkStart w:id="93" w:name="_Toc4722"/>
      <w:r>
        <w:rPr>
          <w:rFonts w:ascii="Times New Roman" w:hAnsi="Times New Roman" w:cs="Times New Roman"/>
          <w:color w:val="000000" w:themeColor="text1"/>
          <w:lang w:val="en-GB"/>
          <w14:textFill>
            <w14:solidFill>
              <w14:schemeClr w14:val="tx1"/>
            </w14:solidFill>
          </w14:textFill>
        </w:rPr>
        <w:t>自然环境现状调查与评价</w:t>
      </w:r>
      <w:bookmarkEnd w:id="91"/>
      <w:bookmarkEnd w:id="92"/>
      <w:bookmarkEnd w:id="93"/>
    </w:p>
    <w:p w14:paraId="59FC909D">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94" w:name="_Toc490417098"/>
      <w:bookmarkStart w:id="95" w:name="_Toc483492019"/>
      <w:r>
        <w:rPr>
          <w:rFonts w:ascii="Times New Roman" w:hAnsi="Times New Roman" w:cs="Times New Roman"/>
          <w:color w:val="000000" w:themeColor="text1"/>
          <w14:textFill>
            <w14:solidFill>
              <w14:schemeClr w14:val="tx1"/>
            </w14:solidFill>
          </w14:textFill>
        </w:rPr>
        <w:t>地理位置</w:t>
      </w:r>
      <w:bookmarkEnd w:id="94"/>
      <w:bookmarkEnd w:id="95"/>
    </w:p>
    <w:p w14:paraId="4B8EA637">
      <w:pPr>
        <w:autoSpaceDE w:val="0"/>
        <w:autoSpaceDN w:val="0"/>
        <w:adjustRightInd w:val="0"/>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第四师</w:t>
      </w:r>
      <w:r>
        <w:rPr>
          <w:rFonts w:hint="eastAsia" w:ascii="Times New Roman" w:hAnsi="Times New Roman" w:cs="宋体"/>
          <w:color w:val="000000" w:themeColor="text1"/>
          <w:lang w:eastAsia="zh-CN"/>
          <w14:textFill>
            <w14:solidFill>
              <w14:schemeClr w14:val="tx1"/>
            </w14:solidFill>
          </w14:textFill>
        </w:rPr>
        <w:t>63团</w:t>
      </w:r>
      <w:r>
        <w:rPr>
          <w:rFonts w:hint="eastAsia" w:ascii="Times New Roman" w:hAnsi="Times New Roman" w:cs="宋体"/>
          <w:color w:val="000000" w:themeColor="text1"/>
          <w14:textFill>
            <w14:solidFill>
              <w14:schemeClr w14:val="tx1"/>
            </w14:solidFill>
          </w14:textFill>
        </w:rPr>
        <w:t>位于新疆霍城县境内的塔克尔穆库尔沙漠腹地，霍尔果斯口岸前沿，</w:t>
      </w:r>
      <w:r>
        <w:rPr>
          <w:rFonts w:hint="eastAsia" w:ascii="Times New Roman" w:hAnsi="Times New Roman" w:cs="宋体"/>
          <w:color w:val="000000" w:themeColor="text1"/>
          <w:lang w:eastAsia="zh-CN"/>
          <w14:textFill>
            <w14:solidFill>
              <w14:schemeClr w14:val="tx1"/>
            </w14:solidFill>
          </w14:textFill>
        </w:rPr>
        <w:t>屯戍</w:t>
      </w:r>
      <w:r>
        <w:rPr>
          <w:rFonts w:hint="eastAsia" w:ascii="Times New Roman" w:hAnsi="Times New Roman" w:cs="宋体"/>
          <w:color w:val="000000" w:themeColor="text1"/>
          <w14:textFill>
            <w14:solidFill>
              <w14:schemeClr w14:val="tx1"/>
            </w14:solidFill>
          </w14:textFill>
        </w:rPr>
        <w:t>于霍都公路与伊犁河之间。地处东经80°26´15"</w:t>
      </w:r>
      <w:r>
        <w:rPr>
          <w:rFonts w:hint="eastAsia" w:ascii="Times New Roman" w:hAnsi="Times New Roman" w:cs="宋体"/>
          <w:color w:val="000000" w:themeColor="text1"/>
          <w:lang w:eastAsia="zh-CN"/>
          <w14:textFill>
            <w14:solidFill>
              <w14:schemeClr w14:val="tx1"/>
            </w14:solidFill>
          </w14:textFill>
        </w:rPr>
        <w:t>～</w:t>
      </w:r>
      <w:r>
        <w:rPr>
          <w:rFonts w:hint="eastAsia" w:ascii="Times New Roman" w:hAnsi="Times New Roman" w:cs="宋体"/>
          <w:color w:val="000000" w:themeColor="text1"/>
          <w14:textFill>
            <w14:solidFill>
              <w14:schemeClr w14:val="tx1"/>
            </w14:solidFill>
          </w14:textFill>
        </w:rPr>
        <w:t>80°41´15"，北纬43°48´45"</w:t>
      </w:r>
      <w:r>
        <w:rPr>
          <w:rFonts w:hint="eastAsia" w:ascii="Times New Roman" w:hAnsi="Times New Roman" w:cs="宋体"/>
          <w:color w:val="000000" w:themeColor="text1"/>
          <w:lang w:eastAsia="zh-CN"/>
          <w14:textFill>
            <w14:solidFill>
              <w14:schemeClr w14:val="tx1"/>
            </w14:solidFill>
          </w14:textFill>
        </w:rPr>
        <w:t>～</w:t>
      </w:r>
      <w:r>
        <w:rPr>
          <w:rFonts w:hint="eastAsia" w:ascii="Times New Roman" w:hAnsi="Times New Roman" w:cs="宋体"/>
          <w:color w:val="000000" w:themeColor="text1"/>
          <w14:textFill>
            <w14:solidFill>
              <w14:schemeClr w14:val="tx1"/>
            </w14:solidFill>
          </w14:textFill>
        </w:rPr>
        <w:t>44°05´00"之间，东与六十四团和霍城县的莫乎尔牧场接壤，南隔伊犁河与六十七团相望，西以</w:t>
      </w:r>
      <w:r>
        <w:rPr>
          <w:rFonts w:hint="eastAsia" w:ascii="Times New Roman" w:hAnsi="Times New Roman" w:cs="宋体"/>
          <w:color w:val="000000" w:themeColor="text1"/>
          <w:lang w:eastAsia="zh-CN"/>
          <w14:textFill>
            <w14:solidFill>
              <w14:schemeClr w14:val="tx1"/>
            </w14:solidFill>
          </w14:textFill>
        </w:rPr>
        <w:t>HEGSH</w:t>
      </w:r>
      <w:r>
        <w:rPr>
          <w:rFonts w:hint="eastAsia" w:ascii="Times New Roman" w:hAnsi="Times New Roman" w:cs="宋体"/>
          <w:color w:val="000000" w:themeColor="text1"/>
          <w14:textFill>
            <w14:solidFill>
              <w14:schemeClr w14:val="tx1"/>
            </w14:solidFill>
          </w14:textFill>
        </w:rPr>
        <w:t>与哈萨克斯坦接界，北与六十二团和格干沟牧场毗邻</w:t>
      </w:r>
      <w:r>
        <w:rPr>
          <w:rFonts w:ascii="Times New Roman" w:hAnsi="Times New Roman" w:cs="Times New Roman"/>
          <w:color w:val="000000" w:themeColor="text1"/>
          <w14:textFill>
            <w14:solidFill>
              <w14:schemeClr w14:val="tx1"/>
            </w14:solidFill>
          </w14:textFill>
        </w:rPr>
        <w:t>。</w:t>
      </w:r>
    </w:p>
    <w:p w14:paraId="39B2992F">
      <w:pPr>
        <w:autoSpaceDE w:val="0"/>
        <w:autoSpaceDN w:val="0"/>
        <w:adjustRightInd w:val="0"/>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2.5</w:t>
      </w:r>
      <w:r>
        <w:rPr>
          <w:rFonts w:ascii="Times New Roman" w:hAnsi="Times New Roman" w:cs="Times New Roman"/>
          <w:color w:val="auto"/>
        </w:rPr>
        <w:t>km范围内无城镇居民区、文化教育科学研究区等人口集中区域，不涉及风景名胜区、自然保护区的核心区和缓冲区。中心地理坐标为东经：</w:t>
      </w:r>
      <w:r>
        <w:rPr>
          <w:rFonts w:hint="eastAsia" w:ascii="Times New Roman" w:hAnsi="Times New Roman" w:cs="Times New Roman"/>
          <w:color w:val="auto"/>
          <w:lang w:val="en-US" w:eastAsia="zh-CN"/>
        </w:rPr>
        <w:t>80</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22.165</w:t>
      </w:r>
      <w:r>
        <w:rPr>
          <w:rFonts w:ascii="Times New Roman" w:hAnsi="Times New Roman" w:cs="Times New Roman"/>
          <w:color w:val="auto"/>
        </w:rPr>
        <w:t>″，北纬：</w:t>
      </w:r>
      <w:r>
        <w:rPr>
          <w:rFonts w:hint="eastAsia" w:ascii="Times New Roman" w:hAnsi="Times New Roman" w:cs="Times New Roman"/>
          <w:color w:val="auto"/>
          <w:lang w:val="en-US" w:eastAsia="zh-CN"/>
        </w:rPr>
        <w:t>4</w:t>
      </w:r>
      <w:r>
        <w:rPr>
          <w:rFonts w:hint="eastAsia" w:cs="Times New Roman"/>
          <w:color w:val="auto"/>
          <w:lang w:val="en-US" w:eastAsia="zh-CN"/>
        </w:rPr>
        <w:t>3</w:t>
      </w:r>
      <w:r>
        <w:rPr>
          <w:rFonts w:ascii="Times New Roman" w:hAnsi="Times New Roman" w:cs="Times New Roman"/>
          <w:color w:val="auto"/>
        </w:rPr>
        <w:t>°</w:t>
      </w:r>
      <w:r>
        <w:rPr>
          <w:rFonts w:hint="eastAsia" w:cs="Times New Roman"/>
          <w:color w:val="auto"/>
          <w:lang w:val="en-US" w:eastAsia="zh-CN"/>
        </w:rPr>
        <w:t>55</w:t>
      </w:r>
      <w:r>
        <w:rPr>
          <w:rFonts w:ascii="Times New Roman" w:hAnsi="Times New Roman" w:cs="Times New Roman"/>
          <w:color w:val="auto"/>
        </w:rPr>
        <w:t>′</w:t>
      </w:r>
      <w:r>
        <w:rPr>
          <w:rFonts w:hint="eastAsia" w:cs="Times New Roman"/>
          <w:color w:val="auto"/>
          <w:lang w:val="en-US" w:eastAsia="zh-CN"/>
        </w:rPr>
        <w:t>08</w:t>
      </w:r>
      <w:r>
        <w:rPr>
          <w:rFonts w:hint="eastAsia" w:ascii="Times New Roman" w:hAnsi="Times New Roman" w:cs="Times New Roman"/>
          <w:color w:val="auto"/>
          <w:lang w:val="en-US" w:eastAsia="zh-CN"/>
        </w:rPr>
        <w:t>.</w:t>
      </w:r>
      <w:r>
        <w:rPr>
          <w:rFonts w:hint="eastAsia" w:cs="Times New Roman"/>
          <w:color w:val="auto"/>
          <w:lang w:val="en-US" w:eastAsia="zh-CN"/>
        </w:rPr>
        <w:t>278</w:t>
      </w:r>
      <w:r>
        <w:rPr>
          <w:rFonts w:ascii="Times New Roman" w:hAnsi="Times New Roman" w:cs="Times New Roman"/>
          <w:color w:val="auto"/>
        </w:rPr>
        <w:t>″。</w:t>
      </w:r>
    </w:p>
    <w:p w14:paraId="3D15B3EC">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96" w:name="_Toc490417099"/>
      <w:bookmarkStart w:id="97" w:name="_Toc483492020"/>
      <w:r>
        <w:rPr>
          <w:rFonts w:ascii="Times New Roman" w:hAnsi="Times New Roman" w:cs="Times New Roman"/>
          <w:color w:val="000000" w:themeColor="text1"/>
          <w14:textFill>
            <w14:solidFill>
              <w14:schemeClr w14:val="tx1"/>
            </w14:solidFill>
          </w14:textFill>
        </w:rPr>
        <w:t>地形地貌</w:t>
      </w:r>
      <w:bookmarkEnd w:id="96"/>
      <w:bookmarkEnd w:id="97"/>
    </w:p>
    <w:p w14:paraId="59C46FA1">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第四师</w:t>
      </w:r>
      <w:r>
        <w:rPr>
          <w:rFonts w:hint="eastAsia" w:ascii="Times New Roman" w:hAnsi="Times New Roman" w:cs="宋体"/>
          <w:color w:val="000000" w:themeColor="text1"/>
          <w:lang w:eastAsia="zh-CN"/>
          <w14:textFill>
            <w14:solidFill>
              <w14:schemeClr w14:val="tx1"/>
            </w14:solidFill>
          </w14:textFill>
        </w:rPr>
        <w:t>63团</w:t>
      </w:r>
      <w:r>
        <w:rPr>
          <w:rFonts w:hint="eastAsia" w:ascii="Times New Roman" w:hAnsi="Times New Roman" w:cs="宋体"/>
          <w:color w:val="000000" w:themeColor="text1"/>
          <w14:textFill>
            <w14:solidFill>
              <w14:schemeClr w14:val="tx1"/>
            </w14:solidFill>
          </w14:textFill>
        </w:rPr>
        <w:t>位于伊犁盆地西部，距北部别珍套山区36公里，属南北狭长的缓坡平原，由西向东偏斜，南低北高，</w:t>
      </w:r>
      <w:r>
        <w:rPr>
          <w:rFonts w:hint="eastAsia" w:ascii="Times New Roman" w:hAnsi="Times New Roman" w:cs="宋体"/>
          <w:color w:val="000000" w:themeColor="text1"/>
          <w:lang w:eastAsia="zh-CN"/>
          <w14:textFill>
            <w14:solidFill>
              <w14:schemeClr w14:val="tx1"/>
            </w14:solidFill>
          </w14:textFill>
        </w:rPr>
        <w:t>海拔</w:t>
      </w:r>
      <w:r>
        <w:rPr>
          <w:rFonts w:hint="eastAsia" w:ascii="Times New Roman" w:hAnsi="Times New Roman" w:cs="宋体"/>
          <w:color w:val="000000" w:themeColor="text1"/>
          <w14:textFill>
            <w14:solidFill>
              <w14:schemeClr w14:val="tx1"/>
            </w14:solidFill>
          </w14:textFill>
        </w:rPr>
        <w:t>534</w:t>
      </w:r>
      <w:r>
        <w:rPr>
          <w:rFonts w:hint="eastAsia" w:ascii="Times New Roman" w:hAnsi="Times New Roman" w:cs="宋体"/>
          <w:color w:val="000000" w:themeColor="text1"/>
          <w:lang w:eastAsia="zh-CN"/>
          <w14:textFill>
            <w14:solidFill>
              <w14:schemeClr w14:val="tx1"/>
            </w14:solidFill>
          </w14:textFill>
        </w:rPr>
        <w:t>～</w:t>
      </w:r>
      <w:r>
        <w:rPr>
          <w:rFonts w:hint="eastAsia" w:ascii="Times New Roman" w:hAnsi="Times New Roman" w:cs="宋体"/>
          <w:color w:val="000000" w:themeColor="text1"/>
          <w14:textFill>
            <w14:solidFill>
              <w14:schemeClr w14:val="tx1"/>
            </w14:solidFill>
          </w14:textFill>
        </w:rPr>
        <w:t>635米，自然坡度3‰。由于受北部</w:t>
      </w:r>
      <w:r>
        <w:rPr>
          <w:rFonts w:hint="eastAsia" w:ascii="Times New Roman" w:hAnsi="Times New Roman" w:cs="宋体"/>
          <w:color w:val="000000" w:themeColor="text1"/>
          <w:lang w:eastAsia="zh-CN"/>
          <w14:textFill>
            <w14:solidFill>
              <w14:schemeClr w14:val="tx1"/>
            </w14:solidFill>
          </w14:textFill>
        </w:rPr>
        <w:t>HEGSH</w:t>
      </w:r>
      <w:r>
        <w:rPr>
          <w:rFonts w:hint="eastAsia" w:ascii="Times New Roman" w:hAnsi="Times New Roman" w:cs="宋体"/>
          <w:color w:val="000000" w:themeColor="text1"/>
          <w14:textFill>
            <w14:solidFill>
              <w14:schemeClr w14:val="tx1"/>
            </w14:solidFill>
          </w14:textFill>
        </w:rPr>
        <w:t>、开根沟出山口向南沉积的冲积，形成山前倾斜平原地貌，第四师</w:t>
      </w:r>
      <w:r>
        <w:rPr>
          <w:rFonts w:hint="eastAsia" w:ascii="Times New Roman" w:hAnsi="Times New Roman" w:cs="宋体"/>
          <w:color w:val="000000" w:themeColor="text1"/>
          <w:lang w:eastAsia="zh-CN"/>
          <w14:textFill>
            <w14:solidFill>
              <w14:schemeClr w14:val="tx1"/>
            </w14:solidFill>
          </w14:textFill>
        </w:rPr>
        <w:t>63团</w:t>
      </w:r>
      <w:r>
        <w:rPr>
          <w:rFonts w:hint="eastAsia" w:ascii="Times New Roman" w:hAnsi="Times New Roman" w:cs="宋体"/>
          <w:color w:val="000000" w:themeColor="text1"/>
          <w14:textFill>
            <w14:solidFill>
              <w14:schemeClr w14:val="tx1"/>
            </w14:solidFill>
          </w14:textFill>
        </w:rPr>
        <w:t>处在倾斜平均二级阶地的下部和伊犁河冲积、洪积平原区内，区内堆积新月形沙丘和沙垅，一般高出地面1</w:t>
      </w:r>
      <w:r>
        <w:rPr>
          <w:rFonts w:hint="eastAsia" w:ascii="Times New Roman" w:hAnsi="Times New Roman" w:cs="宋体"/>
          <w:color w:val="000000" w:themeColor="text1"/>
          <w:lang w:eastAsia="zh-CN"/>
          <w14:textFill>
            <w14:solidFill>
              <w14:schemeClr w14:val="tx1"/>
            </w14:solidFill>
          </w14:textFill>
        </w:rPr>
        <w:t>～</w:t>
      </w:r>
      <w:r>
        <w:rPr>
          <w:rFonts w:hint="eastAsia" w:ascii="Times New Roman" w:hAnsi="Times New Roman" w:cs="宋体"/>
          <w:color w:val="000000" w:themeColor="text1"/>
          <w14:textFill>
            <w14:solidFill>
              <w14:schemeClr w14:val="tx1"/>
            </w14:solidFill>
          </w14:textFill>
        </w:rPr>
        <w:t>5米。第四师</w:t>
      </w:r>
      <w:r>
        <w:rPr>
          <w:rFonts w:hint="eastAsia" w:ascii="Times New Roman" w:hAnsi="Times New Roman" w:cs="宋体"/>
          <w:color w:val="000000" w:themeColor="text1"/>
          <w:lang w:eastAsia="zh-CN"/>
          <w14:textFill>
            <w14:solidFill>
              <w14:schemeClr w14:val="tx1"/>
            </w14:solidFill>
          </w14:textFill>
        </w:rPr>
        <w:t>63团</w:t>
      </w:r>
      <w:r>
        <w:rPr>
          <w:rFonts w:hint="eastAsia" w:ascii="Times New Roman" w:hAnsi="Times New Roman" w:cs="宋体"/>
          <w:color w:val="000000" w:themeColor="text1"/>
          <w14:textFill>
            <w14:solidFill>
              <w14:schemeClr w14:val="tx1"/>
            </w14:solidFill>
          </w14:textFill>
        </w:rPr>
        <w:t>西部、南边受</w:t>
      </w:r>
      <w:r>
        <w:rPr>
          <w:rFonts w:hint="eastAsia" w:ascii="Times New Roman" w:hAnsi="Times New Roman" w:cs="宋体"/>
          <w:color w:val="000000" w:themeColor="text1"/>
          <w:lang w:eastAsia="zh-CN"/>
          <w14:textFill>
            <w14:solidFill>
              <w14:schemeClr w14:val="tx1"/>
            </w14:solidFill>
          </w14:textFill>
        </w:rPr>
        <w:t>HEGSH</w:t>
      </w:r>
      <w:r>
        <w:rPr>
          <w:rFonts w:hint="eastAsia" w:ascii="Times New Roman" w:hAnsi="Times New Roman" w:cs="宋体"/>
          <w:color w:val="000000" w:themeColor="text1"/>
          <w14:textFill>
            <w14:solidFill>
              <w14:schemeClr w14:val="tx1"/>
            </w14:solidFill>
          </w14:textFill>
        </w:rPr>
        <w:t>、伊犁河水的侵蚀，在两河床内，河漫滩形成一级阶地。一级阶地与二级阶地相交处形成2～4米高的土坎，两河岸漫滩地到土坎地，宽约50～40米的一级阶地内形成低洼积水的沼泽地带。由开根沟、莫乎尔自然沟的冲积、洪积形成一条长20公里，下宽1公里，上宽3公里的平坦地带。沿开根沟、莫乎尔自然沟的两侧的冲积平原，受伊犁河谷大陆性干旱气候的作用，形成固定沙丘和多垅沙地及小块平原相同地貌单元，多呈东西走向</w:t>
      </w:r>
      <w:r>
        <w:rPr>
          <w:rFonts w:ascii="Times New Roman" w:hAnsi="Times New Roman" w:cs="Times New Roman"/>
          <w:color w:val="000000" w:themeColor="text1"/>
          <w14:textFill>
            <w14:solidFill>
              <w14:schemeClr w14:val="tx1"/>
            </w14:solidFill>
          </w14:textFill>
        </w:rPr>
        <w:t>。</w:t>
      </w:r>
    </w:p>
    <w:p w14:paraId="70DF932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项目区地貌类型为</w:t>
      </w:r>
      <w:r>
        <w:rPr>
          <w:rFonts w:hint="eastAsia" w:cs="Times New Roman"/>
          <w:color w:val="000000" w:themeColor="text1"/>
          <w:lang w:val="en-US" w:eastAsia="zh-CN"/>
          <w14:textFill>
            <w14:solidFill>
              <w14:schemeClr w14:val="tx1"/>
            </w14:solidFill>
          </w14:textFill>
        </w:rPr>
        <w:t>伊犁河谷平原沙地</w:t>
      </w:r>
      <w:r>
        <w:rPr>
          <w:rFonts w:ascii="Times New Roman" w:hAnsi="Times New Roman" w:cs="Times New Roman"/>
          <w:color w:val="000000" w:themeColor="text1"/>
          <w14:textFill>
            <w14:solidFill>
              <w14:schemeClr w14:val="tx1"/>
            </w14:solidFill>
          </w14:textFill>
        </w:rPr>
        <w:t>，所在区域地势较为平坦</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海拔在568.8m</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599.5m</w:t>
      </w:r>
      <w:r>
        <w:rPr>
          <w:rFonts w:ascii="Times New Roman" w:hAnsi="Times New Roman" w:cs="Times New Roman"/>
          <w:color w:val="000000" w:themeColor="text1"/>
          <w14:textFill>
            <w14:solidFill>
              <w14:schemeClr w14:val="tx1"/>
            </w14:solidFill>
          </w14:textFill>
        </w:rPr>
        <w:t>。</w:t>
      </w:r>
    </w:p>
    <w:p w14:paraId="2550158C">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98" w:name="_Toc490417100"/>
      <w:bookmarkStart w:id="99" w:name="_Toc483492024"/>
      <w:r>
        <w:rPr>
          <w:rFonts w:ascii="Times New Roman" w:hAnsi="Times New Roman" w:cs="Times New Roman"/>
          <w:color w:val="000000" w:themeColor="text1"/>
          <w14:textFill>
            <w14:solidFill>
              <w14:schemeClr w14:val="tx1"/>
            </w14:solidFill>
          </w14:textFill>
        </w:rPr>
        <w:t>地质概况</w:t>
      </w:r>
      <w:bookmarkEnd w:id="98"/>
    </w:p>
    <w:p w14:paraId="42D1ABC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（1）地质构造</w:t>
      </w:r>
    </w:p>
    <w:p w14:paraId="01BF65A7">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snapToGrid w:val="0"/>
          <w:color w:val="000000" w:themeColor="text1"/>
          <w:kern w:val="0"/>
          <w:sz w:val="24"/>
          <w:lang w:eastAsia="zh-CN"/>
          <w14:textFill>
            <w14:solidFill>
              <w14:schemeClr w14:val="tx1"/>
            </w14:solidFill>
          </w14:textFill>
        </w:rPr>
        <w:t>63团</w:t>
      </w:r>
      <w:r>
        <w:rPr>
          <w:rFonts w:hint="eastAsia" w:ascii="Times New Roman" w:hAnsi="Times New Roman"/>
          <w:snapToGrid w:val="0"/>
          <w:color w:val="000000" w:themeColor="text1"/>
          <w:kern w:val="0"/>
          <w:sz w:val="24"/>
          <w14:textFill>
            <w14:solidFill>
              <w14:schemeClr w14:val="tx1"/>
            </w14:solidFill>
          </w14:textFill>
        </w:rPr>
        <w:t>在大地构造单元上，位于北天山斜褶皱带，特克敏复背斜的南翼，属华力西构造组成，加里东构造旋回初期，本地开始逐渐下降接受沉积，加里东晚期，本地在特克斯河川地带发育活动性海槽，由于火山剧烈运动，在对下古生界产生剧烈褶皱变质作用过程中，浸入了大量中酸性岩体，并形成纬向构造的初步轮廓，海西构造旋回期，经历</w:t>
      </w:r>
      <w:r>
        <w:rPr>
          <w:rFonts w:hint="eastAsia"/>
          <w:snapToGrid w:val="0"/>
          <w:color w:val="000000" w:themeColor="text1"/>
          <w:kern w:val="0"/>
          <w:sz w:val="24"/>
          <w:lang w:eastAsia="zh-CN"/>
          <w14:textFill>
            <w14:solidFill>
              <w14:schemeClr w14:val="tx1"/>
            </w14:solidFill>
          </w14:textFill>
        </w:rPr>
        <w:t>了</w:t>
      </w:r>
      <w:r>
        <w:rPr>
          <w:rFonts w:hint="eastAsia" w:ascii="Times New Roman" w:hAnsi="Times New Roman"/>
          <w:snapToGrid w:val="0"/>
          <w:color w:val="000000" w:themeColor="text1"/>
          <w:kern w:val="0"/>
          <w:sz w:val="24"/>
          <w14:textFill>
            <w14:solidFill>
              <w14:schemeClr w14:val="tx1"/>
            </w14:solidFill>
          </w14:textFill>
        </w:rPr>
        <w:t>稳定的浅滨海褶皱起受剥蚀再到强烈的火山喷发过程形成具有沉积旋回特征的泥盆系、石炭系地层。海西晚期剧烈的断陷褶皱作用</w:t>
      </w:r>
      <w:r>
        <w:rPr>
          <w:rFonts w:hint="eastAsia"/>
          <w:snapToGrid w:val="0"/>
          <w:color w:val="000000" w:themeColor="text1"/>
          <w:kern w:val="0"/>
          <w:sz w:val="24"/>
          <w:lang w:eastAsia="zh-CN"/>
          <w14:textFill>
            <w14:solidFill>
              <w14:schemeClr w14:val="tx1"/>
            </w14:solidFill>
          </w14:textFill>
        </w:rPr>
        <w:t>，</w:t>
      </w:r>
      <w:r>
        <w:rPr>
          <w:rFonts w:hint="eastAsia" w:ascii="Times New Roman" w:hAnsi="Times New Roman"/>
          <w:snapToGrid w:val="0"/>
          <w:color w:val="000000" w:themeColor="text1"/>
          <w:kern w:val="0"/>
          <w:sz w:val="24"/>
          <w14:textFill>
            <w14:solidFill>
              <w14:schemeClr w14:val="tx1"/>
            </w14:solidFill>
          </w14:textFill>
        </w:rPr>
        <w:t>结束了本地海侵历史。纬向构造发育成熟</w:t>
      </w:r>
      <w:r>
        <w:rPr>
          <w:rFonts w:hint="eastAsia"/>
          <w:snapToGrid w:val="0"/>
          <w:color w:val="000000" w:themeColor="text1"/>
          <w:kern w:val="0"/>
          <w:sz w:val="24"/>
          <w:lang w:eastAsia="zh-CN"/>
          <w14:textFill>
            <w14:solidFill>
              <w14:schemeClr w14:val="tx1"/>
            </w14:solidFill>
          </w14:textFill>
        </w:rPr>
        <w:t>，</w:t>
      </w:r>
      <w:r>
        <w:rPr>
          <w:rFonts w:hint="eastAsia" w:ascii="Times New Roman" w:hAnsi="Times New Roman"/>
          <w:snapToGrid w:val="0"/>
          <w:color w:val="000000" w:themeColor="text1"/>
          <w:kern w:val="0"/>
          <w:sz w:val="24"/>
          <w14:textFill>
            <w14:solidFill>
              <w14:schemeClr w14:val="tx1"/>
            </w14:solidFill>
          </w14:textFill>
        </w:rPr>
        <w:t>初具地貌轮廓。晚三叠世初期，继承性的断陷盆地继续发育了上三叠系及侏罗系。燕山期运动末期，中生界变形，进一步产生断裂下陷，逐步形成新生代沉积洼地</w:t>
      </w:r>
      <w:r>
        <w:rPr>
          <w:rFonts w:hint="eastAsia"/>
          <w:snapToGrid w:val="0"/>
          <w:color w:val="000000" w:themeColor="text1"/>
          <w:kern w:val="0"/>
          <w:sz w:val="24"/>
          <w:lang w:eastAsia="zh-CN"/>
          <w14:textFill>
            <w14:solidFill>
              <w14:schemeClr w14:val="tx1"/>
            </w14:solidFill>
          </w14:textFill>
        </w:rPr>
        <w:t>，</w:t>
      </w:r>
      <w:r>
        <w:rPr>
          <w:rFonts w:hint="eastAsia" w:ascii="Times New Roman" w:hAnsi="Times New Roman"/>
          <w:snapToGrid w:val="0"/>
          <w:color w:val="000000" w:themeColor="text1"/>
          <w:kern w:val="0"/>
          <w:sz w:val="24"/>
          <w14:textFill>
            <w14:solidFill>
              <w14:schemeClr w14:val="tx1"/>
            </w14:solidFill>
          </w14:textFill>
        </w:rPr>
        <w:t>新生代后期</w:t>
      </w:r>
      <w:r>
        <w:rPr>
          <w:rFonts w:hint="eastAsia"/>
          <w:snapToGrid w:val="0"/>
          <w:color w:val="000000" w:themeColor="text1"/>
          <w:kern w:val="0"/>
          <w:sz w:val="24"/>
          <w:lang w:eastAsia="zh-CN"/>
          <w14:textFill>
            <w14:solidFill>
              <w14:schemeClr w14:val="tx1"/>
            </w14:solidFill>
          </w14:textFill>
        </w:rPr>
        <w:t>，</w:t>
      </w:r>
      <w:r>
        <w:rPr>
          <w:rFonts w:hint="eastAsia" w:ascii="Times New Roman" w:hAnsi="Times New Roman"/>
          <w:snapToGrid w:val="0"/>
          <w:color w:val="000000" w:themeColor="text1"/>
          <w:kern w:val="0"/>
          <w:sz w:val="24"/>
          <w14:textFill>
            <w14:solidFill>
              <w14:schemeClr w14:val="tx1"/>
            </w14:solidFill>
          </w14:textFill>
        </w:rPr>
        <w:t>岩体滑移致使南北扭曲，引起局部升降</w:t>
      </w:r>
      <w:r>
        <w:rPr>
          <w:rFonts w:ascii="Times New Roman" w:hAnsi="Times New Roman" w:cs="Times New Roman"/>
          <w:color w:val="000000" w:themeColor="text1"/>
          <w14:textFill>
            <w14:solidFill>
              <w14:schemeClr w14:val="tx1"/>
            </w14:solidFill>
          </w14:textFill>
        </w:rPr>
        <w:t>。</w:t>
      </w:r>
    </w:p>
    <w:p w14:paraId="28CE081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（2）工程地质</w:t>
      </w:r>
    </w:p>
    <w:p w14:paraId="1EAFA134">
      <w:pPr>
        <w:ind w:firstLine="720"/>
        <w:jc w:val="both"/>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本次勘察查明，在探点所达深度范围内，场地地层以第四纪冲-洪积层（Q</w:t>
      </w:r>
      <w:r>
        <w:rPr>
          <w:rFonts w:hint="eastAsia" w:ascii="Times New Roman" w:hAnsi="Times New Roman" w:eastAsia="宋体"/>
          <w:color w:val="000000" w:themeColor="text1"/>
          <w:vertAlign w:val="subscript"/>
          <w14:textFill>
            <w14:solidFill>
              <w14:schemeClr w14:val="tx1"/>
            </w14:solidFill>
          </w14:textFill>
        </w:rPr>
        <w:t>4</w:t>
      </w:r>
      <w:r>
        <w:rPr>
          <w:rFonts w:hint="eastAsia" w:ascii="Times New Roman" w:hAnsi="Times New Roman" w:eastAsia="宋体"/>
          <w:color w:val="000000" w:themeColor="text1"/>
          <w:vertAlign w:val="superscript"/>
          <w14:textFill>
            <w14:solidFill>
              <w14:schemeClr w14:val="tx1"/>
            </w14:solidFill>
          </w14:textFill>
        </w:rPr>
        <w:t>al+pl</w:t>
      </w:r>
      <w:r>
        <w:rPr>
          <w:rFonts w:hint="eastAsia" w:ascii="Times New Roman" w:hAnsi="Times New Roman" w:eastAsia="宋体"/>
          <w:color w:val="000000" w:themeColor="text1"/>
          <w14:textFill>
            <w14:solidFill>
              <w14:schemeClr w14:val="tx1"/>
            </w14:solidFill>
          </w14:textFill>
        </w:rPr>
        <w:t>）为主。其特性叙述如下：</w:t>
      </w:r>
    </w:p>
    <w:p w14:paraId="5237225D">
      <w:pPr>
        <w:ind w:firstLine="720"/>
        <w:jc w:val="both"/>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①层：风积细砂（Q</w:t>
      </w:r>
      <w:r>
        <w:rPr>
          <w:rFonts w:hint="eastAsia" w:ascii="Times New Roman" w:hAnsi="Times New Roman" w:eastAsia="宋体"/>
          <w:color w:val="000000" w:themeColor="text1"/>
          <w:vertAlign w:val="subscript"/>
          <w14:textFill>
            <w14:solidFill>
              <w14:schemeClr w14:val="tx1"/>
            </w14:solidFill>
          </w14:textFill>
        </w:rPr>
        <w:t>4</w:t>
      </w:r>
      <w:r>
        <w:rPr>
          <w:rFonts w:ascii="Times New Roman" w:hAnsi="Times New Roman" w:eastAsia="宋体"/>
          <w:color w:val="000000" w:themeColor="text1"/>
          <w:vertAlign w:val="superscript"/>
          <w14:textFill>
            <w14:solidFill>
              <w14:schemeClr w14:val="tx1"/>
            </w14:solidFill>
          </w14:textFill>
        </w:rPr>
        <w:t>eol</w:t>
      </w:r>
      <w:r>
        <w:rPr>
          <w:rFonts w:hint="eastAsia" w:ascii="Times New Roman" w:hAnsi="Times New Roman" w:eastAsia="宋体"/>
          <w:color w:val="000000" w:themeColor="text1"/>
          <w14:textFill>
            <w14:solidFill>
              <w14:schemeClr w14:val="tx1"/>
            </w14:solidFill>
          </w14:textFill>
        </w:rPr>
        <w:t>），黄色；稍湿；稍密；级配不良，厚度</w:t>
      </w:r>
      <w:r>
        <w:rPr>
          <w:rFonts w:hint="eastAsia" w:ascii="Times New Roman" w:hAnsi="Times New Roman" w:eastAsia="宋体"/>
          <w:color w:val="000000" w:themeColor="text1"/>
          <w:lang w:val="en-US" w:eastAsia="zh-CN"/>
          <w14:textFill>
            <w14:solidFill>
              <w14:schemeClr w14:val="tx1"/>
            </w14:solidFill>
          </w14:textFill>
        </w:rPr>
        <w:t>1.0</w:t>
      </w:r>
      <w:r>
        <w:rPr>
          <w:rFonts w:ascii="Times New Roman" w:hAnsi="Times New Roman" w:eastAsia="宋体" w:cs="Romantic"/>
          <w:color w:val="000000" w:themeColor="text1"/>
          <w14:textFill>
            <w14:solidFill>
              <w14:schemeClr w14:val="tx1"/>
            </w14:solidFill>
          </w14:textFill>
        </w:rPr>
        <w:t></w:t>
      </w:r>
      <w:r>
        <w:rPr>
          <w:rFonts w:hint="eastAsia" w:ascii="Times New Roman" w:hAnsi="Times New Roman" w:eastAsia="宋体" w:cs="Romantic"/>
          <w:color w:val="000000" w:themeColor="text1"/>
          <w:lang w:val="en-US" w:eastAsia="zh-CN"/>
          <w14:textFill>
            <w14:solidFill>
              <w14:schemeClr w14:val="tx1"/>
            </w14:solidFill>
          </w14:textFill>
        </w:rPr>
        <w:t>3.3</w:t>
      </w:r>
      <w:r>
        <w:rPr>
          <w:rFonts w:hint="eastAsia" w:ascii="Times New Roman" w:hAnsi="Times New Roman" w:eastAsia="宋体"/>
          <w:color w:val="000000" w:themeColor="text1"/>
          <w14:textFill>
            <w14:solidFill>
              <w14:schemeClr w14:val="tx1"/>
            </w14:solidFill>
          </w14:textFill>
        </w:rPr>
        <w:t>m；存在于整个场地。</w:t>
      </w:r>
    </w:p>
    <w:p w14:paraId="0D0426A3">
      <w:pPr>
        <w:ind w:firstLine="72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②层：细砂（Q</w:t>
      </w:r>
      <w:r>
        <w:rPr>
          <w:rFonts w:hint="eastAsia" w:ascii="Times New Roman" w:hAnsi="Times New Roman" w:eastAsia="宋体"/>
          <w:color w:val="000000" w:themeColor="text1"/>
          <w:vertAlign w:val="subscript"/>
          <w14:textFill>
            <w14:solidFill>
              <w14:schemeClr w14:val="tx1"/>
            </w14:solidFill>
          </w14:textFill>
        </w:rPr>
        <w:t>4</w:t>
      </w:r>
      <w:r>
        <w:rPr>
          <w:rFonts w:hint="eastAsia" w:ascii="Times New Roman" w:hAnsi="Times New Roman" w:eastAsia="宋体"/>
          <w:color w:val="000000" w:themeColor="text1"/>
          <w:vertAlign w:val="superscript"/>
          <w14:textFill>
            <w14:solidFill>
              <w14:schemeClr w14:val="tx1"/>
            </w14:solidFill>
          </w14:textFill>
        </w:rPr>
        <w:t>al+pl</w:t>
      </w:r>
      <w:r>
        <w:rPr>
          <w:rFonts w:hint="eastAsia" w:ascii="Times New Roman" w:hAnsi="Times New Roman" w:eastAsia="宋体"/>
          <w:color w:val="000000" w:themeColor="text1"/>
          <w14:textFill>
            <w14:solidFill>
              <w14:schemeClr w14:val="tx1"/>
            </w14:solidFill>
          </w14:textFill>
        </w:rPr>
        <w:t>），黄色；稍湿</w:t>
      </w:r>
      <w:r>
        <w:rPr>
          <w:rFonts w:hint="eastAsia"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湿；稍密</w:t>
      </w:r>
      <w:r>
        <w:rPr>
          <w:rFonts w:hint="eastAsia"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密实；夹薄层粉土及粉土透镜体，级配不良，初见埋深1.</w:t>
      </w:r>
      <w:r>
        <w:rPr>
          <w:rFonts w:hint="eastAsia" w:ascii="Times New Roman" w:hAnsi="Times New Roman" w:eastAsia="宋体"/>
          <w:color w:val="000000" w:themeColor="text1"/>
          <w:lang w:val="en-US" w:eastAsia="zh-CN"/>
          <w14:textFill>
            <w14:solidFill>
              <w14:schemeClr w14:val="tx1"/>
            </w14:solidFill>
          </w14:textFill>
        </w:rPr>
        <w:t>0</w:t>
      </w:r>
      <w:r>
        <w:rPr>
          <w:rFonts w:hint="eastAsia"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3.8</w:t>
      </w:r>
      <w:r>
        <w:rPr>
          <w:rFonts w:hint="eastAsia" w:ascii="Times New Roman" w:hAnsi="Times New Roman" w:eastAsia="宋体"/>
          <w:color w:val="000000" w:themeColor="text1"/>
          <w14:textFill>
            <w14:solidFill>
              <w14:schemeClr w14:val="tx1"/>
            </w14:solidFill>
          </w14:textFill>
        </w:rPr>
        <w:t>m；该层未穿透，最大揭露厚度</w:t>
      </w:r>
      <w:r>
        <w:rPr>
          <w:rFonts w:hint="eastAsia" w:ascii="Times New Roman" w:hAnsi="Times New Roman" w:eastAsia="宋体"/>
          <w:color w:val="000000" w:themeColor="text1"/>
          <w:lang w:val="en-US" w:eastAsia="zh-CN"/>
          <w14:textFill>
            <w14:solidFill>
              <w14:schemeClr w14:val="tx1"/>
            </w14:solidFill>
          </w14:textFill>
        </w:rPr>
        <w:t>6.5</w:t>
      </w:r>
      <w:r>
        <w:rPr>
          <w:rFonts w:hint="eastAsia" w:ascii="Times New Roman" w:hAnsi="Times New Roman" w:eastAsia="宋体"/>
          <w:color w:val="000000" w:themeColor="text1"/>
          <w14:textFill>
            <w14:solidFill>
              <w14:schemeClr w14:val="tx1"/>
            </w14:solidFill>
          </w14:textFill>
        </w:rPr>
        <w:t>m；存在于整个场地</w:t>
      </w:r>
      <w:r>
        <w:rPr>
          <w:rFonts w:ascii="Times New Roman" w:hAnsi="Times New Roman" w:eastAsia="宋体" w:cs="Times New Roman"/>
          <w:color w:val="000000" w:themeColor="text1"/>
          <w:szCs w:val="24"/>
          <w14:textFill>
            <w14:solidFill>
              <w14:schemeClr w14:val="tx1"/>
            </w14:solidFill>
          </w14:textFill>
        </w:rPr>
        <w:t>。</w:t>
      </w:r>
    </w:p>
    <w:p w14:paraId="254B7804">
      <w:pPr>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拟建场地内无崩塌、滑坡、地面沉降或塌陷、地下采空区及地震断裂带或地裂缝等不良地质作用和地质灾害。</w:t>
      </w:r>
    </w:p>
    <w:p w14:paraId="2EFB7B2F">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00" w:name="_Toc490417101"/>
      <w:r>
        <w:rPr>
          <w:rFonts w:ascii="Times New Roman" w:hAnsi="Times New Roman" w:cs="Times New Roman"/>
          <w:color w:val="000000" w:themeColor="text1"/>
          <w14:textFill>
            <w14:solidFill>
              <w14:schemeClr w14:val="tx1"/>
            </w14:solidFill>
          </w14:textFill>
        </w:rPr>
        <w:t>气候与气象</w:t>
      </w:r>
      <w:bookmarkEnd w:id="99"/>
      <w:bookmarkEnd w:id="100"/>
    </w:p>
    <w:p w14:paraId="1F32C3E8">
      <w:pPr>
        <w:spacing w:line="360" w:lineRule="auto"/>
        <w:ind w:firstLine="480" w:firstLineChars="200"/>
        <w:rPr>
          <w:rFonts w:ascii="Times New Roman" w:hAnsi="Times New Roman"/>
          <w:color w:val="000000" w:themeColor="text1"/>
          <w:sz w:val="24"/>
          <w14:textFill>
            <w14:solidFill>
              <w14:schemeClr w14:val="tx1"/>
            </w14:solidFill>
          </w14:textFill>
        </w:rPr>
      </w:pPr>
      <w:bookmarkStart w:id="101" w:name="_Toc106157107"/>
      <w:bookmarkStart w:id="102" w:name="_Toc107218374"/>
      <w:bookmarkStart w:id="103" w:name="_Toc106447174"/>
      <w:bookmarkStart w:id="104" w:name="_Toc106157267"/>
      <w:bookmarkStart w:id="105" w:name="_Toc107037016"/>
      <w:bookmarkStart w:id="106" w:name="_Toc106791134"/>
      <w:bookmarkStart w:id="107" w:name="_Toc106415443"/>
      <w:bookmarkStart w:id="108" w:name="_Toc107052422"/>
      <w:bookmarkStart w:id="109" w:name="_Toc106159299"/>
      <w:bookmarkStart w:id="110" w:name="_Toc107209535"/>
      <w:bookmarkStart w:id="111" w:name="_Toc106172515"/>
      <w:bookmarkStart w:id="112" w:name="_Toc107196254"/>
      <w:r>
        <w:rPr>
          <w:rFonts w:hint="eastAsia" w:ascii="Times New Roman" w:hAnsi="Times New Roman"/>
          <w:color w:val="000000" w:themeColor="text1"/>
          <w:sz w:val="24"/>
          <w:lang w:val="en-US" w:eastAsia="zh-CN"/>
          <w14:textFill>
            <w14:solidFill>
              <w14:schemeClr w14:val="tx1"/>
            </w14:solidFill>
          </w14:textFill>
        </w:rPr>
        <w:t>63团</w:t>
      </w:r>
      <w:r>
        <w:rPr>
          <w:rFonts w:hint="eastAsia" w:ascii="Times New Roman" w:hAnsi="Times New Roman"/>
          <w:color w:val="000000" w:themeColor="text1"/>
          <w:sz w:val="24"/>
          <w14:textFill>
            <w14:solidFill>
              <w14:schemeClr w14:val="tx1"/>
            </w14:solidFill>
          </w14:textFill>
        </w:rPr>
        <w:t>地处伊犁河谷，受该河谷三面环山，向西敞开的独特地形影响，使得本区域的气候呈大陆性温带气候，气候特征表现为温和湿润、雨量充沛、昼夜温差大、夏热少酷暑、冬冷少严寒，春温回升快、秋温下降快等特征。</w:t>
      </w:r>
    </w:p>
    <w:p w14:paraId="64E5B2B0">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项目区处没有气象站，霍尔果斯气象站是距项目区最近的气象站，该站距项目区直线距离约20km，设立于1961年，该站各气象观测因子资料齐全，</w:t>
      </w:r>
      <w:r>
        <w:rPr>
          <w:rFonts w:hint="eastAsia" w:ascii="Times New Roman" w:hAnsi="Times New Roman"/>
          <w:color w:val="000000" w:themeColor="text1"/>
          <w14:textFill>
            <w14:solidFill>
              <w14:schemeClr w14:val="tx1"/>
            </w14:solidFill>
          </w14:textFill>
        </w:rPr>
        <w:t>霍尔果斯气象站有1961年至2012年观测数据，且是距离项目最近的气象站，本次以这52年观测资料为基础，现将各气象要素简述如下：</w:t>
      </w:r>
    </w:p>
    <w:p w14:paraId="34A61D83">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多</w:t>
      </w:r>
      <w:r>
        <w:rPr>
          <w:rFonts w:ascii="Times New Roman" w:hAnsi="Times New Roman"/>
          <w:color w:val="000000" w:themeColor="text1"/>
          <w14:textFill>
            <w14:solidFill>
              <w14:schemeClr w14:val="tx1"/>
            </w14:solidFill>
          </w14:textFill>
        </w:rPr>
        <w:t>年平均气温</w:t>
      </w:r>
      <w:r>
        <w:rPr>
          <w:rFonts w:hint="eastAsia" w:ascii="Times New Roman" w:hAnsi="Times New Roman"/>
          <w:color w:val="000000" w:themeColor="text1"/>
          <w14:textFill>
            <w14:solidFill>
              <w14:schemeClr w14:val="tx1"/>
            </w14:solidFill>
          </w14:textFill>
        </w:rPr>
        <w:t>9.8</w:t>
      </w:r>
      <w:r>
        <w:rPr>
          <w:rFonts w:hint="eastAsia" w:ascii="Times New Roman" w:hAnsi="Times New Roman" w:cs="宋体"/>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其中多年月平均气温7月最高为23.8</w:t>
      </w:r>
      <w:r>
        <w:rPr>
          <w:rFonts w:hint="eastAsia" w:ascii="Times New Roman" w:hAnsi="Times New Roman" w:cs="宋体"/>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，1月最低为-7.5</w:t>
      </w:r>
      <w:r>
        <w:rPr>
          <w:rFonts w:hint="eastAsia" w:ascii="Times New Roman" w:hAnsi="Times New Roman" w:cs="宋体"/>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极端最高气温</w:t>
      </w:r>
      <w:r>
        <w:rPr>
          <w:rFonts w:hint="eastAsia" w:ascii="Times New Roman" w:hAnsi="Times New Roman"/>
          <w:color w:val="000000" w:themeColor="text1"/>
          <w14:textFill>
            <w14:solidFill>
              <w14:schemeClr w14:val="tx1"/>
            </w14:solidFill>
          </w14:textFill>
        </w:rPr>
        <w:t>41.2</w:t>
      </w:r>
      <w:r>
        <w:rPr>
          <w:rFonts w:hint="eastAsia" w:ascii="Times New Roman" w:hAnsi="Times New Roman" w:cs="宋体"/>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(1997年7月19日</w:t>
      </w:r>
      <w:r>
        <w:rPr>
          <w:rFonts w:hint="eastAsia"/>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，极端最低温度</w:t>
      </w:r>
      <w:r>
        <w:rPr>
          <w:rFonts w:hint="eastAsia" w:ascii="Times New Roman" w:hAnsi="Times New Roman"/>
          <w:color w:val="000000" w:themeColor="text1"/>
          <w14:textFill>
            <w14:solidFill>
              <w14:schemeClr w14:val="tx1"/>
            </w14:solidFill>
          </w14:textFill>
        </w:rPr>
        <w:t>-37.4</w:t>
      </w:r>
      <w:r>
        <w:rPr>
          <w:rFonts w:hint="eastAsia" w:ascii="Times New Roman" w:hAnsi="Times New Roman" w:cs="宋体"/>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(1969年1月29日</w:t>
      </w:r>
      <w:r>
        <w:rPr>
          <w:rFonts w:hint="eastAsia"/>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w:t>
      </w:r>
    </w:p>
    <w:p w14:paraId="31DB6BC0">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降水：多</w:t>
      </w:r>
      <w:r>
        <w:rPr>
          <w:rFonts w:hint="eastAsia"/>
          <w:color w:val="000000" w:themeColor="text1"/>
          <w:lang w:eastAsia="zh-CN"/>
          <w14:textFill>
            <w14:solidFill>
              <w14:schemeClr w14:val="tx1"/>
            </w14:solidFill>
          </w14:textFill>
        </w:rPr>
        <w:t>年均</w:t>
      </w:r>
      <w:r>
        <w:rPr>
          <w:rFonts w:hint="eastAsia" w:ascii="Times New Roman" w:hAnsi="Times New Roman"/>
          <w:color w:val="000000" w:themeColor="text1"/>
          <w14:textFill>
            <w14:solidFill>
              <w14:schemeClr w14:val="tx1"/>
            </w14:solidFill>
          </w14:textFill>
        </w:rPr>
        <w:t>均降水量241.5mm，全年降水量比较均匀，月降雨量最大月份为5月，降水量为25.2mm，最小的月份为9月份，降水量为11.1mm，年最大一日降水量82.9mm(2010年7</w:t>
      </w:r>
      <w:r>
        <w:rPr>
          <w:rFonts w:hint="eastAsia"/>
          <w:color w:val="000000" w:themeColor="text1"/>
          <w:lang w:eastAsia="zh-CN"/>
          <w14:textFill>
            <w14:solidFill>
              <w14:schemeClr w14:val="tx1"/>
            </w14:solidFill>
          </w14:textFill>
        </w:rPr>
        <w:t>月）</w:t>
      </w:r>
      <w:r>
        <w:rPr>
          <w:rFonts w:hint="eastAsia" w:ascii="Times New Roman" w:hAnsi="Times New Roman"/>
          <w:color w:val="000000" w:themeColor="text1"/>
          <w14:textFill>
            <w14:solidFill>
              <w14:schemeClr w14:val="tx1"/>
            </w14:solidFill>
          </w14:textFill>
        </w:rPr>
        <w:t>。</w:t>
      </w:r>
    </w:p>
    <w:p w14:paraId="49E3722C">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蒸发：多年平均蒸发量1886.6mm，其中4月</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8月蒸发量占全年的72.3%，12月至翌年2月的蒸发量仅占全年的3.4%。</w:t>
      </w:r>
    </w:p>
    <w:p w14:paraId="06F8375E">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气压：多年平均气压931.0mb。</w:t>
      </w:r>
    </w:p>
    <w:p w14:paraId="3EAE9AB4">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湿度：多年平均相对湿度60%。</w:t>
      </w:r>
    </w:p>
    <w:p w14:paraId="2C8A9DA2">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日照时数：多年平均日照时数为2996.7h。</w:t>
      </w:r>
    </w:p>
    <w:p w14:paraId="482BA4CD">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风速：多年平均风速2.2m/s，多年最大风速平均值为18m/s。历年最大风速24m/s(</w:t>
      </w:r>
      <w:r>
        <w:rPr>
          <w:rFonts w:hint="eastAsia"/>
          <w:color w:val="000000" w:themeColor="text1"/>
          <w:lang w:eastAsia="zh-CN"/>
          <w14:textFill>
            <w14:solidFill>
              <w14:schemeClr w14:val="tx1"/>
            </w14:solidFill>
          </w14:textFill>
        </w:rPr>
        <w:t>1962年4月4日或</w:t>
      </w:r>
      <w:r>
        <w:rPr>
          <w:rFonts w:hint="eastAsia" w:ascii="Times New Roman" w:hAnsi="Times New Roman"/>
          <w:color w:val="000000" w:themeColor="text1"/>
          <w14:textFill>
            <w14:solidFill>
              <w14:schemeClr w14:val="tx1"/>
            </w14:solidFill>
          </w14:textFill>
        </w:rPr>
        <w:t>1965年5月1日</w:t>
      </w:r>
      <w:r>
        <w:rPr>
          <w:rFonts w:hint="eastAsia"/>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w:t>
      </w:r>
    </w:p>
    <w:p w14:paraId="375D43FC">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风向：</w:t>
      </w:r>
      <w:r>
        <w:rPr>
          <w:rFonts w:hint="eastAsia" w:ascii="Times New Roman" w:hAnsi="Times New Roman"/>
          <w:color w:val="000000" w:themeColor="text1"/>
          <w:lang w:val="en-US" w:eastAsia="zh-CN"/>
          <w14:textFill>
            <w14:solidFill>
              <w14:schemeClr w14:val="tx1"/>
            </w14:solidFill>
          </w14:textFill>
        </w:rPr>
        <w:t>常年主导风向为东北风</w:t>
      </w:r>
      <w:r>
        <w:rPr>
          <w:rFonts w:hint="eastAsia" w:ascii="Times New Roman" w:hAnsi="Times New Roman"/>
          <w:color w:val="000000" w:themeColor="text1"/>
          <w14:textFill>
            <w14:solidFill>
              <w14:schemeClr w14:val="tx1"/>
            </w14:solidFill>
          </w14:textFill>
        </w:rPr>
        <w:t>。</w:t>
      </w:r>
    </w:p>
    <w:p w14:paraId="2DE911DE">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大风日数：全年大风日数为21.1d。</w:t>
      </w:r>
    </w:p>
    <w:p w14:paraId="370B2831">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积雪深度：最大积雪深度72cm。</w:t>
      </w:r>
    </w:p>
    <w:p w14:paraId="05552DAF">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最大冻土：历年最大冻土深度为99cm。</w:t>
      </w:r>
    </w:p>
    <w:p w14:paraId="0125F869">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雷暴日数：全年雷暴天数26.9日。</w:t>
      </w:r>
    </w:p>
    <w:p w14:paraId="5D03DDAB">
      <w:pPr>
        <w:pStyle w:val="89"/>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沙尘暴日数：全年沙尘暴日数平均为2.9</w:t>
      </w:r>
      <w:r>
        <w:rPr>
          <w:rFonts w:hint="eastAsia" w:ascii="Times New Roman" w:hAnsi="Times New Roman"/>
          <w:color w:val="000000" w:themeColor="text1"/>
          <w:lang w:val="en-US" w:eastAsia="zh-CN"/>
          <w14:textFill>
            <w14:solidFill>
              <w14:schemeClr w14:val="tx1"/>
            </w14:solidFill>
          </w14:textFill>
        </w:rPr>
        <w:t>日</w:t>
      </w:r>
      <w:r>
        <w:rPr>
          <w:rFonts w:hint="eastAsia" w:ascii="Times New Roman" w:hAnsi="Times New Roman"/>
          <w:color w:val="000000" w:themeColor="text1"/>
          <w14:textFill>
            <w14:solidFill>
              <w14:schemeClr w14:val="tx1"/>
            </w14:solidFill>
          </w14:textFill>
        </w:rPr>
        <w:t>。</w:t>
      </w:r>
    </w:p>
    <w:p w14:paraId="299EE37A">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降雪日数：多年平均降雪日数94.3d</w:t>
      </w:r>
      <w:r>
        <w:rPr>
          <w:rFonts w:ascii="Times New Roman" w:hAnsi="Times New Roman" w:cs="Times New Roman"/>
          <w:color w:val="000000" w:themeColor="text1"/>
          <w14:textFill>
            <w14:solidFill>
              <w14:schemeClr w14:val="tx1"/>
            </w14:solidFill>
          </w14:textFill>
        </w:rPr>
        <w:t>。</w:t>
      </w:r>
    </w:p>
    <w:p w14:paraId="4EBA5DAA">
      <w:pPr>
        <w:pStyle w:val="88"/>
        <w:rPr>
          <w:rFonts w:ascii="Times New Roman" w:hAnsi="Times New Roman" w:cs="Times New Roman"/>
          <w:color w:val="000000" w:themeColor="text1"/>
          <w14:textFill>
            <w14:solidFill>
              <w14:schemeClr w14:val="tx1"/>
            </w14:solidFill>
          </w14:textFill>
        </w:rPr>
        <w:sectPr>
          <w:headerReference r:id="rId16"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5F043966">
      <w:pPr>
        <w:pStyle w:val="9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表</w:t>
      </w:r>
      <w:r>
        <w:rPr>
          <w:rFonts w:hint="eastAsia" w:ascii="Times New Roman" w:hAnsi="Times New Roman" w:eastAsia="宋体" w:cs="宋体"/>
          <w:color w:val="000000" w:themeColor="text1"/>
          <w:sz w:val="24"/>
          <w:szCs w:val="24"/>
          <w:lang w:val="en-US" w:eastAsia="zh-CN"/>
          <w14:textFill>
            <w14:solidFill>
              <w14:schemeClr w14:val="tx1"/>
            </w14:solidFill>
          </w14:textFill>
        </w:rPr>
        <w:t xml:space="preserve">4.1-1                           </w:t>
      </w:r>
      <w:r>
        <w:rPr>
          <w:rFonts w:hint="eastAsia" w:ascii="Times New Roman" w:hAnsi="Times New Roman" w:eastAsia="宋体" w:cs="宋体"/>
          <w:color w:val="000000" w:themeColor="text1"/>
          <w:sz w:val="24"/>
          <w:szCs w:val="24"/>
          <w14:textFill>
            <w14:solidFill>
              <w14:schemeClr w14:val="tx1"/>
            </w14:solidFill>
          </w14:textFill>
        </w:rPr>
        <w:t>霍尔果斯气象站</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1961年</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2012年</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各月气象要素统计表</w:t>
      </w:r>
    </w:p>
    <w:tbl>
      <w:tblPr>
        <w:tblStyle w:val="35"/>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75"/>
        <w:gridCol w:w="784"/>
        <w:gridCol w:w="913"/>
        <w:gridCol w:w="787"/>
        <w:gridCol w:w="787"/>
        <w:gridCol w:w="913"/>
        <w:gridCol w:w="913"/>
        <w:gridCol w:w="787"/>
        <w:gridCol w:w="913"/>
        <w:gridCol w:w="913"/>
        <w:gridCol w:w="913"/>
        <w:gridCol w:w="849"/>
        <w:gridCol w:w="849"/>
        <w:gridCol w:w="849"/>
        <w:gridCol w:w="1036"/>
      </w:tblGrid>
      <w:tr w14:paraId="4F39F8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78E0C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项目</w:t>
            </w:r>
          </w:p>
        </w:tc>
        <w:tc>
          <w:tcPr>
            <w:tcW w:w="280" w:type="pct"/>
            <w:tcBorders>
              <w:tl2br w:val="nil"/>
              <w:tr2bl w:val="nil"/>
            </w:tcBorders>
            <w:noWrap w:val="0"/>
            <w:vAlign w:val="center"/>
          </w:tcPr>
          <w:p w14:paraId="54123C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单位</w:t>
            </w:r>
          </w:p>
        </w:tc>
        <w:tc>
          <w:tcPr>
            <w:tcW w:w="326" w:type="pct"/>
            <w:tcBorders>
              <w:tl2br w:val="nil"/>
              <w:tr2bl w:val="nil"/>
            </w:tcBorders>
            <w:noWrap w:val="0"/>
            <w:vAlign w:val="center"/>
          </w:tcPr>
          <w:p w14:paraId="77EE04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1月</w:t>
            </w:r>
          </w:p>
        </w:tc>
        <w:tc>
          <w:tcPr>
            <w:tcW w:w="281" w:type="pct"/>
            <w:tcBorders>
              <w:tl2br w:val="nil"/>
              <w:tr2bl w:val="nil"/>
            </w:tcBorders>
            <w:noWrap w:val="0"/>
            <w:vAlign w:val="center"/>
          </w:tcPr>
          <w:p w14:paraId="5F76F0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2月</w:t>
            </w:r>
          </w:p>
        </w:tc>
        <w:tc>
          <w:tcPr>
            <w:tcW w:w="281" w:type="pct"/>
            <w:tcBorders>
              <w:tl2br w:val="nil"/>
              <w:tr2bl w:val="nil"/>
            </w:tcBorders>
            <w:noWrap w:val="0"/>
            <w:vAlign w:val="center"/>
          </w:tcPr>
          <w:p w14:paraId="475EB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3月</w:t>
            </w:r>
          </w:p>
        </w:tc>
        <w:tc>
          <w:tcPr>
            <w:tcW w:w="326" w:type="pct"/>
            <w:tcBorders>
              <w:tl2br w:val="nil"/>
              <w:tr2bl w:val="nil"/>
            </w:tcBorders>
            <w:noWrap w:val="0"/>
            <w:vAlign w:val="center"/>
          </w:tcPr>
          <w:p w14:paraId="7737EC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4月</w:t>
            </w:r>
          </w:p>
        </w:tc>
        <w:tc>
          <w:tcPr>
            <w:tcW w:w="326" w:type="pct"/>
            <w:tcBorders>
              <w:tl2br w:val="nil"/>
              <w:tr2bl w:val="nil"/>
            </w:tcBorders>
            <w:noWrap w:val="0"/>
            <w:vAlign w:val="center"/>
          </w:tcPr>
          <w:p w14:paraId="78E078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5月</w:t>
            </w:r>
          </w:p>
        </w:tc>
        <w:tc>
          <w:tcPr>
            <w:tcW w:w="281" w:type="pct"/>
            <w:tcBorders>
              <w:tl2br w:val="nil"/>
              <w:tr2bl w:val="nil"/>
            </w:tcBorders>
            <w:noWrap w:val="0"/>
            <w:vAlign w:val="center"/>
          </w:tcPr>
          <w:p w14:paraId="07B177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6月</w:t>
            </w:r>
          </w:p>
        </w:tc>
        <w:tc>
          <w:tcPr>
            <w:tcW w:w="326" w:type="pct"/>
            <w:tcBorders>
              <w:tl2br w:val="nil"/>
              <w:tr2bl w:val="nil"/>
            </w:tcBorders>
            <w:noWrap w:val="0"/>
            <w:vAlign w:val="center"/>
          </w:tcPr>
          <w:p w14:paraId="04E9A7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7月</w:t>
            </w:r>
          </w:p>
        </w:tc>
        <w:tc>
          <w:tcPr>
            <w:tcW w:w="326" w:type="pct"/>
            <w:tcBorders>
              <w:tl2br w:val="nil"/>
              <w:tr2bl w:val="nil"/>
            </w:tcBorders>
            <w:noWrap w:val="0"/>
            <w:vAlign w:val="center"/>
          </w:tcPr>
          <w:p w14:paraId="17D6B2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8月</w:t>
            </w:r>
          </w:p>
        </w:tc>
        <w:tc>
          <w:tcPr>
            <w:tcW w:w="326" w:type="pct"/>
            <w:tcBorders>
              <w:tl2br w:val="nil"/>
              <w:tr2bl w:val="nil"/>
            </w:tcBorders>
            <w:noWrap w:val="0"/>
            <w:vAlign w:val="center"/>
          </w:tcPr>
          <w:p w14:paraId="19803A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9月</w:t>
            </w:r>
          </w:p>
        </w:tc>
        <w:tc>
          <w:tcPr>
            <w:tcW w:w="303" w:type="pct"/>
            <w:tcBorders>
              <w:tl2br w:val="nil"/>
              <w:tr2bl w:val="nil"/>
            </w:tcBorders>
            <w:noWrap w:val="0"/>
            <w:vAlign w:val="center"/>
          </w:tcPr>
          <w:p w14:paraId="58E6E7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10月</w:t>
            </w:r>
          </w:p>
        </w:tc>
        <w:tc>
          <w:tcPr>
            <w:tcW w:w="303" w:type="pct"/>
            <w:tcBorders>
              <w:tl2br w:val="nil"/>
              <w:tr2bl w:val="nil"/>
            </w:tcBorders>
            <w:noWrap w:val="0"/>
            <w:vAlign w:val="center"/>
          </w:tcPr>
          <w:p w14:paraId="359484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11月</w:t>
            </w:r>
          </w:p>
        </w:tc>
        <w:tc>
          <w:tcPr>
            <w:tcW w:w="303" w:type="pct"/>
            <w:tcBorders>
              <w:tl2br w:val="nil"/>
              <w:tr2bl w:val="nil"/>
            </w:tcBorders>
            <w:noWrap w:val="0"/>
            <w:vAlign w:val="center"/>
          </w:tcPr>
          <w:p w14:paraId="7CB893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12月</w:t>
            </w:r>
          </w:p>
        </w:tc>
        <w:tc>
          <w:tcPr>
            <w:tcW w:w="370" w:type="pct"/>
            <w:tcBorders>
              <w:tl2br w:val="nil"/>
              <w:tr2bl w:val="nil"/>
            </w:tcBorders>
            <w:noWrap w:val="0"/>
            <w:vAlign w:val="center"/>
          </w:tcPr>
          <w:p w14:paraId="5A8843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全年</w:t>
            </w:r>
          </w:p>
        </w:tc>
      </w:tr>
      <w:tr w14:paraId="63AF33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1E0AEB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平均气压</w:t>
            </w:r>
          </w:p>
        </w:tc>
        <w:tc>
          <w:tcPr>
            <w:tcW w:w="280" w:type="pct"/>
            <w:tcBorders>
              <w:tl2br w:val="nil"/>
              <w:tr2bl w:val="nil"/>
            </w:tcBorders>
            <w:noWrap w:val="0"/>
            <w:vAlign w:val="center"/>
          </w:tcPr>
          <w:p w14:paraId="62E977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mb</w:t>
            </w:r>
          </w:p>
        </w:tc>
        <w:tc>
          <w:tcPr>
            <w:tcW w:w="326" w:type="pct"/>
            <w:tcBorders>
              <w:tl2br w:val="nil"/>
              <w:tr2bl w:val="nil"/>
            </w:tcBorders>
            <w:noWrap w:val="0"/>
            <w:vAlign w:val="center"/>
          </w:tcPr>
          <w:p w14:paraId="6F4379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935</w:t>
            </w:r>
          </w:p>
        </w:tc>
        <w:tc>
          <w:tcPr>
            <w:tcW w:w="281" w:type="pct"/>
            <w:tcBorders>
              <w:tl2br w:val="nil"/>
              <w:tr2bl w:val="nil"/>
            </w:tcBorders>
            <w:noWrap w:val="0"/>
            <w:vAlign w:val="center"/>
          </w:tcPr>
          <w:p w14:paraId="685F6F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934</w:t>
            </w:r>
          </w:p>
        </w:tc>
        <w:tc>
          <w:tcPr>
            <w:tcW w:w="281" w:type="pct"/>
            <w:tcBorders>
              <w:tl2br w:val="nil"/>
              <w:tr2bl w:val="nil"/>
            </w:tcBorders>
            <w:noWrap w:val="0"/>
            <w:vAlign w:val="center"/>
          </w:tcPr>
          <w:p w14:paraId="54B5BD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933</w:t>
            </w:r>
          </w:p>
        </w:tc>
        <w:tc>
          <w:tcPr>
            <w:tcW w:w="326" w:type="pct"/>
            <w:tcBorders>
              <w:tl2br w:val="nil"/>
              <w:tr2bl w:val="nil"/>
            </w:tcBorders>
            <w:noWrap w:val="0"/>
            <w:vAlign w:val="center"/>
          </w:tcPr>
          <w:p w14:paraId="56EF9E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928</w:t>
            </w:r>
          </w:p>
        </w:tc>
        <w:tc>
          <w:tcPr>
            <w:tcW w:w="326" w:type="pct"/>
            <w:tcBorders>
              <w:tl2br w:val="nil"/>
              <w:tr2bl w:val="nil"/>
            </w:tcBorders>
            <w:noWrap w:val="0"/>
            <w:vAlign w:val="center"/>
          </w:tcPr>
          <w:p w14:paraId="3264AA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929</w:t>
            </w:r>
          </w:p>
        </w:tc>
        <w:tc>
          <w:tcPr>
            <w:tcW w:w="281" w:type="pct"/>
            <w:tcBorders>
              <w:tl2br w:val="nil"/>
              <w:tr2bl w:val="nil"/>
            </w:tcBorders>
            <w:noWrap w:val="0"/>
            <w:vAlign w:val="center"/>
          </w:tcPr>
          <w:p w14:paraId="4E6C3C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928</w:t>
            </w:r>
          </w:p>
        </w:tc>
        <w:tc>
          <w:tcPr>
            <w:tcW w:w="326" w:type="pct"/>
            <w:tcBorders>
              <w:tl2br w:val="nil"/>
              <w:tr2bl w:val="nil"/>
            </w:tcBorders>
            <w:noWrap w:val="0"/>
            <w:vAlign w:val="center"/>
          </w:tcPr>
          <w:p w14:paraId="3F09AD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927</w:t>
            </w:r>
          </w:p>
        </w:tc>
        <w:tc>
          <w:tcPr>
            <w:tcW w:w="326" w:type="pct"/>
            <w:tcBorders>
              <w:tl2br w:val="nil"/>
              <w:tr2bl w:val="nil"/>
            </w:tcBorders>
            <w:noWrap w:val="0"/>
            <w:vAlign w:val="center"/>
          </w:tcPr>
          <w:p w14:paraId="1CEE2A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926</w:t>
            </w:r>
          </w:p>
        </w:tc>
        <w:tc>
          <w:tcPr>
            <w:tcW w:w="326" w:type="pct"/>
            <w:tcBorders>
              <w:tl2br w:val="nil"/>
              <w:tr2bl w:val="nil"/>
            </w:tcBorders>
            <w:noWrap w:val="0"/>
            <w:vAlign w:val="center"/>
          </w:tcPr>
          <w:p w14:paraId="3556DF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929</w:t>
            </w:r>
          </w:p>
        </w:tc>
        <w:tc>
          <w:tcPr>
            <w:tcW w:w="303" w:type="pct"/>
            <w:tcBorders>
              <w:tl2br w:val="nil"/>
              <w:tr2bl w:val="nil"/>
            </w:tcBorders>
            <w:noWrap w:val="0"/>
            <w:vAlign w:val="center"/>
          </w:tcPr>
          <w:p w14:paraId="0A323C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933</w:t>
            </w:r>
          </w:p>
        </w:tc>
        <w:tc>
          <w:tcPr>
            <w:tcW w:w="303" w:type="pct"/>
            <w:tcBorders>
              <w:tl2br w:val="nil"/>
              <w:tr2bl w:val="nil"/>
            </w:tcBorders>
            <w:noWrap w:val="0"/>
            <w:vAlign w:val="center"/>
          </w:tcPr>
          <w:p w14:paraId="0B872D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935</w:t>
            </w:r>
          </w:p>
        </w:tc>
        <w:tc>
          <w:tcPr>
            <w:tcW w:w="303" w:type="pct"/>
            <w:tcBorders>
              <w:tl2br w:val="nil"/>
              <w:tr2bl w:val="nil"/>
            </w:tcBorders>
            <w:noWrap w:val="0"/>
            <w:vAlign w:val="center"/>
          </w:tcPr>
          <w:p w14:paraId="05A388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936</w:t>
            </w:r>
          </w:p>
        </w:tc>
        <w:tc>
          <w:tcPr>
            <w:tcW w:w="370" w:type="pct"/>
            <w:tcBorders>
              <w:tl2br w:val="nil"/>
              <w:tr2bl w:val="nil"/>
            </w:tcBorders>
            <w:noWrap w:val="0"/>
            <w:vAlign w:val="center"/>
          </w:tcPr>
          <w:p w14:paraId="629189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931</w:t>
            </w:r>
          </w:p>
        </w:tc>
      </w:tr>
      <w:tr w14:paraId="5E3A4D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2B23F7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平均水汽压</w:t>
            </w:r>
          </w:p>
        </w:tc>
        <w:tc>
          <w:tcPr>
            <w:tcW w:w="280" w:type="pct"/>
            <w:tcBorders>
              <w:tl2br w:val="nil"/>
              <w:tr2bl w:val="nil"/>
            </w:tcBorders>
            <w:noWrap w:val="0"/>
            <w:vAlign w:val="center"/>
          </w:tcPr>
          <w:p w14:paraId="071DEF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mb</w:t>
            </w:r>
          </w:p>
        </w:tc>
        <w:tc>
          <w:tcPr>
            <w:tcW w:w="326" w:type="pct"/>
            <w:tcBorders>
              <w:tl2br w:val="nil"/>
              <w:tr2bl w:val="nil"/>
            </w:tcBorders>
            <w:noWrap w:val="0"/>
            <w:vAlign w:val="center"/>
          </w:tcPr>
          <w:p w14:paraId="2336E6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2.7</w:t>
            </w:r>
          </w:p>
        </w:tc>
        <w:tc>
          <w:tcPr>
            <w:tcW w:w="281" w:type="pct"/>
            <w:tcBorders>
              <w:tl2br w:val="nil"/>
              <w:tr2bl w:val="nil"/>
            </w:tcBorders>
            <w:noWrap w:val="0"/>
            <w:vAlign w:val="center"/>
          </w:tcPr>
          <w:p w14:paraId="3E36ED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3.2</w:t>
            </w:r>
          </w:p>
        </w:tc>
        <w:tc>
          <w:tcPr>
            <w:tcW w:w="281" w:type="pct"/>
            <w:tcBorders>
              <w:tl2br w:val="nil"/>
              <w:tr2bl w:val="nil"/>
            </w:tcBorders>
            <w:noWrap w:val="0"/>
            <w:vAlign w:val="center"/>
          </w:tcPr>
          <w:p w14:paraId="6EEF98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5.2</w:t>
            </w:r>
          </w:p>
        </w:tc>
        <w:tc>
          <w:tcPr>
            <w:tcW w:w="326" w:type="pct"/>
            <w:tcBorders>
              <w:tl2br w:val="nil"/>
              <w:tr2bl w:val="nil"/>
            </w:tcBorders>
            <w:noWrap w:val="0"/>
            <w:vAlign w:val="center"/>
          </w:tcPr>
          <w:p w14:paraId="7AAF0D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7.1</w:t>
            </w:r>
          </w:p>
        </w:tc>
        <w:tc>
          <w:tcPr>
            <w:tcW w:w="326" w:type="pct"/>
            <w:tcBorders>
              <w:tl2br w:val="nil"/>
              <w:tr2bl w:val="nil"/>
            </w:tcBorders>
            <w:noWrap w:val="0"/>
            <w:vAlign w:val="center"/>
          </w:tcPr>
          <w:p w14:paraId="2EBFDE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9.8</w:t>
            </w:r>
          </w:p>
        </w:tc>
        <w:tc>
          <w:tcPr>
            <w:tcW w:w="281" w:type="pct"/>
            <w:tcBorders>
              <w:tl2br w:val="nil"/>
              <w:tr2bl w:val="nil"/>
            </w:tcBorders>
            <w:noWrap w:val="0"/>
            <w:vAlign w:val="center"/>
          </w:tcPr>
          <w:p w14:paraId="7D666B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12.4</w:t>
            </w:r>
          </w:p>
        </w:tc>
        <w:tc>
          <w:tcPr>
            <w:tcW w:w="326" w:type="pct"/>
            <w:tcBorders>
              <w:tl2br w:val="nil"/>
              <w:tr2bl w:val="nil"/>
            </w:tcBorders>
            <w:noWrap w:val="0"/>
            <w:vAlign w:val="center"/>
          </w:tcPr>
          <w:p w14:paraId="5261EF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13.7</w:t>
            </w:r>
          </w:p>
        </w:tc>
        <w:tc>
          <w:tcPr>
            <w:tcW w:w="326" w:type="pct"/>
            <w:tcBorders>
              <w:tl2br w:val="nil"/>
              <w:tr2bl w:val="nil"/>
            </w:tcBorders>
            <w:noWrap w:val="0"/>
            <w:vAlign w:val="center"/>
          </w:tcPr>
          <w:p w14:paraId="736AE5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11.9</w:t>
            </w:r>
          </w:p>
        </w:tc>
        <w:tc>
          <w:tcPr>
            <w:tcW w:w="326" w:type="pct"/>
            <w:tcBorders>
              <w:tl2br w:val="nil"/>
              <w:tr2bl w:val="nil"/>
            </w:tcBorders>
            <w:noWrap w:val="0"/>
            <w:vAlign w:val="center"/>
          </w:tcPr>
          <w:p w14:paraId="3E9E3D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w:t>
            </w:r>
          </w:p>
        </w:tc>
        <w:tc>
          <w:tcPr>
            <w:tcW w:w="303" w:type="pct"/>
            <w:tcBorders>
              <w:tl2br w:val="nil"/>
              <w:tr2bl w:val="nil"/>
            </w:tcBorders>
            <w:noWrap w:val="0"/>
            <w:vAlign w:val="center"/>
          </w:tcPr>
          <w:p w14:paraId="16090D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6.8</w:t>
            </w:r>
          </w:p>
        </w:tc>
        <w:tc>
          <w:tcPr>
            <w:tcW w:w="303" w:type="pct"/>
            <w:tcBorders>
              <w:tl2br w:val="nil"/>
              <w:tr2bl w:val="nil"/>
            </w:tcBorders>
            <w:noWrap w:val="0"/>
            <w:vAlign w:val="center"/>
          </w:tcPr>
          <w:p w14:paraId="527F2A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w:t>
            </w:r>
          </w:p>
        </w:tc>
        <w:tc>
          <w:tcPr>
            <w:tcW w:w="303" w:type="pct"/>
            <w:tcBorders>
              <w:tl2br w:val="nil"/>
              <w:tr2bl w:val="nil"/>
            </w:tcBorders>
            <w:noWrap w:val="0"/>
            <w:vAlign w:val="center"/>
          </w:tcPr>
          <w:p w14:paraId="100CC4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3.5</w:t>
            </w:r>
          </w:p>
        </w:tc>
        <w:tc>
          <w:tcPr>
            <w:tcW w:w="370" w:type="pct"/>
            <w:tcBorders>
              <w:tl2br w:val="nil"/>
              <w:tr2bl w:val="nil"/>
            </w:tcBorders>
            <w:noWrap w:val="0"/>
            <w:vAlign w:val="center"/>
          </w:tcPr>
          <w:p w14:paraId="351B7F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7.5</w:t>
            </w:r>
          </w:p>
        </w:tc>
      </w:tr>
      <w:tr w14:paraId="21564B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4DDD84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平均相对湿度</w:t>
            </w:r>
          </w:p>
        </w:tc>
        <w:tc>
          <w:tcPr>
            <w:tcW w:w="280" w:type="pct"/>
            <w:tcBorders>
              <w:tl2br w:val="nil"/>
              <w:tr2bl w:val="nil"/>
            </w:tcBorders>
            <w:noWrap w:val="0"/>
            <w:vAlign w:val="center"/>
          </w:tcPr>
          <w:p w14:paraId="5427A2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t>
            </w:r>
          </w:p>
        </w:tc>
        <w:tc>
          <w:tcPr>
            <w:tcW w:w="326" w:type="pct"/>
            <w:tcBorders>
              <w:tl2br w:val="nil"/>
              <w:tr2bl w:val="nil"/>
            </w:tcBorders>
            <w:noWrap w:val="0"/>
            <w:vAlign w:val="center"/>
          </w:tcPr>
          <w:p w14:paraId="09CE18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73</w:t>
            </w:r>
          </w:p>
        </w:tc>
        <w:tc>
          <w:tcPr>
            <w:tcW w:w="281" w:type="pct"/>
            <w:tcBorders>
              <w:tl2br w:val="nil"/>
              <w:tr2bl w:val="nil"/>
            </w:tcBorders>
            <w:noWrap w:val="0"/>
            <w:vAlign w:val="center"/>
          </w:tcPr>
          <w:p w14:paraId="4E78D1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73</w:t>
            </w:r>
          </w:p>
        </w:tc>
        <w:tc>
          <w:tcPr>
            <w:tcW w:w="281" w:type="pct"/>
            <w:tcBorders>
              <w:tl2br w:val="nil"/>
              <w:tr2bl w:val="nil"/>
            </w:tcBorders>
            <w:noWrap w:val="0"/>
            <w:vAlign w:val="center"/>
          </w:tcPr>
          <w:p w14:paraId="1749D3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68</w:t>
            </w:r>
          </w:p>
        </w:tc>
        <w:tc>
          <w:tcPr>
            <w:tcW w:w="326" w:type="pct"/>
            <w:tcBorders>
              <w:tl2br w:val="nil"/>
              <w:tr2bl w:val="nil"/>
            </w:tcBorders>
            <w:noWrap w:val="0"/>
            <w:vAlign w:val="center"/>
          </w:tcPr>
          <w:p w14:paraId="667B57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53</w:t>
            </w:r>
          </w:p>
        </w:tc>
        <w:tc>
          <w:tcPr>
            <w:tcW w:w="326" w:type="pct"/>
            <w:tcBorders>
              <w:tl2br w:val="nil"/>
              <w:tr2bl w:val="nil"/>
            </w:tcBorders>
            <w:noWrap w:val="0"/>
            <w:vAlign w:val="center"/>
          </w:tcPr>
          <w:p w14:paraId="60EB97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52</w:t>
            </w:r>
          </w:p>
        </w:tc>
        <w:tc>
          <w:tcPr>
            <w:tcW w:w="281" w:type="pct"/>
            <w:tcBorders>
              <w:tl2br w:val="nil"/>
              <w:tr2bl w:val="nil"/>
            </w:tcBorders>
            <w:noWrap w:val="0"/>
            <w:vAlign w:val="center"/>
          </w:tcPr>
          <w:p w14:paraId="44384E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51</w:t>
            </w:r>
          </w:p>
        </w:tc>
        <w:tc>
          <w:tcPr>
            <w:tcW w:w="326" w:type="pct"/>
            <w:tcBorders>
              <w:tl2br w:val="nil"/>
              <w:tr2bl w:val="nil"/>
            </w:tcBorders>
            <w:noWrap w:val="0"/>
            <w:vAlign w:val="center"/>
          </w:tcPr>
          <w:p w14:paraId="4B52CC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50</w:t>
            </w:r>
          </w:p>
        </w:tc>
        <w:tc>
          <w:tcPr>
            <w:tcW w:w="326" w:type="pct"/>
            <w:tcBorders>
              <w:tl2br w:val="nil"/>
              <w:tr2bl w:val="nil"/>
            </w:tcBorders>
            <w:noWrap w:val="0"/>
            <w:vAlign w:val="center"/>
          </w:tcPr>
          <w:p w14:paraId="42D89D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46</w:t>
            </w:r>
          </w:p>
        </w:tc>
        <w:tc>
          <w:tcPr>
            <w:tcW w:w="326" w:type="pct"/>
            <w:tcBorders>
              <w:tl2br w:val="nil"/>
              <w:tr2bl w:val="nil"/>
            </w:tcBorders>
            <w:noWrap w:val="0"/>
            <w:vAlign w:val="center"/>
          </w:tcPr>
          <w:p w14:paraId="1A745D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47</w:t>
            </w:r>
          </w:p>
        </w:tc>
        <w:tc>
          <w:tcPr>
            <w:tcW w:w="303" w:type="pct"/>
            <w:tcBorders>
              <w:tl2br w:val="nil"/>
              <w:tr2bl w:val="nil"/>
            </w:tcBorders>
            <w:noWrap w:val="0"/>
            <w:vAlign w:val="center"/>
          </w:tcPr>
          <w:p w14:paraId="300715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58</w:t>
            </w:r>
          </w:p>
        </w:tc>
        <w:tc>
          <w:tcPr>
            <w:tcW w:w="303" w:type="pct"/>
            <w:tcBorders>
              <w:tl2br w:val="nil"/>
              <w:tr2bl w:val="nil"/>
            </w:tcBorders>
            <w:noWrap w:val="0"/>
            <w:vAlign w:val="center"/>
          </w:tcPr>
          <w:p w14:paraId="6B81BB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70</w:t>
            </w:r>
          </w:p>
        </w:tc>
        <w:tc>
          <w:tcPr>
            <w:tcW w:w="303" w:type="pct"/>
            <w:tcBorders>
              <w:tl2br w:val="nil"/>
              <w:tr2bl w:val="nil"/>
            </w:tcBorders>
            <w:noWrap w:val="0"/>
            <w:vAlign w:val="center"/>
          </w:tcPr>
          <w:p w14:paraId="55CF78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74</w:t>
            </w:r>
          </w:p>
        </w:tc>
        <w:tc>
          <w:tcPr>
            <w:tcW w:w="370" w:type="pct"/>
            <w:tcBorders>
              <w:tl2br w:val="nil"/>
              <w:tr2bl w:val="nil"/>
            </w:tcBorders>
            <w:noWrap w:val="0"/>
            <w:vAlign w:val="center"/>
          </w:tcPr>
          <w:p w14:paraId="67FBB9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60</w:t>
            </w:r>
          </w:p>
        </w:tc>
      </w:tr>
      <w:tr w14:paraId="2FD20E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3CC057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平均气温</w:t>
            </w:r>
          </w:p>
        </w:tc>
        <w:tc>
          <w:tcPr>
            <w:tcW w:w="280" w:type="pct"/>
            <w:tcBorders>
              <w:tl2br w:val="nil"/>
              <w:tr2bl w:val="nil"/>
            </w:tcBorders>
            <w:noWrap w:val="0"/>
            <w:vAlign w:val="center"/>
          </w:tcPr>
          <w:p w14:paraId="6A4154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t>
            </w:r>
          </w:p>
        </w:tc>
        <w:tc>
          <w:tcPr>
            <w:tcW w:w="326" w:type="pct"/>
            <w:tcBorders>
              <w:tl2br w:val="nil"/>
              <w:tr2bl w:val="nil"/>
            </w:tcBorders>
            <w:noWrap w:val="0"/>
            <w:vAlign w:val="center"/>
          </w:tcPr>
          <w:p w14:paraId="540C9D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-7.5</w:t>
            </w:r>
          </w:p>
        </w:tc>
        <w:tc>
          <w:tcPr>
            <w:tcW w:w="281" w:type="pct"/>
            <w:tcBorders>
              <w:tl2br w:val="nil"/>
              <w:tr2bl w:val="nil"/>
            </w:tcBorders>
            <w:noWrap w:val="0"/>
            <w:vAlign w:val="center"/>
          </w:tcPr>
          <w:p w14:paraId="28CFE5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-4.9</w:t>
            </w:r>
          </w:p>
        </w:tc>
        <w:tc>
          <w:tcPr>
            <w:tcW w:w="281" w:type="pct"/>
            <w:tcBorders>
              <w:tl2br w:val="nil"/>
              <w:tr2bl w:val="nil"/>
            </w:tcBorders>
            <w:noWrap w:val="0"/>
            <w:vAlign w:val="center"/>
          </w:tcPr>
          <w:p w14:paraId="45701B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3.9</w:t>
            </w:r>
          </w:p>
        </w:tc>
        <w:tc>
          <w:tcPr>
            <w:tcW w:w="326" w:type="pct"/>
            <w:tcBorders>
              <w:tl2br w:val="nil"/>
              <w:tr2bl w:val="nil"/>
            </w:tcBorders>
            <w:noWrap w:val="0"/>
            <w:vAlign w:val="center"/>
          </w:tcPr>
          <w:p w14:paraId="458863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12.8</w:t>
            </w:r>
          </w:p>
        </w:tc>
        <w:tc>
          <w:tcPr>
            <w:tcW w:w="326" w:type="pct"/>
            <w:tcBorders>
              <w:tl2br w:val="nil"/>
              <w:tr2bl w:val="nil"/>
            </w:tcBorders>
            <w:noWrap w:val="0"/>
            <w:vAlign w:val="center"/>
          </w:tcPr>
          <w:p w14:paraId="0ED147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17.8</w:t>
            </w:r>
          </w:p>
        </w:tc>
        <w:tc>
          <w:tcPr>
            <w:tcW w:w="281" w:type="pct"/>
            <w:tcBorders>
              <w:tl2br w:val="nil"/>
              <w:tr2bl w:val="nil"/>
            </w:tcBorders>
            <w:noWrap w:val="0"/>
            <w:vAlign w:val="center"/>
          </w:tcPr>
          <w:p w14:paraId="448184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21.8</w:t>
            </w:r>
          </w:p>
        </w:tc>
        <w:tc>
          <w:tcPr>
            <w:tcW w:w="326" w:type="pct"/>
            <w:tcBorders>
              <w:tl2br w:val="nil"/>
              <w:tr2bl w:val="nil"/>
            </w:tcBorders>
            <w:noWrap w:val="0"/>
            <w:vAlign w:val="center"/>
          </w:tcPr>
          <w:p w14:paraId="55F54C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23.8</w:t>
            </w:r>
          </w:p>
        </w:tc>
        <w:tc>
          <w:tcPr>
            <w:tcW w:w="326" w:type="pct"/>
            <w:tcBorders>
              <w:tl2br w:val="nil"/>
              <w:tr2bl w:val="nil"/>
            </w:tcBorders>
            <w:noWrap w:val="0"/>
            <w:vAlign w:val="center"/>
          </w:tcPr>
          <w:p w14:paraId="075F47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23</w:t>
            </w:r>
          </w:p>
        </w:tc>
        <w:tc>
          <w:tcPr>
            <w:tcW w:w="326" w:type="pct"/>
            <w:tcBorders>
              <w:tl2br w:val="nil"/>
              <w:tr2bl w:val="nil"/>
            </w:tcBorders>
            <w:noWrap w:val="0"/>
            <w:vAlign w:val="center"/>
          </w:tcPr>
          <w:p w14:paraId="720933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18.1</w:t>
            </w:r>
          </w:p>
        </w:tc>
        <w:tc>
          <w:tcPr>
            <w:tcW w:w="303" w:type="pct"/>
            <w:tcBorders>
              <w:tl2br w:val="nil"/>
              <w:tr2bl w:val="nil"/>
            </w:tcBorders>
            <w:noWrap w:val="0"/>
            <w:vAlign w:val="center"/>
          </w:tcPr>
          <w:p w14:paraId="36141C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10.5</w:t>
            </w:r>
          </w:p>
        </w:tc>
        <w:tc>
          <w:tcPr>
            <w:tcW w:w="303" w:type="pct"/>
            <w:tcBorders>
              <w:tl2br w:val="nil"/>
              <w:tr2bl w:val="nil"/>
            </w:tcBorders>
            <w:noWrap w:val="0"/>
            <w:vAlign w:val="center"/>
          </w:tcPr>
          <w:p w14:paraId="3059FB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2.5</w:t>
            </w:r>
          </w:p>
        </w:tc>
        <w:tc>
          <w:tcPr>
            <w:tcW w:w="303" w:type="pct"/>
            <w:tcBorders>
              <w:tl2br w:val="nil"/>
              <w:tr2bl w:val="nil"/>
            </w:tcBorders>
            <w:noWrap w:val="0"/>
            <w:vAlign w:val="center"/>
          </w:tcPr>
          <w:p w14:paraId="389C4E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-4.3</w:t>
            </w:r>
          </w:p>
        </w:tc>
        <w:tc>
          <w:tcPr>
            <w:tcW w:w="370" w:type="pct"/>
            <w:tcBorders>
              <w:tl2br w:val="nil"/>
              <w:tr2bl w:val="nil"/>
            </w:tcBorders>
            <w:noWrap w:val="0"/>
            <w:vAlign w:val="center"/>
          </w:tcPr>
          <w:p w14:paraId="78A19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9.8</w:t>
            </w:r>
          </w:p>
        </w:tc>
      </w:tr>
      <w:tr w14:paraId="030234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4E89D3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平均最高气温</w:t>
            </w:r>
          </w:p>
        </w:tc>
        <w:tc>
          <w:tcPr>
            <w:tcW w:w="280" w:type="pct"/>
            <w:tcBorders>
              <w:tl2br w:val="nil"/>
              <w:tr2bl w:val="nil"/>
            </w:tcBorders>
            <w:noWrap w:val="0"/>
            <w:vAlign w:val="center"/>
          </w:tcPr>
          <w:p w14:paraId="59DA27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t>
            </w:r>
          </w:p>
        </w:tc>
        <w:tc>
          <w:tcPr>
            <w:tcW w:w="326" w:type="pct"/>
            <w:tcBorders>
              <w:tl2br w:val="nil"/>
              <w:tr2bl w:val="nil"/>
            </w:tcBorders>
            <w:noWrap w:val="0"/>
            <w:vAlign w:val="center"/>
          </w:tcPr>
          <w:p w14:paraId="5FBE43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-1.6</w:t>
            </w:r>
          </w:p>
        </w:tc>
        <w:tc>
          <w:tcPr>
            <w:tcW w:w="281" w:type="pct"/>
            <w:tcBorders>
              <w:tl2br w:val="nil"/>
              <w:tr2bl w:val="nil"/>
            </w:tcBorders>
            <w:noWrap w:val="0"/>
            <w:vAlign w:val="center"/>
          </w:tcPr>
          <w:p w14:paraId="4F7D70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0.4</w:t>
            </w:r>
          </w:p>
        </w:tc>
        <w:tc>
          <w:tcPr>
            <w:tcW w:w="281" w:type="pct"/>
            <w:tcBorders>
              <w:tl2br w:val="nil"/>
              <w:tr2bl w:val="nil"/>
            </w:tcBorders>
            <w:noWrap w:val="0"/>
            <w:vAlign w:val="center"/>
          </w:tcPr>
          <w:p w14:paraId="404254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9.2</w:t>
            </w:r>
          </w:p>
        </w:tc>
        <w:tc>
          <w:tcPr>
            <w:tcW w:w="326" w:type="pct"/>
            <w:tcBorders>
              <w:tl2br w:val="nil"/>
              <w:tr2bl w:val="nil"/>
            </w:tcBorders>
            <w:noWrap w:val="0"/>
            <w:vAlign w:val="center"/>
          </w:tcPr>
          <w:p w14:paraId="2F3BE9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19.6</w:t>
            </w:r>
          </w:p>
        </w:tc>
        <w:tc>
          <w:tcPr>
            <w:tcW w:w="326" w:type="pct"/>
            <w:tcBorders>
              <w:tl2br w:val="nil"/>
              <w:tr2bl w:val="nil"/>
            </w:tcBorders>
            <w:noWrap w:val="0"/>
            <w:vAlign w:val="center"/>
          </w:tcPr>
          <w:p w14:paraId="3DF2CB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24.9</w:t>
            </w:r>
          </w:p>
        </w:tc>
        <w:tc>
          <w:tcPr>
            <w:tcW w:w="281" w:type="pct"/>
            <w:tcBorders>
              <w:tl2br w:val="nil"/>
              <w:tr2bl w:val="nil"/>
            </w:tcBorders>
            <w:noWrap w:val="0"/>
            <w:vAlign w:val="center"/>
          </w:tcPr>
          <w:p w14:paraId="4D01DA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29</w:t>
            </w:r>
          </w:p>
        </w:tc>
        <w:tc>
          <w:tcPr>
            <w:tcW w:w="326" w:type="pct"/>
            <w:tcBorders>
              <w:tl2br w:val="nil"/>
              <w:tr2bl w:val="nil"/>
            </w:tcBorders>
            <w:noWrap w:val="0"/>
            <w:vAlign w:val="center"/>
          </w:tcPr>
          <w:p w14:paraId="178D18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31.1</w:t>
            </w:r>
          </w:p>
        </w:tc>
        <w:tc>
          <w:tcPr>
            <w:tcW w:w="326" w:type="pct"/>
            <w:tcBorders>
              <w:tl2br w:val="nil"/>
              <w:tr2bl w:val="nil"/>
            </w:tcBorders>
            <w:noWrap w:val="0"/>
            <w:vAlign w:val="center"/>
          </w:tcPr>
          <w:p w14:paraId="25E202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30.7</w:t>
            </w:r>
          </w:p>
        </w:tc>
        <w:tc>
          <w:tcPr>
            <w:tcW w:w="326" w:type="pct"/>
            <w:tcBorders>
              <w:tl2br w:val="nil"/>
              <w:tr2bl w:val="nil"/>
            </w:tcBorders>
            <w:noWrap w:val="0"/>
            <w:vAlign w:val="center"/>
          </w:tcPr>
          <w:p w14:paraId="482F0B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25.7</w:t>
            </w:r>
          </w:p>
        </w:tc>
        <w:tc>
          <w:tcPr>
            <w:tcW w:w="303" w:type="pct"/>
            <w:tcBorders>
              <w:tl2br w:val="nil"/>
              <w:tr2bl w:val="nil"/>
            </w:tcBorders>
            <w:noWrap w:val="0"/>
            <w:vAlign w:val="center"/>
          </w:tcPr>
          <w:p w14:paraId="5DA935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17.4</w:t>
            </w:r>
          </w:p>
        </w:tc>
        <w:tc>
          <w:tcPr>
            <w:tcW w:w="303" w:type="pct"/>
            <w:tcBorders>
              <w:tl2br w:val="nil"/>
              <w:tr2bl w:val="nil"/>
            </w:tcBorders>
            <w:noWrap w:val="0"/>
            <w:vAlign w:val="center"/>
          </w:tcPr>
          <w:p w14:paraId="5180C8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8.2</w:t>
            </w:r>
          </w:p>
        </w:tc>
        <w:tc>
          <w:tcPr>
            <w:tcW w:w="303" w:type="pct"/>
            <w:tcBorders>
              <w:tl2br w:val="nil"/>
              <w:tr2bl w:val="nil"/>
            </w:tcBorders>
            <w:noWrap w:val="0"/>
            <w:vAlign w:val="center"/>
          </w:tcPr>
          <w:p w14:paraId="0A91B9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w:t>
            </w:r>
          </w:p>
        </w:tc>
        <w:tc>
          <w:tcPr>
            <w:tcW w:w="370" w:type="pct"/>
            <w:tcBorders>
              <w:tl2br w:val="nil"/>
              <w:tr2bl w:val="nil"/>
            </w:tcBorders>
            <w:noWrap w:val="0"/>
            <w:vAlign w:val="center"/>
          </w:tcPr>
          <w:p w14:paraId="359CBB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16.3</w:t>
            </w:r>
          </w:p>
        </w:tc>
      </w:tr>
      <w:tr w14:paraId="430BC9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2A307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平均最低气温</w:t>
            </w:r>
          </w:p>
        </w:tc>
        <w:tc>
          <w:tcPr>
            <w:tcW w:w="280" w:type="pct"/>
            <w:tcBorders>
              <w:tl2br w:val="nil"/>
              <w:tr2bl w:val="nil"/>
            </w:tcBorders>
            <w:noWrap w:val="0"/>
            <w:vAlign w:val="center"/>
          </w:tcPr>
          <w:p w14:paraId="2CDB0B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t>
            </w:r>
          </w:p>
        </w:tc>
        <w:tc>
          <w:tcPr>
            <w:tcW w:w="326" w:type="pct"/>
            <w:tcBorders>
              <w:tl2br w:val="nil"/>
              <w:tr2bl w:val="nil"/>
            </w:tcBorders>
            <w:noWrap w:val="0"/>
            <w:vAlign w:val="center"/>
          </w:tcPr>
          <w:p w14:paraId="3F2E39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w:t>
            </w:r>
          </w:p>
        </w:tc>
        <w:tc>
          <w:tcPr>
            <w:tcW w:w="281" w:type="pct"/>
            <w:tcBorders>
              <w:tl2br w:val="nil"/>
              <w:tr2bl w:val="nil"/>
            </w:tcBorders>
            <w:noWrap w:val="0"/>
            <w:vAlign w:val="center"/>
          </w:tcPr>
          <w:p w14:paraId="25A876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-10</w:t>
            </w:r>
          </w:p>
        </w:tc>
        <w:tc>
          <w:tcPr>
            <w:tcW w:w="281" w:type="pct"/>
            <w:tcBorders>
              <w:tl2br w:val="nil"/>
              <w:tr2bl w:val="nil"/>
            </w:tcBorders>
            <w:noWrap w:val="0"/>
            <w:vAlign w:val="center"/>
          </w:tcPr>
          <w:p w14:paraId="106996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-1.4</w:t>
            </w:r>
          </w:p>
        </w:tc>
        <w:tc>
          <w:tcPr>
            <w:tcW w:w="326" w:type="pct"/>
            <w:tcBorders>
              <w:tl2br w:val="nil"/>
              <w:tr2bl w:val="nil"/>
            </w:tcBorders>
            <w:noWrap w:val="0"/>
            <w:vAlign w:val="center"/>
          </w:tcPr>
          <w:p w14:paraId="29B134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6.1</w:t>
            </w:r>
          </w:p>
        </w:tc>
        <w:tc>
          <w:tcPr>
            <w:tcW w:w="326" w:type="pct"/>
            <w:tcBorders>
              <w:tl2br w:val="nil"/>
              <w:tr2bl w:val="nil"/>
            </w:tcBorders>
            <w:noWrap w:val="0"/>
            <w:vAlign w:val="center"/>
          </w:tcPr>
          <w:p w14:paraId="4188D9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11.2</w:t>
            </w:r>
          </w:p>
        </w:tc>
        <w:tc>
          <w:tcPr>
            <w:tcW w:w="281" w:type="pct"/>
            <w:tcBorders>
              <w:tl2br w:val="nil"/>
              <w:tr2bl w:val="nil"/>
            </w:tcBorders>
            <w:noWrap w:val="0"/>
            <w:vAlign w:val="center"/>
          </w:tcPr>
          <w:p w14:paraId="009C4A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15.1</w:t>
            </w:r>
          </w:p>
        </w:tc>
        <w:tc>
          <w:tcPr>
            <w:tcW w:w="326" w:type="pct"/>
            <w:tcBorders>
              <w:tl2br w:val="nil"/>
              <w:tr2bl w:val="nil"/>
            </w:tcBorders>
            <w:noWrap w:val="0"/>
            <w:vAlign w:val="center"/>
          </w:tcPr>
          <w:p w14:paraId="579546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16.9</w:t>
            </w:r>
          </w:p>
        </w:tc>
        <w:tc>
          <w:tcPr>
            <w:tcW w:w="326" w:type="pct"/>
            <w:tcBorders>
              <w:tl2br w:val="nil"/>
              <w:tr2bl w:val="nil"/>
            </w:tcBorders>
            <w:noWrap w:val="0"/>
            <w:vAlign w:val="center"/>
          </w:tcPr>
          <w:p w14:paraId="3972CE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15.6</w:t>
            </w:r>
          </w:p>
        </w:tc>
        <w:tc>
          <w:tcPr>
            <w:tcW w:w="326" w:type="pct"/>
            <w:tcBorders>
              <w:tl2br w:val="nil"/>
              <w:tr2bl w:val="nil"/>
            </w:tcBorders>
            <w:noWrap w:val="0"/>
            <w:vAlign w:val="center"/>
          </w:tcPr>
          <w:p w14:paraId="18DE6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10.8</w:t>
            </w:r>
          </w:p>
        </w:tc>
        <w:tc>
          <w:tcPr>
            <w:tcW w:w="303" w:type="pct"/>
            <w:tcBorders>
              <w:tl2br w:val="nil"/>
              <w:tr2bl w:val="nil"/>
            </w:tcBorders>
            <w:noWrap w:val="0"/>
            <w:vAlign w:val="center"/>
          </w:tcPr>
          <w:p w14:paraId="77439E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4.4</w:t>
            </w:r>
          </w:p>
        </w:tc>
        <w:tc>
          <w:tcPr>
            <w:tcW w:w="303" w:type="pct"/>
            <w:tcBorders>
              <w:tl2br w:val="nil"/>
              <w:tr2bl w:val="nil"/>
            </w:tcBorders>
            <w:noWrap w:val="0"/>
            <w:vAlign w:val="center"/>
          </w:tcPr>
          <w:p w14:paraId="2FCA9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w:t>
            </w:r>
          </w:p>
        </w:tc>
        <w:tc>
          <w:tcPr>
            <w:tcW w:w="303" w:type="pct"/>
            <w:tcBorders>
              <w:tl2br w:val="nil"/>
              <w:tr2bl w:val="nil"/>
            </w:tcBorders>
            <w:noWrap w:val="0"/>
            <w:vAlign w:val="center"/>
          </w:tcPr>
          <w:p w14:paraId="2C49D4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-8.5</w:t>
            </w:r>
          </w:p>
        </w:tc>
        <w:tc>
          <w:tcPr>
            <w:tcW w:w="370" w:type="pct"/>
            <w:tcBorders>
              <w:tl2br w:val="nil"/>
              <w:tr2bl w:val="nil"/>
            </w:tcBorders>
            <w:noWrap w:val="0"/>
            <w:vAlign w:val="center"/>
          </w:tcPr>
          <w:p w14:paraId="15A826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3.8</w:t>
            </w:r>
          </w:p>
        </w:tc>
      </w:tr>
      <w:tr w14:paraId="285E1D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6A68D8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极端最高气温</w:t>
            </w:r>
          </w:p>
        </w:tc>
        <w:tc>
          <w:tcPr>
            <w:tcW w:w="280" w:type="pct"/>
            <w:tcBorders>
              <w:tl2br w:val="nil"/>
              <w:tr2bl w:val="nil"/>
            </w:tcBorders>
            <w:noWrap w:val="0"/>
            <w:vAlign w:val="center"/>
          </w:tcPr>
          <w:p w14:paraId="6276B8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t>
            </w:r>
          </w:p>
        </w:tc>
        <w:tc>
          <w:tcPr>
            <w:tcW w:w="326" w:type="pct"/>
            <w:tcBorders>
              <w:tl2br w:val="nil"/>
              <w:tr2bl w:val="nil"/>
            </w:tcBorders>
            <w:noWrap w:val="0"/>
            <w:vAlign w:val="center"/>
          </w:tcPr>
          <w:p w14:paraId="36DAFC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11.9</w:t>
            </w:r>
          </w:p>
        </w:tc>
        <w:tc>
          <w:tcPr>
            <w:tcW w:w="281" w:type="pct"/>
            <w:tcBorders>
              <w:tl2br w:val="nil"/>
              <w:tr2bl w:val="nil"/>
            </w:tcBorders>
            <w:noWrap w:val="0"/>
            <w:vAlign w:val="center"/>
          </w:tcPr>
          <w:p w14:paraId="44D24A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18.3</w:t>
            </w:r>
          </w:p>
        </w:tc>
        <w:tc>
          <w:tcPr>
            <w:tcW w:w="281" w:type="pct"/>
            <w:tcBorders>
              <w:tl2br w:val="nil"/>
              <w:tr2bl w:val="nil"/>
            </w:tcBorders>
            <w:noWrap w:val="0"/>
            <w:vAlign w:val="center"/>
          </w:tcPr>
          <w:p w14:paraId="4747B4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26.4</w:t>
            </w:r>
          </w:p>
        </w:tc>
        <w:tc>
          <w:tcPr>
            <w:tcW w:w="326" w:type="pct"/>
            <w:tcBorders>
              <w:tl2br w:val="nil"/>
              <w:tr2bl w:val="nil"/>
            </w:tcBorders>
            <w:noWrap w:val="0"/>
            <w:vAlign w:val="center"/>
          </w:tcPr>
          <w:p w14:paraId="7D40D1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33.3</w:t>
            </w:r>
          </w:p>
        </w:tc>
        <w:tc>
          <w:tcPr>
            <w:tcW w:w="326" w:type="pct"/>
            <w:tcBorders>
              <w:tl2br w:val="nil"/>
              <w:tr2bl w:val="nil"/>
            </w:tcBorders>
            <w:noWrap w:val="0"/>
            <w:vAlign w:val="center"/>
          </w:tcPr>
          <w:p w14:paraId="50999E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35.2</w:t>
            </w:r>
          </w:p>
        </w:tc>
        <w:tc>
          <w:tcPr>
            <w:tcW w:w="281" w:type="pct"/>
            <w:tcBorders>
              <w:tl2br w:val="nil"/>
              <w:tr2bl w:val="nil"/>
            </w:tcBorders>
            <w:noWrap w:val="0"/>
            <w:vAlign w:val="center"/>
          </w:tcPr>
          <w:p w14:paraId="1637A9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37.4</w:t>
            </w:r>
          </w:p>
        </w:tc>
        <w:tc>
          <w:tcPr>
            <w:tcW w:w="326" w:type="pct"/>
            <w:tcBorders>
              <w:tl2br w:val="nil"/>
              <w:tr2bl w:val="nil"/>
            </w:tcBorders>
            <w:noWrap w:val="0"/>
            <w:vAlign w:val="center"/>
          </w:tcPr>
          <w:p w14:paraId="2FD45F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41.2</w:t>
            </w:r>
          </w:p>
        </w:tc>
        <w:tc>
          <w:tcPr>
            <w:tcW w:w="326" w:type="pct"/>
            <w:tcBorders>
              <w:tl2br w:val="nil"/>
              <w:tr2bl w:val="nil"/>
            </w:tcBorders>
            <w:noWrap w:val="0"/>
            <w:vAlign w:val="center"/>
          </w:tcPr>
          <w:p w14:paraId="5A022A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40.2</w:t>
            </w:r>
          </w:p>
        </w:tc>
        <w:tc>
          <w:tcPr>
            <w:tcW w:w="326" w:type="pct"/>
            <w:tcBorders>
              <w:tl2br w:val="nil"/>
              <w:tr2bl w:val="nil"/>
            </w:tcBorders>
            <w:noWrap w:val="0"/>
            <w:vAlign w:val="center"/>
          </w:tcPr>
          <w:p w14:paraId="22A7B0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35.7</w:t>
            </w:r>
          </w:p>
        </w:tc>
        <w:tc>
          <w:tcPr>
            <w:tcW w:w="303" w:type="pct"/>
            <w:tcBorders>
              <w:tl2br w:val="nil"/>
              <w:tr2bl w:val="nil"/>
            </w:tcBorders>
            <w:noWrap w:val="0"/>
            <w:vAlign w:val="center"/>
          </w:tcPr>
          <w:p w14:paraId="30EC98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30.7</w:t>
            </w:r>
          </w:p>
        </w:tc>
        <w:tc>
          <w:tcPr>
            <w:tcW w:w="303" w:type="pct"/>
            <w:tcBorders>
              <w:tl2br w:val="nil"/>
              <w:tr2bl w:val="nil"/>
            </w:tcBorders>
            <w:noWrap w:val="0"/>
            <w:vAlign w:val="center"/>
          </w:tcPr>
          <w:p w14:paraId="48CB4B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22.9</w:t>
            </w:r>
          </w:p>
        </w:tc>
        <w:tc>
          <w:tcPr>
            <w:tcW w:w="303" w:type="pct"/>
            <w:tcBorders>
              <w:tl2br w:val="nil"/>
              <w:tr2bl w:val="nil"/>
            </w:tcBorders>
            <w:noWrap w:val="0"/>
            <w:vAlign w:val="center"/>
          </w:tcPr>
          <w:p w14:paraId="138494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15.3</w:t>
            </w:r>
          </w:p>
        </w:tc>
        <w:tc>
          <w:tcPr>
            <w:tcW w:w="370" w:type="pct"/>
            <w:tcBorders>
              <w:tl2br w:val="nil"/>
              <w:tr2bl w:val="nil"/>
            </w:tcBorders>
            <w:noWrap w:val="0"/>
            <w:vAlign w:val="center"/>
          </w:tcPr>
          <w:p w14:paraId="6E3835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41.2</w:t>
            </w:r>
          </w:p>
        </w:tc>
      </w:tr>
      <w:tr w14:paraId="14A384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2C9A61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极端最低气温</w:t>
            </w:r>
          </w:p>
        </w:tc>
        <w:tc>
          <w:tcPr>
            <w:tcW w:w="280" w:type="pct"/>
            <w:tcBorders>
              <w:tl2br w:val="nil"/>
              <w:tr2bl w:val="nil"/>
            </w:tcBorders>
            <w:noWrap w:val="0"/>
            <w:vAlign w:val="center"/>
          </w:tcPr>
          <w:p w14:paraId="21414E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t>
            </w:r>
          </w:p>
        </w:tc>
        <w:tc>
          <w:tcPr>
            <w:tcW w:w="326" w:type="pct"/>
            <w:tcBorders>
              <w:tl2br w:val="nil"/>
              <w:tr2bl w:val="nil"/>
            </w:tcBorders>
            <w:noWrap w:val="0"/>
            <w:vAlign w:val="center"/>
          </w:tcPr>
          <w:p w14:paraId="09D2DA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-37.4</w:t>
            </w:r>
          </w:p>
        </w:tc>
        <w:tc>
          <w:tcPr>
            <w:tcW w:w="281" w:type="pct"/>
            <w:tcBorders>
              <w:tl2br w:val="nil"/>
              <w:tr2bl w:val="nil"/>
            </w:tcBorders>
            <w:noWrap w:val="0"/>
            <w:vAlign w:val="center"/>
          </w:tcPr>
          <w:p w14:paraId="07BCDF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-34</w:t>
            </w:r>
          </w:p>
        </w:tc>
        <w:tc>
          <w:tcPr>
            <w:tcW w:w="281" w:type="pct"/>
            <w:tcBorders>
              <w:tl2br w:val="nil"/>
              <w:tr2bl w:val="nil"/>
            </w:tcBorders>
            <w:noWrap w:val="0"/>
            <w:vAlign w:val="center"/>
          </w:tcPr>
          <w:p w14:paraId="15A2BD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w:t>
            </w:r>
          </w:p>
        </w:tc>
        <w:tc>
          <w:tcPr>
            <w:tcW w:w="326" w:type="pct"/>
            <w:tcBorders>
              <w:tl2br w:val="nil"/>
              <w:tr2bl w:val="nil"/>
            </w:tcBorders>
            <w:noWrap w:val="0"/>
            <w:vAlign w:val="center"/>
          </w:tcPr>
          <w:p w14:paraId="4D7A25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-9.5</w:t>
            </w:r>
          </w:p>
        </w:tc>
        <w:tc>
          <w:tcPr>
            <w:tcW w:w="326" w:type="pct"/>
            <w:tcBorders>
              <w:tl2br w:val="nil"/>
              <w:tr2bl w:val="nil"/>
            </w:tcBorders>
            <w:noWrap w:val="0"/>
            <w:vAlign w:val="center"/>
          </w:tcPr>
          <w:p w14:paraId="5167F4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w:t>
            </w:r>
          </w:p>
        </w:tc>
        <w:tc>
          <w:tcPr>
            <w:tcW w:w="281" w:type="pct"/>
            <w:tcBorders>
              <w:tl2br w:val="nil"/>
              <w:tr2bl w:val="nil"/>
            </w:tcBorders>
            <w:noWrap w:val="0"/>
            <w:vAlign w:val="center"/>
          </w:tcPr>
          <w:p w14:paraId="236954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3.5</w:t>
            </w:r>
          </w:p>
        </w:tc>
        <w:tc>
          <w:tcPr>
            <w:tcW w:w="326" w:type="pct"/>
            <w:tcBorders>
              <w:tl2br w:val="nil"/>
              <w:tr2bl w:val="nil"/>
            </w:tcBorders>
            <w:noWrap w:val="0"/>
            <w:vAlign w:val="center"/>
          </w:tcPr>
          <w:p w14:paraId="7733DF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8.6</w:t>
            </w:r>
          </w:p>
        </w:tc>
        <w:tc>
          <w:tcPr>
            <w:tcW w:w="326" w:type="pct"/>
            <w:tcBorders>
              <w:tl2br w:val="nil"/>
              <w:tr2bl w:val="nil"/>
            </w:tcBorders>
            <w:noWrap w:val="0"/>
            <w:vAlign w:val="center"/>
          </w:tcPr>
          <w:p w14:paraId="55774F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5.5</w:t>
            </w:r>
          </w:p>
        </w:tc>
        <w:tc>
          <w:tcPr>
            <w:tcW w:w="326" w:type="pct"/>
            <w:tcBorders>
              <w:tl2br w:val="nil"/>
              <w:tr2bl w:val="nil"/>
            </w:tcBorders>
            <w:noWrap w:val="0"/>
            <w:vAlign w:val="center"/>
          </w:tcPr>
          <w:p w14:paraId="78B3A7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w:t>
            </w:r>
          </w:p>
        </w:tc>
        <w:tc>
          <w:tcPr>
            <w:tcW w:w="303" w:type="pct"/>
            <w:tcBorders>
              <w:tl2br w:val="nil"/>
              <w:tr2bl w:val="nil"/>
            </w:tcBorders>
            <w:noWrap w:val="0"/>
            <w:vAlign w:val="center"/>
          </w:tcPr>
          <w:p w14:paraId="62420B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-12</w:t>
            </w:r>
          </w:p>
        </w:tc>
        <w:tc>
          <w:tcPr>
            <w:tcW w:w="303" w:type="pct"/>
            <w:tcBorders>
              <w:tl2br w:val="nil"/>
              <w:tr2bl w:val="nil"/>
            </w:tcBorders>
            <w:noWrap w:val="0"/>
            <w:vAlign w:val="center"/>
          </w:tcPr>
          <w:p w14:paraId="3669C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-25</w:t>
            </w:r>
          </w:p>
        </w:tc>
        <w:tc>
          <w:tcPr>
            <w:tcW w:w="303" w:type="pct"/>
            <w:tcBorders>
              <w:tl2br w:val="nil"/>
              <w:tr2bl w:val="nil"/>
            </w:tcBorders>
            <w:noWrap w:val="0"/>
            <w:vAlign w:val="center"/>
          </w:tcPr>
          <w:p w14:paraId="6E41E5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-32</w:t>
            </w:r>
          </w:p>
        </w:tc>
        <w:tc>
          <w:tcPr>
            <w:tcW w:w="370" w:type="pct"/>
            <w:tcBorders>
              <w:tl2br w:val="nil"/>
              <w:tr2bl w:val="nil"/>
            </w:tcBorders>
            <w:noWrap w:val="0"/>
            <w:vAlign w:val="center"/>
          </w:tcPr>
          <w:p w14:paraId="71463B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-37.4</w:t>
            </w:r>
          </w:p>
        </w:tc>
      </w:tr>
      <w:tr w14:paraId="11B66D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6DF5BC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降水量</w:t>
            </w:r>
          </w:p>
        </w:tc>
        <w:tc>
          <w:tcPr>
            <w:tcW w:w="280" w:type="pct"/>
            <w:tcBorders>
              <w:tl2br w:val="nil"/>
              <w:tr2bl w:val="nil"/>
            </w:tcBorders>
            <w:noWrap w:val="0"/>
            <w:vAlign w:val="center"/>
          </w:tcPr>
          <w:p w14:paraId="661765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mm</w:t>
            </w:r>
          </w:p>
        </w:tc>
        <w:tc>
          <w:tcPr>
            <w:tcW w:w="326" w:type="pct"/>
            <w:tcBorders>
              <w:tl2br w:val="nil"/>
              <w:tr2bl w:val="nil"/>
            </w:tcBorders>
            <w:noWrap w:val="0"/>
            <w:vAlign w:val="center"/>
          </w:tcPr>
          <w:p w14:paraId="5C54B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15.7</w:t>
            </w:r>
          </w:p>
        </w:tc>
        <w:tc>
          <w:tcPr>
            <w:tcW w:w="281" w:type="pct"/>
            <w:tcBorders>
              <w:tl2br w:val="nil"/>
              <w:tr2bl w:val="nil"/>
            </w:tcBorders>
            <w:noWrap w:val="0"/>
            <w:vAlign w:val="center"/>
          </w:tcPr>
          <w:p w14:paraId="589BCF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15.9</w:t>
            </w:r>
          </w:p>
        </w:tc>
        <w:tc>
          <w:tcPr>
            <w:tcW w:w="281" w:type="pct"/>
            <w:tcBorders>
              <w:tl2br w:val="nil"/>
              <w:tr2bl w:val="nil"/>
            </w:tcBorders>
            <w:noWrap w:val="0"/>
            <w:vAlign w:val="center"/>
          </w:tcPr>
          <w:p w14:paraId="7A13A2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17.1</w:t>
            </w:r>
          </w:p>
        </w:tc>
        <w:tc>
          <w:tcPr>
            <w:tcW w:w="326" w:type="pct"/>
            <w:tcBorders>
              <w:tl2br w:val="nil"/>
              <w:tr2bl w:val="nil"/>
            </w:tcBorders>
            <w:noWrap w:val="0"/>
            <w:vAlign w:val="center"/>
          </w:tcPr>
          <w:p w14:paraId="0740DC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25.2</w:t>
            </w:r>
          </w:p>
        </w:tc>
        <w:tc>
          <w:tcPr>
            <w:tcW w:w="326" w:type="pct"/>
            <w:tcBorders>
              <w:tl2br w:val="nil"/>
              <w:tr2bl w:val="nil"/>
            </w:tcBorders>
            <w:noWrap w:val="0"/>
            <w:vAlign w:val="center"/>
          </w:tcPr>
          <w:p w14:paraId="6611E3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24.3</w:t>
            </w:r>
          </w:p>
        </w:tc>
        <w:tc>
          <w:tcPr>
            <w:tcW w:w="281" w:type="pct"/>
            <w:tcBorders>
              <w:tl2br w:val="nil"/>
              <w:tr2bl w:val="nil"/>
            </w:tcBorders>
            <w:noWrap w:val="0"/>
            <w:vAlign w:val="center"/>
          </w:tcPr>
          <w:p w14:paraId="0F94A0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31</w:t>
            </w:r>
          </w:p>
        </w:tc>
        <w:tc>
          <w:tcPr>
            <w:tcW w:w="326" w:type="pct"/>
            <w:tcBorders>
              <w:tl2br w:val="nil"/>
              <w:tr2bl w:val="nil"/>
            </w:tcBorders>
            <w:noWrap w:val="0"/>
            <w:vAlign w:val="center"/>
          </w:tcPr>
          <w:p w14:paraId="2FB7FD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27.5</w:t>
            </w:r>
          </w:p>
        </w:tc>
        <w:tc>
          <w:tcPr>
            <w:tcW w:w="326" w:type="pct"/>
            <w:tcBorders>
              <w:tl2br w:val="nil"/>
              <w:tr2bl w:val="nil"/>
            </w:tcBorders>
            <w:noWrap w:val="0"/>
            <w:vAlign w:val="center"/>
          </w:tcPr>
          <w:p w14:paraId="3E4C33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13.9</w:t>
            </w:r>
          </w:p>
        </w:tc>
        <w:tc>
          <w:tcPr>
            <w:tcW w:w="326" w:type="pct"/>
            <w:tcBorders>
              <w:tl2br w:val="nil"/>
              <w:tr2bl w:val="nil"/>
            </w:tcBorders>
            <w:noWrap w:val="0"/>
            <w:vAlign w:val="center"/>
          </w:tcPr>
          <w:p w14:paraId="007C11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11.1</w:t>
            </w:r>
          </w:p>
        </w:tc>
        <w:tc>
          <w:tcPr>
            <w:tcW w:w="303" w:type="pct"/>
            <w:tcBorders>
              <w:tl2br w:val="nil"/>
              <w:tr2bl w:val="nil"/>
            </w:tcBorders>
            <w:noWrap w:val="0"/>
            <w:vAlign w:val="center"/>
          </w:tcPr>
          <w:p w14:paraId="530E50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20.9</w:t>
            </w:r>
          </w:p>
        </w:tc>
        <w:tc>
          <w:tcPr>
            <w:tcW w:w="303" w:type="pct"/>
            <w:tcBorders>
              <w:tl2br w:val="nil"/>
              <w:tr2bl w:val="nil"/>
            </w:tcBorders>
            <w:noWrap w:val="0"/>
            <w:vAlign w:val="center"/>
          </w:tcPr>
          <w:p w14:paraId="66B157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22.3</w:t>
            </w:r>
          </w:p>
        </w:tc>
        <w:tc>
          <w:tcPr>
            <w:tcW w:w="303" w:type="pct"/>
            <w:tcBorders>
              <w:tl2br w:val="nil"/>
              <w:tr2bl w:val="nil"/>
            </w:tcBorders>
            <w:noWrap w:val="0"/>
            <w:vAlign w:val="center"/>
          </w:tcPr>
          <w:p w14:paraId="0DA453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16.6</w:t>
            </w:r>
          </w:p>
        </w:tc>
        <w:tc>
          <w:tcPr>
            <w:tcW w:w="370" w:type="pct"/>
            <w:tcBorders>
              <w:tl2br w:val="nil"/>
              <w:tr2bl w:val="nil"/>
            </w:tcBorders>
            <w:noWrap w:val="0"/>
            <w:vAlign w:val="center"/>
          </w:tcPr>
          <w:p w14:paraId="7D8638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241.5</w:t>
            </w:r>
          </w:p>
        </w:tc>
      </w:tr>
      <w:tr w14:paraId="16A165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538BB8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日最大降水量</w:t>
            </w:r>
          </w:p>
        </w:tc>
        <w:tc>
          <w:tcPr>
            <w:tcW w:w="280" w:type="pct"/>
            <w:tcBorders>
              <w:tl2br w:val="nil"/>
              <w:tr2bl w:val="nil"/>
            </w:tcBorders>
            <w:noWrap w:val="0"/>
            <w:vAlign w:val="center"/>
          </w:tcPr>
          <w:p w14:paraId="47DA7D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mm</w:t>
            </w:r>
          </w:p>
        </w:tc>
        <w:tc>
          <w:tcPr>
            <w:tcW w:w="326" w:type="pct"/>
            <w:tcBorders>
              <w:tl2br w:val="nil"/>
              <w:tr2bl w:val="nil"/>
            </w:tcBorders>
            <w:noWrap w:val="0"/>
            <w:vAlign w:val="center"/>
          </w:tcPr>
          <w:p w14:paraId="059130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18.9</w:t>
            </w:r>
          </w:p>
        </w:tc>
        <w:tc>
          <w:tcPr>
            <w:tcW w:w="281" w:type="pct"/>
            <w:tcBorders>
              <w:tl2br w:val="nil"/>
              <w:tr2bl w:val="nil"/>
            </w:tcBorders>
            <w:noWrap w:val="0"/>
            <w:vAlign w:val="center"/>
          </w:tcPr>
          <w:p w14:paraId="6E2E7D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20.3</w:t>
            </w:r>
          </w:p>
        </w:tc>
        <w:tc>
          <w:tcPr>
            <w:tcW w:w="281" w:type="pct"/>
            <w:tcBorders>
              <w:tl2br w:val="nil"/>
              <w:tr2bl w:val="nil"/>
            </w:tcBorders>
            <w:noWrap w:val="0"/>
            <w:vAlign w:val="center"/>
          </w:tcPr>
          <w:p w14:paraId="725FDD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13.3</w:t>
            </w:r>
          </w:p>
        </w:tc>
        <w:tc>
          <w:tcPr>
            <w:tcW w:w="326" w:type="pct"/>
            <w:tcBorders>
              <w:tl2br w:val="nil"/>
              <w:tr2bl w:val="nil"/>
            </w:tcBorders>
            <w:noWrap w:val="0"/>
            <w:vAlign w:val="center"/>
          </w:tcPr>
          <w:p w14:paraId="7E434B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31.9</w:t>
            </w:r>
          </w:p>
        </w:tc>
        <w:tc>
          <w:tcPr>
            <w:tcW w:w="326" w:type="pct"/>
            <w:tcBorders>
              <w:tl2br w:val="nil"/>
              <w:tr2bl w:val="nil"/>
            </w:tcBorders>
            <w:noWrap w:val="0"/>
            <w:vAlign w:val="center"/>
          </w:tcPr>
          <w:p w14:paraId="271F25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30</w:t>
            </w:r>
          </w:p>
        </w:tc>
        <w:tc>
          <w:tcPr>
            <w:tcW w:w="281" w:type="pct"/>
            <w:tcBorders>
              <w:tl2br w:val="nil"/>
              <w:tr2bl w:val="nil"/>
            </w:tcBorders>
            <w:noWrap w:val="0"/>
            <w:vAlign w:val="center"/>
          </w:tcPr>
          <w:p w14:paraId="4DCFB7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30.8</w:t>
            </w:r>
          </w:p>
        </w:tc>
        <w:tc>
          <w:tcPr>
            <w:tcW w:w="326" w:type="pct"/>
            <w:tcBorders>
              <w:tl2br w:val="nil"/>
              <w:tr2bl w:val="nil"/>
            </w:tcBorders>
            <w:noWrap w:val="0"/>
            <w:vAlign w:val="center"/>
          </w:tcPr>
          <w:p w14:paraId="6762DC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82.9</w:t>
            </w:r>
          </w:p>
        </w:tc>
        <w:tc>
          <w:tcPr>
            <w:tcW w:w="326" w:type="pct"/>
            <w:tcBorders>
              <w:tl2br w:val="nil"/>
              <w:tr2bl w:val="nil"/>
            </w:tcBorders>
            <w:noWrap w:val="0"/>
            <w:vAlign w:val="center"/>
          </w:tcPr>
          <w:p w14:paraId="4D2FDC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19.6</w:t>
            </w:r>
          </w:p>
        </w:tc>
        <w:tc>
          <w:tcPr>
            <w:tcW w:w="326" w:type="pct"/>
            <w:tcBorders>
              <w:tl2br w:val="nil"/>
              <w:tr2bl w:val="nil"/>
            </w:tcBorders>
            <w:noWrap w:val="0"/>
            <w:vAlign w:val="center"/>
          </w:tcPr>
          <w:p w14:paraId="630570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21.1</w:t>
            </w:r>
          </w:p>
        </w:tc>
        <w:tc>
          <w:tcPr>
            <w:tcW w:w="303" w:type="pct"/>
            <w:tcBorders>
              <w:tl2br w:val="nil"/>
              <w:tr2bl w:val="nil"/>
            </w:tcBorders>
            <w:noWrap w:val="0"/>
            <w:vAlign w:val="center"/>
          </w:tcPr>
          <w:p w14:paraId="2D80C3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32.6</w:t>
            </w:r>
          </w:p>
        </w:tc>
        <w:tc>
          <w:tcPr>
            <w:tcW w:w="303" w:type="pct"/>
            <w:tcBorders>
              <w:tl2br w:val="nil"/>
              <w:tr2bl w:val="nil"/>
            </w:tcBorders>
            <w:noWrap w:val="0"/>
            <w:vAlign w:val="center"/>
          </w:tcPr>
          <w:p w14:paraId="31C02B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28.4</w:t>
            </w:r>
          </w:p>
        </w:tc>
        <w:tc>
          <w:tcPr>
            <w:tcW w:w="303" w:type="pct"/>
            <w:tcBorders>
              <w:tl2br w:val="nil"/>
              <w:tr2bl w:val="nil"/>
            </w:tcBorders>
            <w:noWrap w:val="0"/>
            <w:vAlign w:val="center"/>
          </w:tcPr>
          <w:p w14:paraId="111A63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14.4</w:t>
            </w:r>
          </w:p>
        </w:tc>
        <w:tc>
          <w:tcPr>
            <w:tcW w:w="370" w:type="pct"/>
            <w:tcBorders>
              <w:tl2br w:val="nil"/>
              <w:tr2bl w:val="nil"/>
            </w:tcBorders>
            <w:noWrap w:val="0"/>
            <w:vAlign w:val="center"/>
          </w:tcPr>
          <w:p w14:paraId="7D35CA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82.9</w:t>
            </w:r>
          </w:p>
        </w:tc>
      </w:tr>
      <w:tr w14:paraId="1A57B4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45ED41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蒸发量</w:t>
            </w:r>
          </w:p>
        </w:tc>
        <w:tc>
          <w:tcPr>
            <w:tcW w:w="280" w:type="pct"/>
            <w:tcBorders>
              <w:tl2br w:val="nil"/>
              <w:tr2bl w:val="nil"/>
            </w:tcBorders>
            <w:noWrap w:val="0"/>
            <w:vAlign w:val="center"/>
          </w:tcPr>
          <w:p w14:paraId="77EF9B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mm</w:t>
            </w:r>
          </w:p>
        </w:tc>
        <w:tc>
          <w:tcPr>
            <w:tcW w:w="326" w:type="pct"/>
            <w:tcBorders>
              <w:tl2br w:val="nil"/>
              <w:tr2bl w:val="nil"/>
            </w:tcBorders>
            <w:noWrap w:val="0"/>
            <w:vAlign w:val="center"/>
          </w:tcPr>
          <w:p w14:paraId="63CE27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18.4</w:t>
            </w:r>
          </w:p>
        </w:tc>
        <w:tc>
          <w:tcPr>
            <w:tcW w:w="281" w:type="pct"/>
            <w:tcBorders>
              <w:tl2br w:val="nil"/>
              <w:tr2bl w:val="nil"/>
            </w:tcBorders>
            <w:noWrap w:val="0"/>
            <w:vAlign w:val="center"/>
          </w:tcPr>
          <w:p w14:paraId="761646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25.8</w:t>
            </w:r>
          </w:p>
        </w:tc>
        <w:tc>
          <w:tcPr>
            <w:tcW w:w="281" w:type="pct"/>
            <w:tcBorders>
              <w:tl2br w:val="nil"/>
              <w:tr2bl w:val="nil"/>
            </w:tcBorders>
            <w:noWrap w:val="0"/>
            <w:vAlign w:val="center"/>
          </w:tcPr>
          <w:p w14:paraId="44A819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78.4</w:t>
            </w:r>
          </w:p>
        </w:tc>
        <w:tc>
          <w:tcPr>
            <w:tcW w:w="326" w:type="pct"/>
            <w:tcBorders>
              <w:tl2br w:val="nil"/>
              <w:tr2bl w:val="nil"/>
            </w:tcBorders>
            <w:noWrap w:val="0"/>
            <w:vAlign w:val="center"/>
          </w:tcPr>
          <w:p w14:paraId="43563D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187.6</w:t>
            </w:r>
          </w:p>
        </w:tc>
        <w:tc>
          <w:tcPr>
            <w:tcW w:w="326" w:type="pct"/>
            <w:tcBorders>
              <w:tl2br w:val="nil"/>
              <w:tr2bl w:val="nil"/>
            </w:tcBorders>
            <w:noWrap w:val="0"/>
            <w:vAlign w:val="center"/>
          </w:tcPr>
          <w:p w14:paraId="1899AB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258.2</w:t>
            </w:r>
          </w:p>
        </w:tc>
        <w:tc>
          <w:tcPr>
            <w:tcW w:w="281" w:type="pct"/>
            <w:tcBorders>
              <w:tl2br w:val="nil"/>
              <w:tr2bl w:val="nil"/>
            </w:tcBorders>
            <w:noWrap w:val="0"/>
            <w:vAlign w:val="center"/>
          </w:tcPr>
          <w:p w14:paraId="7ED828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292</w:t>
            </w:r>
          </w:p>
        </w:tc>
        <w:tc>
          <w:tcPr>
            <w:tcW w:w="326" w:type="pct"/>
            <w:tcBorders>
              <w:tl2br w:val="nil"/>
              <w:tr2bl w:val="nil"/>
            </w:tcBorders>
            <w:noWrap w:val="0"/>
            <w:vAlign w:val="center"/>
          </w:tcPr>
          <w:p w14:paraId="3CF848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320.8</w:t>
            </w:r>
          </w:p>
        </w:tc>
        <w:tc>
          <w:tcPr>
            <w:tcW w:w="326" w:type="pct"/>
            <w:tcBorders>
              <w:tl2br w:val="nil"/>
              <w:tr2bl w:val="nil"/>
            </w:tcBorders>
            <w:noWrap w:val="0"/>
            <w:vAlign w:val="center"/>
          </w:tcPr>
          <w:p w14:paraId="793A66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305.3</w:t>
            </w:r>
          </w:p>
        </w:tc>
        <w:tc>
          <w:tcPr>
            <w:tcW w:w="326" w:type="pct"/>
            <w:tcBorders>
              <w:tl2br w:val="nil"/>
              <w:tr2bl w:val="nil"/>
            </w:tcBorders>
            <w:noWrap w:val="0"/>
            <w:vAlign w:val="center"/>
          </w:tcPr>
          <w:p w14:paraId="36D70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216.1</w:t>
            </w:r>
          </w:p>
        </w:tc>
        <w:tc>
          <w:tcPr>
            <w:tcW w:w="303" w:type="pct"/>
            <w:tcBorders>
              <w:tl2br w:val="nil"/>
              <w:tr2bl w:val="nil"/>
            </w:tcBorders>
            <w:noWrap w:val="0"/>
            <w:vAlign w:val="center"/>
          </w:tcPr>
          <w:p w14:paraId="5F2A7F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120</w:t>
            </w:r>
          </w:p>
        </w:tc>
        <w:tc>
          <w:tcPr>
            <w:tcW w:w="303" w:type="pct"/>
            <w:tcBorders>
              <w:tl2br w:val="nil"/>
              <w:tr2bl w:val="nil"/>
            </w:tcBorders>
            <w:noWrap w:val="0"/>
            <w:vAlign w:val="center"/>
          </w:tcPr>
          <w:p w14:paraId="6943F8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44.2</w:t>
            </w:r>
          </w:p>
        </w:tc>
        <w:tc>
          <w:tcPr>
            <w:tcW w:w="303" w:type="pct"/>
            <w:tcBorders>
              <w:tl2br w:val="nil"/>
              <w:tr2bl w:val="nil"/>
            </w:tcBorders>
            <w:noWrap w:val="0"/>
            <w:vAlign w:val="center"/>
          </w:tcPr>
          <w:p w14:paraId="4A2FB3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19.8</w:t>
            </w:r>
          </w:p>
        </w:tc>
        <w:tc>
          <w:tcPr>
            <w:tcW w:w="370" w:type="pct"/>
            <w:tcBorders>
              <w:tl2br w:val="nil"/>
              <w:tr2bl w:val="nil"/>
            </w:tcBorders>
            <w:noWrap w:val="0"/>
            <w:vAlign w:val="center"/>
          </w:tcPr>
          <w:p w14:paraId="1BC830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1886.6</w:t>
            </w:r>
          </w:p>
        </w:tc>
      </w:tr>
      <w:tr w14:paraId="55E07E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5BB26F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平均风速</w:t>
            </w:r>
          </w:p>
        </w:tc>
        <w:tc>
          <w:tcPr>
            <w:tcW w:w="280" w:type="pct"/>
            <w:tcBorders>
              <w:tl2br w:val="nil"/>
              <w:tr2bl w:val="nil"/>
            </w:tcBorders>
            <w:noWrap w:val="0"/>
            <w:vAlign w:val="center"/>
          </w:tcPr>
          <w:p w14:paraId="483930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m/s</w:t>
            </w:r>
          </w:p>
        </w:tc>
        <w:tc>
          <w:tcPr>
            <w:tcW w:w="326" w:type="pct"/>
            <w:tcBorders>
              <w:tl2br w:val="nil"/>
              <w:tr2bl w:val="nil"/>
            </w:tcBorders>
            <w:noWrap w:val="0"/>
            <w:vAlign w:val="center"/>
          </w:tcPr>
          <w:p w14:paraId="1EAA25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1.4</w:t>
            </w:r>
          </w:p>
        </w:tc>
        <w:tc>
          <w:tcPr>
            <w:tcW w:w="281" w:type="pct"/>
            <w:tcBorders>
              <w:tl2br w:val="nil"/>
              <w:tr2bl w:val="nil"/>
            </w:tcBorders>
            <w:noWrap w:val="0"/>
            <w:vAlign w:val="center"/>
          </w:tcPr>
          <w:p w14:paraId="4E11C2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1.4</w:t>
            </w:r>
          </w:p>
        </w:tc>
        <w:tc>
          <w:tcPr>
            <w:tcW w:w="281" w:type="pct"/>
            <w:tcBorders>
              <w:tl2br w:val="nil"/>
              <w:tr2bl w:val="nil"/>
            </w:tcBorders>
            <w:noWrap w:val="0"/>
            <w:vAlign w:val="center"/>
          </w:tcPr>
          <w:p w14:paraId="3D8442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w:t>
            </w:r>
          </w:p>
        </w:tc>
        <w:tc>
          <w:tcPr>
            <w:tcW w:w="326" w:type="pct"/>
            <w:tcBorders>
              <w:tl2br w:val="nil"/>
              <w:tr2bl w:val="nil"/>
            </w:tcBorders>
            <w:noWrap w:val="0"/>
            <w:vAlign w:val="center"/>
          </w:tcPr>
          <w:p w14:paraId="513AE3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3.1</w:t>
            </w:r>
          </w:p>
        </w:tc>
        <w:tc>
          <w:tcPr>
            <w:tcW w:w="326" w:type="pct"/>
            <w:tcBorders>
              <w:tl2br w:val="nil"/>
              <w:tr2bl w:val="nil"/>
            </w:tcBorders>
            <w:noWrap w:val="0"/>
            <w:vAlign w:val="center"/>
          </w:tcPr>
          <w:p w14:paraId="4C614C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w:t>
            </w:r>
          </w:p>
        </w:tc>
        <w:tc>
          <w:tcPr>
            <w:tcW w:w="281" w:type="pct"/>
            <w:tcBorders>
              <w:tl2br w:val="nil"/>
              <w:tr2bl w:val="nil"/>
            </w:tcBorders>
            <w:noWrap w:val="0"/>
            <w:vAlign w:val="center"/>
          </w:tcPr>
          <w:p w14:paraId="25EA81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2.8</w:t>
            </w:r>
          </w:p>
        </w:tc>
        <w:tc>
          <w:tcPr>
            <w:tcW w:w="326" w:type="pct"/>
            <w:tcBorders>
              <w:tl2br w:val="nil"/>
              <w:tr2bl w:val="nil"/>
            </w:tcBorders>
            <w:noWrap w:val="0"/>
            <w:vAlign w:val="center"/>
          </w:tcPr>
          <w:p w14:paraId="36EE43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2.6</w:t>
            </w:r>
          </w:p>
        </w:tc>
        <w:tc>
          <w:tcPr>
            <w:tcW w:w="326" w:type="pct"/>
            <w:tcBorders>
              <w:tl2br w:val="nil"/>
              <w:tr2bl w:val="nil"/>
            </w:tcBorders>
            <w:noWrap w:val="0"/>
            <w:vAlign w:val="center"/>
          </w:tcPr>
          <w:p w14:paraId="7A5DF0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2.6</w:t>
            </w:r>
          </w:p>
        </w:tc>
        <w:tc>
          <w:tcPr>
            <w:tcW w:w="326" w:type="pct"/>
            <w:tcBorders>
              <w:tl2br w:val="nil"/>
              <w:tr2bl w:val="nil"/>
            </w:tcBorders>
            <w:noWrap w:val="0"/>
            <w:vAlign w:val="center"/>
          </w:tcPr>
          <w:p w14:paraId="1B09C2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2.4</w:t>
            </w:r>
          </w:p>
        </w:tc>
        <w:tc>
          <w:tcPr>
            <w:tcW w:w="303" w:type="pct"/>
            <w:tcBorders>
              <w:tl2br w:val="nil"/>
              <w:tr2bl w:val="nil"/>
            </w:tcBorders>
            <w:noWrap w:val="0"/>
            <w:vAlign w:val="center"/>
          </w:tcPr>
          <w:p w14:paraId="1EE0F3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w:t>
            </w:r>
          </w:p>
        </w:tc>
        <w:tc>
          <w:tcPr>
            <w:tcW w:w="303" w:type="pct"/>
            <w:tcBorders>
              <w:tl2br w:val="nil"/>
              <w:tr2bl w:val="nil"/>
            </w:tcBorders>
            <w:noWrap w:val="0"/>
            <w:vAlign w:val="center"/>
          </w:tcPr>
          <w:p w14:paraId="717282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w:t>
            </w:r>
          </w:p>
        </w:tc>
        <w:tc>
          <w:tcPr>
            <w:tcW w:w="303" w:type="pct"/>
            <w:tcBorders>
              <w:tl2br w:val="nil"/>
              <w:tr2bl w:val="nil"/>
            </w:tcBorders>
            <w:noWrap w:val="0"/>
            <w:vAlign w:val="center"/>
          </w:tcPr>
          <w:p w14:paraId="76DE19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w:t>
            </w:r>
          </w:p>
        </w:tc>
        <w:tc>
          <w:tcPr>
            <w:tcW w:w="370" w:type="pct"/>
            <w:tcBorders>
              <w:tl2br w:val="nil"/>
              <w:tr2bl w:val="nil"/>
            </w:tcBorders>
            <w:noWrap w:val="0"/>
            <w:vAlign w:val="center"/>
          </w:tcPr>
          <w:p w14:paraId="0142C8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w:t>
            </w:r>
          </w:p>
        </w:tc>
      </w:tr>
      <w:tr w14:paraId="61ECC0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2E0D9B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最大风速</w:t>
            </w:r>
          </w:p>
        </w:tc>
        <w:tc>
          <w:tcPr>
            <w:tcW w:w="280" w:type="pct"/>
            <w:tcBorders>
              <w:tl2br w:val="nil"/>
              <w:tr2bl w:val="nil"/>
            </w:tcBorders>
            <w:noWrap w:val="0"/>
            <w:vAlign w:val="center"/>
          </w:tcPr>
          <w:p w14:paraId="2B30FF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m/s</w:t>
            </w:r>
          </w:p>
        </w:tc>
        <w:tc>
          <w:tcPr>
            <w:tcW w:w="326" w:type="pct"/>
            <w:tcBorders>
              <w:tl2br w:val="nil"/>
              <w:tr2bl w:val="nil"/>
            </w:tcBorders>
            <w:noWrap w:val="0"/>
            <w:vAlign w:val="center"/>
          </w:tcPr>
          <w:p w14:paraId="66326D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14</w:t>
            </w:r>
          </w:p>
        </w:tc>
        <w:tc>
          <w:tcPr>
            <w:tcW w:w="281" w:type="pct"/>
            <w:tcBorders>
              <w:tl2br w:val="nil"/>
              <w:tr2bl w:val="nil"/>
            </w:tcBorders>
            <w:noWrap w:val="0"/>
            <w:vAlign w:val="center"/>
          </w:tcPr>
          <w:p w14:paraId="4E0036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w:t>
            </w:r>
          </w:p>
        </w:tc>
        <w:tc>
          <w:tcPr>
            <w:tcW w:w="281" w:type="pct"/>
            <w:tcBorders>
              <w:tl2br w:val="nil"/>
              <w:tr2bl w:val="nil"/>
            </w:tcBorders>
            <w:noWrap w:val="0"/>
            <w:vAlign w:val="center"/>
          </w:tcPr>
          <w:p w14:paraId="7F0F9B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w:t>
            </w:r>
          </w:p>
        </w:tc>
        <w:tc>
          <w:tcPr>
            <w:tcW w:w="326" w:type="pct"/>
            <w:tcBorders>
              <w:tl2br w:val="nil"/>
              <w:tr2bl w:val="nil"/>
            </w:tcBorders>
            <w:noWrap w:val="0"/>
            <w:vAlign w:val="center"/>
          </w:tcPr>
          <w:p w14:paraId="58991C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24</w:t>
            </w:r>
          </w:p>
        </w:tc>
        <w:tc>
          <w:tcPr>
            <w:tcW w:w="326" w:type="pct"/>
            <w:tcBorders>
              <w:tl2br w:val="nil"/>
              <w:tr2bl w:val="nil"/>
            </w:tcBorders>
            <w:noWrap w:val="0"/>
            <w:vAlign w:val="center"/>
          </w:tcPr>
          <w:p w14:paraId="7A12A4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w:t>
            </w:r>
          </w:p>
        </w:tc>
        <w:tc>
          <w:tcPr>
            <w:tcW w:w="281" w:type="pct"/>
            <w:tcBorders>
              <w:tl2br w:val="nil"/>
              <w:tr2bl w:val="nil"/>
            </w:tcBorders>
            <w:noWrap w:val="0"/>
            <w:vAlign w:val="center"/>
          </w:tcPr>
          <w:p w14:paraId="6921A3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20</w:t>
            </w:r>
          </w:p>
        </w:tc>
        <w:tc>
          <w:tcPr>
            <w:tcW w:w="326" w:type="pct"/>
            <w:tcBorders>
              <w:tl2br w:val="nil"/>
              <w:tr2bl w:val="nil"/>
            </w:tcBorders>
            <w:noWrap w:val="0"/>
            <w:vAlign w:val="center"/>
          </w:tcPr>
          <w:p w14:paraId="609B4E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20</w:t>
            </w:r>
          </w:p>
        </w:tc>
        <w:tc>
          <w:tcPr>
            <w:tcW w:w="326" w:type="pct"/>
            <w:tcBorders>
              <w:tl2br w:val="nil"/>
              <w:tr2bl w:val="nil"/>
            </w:tcBorders>
            <w:noWrap w:val="0"/>
            <w:vAlign w:val="center"/>
          </w:tcPr>
          <w:p w14:paraId="2FA3E0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20</w:t>
            </w:r>
          </w:p>
        </w:tc>
        <w:tc>
          <w:tcPr>
            <w:tcW w:w="326" w:type="pct"/>
            <w:tcBorders>
              <w:tl2br w:val="nil"/>
              <w:tr2bl w:val="nil"/>
            </w:tcBorders>
            <w:noWrap w:val="0"/>
            <w:vAlign w:val="center"/>
          </w:tcPr>
          <w:p w14:paraId="7FAF8F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16</w:t>
            </w:r>
          </w:p>
        </w:tc>
        <w:tc>
          <w:tcPr>
            <w:tcW w:w="303" w:type="pct"/>
            <w:tcBorders>
              <w:tl2br w:val="nil"/>
              <w:tr2bl w:val="nil"/>
            </w:tcBorders>
            <w:noWrap w:val="0"/>
            <w:vAlign w:val="center"/>
          </w:tcPr>
          <w:p w14:paraId="4DBB6E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24</w:t>
            </w:r>
          </w:p>
        </w:tc>
        <w:tc>
          <w:tcPr>
            <w:tcW w:w="303" w:type="pct"/>
            <w:tcBorders>
              <w:tl2br w:val="nil"/>
              <w:tr2bl w:val="nil"/>
            </w:tcBorders>
            <w:noWrap w:val="0"/>
            <w:vAlign w:val="center"/>
          </w:tcPr>
          <w:p w14:paraId="6D54EC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16</w:t>
            </w:r>
          </w:p>
        </w:tc>
        <w:tc>
          <w:tcPr>
            <w:tcW w:w="303" w:type="pct"/>
            <w:tcBorders>
              <w:tl2br w:val="nil"/>
              <w:tr2bl w:val="nil"/>
            </w:tcBorders>
            <w:noWrap w:val="0"/>
            <w:vAlign w:val="center"/>
          </w:tcPr>
          <w:p w14:paraId="1B3D3B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18</w:t>
            </w:r>
          </w:p>
        </w:tc>
        <w:tc>
          <w:tcPr>
            <w:tcW w:w="370" w:type="pct"/>
            <w:tcBorders>
              <w:tl2br w:val="nil"/>
              <w:tr2bl w:val="nil"/>
            </w:tcBorders>
            <w:noWrap w:val="0"/>
            <w:vAlign w:val="center"/>
          </w:tcPr>
          <w:p w14:paraId="3E11A1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24</w:t>
            </w:r>
          </w:p>
        </w:tc>
      </w:tr>
      <w:tr w14:paraId="6B363B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1D2691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最大风风向</w:t>
            </w:r>
          </w:p>
        </w:tc>
        <w:tc>
          <w:tcPr>
            <w:tcW w:w="280" w:type="pct"/>
            <w:tcBorders>
              <w:tl2br w:val="nil"/>
              <w:tr2bl w:val="nil"/>
            </w:tcBorders>
            <w:noWrap w:val="0"/>
            <w:vAlign w:val="center"/>
          </w:tcPr>
          <w:p w14:paraId="19CE30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p>
        </w:tc>
        <w:tc>
          <w:tcPr>
            <w:tcW w:w="326" w:type="pct"/>
            <w:tcBorders>
              <w:tl2br w:val="nil"/>
              <w:tr2bl w:val="nil"/>
            </w:tcBorders>
            <w:noWrap w:val="0"/>
            <w:vAlign w:val="center"/>
          </w:tcPr>
          <w:p w14:paraId="5170C0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WSW</w:t>
            </w:r>
          </w:p>
        </w:tc>
        <w:tc>
          <w:tcPr>
            <w:tcW w:w="281" w:type="pct"/>
            <w:tcBorders>
              <w:tl2br w:val="nil"/>
              <w:tr2bl w:val="nil"/>
            </w:tcBorders>
            <w:noWrap w:val="0"/>
            <w:vAlign w:val="center"/>
          </w:tcPr>
          <w:p w14:paraId="37CA92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WSW</w:t>
            </w:r>
          </w:p>
        </w:tc>
        <w:tc>
          <w:tcPr>
            <w:tcW w:w="281" w:type="pct"/>
            <w:tcBorders>
              <w:tl2br w:val="nil"/>
              <w:tr2bl w:val="nil"/>
            </w:tcBorders>
            <w:noWrap w:val="0"/>
            <w:vAlign w:val="center"/>
          </w:tcPr>
          <w:p w14:paraId="5B70C9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WSW</w:t>
            </w:r>
          </w:p>
        </w:tc>
        <w:tc>
          <w:tcPr>
            <w:tcW w:w="326" w:type="pct"/>
            <w:tcBorders>
              <w:tl2br w:val="nil"/>
              <w:tr2bl w:val="nil"/>
            </w:tcBorders>
            <w:noWrap w:val="0"/>
            <w:vAlign w:val="center"/>
          </w:tcPr>
          <w:p w14:paraId="4D77D7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WSW</w:t>
            </w:r>
          </w:p>
        </w:tc>
        <w:tc>
          <w:tcPr>
            <w:tcW w:w="326" w:type="pct"/>
            <w:tcBorders>
              <w:tl2br w:val="nil"/>
              <w:tr2bl w:val="nil"/>
            </w:tcBorders>
            <w:noWrap w:val="0"/>
            <w:vAlign w:val="center"/>
          </w:tcPr>
          <w:p w14:paraId="0A6969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eastAsiaTheme="minorEastAsia"/>
                <w:color w:val="000000" w:themeColor="text1"/>
                <w:sz w:val="21"/>
                <w:szCs w:val="21"/>
                <w:lang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S</w:t>
            </w:r>
          </w:p>
        </w:tc>
        <w:tc>
          <w:tcPr>
            <w:tcW w:w="281" w:type="pct"/>
            <w:tcBorders>
              <w:tl2br w:val="nil"/>
              <w:tr2bl w:val="nil"/>
            </w:tcBorders>
            <w:noWrap w:val="0"/>
            <w:vAlign w:val="center"/>
          </w:tcPr>
          <w:p w14:paraId="2DE898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SW</w:t>
            </w:r>
          </w:p>
        </w:tc>
        <w:tc>
          <w:tcPr>
            <w:tcW w:w="326" w:type="pct"/>
            <w:tcBorders>
              <w:tl2br w:val="nil"/>
              <w:tr2bl w:val="nil"/>
            </w:tcBorders>
            <w:noWrap w:val="0"/>
            <w:vAlign w:val="center"/>
          </w:tcPr>
          <w:p w14:paraId="531EE9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NW</w:t>
            </w:r>
          </w:p>
        </w:tc>
        <w:tc>
          <w:tcPr>
            <w:tcW w:w="326" w:type="pct"/>
            <w:tcBorders>
              <w:tl2br w:val="nil"/>
              <w:tr2bl w:val="nil"/>
            </w:tcBorders>
            <w:noWrap w:val="0"/>
            <w:vAlign w:val="center"/>
          </w:tcPr>
          <w:p w14:paraId="3F7DA9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WSW</w:t>
            </w:r>
          </w:p>
        </w:tc>
        <w:tc>
          <w:tcPr>
            <w:tcW w:w="326" w:type="pct"/>
            <w:tcBorders>
              <w:tl2br w:val="nil"/>
              <w:tr2bl w:val="nil"/>
            </w:tcBorders>
            <w:noWrap w:val="0"/>
            <w:vAlign w:val="center"/>
          </w:tcPr>
          <w:p w14:paraId="00D434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WSW</w:t>
            </w:r>
          </w:p>
        </w:tc>
        <w:tc>
          <w:tcPr>
            <w:tcW w:w="303" w:type="pct"/>
            <w:tcBorders>
              <w:tl2br w:val="nil"/>
              <w:tr2bl w:val="nil"/>
            </w:tcBorders>
            <w:noWrap w:val="0"/>
            <w:vAlign w:val="center"/>
          </w:tcPr>
          <w:p w14:paraId="3D9DF3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WSW</w:t>
            </w:r>
          </w:p>
        </w:tc>
        <w:tc>
          <w:tcPr>
            <w:tcW w:w="303" w:type="pct"/>
            <w:tcBorders>
              <w:tl2br w:val="nil"/>
              <w:tr2bl w:val="nil"/>
            </w:tcBorders>
            <w:noWrap w:val="0"/>
            <w:vAlign w:val="center"/>
          </w:tcPr>
          <w:p w14:paraId="1FFF93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W</w:t>
            </w:r>
          </w:p>
        </w:tc>
        <w:tc>
          <w:tcPr>
            <w:tcW w:w="303" w:type="pct"/>
            <w:tcBorders>
              <w:tl2br w:val="nil"/>
              <w:tr2bl w:val="nil"/>
            </w:tcBorders>
            <w:noWrap w:val="0"/>
            <w:vAlign w:val="center"/>
          </w:tcPr>
          <w:p w14:paraId="32E7A0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WSW</w:t>
            </w:r>
          </w:p>
        </w:tc>
        <w:tc>
          <w:tcPr>
            <w:tcW w:w="370" w:type="pct"/>
            <w:tcBorders>
              <w:tl2br w:val="nil"/>
              <w:tr2bl w:val="nil"/>
            </w:tcBorders>
            <w:noWrap w:val="0"/>
            <w:vAlign w:val="center"/>
          </w:tcPr>
          <w:p w14:paraId="0A0823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xml:space="preserve"> WSW</w:t>
            </w:r>
          </w:p>
        </w:tc>
      </w:tr>
      <w:tr w14:paraId="341D34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20D68F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日照时数</w:t>
            </w:r>
          </w:p>
        </w:tc>
        <w:tc>
          <w:tcPr>
            <w:tcW w:w="280" w:type="pct"/>
            <w:tcBorders>
              <w:tl2br w:val="nil"/>
              <w:tr2bl w:val="nil"/>
            </w:tcBorders>
            <w:noWrap w:val="0"/>
            <w:vAlign w:val="center"/>
          </w:tcPr>
          <w:p w14:paraId="13802D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h</w:t>
            </w:r>
          </w:p>
        </w:tc>
        <w:tc>
          <w:tcPr>
            <w:tcW w:w="326" w:type="pct"/>
            <w:tcBorders>
              <w:tl2br w:val="nil"/>
              <w:tr2bl w:val="nil"/>
            </w:tcBorders>
            <w:noWrap w:val="0"/>
            <w:vAlign w:val="center"/>
          </w:tcPr>
          <w:p w14:paraId="26B2F0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168</w:t>
            </w:r>
          </w:p>
        </w:tc>
        <w:tc>
          <w:tcPr>
            <w:tcW w:w="281" w:type="pct"/>
            <w:tcBorders>
              <w:tl2br w:val="nil"/>
              <w:tr2bl w:val="nil"/>
            </w:tcBorders>
            <w:noWrap w:val="0"/>
            <w:vAlign w:val="center"/>
          </w:tcPr>
          <w:p w14:paraId="7C4895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178</w:t>
            </w:r>
          </w:p>
        </w:tc>
        <w:tc>
          <w:tcPr>
            <w:tcW w:w="281" w:type="pct"/>
            <w:tcBorders>
              <w:tl2br w:val="nil"/>
              <w:tr2bl w:val="nil"/>
            </w:tcBorders>
            <w:noWrap w:val="0"/>
            <w:vAlign w:val="center"/>
          </w:tcPr>
          <w:p w14:paraId="6201BB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226</w:t>
            </w:r>
          </w:p>
        </w:tc>
        <w:tc>
          <w:tcPr>
            <w:tcW w:w="326" w:type="pct"/>
            <w:tcBorders>
              <w:tl2br w:val="nil"/>
              <w:tr2bl w:val="nil"/>
            </w:tcBorders>
            <w:noWrap w:val="0"/>
            <w:vAlign w:val="center"/>
          </w:tcPr>
          <w:p w14:paraId="5ED47C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265</w:t>
            </w:r>
          </w:p>
        </w:tc>
        <w:tc>
          <w:tcPr>
            <w:tcW w:w="326" w:type="pct"/>
            <w:tcBorders>
              <w:tl2br w:val="nil"/>
              <w:tr2bl w:val="nil"/>
            </w:tcBorders>
            <w:noWrap w:val="0"/>
            <w:vAlign w:val="center"/>
          </w:tcPr>
          <w:p w14:paraId="75BF27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309</w:t>
            </w:r>
          </w:p>
        </w:tc>
        <w:tc>
          <w:tcPr>
            <w:tcW w:w="281" w:type="pct"/>
            <w:tcBorders>
              <w:tl2br w:val="nil"/>
              <w:tr2bl w:val="nil"/>
            </w:tcBorders>
            <w:noWrap w:val="0"/>
            <w:vAlign w:val="center"/>
          </w:tcPr>
          <w:p w14:paraId="4E9C92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323</w:t>
            </w:r>
          </w:p>
        </w:tc>
        <w:tc>
          <w:tcPr>
            <w:tcW w:w="326" w:type="pct"/>
            <w:tcBorders>
              <w:tl2br w:val="nil"/>
              <w:tr2bl w:val="nil"/>
            </w:tcBorders>
            <w:noWrap w:val="0"/>
            <w:vAlign w:val="center"/>
          </w:tcPr>
          <w:p w14:paraId="4622DF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341</w:t>
            </w:r>
          </w:p>
        </w:tc>
        <w:tc>
          <w:tcPr>
            <w:tcW w:w="326" w:type="pct"/>
            <w:tcBorders>
              <w:tl2br w:val="nil"/>
              <w:tr2bl w:val="nil"/>
            </w:tcBorders>
            <w:noWrap w:val="0"/>
            <w:vAlign w:val="center"/>
          </w:tcPr>
          <w:p w14:paraId="1D49D8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334</w:t>
            </w:r>
          </w:p>
        </w:tc>
        <w:tc>
          <w:tcPr>
            <w:tcW w:w="326" w:type="pct"/>
            <w:tcBorders>
              <w:tl2br w:val="nil"/>
              <w:tr2bl w:val="nil"/>
            </w:tcBorders>
            <w:noWrap w:val="0"/>
            <w:vAlign w:val="center"/>
          </w:tcPr>
          <w:p w14:paraId="511AEE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289</w:t>
            </w:r>
          </w:p>
        </w:tc>
        <w:tc>
          <w:tcPr>
            <w:tcW w:w="303" w:type="pct"/>
            <w:tcBorders>
              <w:tl2br w:val="nil"/>
              <w:tr2bl w:val="nil"/>
            </w:tcBorders>
            <w:noWrap w:val="0"/>
            <w:vAlign w:val="center"/>
          </w:tcPr>
          <w:p w14:paraId="15DF3B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237</w:t>
            </w:r>
          </w:p>
        </w:tc>
        <w:tc>
          <w:tcPr>
            <w:tcW w:w="303" w:type="pct"/>
            <w:tcBorders>
              <w:tl2br w:val="nil"/>
              <w:tr2bl w:val="nil"/>
            </w:tcBorders>
            <w:noWrap w:val="0"/>
            <w:vAlign w:val="center"/>
          </w:tcPr>
          <w:p w14:paraId="33E399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175</w:t>
            </w:r>
          </w:p>
        </w:tc>
        <w:tc>
          <w:tcPr>
            <w:tcW w:w="303" w:type="pct"/>
            <w:tcBorders>
              <w:tl2br w:val="nil"/>
              <w:tr2bl w:val="nil"/>
            </w:tcBorders>
            <w:noWrap w:val="0"/>
            <w:vAlign w:val="center"/>
          </w:tcPr>
          <w:p w14:paraId="6093FC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151</w:t>
            </w:r>
          </w:p>
        </w:tc>
        <w:tc>
          <w:tcPr>
            <w:tcW w:w="370" w:type="pct"/>
            <w:tcBorders>
              <w:tl2br w:val="nil"/>
              <w:tr2bl w:val="nil"/>
            </w:tcBorders>
            <w:noWrap w:val="0"/>
            <w:vAlign w:val="center"/>
          </w:tcPr>
          <w:p w14:paraId="654A6B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2997</w:t>
            </w:r>
          </w:p>
        </w:tc>
      </w:tr>
      <w:tr w14:paraId="615F07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14829A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大风日数</w:t>
            </w:r>
          </w:p>
        </w:tc>
        <w:tc>
          <w:tcPr>
            <w:tcW w:w="280" w:type="pct"/>
            <w:tcBorders>
              <w:tl2br w:val="nil"/>
              <w:tr2bl w:val="nil"/>
            </w:tcBorders>
            <w:noWrap w:val="0"/>
            <w:vAlign w:val="center"/>
          </w:tcPr>
          <w:p w14:paraId="7E5E7F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d</w:t>
            </w:r>
          </w:p>
        </w:tc>
        <w:tc>
          <w:tcPr>
            <w:tcW w:w="326" w:type="pct"/>
            <w:tcBorders>
              <w:tl2br w:val="nil"/>
              <w:tr2bl w:val="nil"/>
            </w:tcBorders>
            <w:noWrap w:val="0"/>
            <w:vAlign w:val="center"/>
          </w:tcPr>
          <w:p w14:paraId="5B8B61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0.2</w:t>
            </w:r>
          </w:p>
        </w:tc>
        <w:tc>
          <w:tcPr>
            <w:tcW w:w="281" w:type="pct"/>
            <w:tcBorders>
              <w:tl2br w:val="nil"/>
              <w:tr2bl w:val="nil"/>
            </w:tcBorders>
            <w:noWrap w:val="0"/>
            <w:vAlign w:val="center"/>
          </w:tcPr>
          <w:p w14:paraId="44458C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0.3</w:t>
            </w:r>
          </w:p>
        </w:tc>
        <w:tc>
          <w:tcPr>
            <w:tcW w:w="281" w:type="pct"/>
            <w:tcBorders>
              <w:tl2br w:val="nil"/>
              <w:tr2bl w:val="nil"/>
            </w:tcBorders>
            <w:noWrap w:val="0"/>
            <w:vAlign w:val="center"/>
          </w:tcPr>
          <w:p w14:paraId="618AAE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w:t>
            </w:r>
          </w:p>
        </w:tc>
        <w:tc>
          <w:tcPr>
            <w:tcW w:w="326" w:type="pct"/>
            <w:tcBorders>
              <w:tl2br w:val="nil"/>
              <w:tr2bl w:val="nil"/>
            </w:tcBorders>
            <w:noWrap w:val="0"/>
            <w:vAlign w:val="center"/>
          </w:tcPr>
          <w:p w14:paraId="150D20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3.3</w:t>
            </w:r>
          </w:p>
        </w:tc>
        <w:tc>
          <w:tcPr>
            <w:tcW w:w="326" w:type="pct"/>
            <w:tcBorders>
              <w:tl2br w:val="nil"/>
              <w:tr2bl w:val="nil"/>
            </w:tcBorders>
            <w:noWrap w:val="0"/>
            <w:vAlign w:val="center"/>
          </w:tcPr>
          <w:p w14:paraId="54C611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w:t>
            </w:r>
          </w:p>
        </w:tc>
        <w:tc>
          <w:tcPr>
            <w:tcW w:w="281" w:type="pct"/>
            <w:tcBorders>
              <w:tl2br w:val="nil"/>
              <w:tr2bl w:val="nil"/>
            </w:tcBorders>
            <w:noWrap w:val="0"/>
            <w:vAlign w:val="center"/>
          </w:tcPr>
          <w:p w14:paraId="30B9C0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3.5</w:t>
            </w:r>
          </w:p>
        </w:tc>
        <w:tc>
          <w:tcPr>
            <w:tcW w:w="326" w:type="pct"/>
            <w:tcBorders>
              <w:tl2br w:val="nil"/>
              <w:tr2bl w:val="nil"/>
            </w:tcBorders>
            <w:noWrap w:val="0"/>
            <w:vAlign w:val="center"/>
          </w:tcPr>
          <w:p w14:paraId="2AD034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2.6</w:t>
            </w:r>
          </w:p>
        </w:tc>
        <w:tc>
          <w:tcPr>
            <w:tcW w:w="326" w:type="pct"/>
            <w:tcBorders>
              <w:tl2br w:val="nil"/>
              <w:tr2bl w:val="nil"/>
            </w:tcBorders>
            <w:noWrap w:val="0"/>
            <w:vAlign w:val="center"/>
          </w:tcPr>
          <w:p w14:paraId="5378E5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2.2</w:t>
            </w:r>
          </w:p>
        </w:tc>
        <w:tc>
          <w:tcPr>
            <w:tcW w:w="326" w:type="pct"/>
            <w:tcBorders>
              <w:tl2br w:val="nil"/>
              <w:tr2bl w:val="nil"/>
            </w:tcBorders>
            <w:noWrap w:val="0"/>
            <w:vAlign w:val="center"/>
          </w:tcPr>
          <w:p w14:paraId="077113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1.7</w:t>
            </w:r>
          </w:p>
        </w:tc>
        <w:tc>
          <w:tcPr>
            <w:tcW w:w="303" w:type="pct"/>
            <w:tcBorders>
              <w:tl2br w:val="nil"/>
              <w:tr2bl w:val="nil"/>
            </w:tcBorders>
            <w:noWrap w:val="0"/>
            <w:vAlign w:val="center"/>
          </w:tcPr>
          <w:p w14:paraId="2C3723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w:t>
            </w:r>
          </w:p>
        </w:tc>
        <w:tc>
          <w:tcPr>
            <w:tcW w:w="303" w:type="pct"/>
            <w:tcBorders>
              <w:tl2br w:val="nil"/>
              <w:tr2bl w:val="nil"/>
            </w:tcBorders>
            <w:noWrap w:val="0"/>
            <w:vAlign w:val="center"/>
          </w:tcPr>
          <w:p w14:paraId="6D99FC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0.7</w:t>
            </w:r>
          </w:p>
        </w:tc>
        <w:tc>
          <w:tcPr>
            <w:tcW w:w="303" w:type="pct"/>
            <w:tcBorders>
              <w:tl2br w:val="nil"/>
              <w:tr2bl w:val="nil"/>
            </w:tcBorders>
            <w:noWrap w:val="0"/>
            <w:vAlign w:val="center"/>
          </w:tcPr>
          <w:p w14:paraId="189C09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0.2</w:t>
            </w:r>
          </w:p>
        </w:tc>
        <w:tc>
          <w:tcPr>
            <w:tcW w:w="370" w:type="pct"/>
            <w:tcBorders>
              <w:tl2br w:val="nil"/>
              <w:tr2bl w:val="nil"/>
            </w:tcBorders>
            <w:noWrap w:val="0"/>
            <w:vAlign w:val="center"/>
          </w:tcPr>
          <w:p w14:paraId="2774A5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21.1</w:t>
            </w:r>
          </w:p>
        </w:tc>
      </w:tr>
      <w:tr w14:paraId="32CF5E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2305FB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沙尘暴日数</w:t>
            </w:r>
          </w:p>
        </w:tc>
        <w:tc>
          <w:tcPr>
            <w:tcW w:w="280" w:type="pct"/>
            <w:tcBorders>
              <w:tl2br w:val="nil"/>
              <w:tr2bl w:val="nil"/>
            </w:tcBorders>
            <w:noWrap w:val="0"/>
            <w:vAlign w:val="center"/>
          </w:tcPr>
          <w:p w14:paraId="379E00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d</w:t>
            </w:r>
          </w:p>
        </w:tc>
        <w:tc>
          <w:tcPr>
            <w:tcW w:w="326" w:type="pct"/>
            <w:tcBorders>
              <w:tl2br w:val="nil"/>
              <w:tr2bl w:val="nil"/>
            </w:tcBorders>
            <w:noWrap w:val="0"/>
            <w:vAlign w:val="center"/>
          </w:tcPr>
          <w:p w14:paraId="2CABC3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281" w:type="pct"/>
            <w:tcBorders>
              <w:tl2br w:val="nil"/>
              <w:tr2bl w:val="nil"/>
            </w:tcBorders>
            <w:noWrap w:val="0"/>
            <w:vAlign w:val="center"/>
          </w:tcPr>
          <w:p w14:paraId="61ABFC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281" w:type="pct"/>
            <w:tcBorders>
              <w:tl2br w:val="nil"/>
              <w:tr2bl w:val="nil"/>
            </w:tcBorders>
            <w:noWrap w:val="0"/>
            <w:vAlign w:val="center"/>
          </w:tcPr>
          <w:p w14:paraId="25AFB4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0.1</w:t>
            </w:r>
          </w:p>
        </w:tc>
        <w:tc>
          <w:tcPr>
            <w:tcW w:w="326" w:type="pct"/>
            <w:tcBorders>
              <w:tl2br w:val="nil"/>
              <w:tr2bl w:val="nil"/>
            </w:tcBorders>
            <w:noWrap w:val="0"/>
            <w:vAlign w:val="center"/>
          </w:tcPr>
          <w:p w14:paraId="6EAA89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0.3</w:t>
            </w:r>
          </w:p>
        </w:tc>
        <w:tc>
          <w:tcPr>
            <w:tcW w:w="326" w:type="pct"/>
            <w:tcBorders>
              <w:tl2br w:val="nil"/>
              <w:tr2bl w:val="nil"/>
            </w:tcBorders>
            <w:noWrap w:val="0"/>
            <w:vAlign w:val="center"/>
          </w:tcPr>
          <w:p w14:paraId="6C09D7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0.4</w:t>
            </w:r>
          </w:p>
        </w:tc>
        <w:tc>
          <w:tcPr>
            <w:tcW w:w="281" w:type="pct"/>
            <w:tcBorders>
              <w:tl2br w:val="nil"/>
              <w:tr2bl w:val="nil"/>
            </w:tcBorders>
            <w:noWrap w:val="0"/>
            <w:vAlign w:val="center"/>
          </w:tcPr>
          <w:p w14:paraId="6CAF5C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0.5</w:t>
            </w:r>
          </w:p>
        </w:tc>
        <w:tc>
          <w:tcPr>
            <w:tcW w:w="326" w:type="pct"/>
            <w:tcBorders>
              <w:tl2br w:val="nil"/>
              <w:tr2bl w:val="nil"/>
            </w:tcBorders>
            <w:noWrap w:val="0"/>
            <w:vAlign w:val="center"/>
          </w:tcPr>
          <w:p w14:paraId="127701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0.5</w:t>
            </w:r>
          </w:p>
        </w:tc>
        <w:tc>
          <w:tcPr>
            <w:tcW w:w="326" w:type="pct"/>
            <w:tcBorders>
              <w:tl2br w:val="nil"/>
              <w:tr2bl w:val="nil"/>
            </w:tcBorders>
            <w:noWrap w:val="0"/>
            <w:vAlign w:val="center"/>
          </w:tcPr>
          <w:p w14:paraId="659174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0.4</w:t>
            </w:r>
          </w:p>
        </w:tc>
        <w:tc>
          <w:tcPr>
            <w:tcW w:w="326" w:type="pct"/>
            <w:tcBorders>
              <w:tl2br w:val="nil"/>
              <w:tr2bl w:val="nil"/>
            </w:tcBorders>
            <w:noWrap w:val="0"/>
            <w:vAlign w:val="center"/>
          </w:tcPr>
          <w:p w14:paraId="2BA913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0.3</w:t>
            </w:r>
          </w:p>
        </w:tc>
        <w:tc>
          <w:tcPr>
            <w:tcW w:w="303" w:type="pct"/>
            <w:tcBorders>
              <w:tl2br w:val="nil"/>
              <w:tr2bl w:val="nil"/>
            </w:tcBorders>
            <w:noWrap w:val="0"/>
            <w:vAlign w:val="center"/>
          </w:tcPr>
          <w:p w14:paraId="766EA1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0.2</w:t>
            </w:r>
          </w:p>
        </w:tc>
        <w:tc>
          <w:tcPr>
            <w:tcW w:w="303" w:type="pct"/>
            <w:tcBorders>
              <w:tl2br w:val="nil"/>
              <w:tr2bl w:val="nil"/>
            </w:tcBorders>
            <w:noWrap w:val="0"/>
            <w:vAlign w:val="center"/>
          </w:tcPr>
          <w:p w14:paraId="3FA51F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03" w:type="pct"/>
            <w:tcBorders>
              <w:tl2br w:val="nil"/>
              <w:tr2bl w:val="nil"/>
            </w:tcBorders>
            <w:noWrap w:val="0"/>
            <w:vAlign w:val="center"/>
          </w:tcPr>
          <w:p w14:paraId="7AFB91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70" w:type="pct"/>
            <w:tcBorders>
              <w:tl2br w:val="nil"/>
              <w:tr2bl w:val="nil"/>
            </w:tcBorders>
            <w:noWrap w:val="0"/>
            <w:vAlign w:val="center"/>
          </w:tcPr>
          <w:p w14:paraId="5FA147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2.9</w:t>
            </w:r>
          </w:p>
        </w:tc>
      </w:tr>
      <w:tr w14:paraId="178F3E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28B9EC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雷暴日数</w:t>
            </w:r>
          </w:p>
        </w:tc>
        <w:tc>
          <w:tcPr>
            <w:tcW w:w="280" w:type="pct"/>
            <w:tcBorders>
              <w:tl2br w:val="nil"/>
              <w:tr2bl w:val="nil"/>
            </w:tcBorders>
            <w:noWrap w:val="0"/>
            <w:vAlign w:val="center"/>
          </w:tcPr>
          <w:p w14:paraId="73F757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d</w:t>
            </w:r>
          </w:p>
        </w:tc>
        <w:tc>
          <w:tcPr>
            <w:tcW w:w="326" w:type="pct"/>
            <w:tcBorders>
              <w:tl2br w:val="nil"/>
              <w:tr2bl w:val="nil"/>
            </w:tcBorders>
            <w:noWrap w:val="0"/>
            <w:vAlign w:val="center"/>
          </w:tcPr>
          <w:p w14:paraId="0A4D0E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281" w:type="pct"/>
            <w:tcBorders>
              <w:tl2br w:val="nil"/>
              <w:tr2bl w:val="nil"/>
            </w:tcBorders>
            <w:noWrap w:val="0"/>
            <w:vAlign w:val="center"/>
          </w:tcPr>
          <w:p w14:paraId="1213DA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281" w:type="pct"/>
            <w:tcBorders>
              <w:tl2br w:val="nil"/>
              <w:tr2bl w:val="nil"/>
            </w:tcBorders>
            <w:noWrap w:val="0"/>
            <w:vAlign w:val="center"/>
          </w:tcPr>
          <w:p w14:paraId="087DE5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33EF80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1.3</w:t>
            </w:r>
          </w:p>
        </w:tc>
        <w:tc>
          <w:tcPr>
            <w:tcW w:w="326" w:type="pct"/>
            <w:tcBorders>
              <w:tl2br w:val="nil"/>
              <w:tr2bl w:val="nil"/>
            </w:tcBorders>
            <w:noWrap w:val="0"/>
            <w:vAlign w:val="center"/>
          </w:tcPr>
          <w:p w14:paraId="335A47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4.3</w:t>
            </w:r>
          </w:p>
        </w:tc>
        <w:tc>
          <w:tcPr>
            <w:tcW w:w="281" w:type="pct"/>
            <w:tcBorders>
              <w:tl2br w:val="nil"/>
              <w:tr2bl w:val="nil"/>
            </w:tcBorders>
            <w:noWrap w:val="0"/>
            <w:vAlign w:val="center"/>
          </w:tcPr>
          <w:p w14:paraId="060416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8.8</w:t>
            </w:r>
          </w:p>
        </w:tc>
        <w:tc>
          <w:tcPr>
            <w:tcW w:w="326" w:type="pct"/>
            <w:tcBorders>
              <w:tl2br w:val="nil"/>
              <w:tr2bl w:val="nil"/>
            </w:tcBorders>
            <w:noWrap w:val="0"/>
            <w:vAlign w:val="center"/>
          </w:tcPr>
          <w:p w14:paraId="0F636D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7.7</w:t>
            </w:r>
          </w:p>
        </w:tc>
        <w:tc>
          <w:tcPr>
            <w:tcW w:w="326" w:type="pct"/>
            <w:tcBorders>
              <w:tl2br w:val="nil"/>
              <w:tr2bl w:val="nil"/>
            </w:tcBorders>
            <w:noWrap w:val="0"/>
            <w:vAlign w:val="center"/>
          </w:tcPr>
          <w:p w14:paraId="201916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3.7</w:t>
            </w:r>
          </w:p>
        </w:tc>
        <w:tc>
          <w:tcPr>
            <w:tcW w:w="326" w:type="pct"/>
            <w:tcBorders>
              <w:tl2br w:val="nil"/>
              <w:tr2bl w:val="nil"/>
            </w:tcBorders>
            <w:noWrap w:val="0"/>
            <w:vAlign w:val="center"/>
          </w:tcPr>
          <w:p w14:paraId="1DBBE2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w:t>
            </w:r>
          </w:p>
        </w:tc>
        <w:tc>
          <w:tcPr>
            <w:tcW w:w="303" w:type="pct"/>
            <w:tcBorders>
              <w:tl2br w:val="nil"/>
              <w:tr2bl w:val="nil"/>
            </w:tcBorders>
            <w:noWrap w:val="0"/>
            <w:vAlign w:val="center"/>
          </w:tcPr>
          <w:p w14:paraId="0539A9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03" w:type="pct"/>
            <w:tcBorders>
              <w:tl2br w:val="nil"/>
              <w:tr2bl w:val="nil"/>
            </w:tcBorders>
            <w:noWrap w:val="0"/>
            <w:vAlign w:val="center"/>
          </w:tcPr>
          <w:p w14:paraId="11AEE7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03" w:type="pct"/>
            <w:tcBorders>
              <w:tl2br w:val="nil"/>
              <w:tr2bl w:val="nil"/>
            </w:tcBorders>
            <w:noWrap w:val="0"/>
            <w:vAlign w:val="center"/>
          </w:tcPr>
          <w:p w14:paraId="5DF351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70" w:type="pct"/>
            <w:tcBorders>
              <w:tl2br w:val="nil"/>
              <w:tr2bl w:val="nil"/>
            </w:tcBorders>
            <w:noWrap w:val="0"/>
            <w:vAlign w:val="center"/>
          </w:tcPr>
          <w:p w14:paraId="5F7696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26.9</w:t>
            </w:r>
          </w:p>
        </w:tc>
      </w:tr>
      <w:tr w14:paraId="2017E3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3F808F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积雪日数</w:t>
            </w:r>
          </w:p>
        </w:tc>
        <w:tc>
          <w:tcPr>
            <w:tcW w:w="280" w:type="pct"/>
            <w:tcBorders>
              <w:tl2br w:val="nil"/>
              <w:tr2bl w:val="nil"/>
            </w:tcBorders>
            <w:noWrap w:val="0"/>
            <w:vAlign w:val="center"/>
          </w:tcPr>
          <w:p w14:paraId="005D97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d</w:t>
            </w:r>
          </w:p>
        </w:tc>
        <w:tc>
          <w:tcPr>
            <w:tcW w:w="326" w:type="pct"/>
            <w:tcBorders>
              <w:tl2br w:val="nil"/>
              <w:tr2bl w:val="nil"/>
            </w:tcBorders>
            <w:noWrap w:val="0"/>
            <w:vAlign w:val="center"/>
          </w:tcPr>
          <w:p w14:paraId="73B578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29.6</w:t>
            </w:r>
          </w:p>
        </w:tc>
        <w:tc>
          <w:tcPr>
            <w:tcW w:w="281" w:type="pct"/>
            <w:tcBorders>
              <w:tl2br w:val="nil"/>
              <w:tr2bl w:val="nil"/>
            </w:tcBorders>
            <w:noWrap w:val="0"/>
            <w:vAlign w:val="center"/>
          </w:tcPr>
          <w:p w14:paraId="38C02A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25.5</w:t>
            </w:r>
          </w:p>
        </w:tc>
        <w:tc>
          <w:tcPr>
            <w:tcW w:w="281" w:type="pct"/>
            <w:tcBorders>
              <w:tl2br w:val="nil"/>
              <w:tr2bl w:val="nil"/>
            </w:tcBorders>
            <w:noWrap w:val="0"/>
            <w:vAlign w:val="center"/>
          </w:tcPr>
          <w:p w14:paraId="378114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10.1</w:t>
            </w:r>
          </w:p>
        </w:tc>
        <w:tc>
          <w:tcPr>
            <w:tcW w:w="326" w:type="pct"/>
            <w:tcBorders>
              <w:tl2br w:val="nil"/>
              <w:tr2bl w:val="nil"/>
            </w:tcBorders>
            <w:noWrap w:val="0"/>
            <w:vAlign w:val="center"/>
          </w:tcPr>
          <w:p w14:paraId="4674AB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0.2</w:t>
            </w:r>
          </w:p>
        </w:tc>
        <w:tc>
          <w:tcPr>
            <w:tcW w:w="326" w:type="pct"/>
            <w:tcBorders>
              <w:tl2br w:val="nil"/>
              <w:tr2bl w:val="nil"/>
            </w:tcBorders>
            <w:noWrap w:val="0"/>
            <w:vAlign w:val="center"/>
          </w:tcPr>
          <w:p w14:paraId="6F5865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281" w:type="pct"/>
            <w:tcBorders>
              <w:tl2br w:val="nil"/>
              <w:tr2bl w:val="nil"/>
            </w:tcBorders>
            <w:noWrap w:val="0"/>
            <w:vAlign w:val="center"/>
          </w:tcPr>
          <w:p w14:paraId="50605E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342C01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48C58C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6E7E57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03" w:type="pct"/>
            <w:tcBorders>
              <w:tl2br w:val="nil"/>
              <w:tr2bl w:val="nil"/>
            </w:tcBorders>
            <w:noWrap w:val="0"/>
            <w:vAlign w:val="center"/>
          </w:tcPr>
          <w:p w14:paraId="454B70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0.7</w:t>
            </w:r>
          </w:p>
        </w:tc>
        <w:tc>
          <w:tcPr>
            <w:tcW w:w="303" w:type="pct"/>
            <w:tcBorders>
              <w:tl2br w:val="nil"/>
              <w:tr2bl w:val="nil"/>
            </w:tcBorders>
            <w:noWrap w:val="0"/>
            <w:vAlign w:val="center"/>
          </w:tcPr>
          <w:p w14:paraId="4B8367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7.2</w:t>
            </w:r>
          </w:p>
        </w:tc>
        <w:tc>
          <w:tcPr>
            <w:tcW w:w="303" w:type="pct"/>
            <w:tcBorders>
              <w:tl2br w:val="nil"/>
              <w:tr2bl w:val="nil"/>
            </w:tcBorders>
            <w:noWrap w:val="0"/>
            <w:vAlign w:val="center"/>
          </w:tcPr>
          <w:p w14:paraId="77C7A9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20.9</w:t>
            </w:r>
          </w:p>
        </w:tc>
        <w:tc>
          <w:tcPr>
            <w:tcW w:w="370" w:type="pct"/>
            <w:tcBorders>
              <w:tl2br w:val="nil"/>
              <w:tr2bl w:val="nil"/>
            </w:tcBorders>
            <w:noWrap w:val="0"/>
            <w:vAlign w:val="center"/>
          </w:tcPr>
          <w:p w14:paraId="0D9FB4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94.3</w:t>
            </w:r>
          </w:p>
        </w:tc>
      </w:tr>
      <w:tr w14:paraId="5FBAAE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4AB58B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最大积雪深度</w:t>
            </w:r>
          </w:p>
        </w:tc>
        <w:tc>
          <w:tcPr>
            <w:tcW w:w="280" w:type="pct"/>
            <w:tcBorders>
              <w:tl2br w:val="nil"/>
              <w:tr2bl w:val="nil"/>
            </w:tcBorders>
            <w:noWrap w:val="0"/>
            <w:vAlign w:val="center"/>
          </w:tcPr>
          <w:p w14:paraId="0FFA3D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cm</w:t>
            </w:r>
          </w:p>
        </w:tc>
        <w:tc>
          <w:tcPr>
            <w:tcW w:w="326" w:type="pct"/>
            <w:tcBorders>
              <w:tl2br w:val="nil"/>
              <w:tr2bl w:val="nil"/>
            </w:tcBorders>
            <w:noWrap w:val="0"/>
            <w:vAlign w:val="center"/>
          </w:tcPr>
          <w:p w14:paraId="380AA2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70</w:t>
            </w:r>
          </w:p>
        </w:tc>
        <w:tc>
          <w:tcPr>
            <w:tcW w:w="281" w:type="pct"/>
            <w:tcBorders>
              <w:tl2br w:val="nil"/>
              <w:tr2bl w:val="nil"/>
            </w:tcBorders>
            <w:noWrap w:val="0"/>
            <w:vAlign w:val="center"/>
          </w:tcPr>
          <w:p w14:paraId="475693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72</w:t>
            </w:r>
          </w:p>
        </w:tc>
        <w:tc>
          <w:tcPr>
            <w:tcW w:w="281" w:type="pct"/>
            <w:tcBorders>
              <w:tl2br w:val="nil"/>
              <w:tr2bl w:val="nil"/>
            </w:tcBorders>
            <w:noWrap w:val="0"/>
            <w:vAlign w:val="center"/>
          </w:tcPr>
          <w:p w14:paraId="1D72CD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69</w:t>
            </w:r>
          </w:p>
        </w:tc>
        <w:tc>
          <w:tcPr>
            <w:tcW w:w="326" w:type="pct"/>
            <w:tcBorders>
              <w:tl2br w:val="nil"/>
              <w:tr2bl w:val="nil"/>
            </w:tcBorders>
            <w:noWrap w:val="0"/>
            <w:vAlign w:val="center"/>
          </w:tcPr>
          <w:p w14:paraId="2E1735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w:t>
            </w:r>
          </w:p>
        </w:tc>
        <w:tc>
          <w:tcPr>
            <w:tcW w:w="326" w:type="pct"/>
            <w:tcBorders>
              <w:tl2br w:val="nil"/>
              <w:tr2bl w:val="nil"/>
            </w:tcBorders>
            <w:noWrap w:val="0"/>
            <w:vAlign w:val="center"/>
          </w:tcPr>
          <w:p w14:paraId="0735FC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281" w:type="pct"/>
            <w:tcBorders>
              <w:tl2br w:val="nil"/>
              <w:tr2bl w:val="nil"/>
            </w:tcBorders>
            <w:noWrap w:val="0"/>
            <w:vAlign w:val="center"/>
          </w:tcPr>
          <w:p w14:paraId="2E744A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1F4716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68A971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501376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w:t>
            </w:r>
          </w:p>
        </w:tc>
        <w:tc>
          <w:tcPr>
            <w:tcW w:w="303" w:type="pct"/>
            <w:tcBorders>
              <w:tl2br w:val="nil"/>
              <w:tr2bl w:val="nil"/>
            </w:tcBorders>
            <w:noWrap w:val="0"/>
            <w:vAlign w:val="center"/>
          </w:tcPr>
          <w:p w14:paraId="183E52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15</w:t>
            </w:r>
          </w:p>
        </w:tc>
        <w:tc>
          <w:tcPr>
            <w:tcW w:w="303" w:type="pct"/>
            <w:tcBorders>
              <w:tl2br w:val="nil"/>
              <w:tr2bl w:val="nil"/>
            </w:tcBorders>
            <w:noWrap w:val="0"/>
            <w:vAlign w:val="center"/>
          </w:tcPr>
          <w:p w14:paraId="20E0C5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19</w:t>
            </w:r>
          </w:p>
        </w:tc>
        <w:tc>
          <w:tcPr>
            <w:tcW w:w="303" w:type="pct"/>
            <w:tcBorders>
              <w:tl2br w:val="nil"/>
              <w:tr2bl w:val="nil"/>
            </w:tcBorders>
            <w:noWrap w:val="0"/>
            <w:vAlign w:val="center"/>
          </w:tcPr>
          <w:p w14:paraId="56D258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26</w:t>
            </w:r>
          </w:p>
        </w:tc>
        <w:tc>
          <w:tcPr>
            <w:tcW w:w="370" w:type="pct"/>
            <w:tcBorders>
              <w:tl2br w:val="nil"/>
              <w:tr2bl w:val="nil"/>
            </w:tcBorders>
            <w:noWrap w:val="0"/>
            <w:vAlign w:val="center"/>
          </w:tcPr>
          <w:p w14:paraId="662C2C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72</w:t>
            </w:r>
          </w:p>
        </w:tc>
      </w:tr>
      <w:tr w14:paraId="72A071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34" w:type="pct"/>
            <w:tcBorders>
              <w:tl2br w:val="nil"/>
              <w:tr2bl w:val="nil"/>
            </w:tcBorders>
            <w:noWrap w:val="0"/>
            <w:vAlign w:val="center"/>
          </w:tcPr>
          <w:p w14:paraId="4C9875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最大冻土深度</w:t>
            </w:r>
          </w:p>
        </w:tc>
        <w:tc>
          <w:tcPr>
            <w:tcW w:w="280" w:type="pct"/>
            <w:tcBorders>
              <w:tl2br w:val="nil"/>
              <w:tr2bl w:val="nil"/>
            </w:tcBorders>
            <w:noWrap w:val="0"/>
            <w:vAlign w:val="center"/>
          </w:tcPr>
          <w:p w14:paraId="07F56A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cm</w:t>
            </w:r>
          </w:p>
        </w:tc>
        <w:tc>
          <w:tcPr>
            <w:tcW w:w="326" w:type="pct"/>
            <w:tcBorders>
              <w:tl2br w:val="nil"/>
              <w:tr2bl w:val="nil"/>
            </w:tcBorders>
            <w:noWrap w:val="0"/>
            <w:vAlign w:val="center"/>
          </w:tcPr>
          <w:p w14:paraId="4C741A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90</w:t>
            </w:r>
          </w:p>
        </w:tc>
        <w:tc>
          <w:tcPr>
            <w:tcW w:w="281" w:type="pct"/>
            <w:tcBorders>
              <w:tl2br w:val="nil"/>
              <w:tr2bl w:val="nil"/>
            </w:tcBorders>
            <w:noWrap w:val="0"/>
            <w:vAlign w:val="center"/>
          </w:tcPr>
          <w:p w14:paraId="24E954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90</w:t>
            </w:r>
          </w:p>
        </w:tc>
        <w:tc>
          <w:tcPr>
            <w:tcW w:w="281" w:type="pct"/>
            <w:tcBorders>
              <w:tl2br w:val="nil"/>
              <w:tr2bl w:val="nil"/>
            </w:tcBorders>
            <w:noWrap w:val="0"/>
            <w:vAlign w:val="center"/>
          </w:tcPr>
          <w:p w14:paraId="33B0FF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99</w:t>
            </w:r>
          </w:p>
        </w:tc>
        <w:tc>
          <w:tcPr>
            <w:tcW w:w="326" w:type="pct"/>
            <w:tcBorders>
              <w:tl2br w:val="nil"/>
              <w:tr2bl w:val="nil"/>
            </w:tcBorders>
            <w:noWrap w:val="0"/>
            <w:vAlign w:val="center"/>
          </w:tcPr>
          <w:p w14:paraId="2CFF4D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w:t>
            </w:r>
          </w:p>
        </w:tc>
        <w:tc>
          <w:tcPr>
            <w:tcW w:w="326" w:type="pct"/>
            <w:tcBorders>
              <w:tl2br w:val="nil"/>
              <w:tr2bl w:val="nil"/>
            </w:tcBorders>
            <w:noWrap w:val="0"/>
            <w:vAlign w:val="center"/>
          </w:tcPr>
          <w:p w14:paraId="744673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281" w:type="pct"/>
            <w:tcBorders>
              <w:tl2br w:val="nil"/>
              <w:tr2bl w:val="nil"/>
            </w:tcBorders>
            <w:noWrap w:val="0"/>
            <w:vAlign w:val="center"/>
          </w:tcPr>
          <w:p w14:paraId="5DBA17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5BFBA0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56BE40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26" w:type="pct"/>
            <w:tcBorders>
              <w:tl2br w:val="nil"/>
              <w:tr2bl w:val="nil"/>
            </w:tcBorders>
            <w:noWrap w:val="0"/>
            <w:vAlign w:val="center"/>
          </w:tcPr>
          <w:p w14:paraId="20A455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　</w:t>
            </w:r>
          </w:p>
        </w:tc>
        <w:tc>
          <w:tcPr>
            <w:tcW w:w="303" w:type="pct"/>
            <w:tcBorders>
              <w:tl2br w:val="nil"/>
              <w:tr2bl w:val="nil"/>
            </w:tcBorders>
            <w:noWrap w:val="0"/>
            <w:vAlign w:val="center"/>
          </w:tcPr>
          <w:p w14:paraId="04F799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11</w:t>
            </w:r>
          </w:p>
        </w:tc>
        <w:tc>
          <w:tcPr>
            <w:tcW w:w="303" w:type="pct"/>
            <w:tcBorders>
              <w:tl2br w:val="nil"/>
              <w:tr2bl w:val="nil"/>
            </w:tcBorders>
            <w:noWrap w:val="0"/>
            <w:vAlign w:val="center"/>
          </w:tcPr>
          <w:p w14:paraId="176CF2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40</w:t>
            </w:r>
          </w:p>
        </w:tc>
        <w:tc>
          <w:tcPr>
            <w:tcW w:w="303" w:type="pct"/>
            <w:tcBorders>
              <w:tl2br w:val="nil"/>
              <w:tr2bl w:val="nil"/>
            </w:tcBorders>
            <w:noWrap w:val="0"/>
            <w:vAlign w:val="center"/>
          </w:tcPr>
          <w:p w14:paraId="4797A5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77</w:t>
            </w:r>
          </w:p>
        </w:tc>
        <w:tc>
          <w:tcPr>
            <w:tcW w:w="370" w:type="pct"/>
            <w:tcBorders>
              <w:tl2br w:val="nil"/>
              <w:tr2bl w:val="nil"/>
            </w:tcBorders>
            <w:noWrap w:val="0"/>
            <w:vAlign w:val="center"/>
          </w:tcPr>
          <w:p w14:paraId="166F6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99</w:t>
            </w:r>
          </w:p>
        </w:tc>
      </w:tr>
    </w:tbl>
    <w:p w14:paraId="31943207">
      <w:pPr>
        <w:pStyle w:val="88"/>
        <w:rPr>
          <w:rFonts w:ascii="Times New Roman" w:hAnsi="Times New Roman" w:cs="Times New Roman"/>
          <w:color w:val="000000" w:themeColor="text1"/>
          <w14:textFill>
            <w14:solidFill>
              <w14:schemeClr w14:val="tx1"/>
            </w14:solidFill>
          </w14:textFill>
        </w:rPr>
        <w:sectPr>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p>
    <w:bookmarkEnd w:id="101"/>
    <w:bookmarkEnd w:id="102"/>
    <w:bookmarkEnd w:id="103"/>
    <w:bookmarkEnd w:id="104"/>
    <w:bookmarkEnd w:id="105"/>
    <w:bookmarkEnd w:id="106"/>
    <w:bookmarkEnd w:id="107"/>
    <w:bookmarkEnd w:id="108"/>
    <w:bookmarkEnd w:id="109"/>
    <w:bookmarkEnd w:id="110"/>
    <w:bookmarkEnd w:id="111"/>
    <w:bookmarkEnd w:id="112"/>
    <w:p w14:paraId="7224D418">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13" w:name="_Toc490417102"/>
      <w:bookmarkStart w:id="114" w:name="_Toc483492025"/>
      <w:r>
        <w:rPr>
          <w:rFonts w:ascii="Times New Roman" w:hAnsi="Times New Roman" w:cs="Times New Roman"/>
          <w:color w:val="000000" w:themeColor="text1"/>
          <w14:textFill>
            <w14:solidFill>
              <w14:schemeClr w14:val="tx1"/>
            </w14:solidFill>
          </w14:textFill>
        </w:rPr>
        <w:t>水文情况</w:t>
      </w:r>
      <w:bookmarkEnd w:id="113"/>
      <w:bookmarkEnd w:id="114"/>
    </w:p>
    <w:p w14:paraId="3B1A1B24">
      <w:pPr>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（1）地表水</w:t>
      </w:r>
    </w:p>
    <w:p w14:paraId="1CF21F88">
      <w:pPr>
        <w:spacing w:line="360" w:lineRule="auto"/>
        <w:ind w:firstLine="480" w:firstLineChars="200"/>
        <w:rPr>
          <w:rFonts w:hint="eastAsia" w:ascii="Times New Roman" w:hAnsi="Times New Roman" w:cs="宋体"/>
          <w:bCs/>
          <w:color w:val="000000" w:themeColor="text1"/>
          <w:sz w:val="24"/>
          <w14:textFill>
            <w14:solidFill>
              <w14:schemeClr w14:val="tx1"/>
            </w14:solidFill>
          </w14:textFill>
        </w:rPr>
      </w:pPr>
      <w:r>
        <w:rPr>
          <w:rFonts w:hint="eastAsia" w:ascii="Times New Roman" w:hAnsi="Times New Roman" w:cs="宋体"/>
          <w:bCs/>
          <w:color w:val="000000" w:themeColor="text1"/>
          <w:sz w:val="24"/>
          <w:lang w:val="en-US" w:eastAsia="zh-CN"/>
          <w14:textFill>
            <w14:solidFill>
              <w14:schemeClr w14:val="tx1"/>
            </w14:solidFill>
          </w14:textFill>
        </w:rPr>
        <w:t>63团主要</w:t>
      </w:r>
      <w:r>
        <w:rPr>
          <w:rFonts w:hint="eastAsia" w:ascii="Times New Roman" w:hAnsi="Times New Roman" w:cs="宋体"/>
          <w:bCs/>
          <w:color w:val="000000" w:themeColor="text1"/>
          <w:sz w:val="24"/>
          <w14:textFill>
            <w14:solidFill>
              <w14:schemeClr w14:val="tx1"/>
            </w14:solidFill>
          </w14:textFill>
        </w:rPr>
        <w:t>地表水资源包括伊犁河</w:t>
      </w:r>
      <w:r>
        <w:rPr>
          <w:rFonts w:hint="eastAsia" w:ascii="Times New Roman" w:hAnsi="Times New Roman" w:cs="宋体"/>
          <w:bCs/>
          <w:color w:val="000000" w:themeColor="text1"/>
          <w:sz w:val="24"/>
          <w:lang w:val="en-US" w:eastAsia="zh-CN"/>
          <w14:textFill>
            <w14:solidFill>
              <w14:schemeClr w14:val="tx1"/>
            </w14:solidFill>
          </w14:textFill>
        </w:rPr>
        <w:t>、</w:t>
      </w:r>
      <w:r>
        <w:rPr>
          <w:rFonts w:hint="eastAsia" w:cs="宋体"/>
          <w:bCs/>
          <w:color w:val="000000" w:themeColor="text1"/>
          <w:sz w:val="24"/>
          <w:lang w:val="en-US" w:eastAsia="zh-CN"/>
          <w14:textFill>
            <w14:solidFill>
              <w14:schemeClr w14:val="tx1"/>
            </w14:solidFill>
          </w14:textFill>
        </w:rPr>
        <w:t>HEGSH及周边个别水库</w:t>
      </w:r>
      <w:r>
        <w:rPr>
          <w:rFonts w:hint="eastAsia" w:ascii="Times New Roman" w:hAnsi="Times New Roman" w:cs="宋体"/>
          <w:bCs/>
          <w:color w:val="000000" w:themeColor="text1"/>
          <w:sz w:val="24"/>
          <w14:textFill>
            <w14:solidFill>
              <w14:schemeClr w14:val="tx1"/>
            </w14:solidFill>
          </w14:textFill>
        </w:rPr>
        <w:t>。</w:t>
      </w:r>
    </w:p>
    <w:p w14:paraId="2FC8767A">
      <w:pPr>
        <w:pStyle w:val="91"/>
        <w:spacing w:line="360" w:lineRule="auto"/>
        <w:ind w:firstLine="480"/>
        <w:rPr>
          <w:rFonts w:hint="eastAsia" w:ascii="Times New Roman" w:hAnsi="Times New Roman" w:cs="宋体"/>
          <w:color w:val="000000" w:themeColor="text1"/>
          <w:lang w:bidi="ar"/>
          <w14:textFill>
            <w14:solidFill>
              <w14:schemeClr w14:val="tx1"/>
            </w14:solidFill>
          </w14:textFill>
        </w:rPr>
      </w:pPr>
      <w:r>
        <w:rPr>
          <w:rFonts w:hint="eastAsia" w:ascii="Times New Roman" w:hAnsi="Times New Roman" w:cs="宋体"/>
          <w:color w:val="000000" w:themeColor="text1"/>
          <w:lang w:bidi="ar"/>
          <w14:textFill>
            <w14:solidFill>
              <w14:schemeClr w14:val="tx1"/>
            </w14:solidFill>
          </w14:textFill>
        </w:rPr>
        <w:t>（1）伊犁河</w:t>
      </w:r>
    </w:p>
    <w:p w14:paraId="6ABCCC57">
      <w:pPr>
        <w:spacing w:line="360" w:lineRule="auto"/>
        <w:ind w:firstLine="480" w:firstLineChars="200"/>
        <w:rPr>
          <w:rFonts w:hint="eastAsia" w:ascii="Times New Roman" w:hAnsi="Times New Roman" w:cs="宋体"/>
          <w:bCs/>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伊犁河</w:t>
      </w:r>
      <w:r>
        <w:rPr>
          <w:rFonts w:ascii="Times New Roman" w:hAnsi="Times New Roman"/>
          <w:bCs/>
          <w:color w:val="000000" w:themeColor="text1"/>
          <w:sz w:val="24"/>
          <w14:textFill>
            <w14:solidFill>
              <w14:schemeClr w14:val="tx1"/>
            </w14:solidFill>
          </w14:textFill>
        </w:rPr>
        <w:t>属中亚细亚内陆河，其主源特克斯河发源于哈萨克斯坦境内的天山主</w:t>
      </w:r>
      <w:r>
        <w:rPr>
          <w:rFonts w:hint="eastAsia" w:ascii="Times New Roman" w:hAnsi="Times New Roman" w:cs="宋体"/>
          <w:bCs/>
          <w:color w:val="000000" w:themeColor="text1"/>
          <w:sz w:val="24"/>
          <w14:textFill>
            <w14:solidFill>
              <w14:schemeClr w14:val="tx1"/>
            </w14:solidFill>
          </w14:textFill>
        </w:rPr>
        <w:t>峰汗腾格里峰北坡，在昭苏县西部流入我国，自西向东，穿过特克斯—昭苏盆地，在恰甫其海峡谷处折向北，出山口后与东支巩乃斯河汇合后为伊犁河，由东向西在雅马渡处接纳北支喀什河，其后又接纳了左右两岸众多小河，在三道河子以下13.9km处流入哈萨克斯坦境内，最后注入巴尔喀什湖。伊犁河自特克斯河源至出国境处，河长共626km，其中我国境内河长510km。</w:t>
      </w:r>
    </w:p>
    <w:p w14:paraId="49D23DE2">
      <w:pPr>
        <w:spacing w:line="360" w:lineRule="auto"/>
        <w:ind w:firstLine="480" w:firstLineChars="200"/>
        <w:rPr>
          <w:rFonts w:hint="eastAsia" w:ascii="Times New Roman" w:hAnsi="Times New Roman" w:cs="宋体"/>
          <w:color w:val="000000" w:themeColor="text1"/>
          <w:kern w:val="0"/>
          <w:sz w:val="24"/>
          <w14:textFill>
            <w14:solidFill>
              <w14:schemeClr w14:val="tx1"/>
            </w14:solidFill>
          </w14:textFill>
        </w:rPr>
      </w:pPr>
      <w:r>
        <w:rPr>
          <w:rFonts w:hint="eastAsia" w:ascii="Times New Roman" w:hAnsi="Times New Roman" w:cs="宋体"/>
          <w:color w:val="000000" w:themeColor="text1"/>
          <w:kern w:val="0"/>
          <w:sz w:val="24"/>
          <w14:textFill>
            <w14:solidFill>
              <w14:schemeClr w14:val="tx1"/>
            </w14:solidFill>
          </w14:textFill>
        </w:rPr>
        <w:t>伊犁河三大支流：①特克斯河：为伊犁河西源，亦</w:t>
      </w:r>
      <w:r>
        <w:rPr>
          <w:rFonts w:ascii="Times New Roman" w:hAnsi="Times New Roman"/>
          <w:color w:val="000000" w:themeColor="text1"/>
          <w:kern w:val="0"/>
          <w:sz w:val="24"/>
          <w14:textFill>
            <w14:solidFill>
              <w14:schemeClr w14:val="tx1"/>
            </w14:solidFill>
          </w14:textFill>
        </w:rPr>
        <w:t>为最大支流，发源于哈萨克斯坦境内</w:t>
      </w:r>
      <w:r>
        <w:rPr>
          <w:rFonts w:ascii="Times New Roman" w:hAnsi="Times New Roman"/>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HYPERLINK "http://baike.soso.com/v171937.htm?ch=ch.bk.innerlink" \t "_blank" </w:instrText>
      </w:r>
      <w:r>
        <w:rPr>
          <w:rFonts w:ascii="Times New Roman" w:hAnsi="Times New Roman"/>
          <w:color w:val="000000" w:themeColor="text1"/>
          <w:sz w:val="24"/>
          <w14:textFill>
            <w14:solidFill>
              <w14:schemeClr w14:val="tx1"/>
            </w14:solidFill>
          </w14:textFill>
        </w:rPr>
        <w:fldChar w:fldCharType="separate"/>
      </w:r>
      <w:r>
        <w:rPr>
          <w:rFonts w:ascii="Times New Roman" w:hAnsi="Times New Roman"/>
          <w:color w:val="000000" w:themeColor="text1"/>
          <w:kern w:val="0"/>
          <w:sz w:val="24"/>
          <w14:textFill>
            <w14:solidFill>
              <w14:schemeClr w14:val="tx1"/>
            </w14:solidFill>
          </w14:textFill>
        </w:rPr>
        <w:t>汗腾格里</w:t>
      </w:r>
      <w:r>
        <w:rPr>
          <w:rFonts w:ascii="Times New Roman" w:hAnsi="Times New Roman"/>
          <w:color w:val="000000" w:themeColor="text1"/>
          <w:sz w:val="24"/>
          <w14:textFill>
            <w14:solidFill>
              <w14:schemeClr w14:val="tx1"/>
            </w14:solidFill>
          </w14:textFill>
        </w:rPr>
        <w:t>峰</w:t>
      </w:r>
      <w:r>
        <w:rPr>
          <w:rFonts w:ascii="Times New Roman" w:hAnsi="Times New Roman"/>
          <w:color w:val="000000" w:themeColor="text1"/>
          <w:sz w:val="24"/>
          <w14:textFill>
            <w14:solidFill>
              <w14:schemeClr w14:val="tx1"/>
            </w14:solidFill>
          </w14:textFill>
        </w:rPr>
        <w:fldChar w:fldCharType="end"/>
      </w:r>
      <w:r>
        <w:rPr>
          <w:rFonts w:ascii="Times New Roman" w:hAnsi="Times New Roman"/>
          <w:color w:val="000000" w:themeColor="text1"/>
          <w:kern w:val="0"/>
          <w:sz w:val="24"/>
          <w14:textFill>
            <w14:solidFill>
              <w14:schemeClr w14:val="tx1"/>
            </w14:solidFill>
          </w14:textFill>
        </w:rPr>
        <w:t>北坡，进入新疆后经昭苏、特克斯2县，在</w:t>
      </w:r>
      <w:r>
        <w:rPr>
          <w:rFonts w:ascii="Times New Roman" w:hAnsi="Times New Roman"/>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HYPERLINK "http://baike.soso.com/v856655.htm?ch=ch.bk.innerlink" \t "_blank" </w:instrText>
      </w:r>
      <w:r>
        <w:rPr>
          <w:rFonts w:ascii="Times New Roman" w:hAnsi="Times New Roman"/>
          <w:color w:val="000000" w:themeColor="text1"/>
          <w:sz w:val="24"/>
          <w14:textFill>
            <w14:solidFill>
              <w14:schemeClr w14:val="tx1"/>
            </w14:solidFill>
          </w14:textFill>
        </w:rPr>
        <w:fldChar w:fldCharType="separate"/>
      </w:r>
      <w:r>
        <w:rPr>
          <w:rFonts w:ascii="Times New Roman" w:hAnsi="Times New Roman"/>
          <w:color w:val="000000" w:themeColor="text1"/>
          <w:sz w:val="24"/>
          <w14:textFill>
            <w14:solidFill>
              <w14:schemeClr w14:val="tx1"/>
            </w14:solidFill>
          </w14:textFill>
        </w:rPr>
        <w:t>巩留县</w:t>
      </w:r>
      <w:r>
        <w:rPr>
          <w:rFonts w:ascii="Times New Roman" w:hAnsi="Times New Roman"/>
          <w:color w:val="000000" w:themeColor="text1"/>
          <w:sz w:val="24"/>
          <w14:textFill>
            <w14:solidFill>
              <w14:schemeClr w14:val="tx1"/>
            </w14:solidFill>
          </w14:textFill>
        </w:rPr>
        <w:fldChar w:fldCharType="end"/>
      </w:r>
      <w:r>
        <w:rPr>
          <w:rFonts w:ascii="Times New Roman" w:hAnsi="Times New Roman"/>
          <w:color w:val="000000" w:themeColor="text1"/>
          <w:kern w:val="0"/>
          <w:sz w:val="24"/>
          <w14:textFill>
            <w14:solidFill>
              <w14:schemeClr w14:val="tx1"/>
            </w14:solidFill>
          </w14:textFill>
        </w:rPr>
        <w:t>东北与巩乃斯河汇合后称伊犁河。年径流量86</w:t>
      </w:r>
      <w:r>
        <w:rPr>
          <w:rFonts w:hint="eastAsia" w:ascii="Times New Roman" w:hAnsi="Times New Roman"/>
          <w:color w:val="000000" w:themeColor="text1"/>
          <w:kern w:val="0"/>
          <w:sz w:val="24"/>
          <w:lang w:eastAsia="zh-CN"/>
          <w14:textFill>
            <w14:solidFill>
              <w14:schemeClr w14:val="tx1"/>
            </w14:solidFill>
          </w14:textFill>
        </w:rPr>
        <w:t>亿m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，主要产生于哈尔克山北坡。</w:t>
      </w:r>
      <w:r>
        <w:rPr>
          <w:rFonts w:hint="eastAsia" w:ascii="Times New Roman" w:hAnsi="Times New Roman" w:cs="宋体"/>
          <w:color w:val="000000" w:themeColor="text1"/>
          <w:kern w:val="0"/>
          <w:sz w:val="24"/>
          <w14:textFill>
            <w14:solidFill>
              <w14:schemeClr w14:val="tx1"/>
            </w14:solidFill>
          </w14:textFill>
        </w:rPr>
        <w:t>②</w:t>
      </w:r>
      <w:r>
        <w:rPr>
          <w:rFonts w:ascii="Times New Roman" w:hAnsi="Times New Roman"/>
          <w:color w:val="000000" w:themeColor="text1"/>
          <w:kern w:val="0"/>
          <w:sz w:val="24"/>
          <w14:textFill>
            <w14:solidFill>
              <w14:schemeClr w14:val="tx1"/>
            </w14:solidFill>
          </w14:textFill>
        </w:rPr>
        <w:t>巩乃斯河：为伊犁河东源南支，发源于和静县西北角安迪尔山南坡，年径流量20</w:t>
      </w:r>
      <w:r>
        <w:rPr>
          <w:rFonts w:hint="eastAsia" w:ascii="Times New Roman" w:hAnsi="Times New Roman"/>
          <w:color w:val="000000" w:themeColor="text1"/>
          <w:kern w:val="0"/>
          <w:sz w:val="24"/>
          <w:lang w:eastAsia="zh-CN"/>
          <w14:textFill>
            <w14:solidFill>
              <w14:schemeClr w14:val="tx1"/>
            </w14:solidFill>
          </w14:textFill>
        </w:rPr>
        <w:t>亿m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，向西穿过新源县境，至巩留县与特克斯河汇合。</w:t>
      </w:r>
      <w:r>
        <w:rPr>
          <w:rFonts w:hint="eastAsia" w:ascii="Times New Roman" w:hAnsi="Times New Roman" w:cs="宋体"/>
          <w:color w:val="000000" w:themeColor="text1"/>
          <w:kern w:val="0"/>
          <w:sz w:val="24"/>
          <w14:textFill>
            <w14:solidFill>
              <w14:schemeClr w14:val="tx1"/>
            </w14:solidFill>
          </w14:textFill>
        </w:rPr>
        <w:t>③</w:t>
      </w:r>
      <w:r>
        <w:rPr>
          <w:rFonts w:ascii="Times New Roman" w:hAnsi="Times New Roman"/>
          <w:color w:val="000000" w:themeColor="text1"/>
          <w:kern w:val="0"/>
          <w:sz w:val="24"/>
          <w14:textFill>
            <w14:solidFill>
              <w14:schemeClr w14:val="tx1"/>
            </w14:solidFill>
          </w14:textFill>
        </w:rPr>
        <w:t>喀什河：为伊犁河东源北支，源于天山北支南坡，向西穿过</w:t>
      </w:r>
      <w:r>
        <w:rPr>
          <w:rFonts w:ascii="Times New Roman" w:hAnsi="Times New Roman"/>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HYPERLINK "http://baike.soso.com/v7675602.htm?ch=ch.bk.innerlink" \t "_blank" </w:instrText>
      </w:r>
      <w:r>
        <w:rPr>
          <w:rFonts w:ascii="Times New Roman" w:hAnsi="Times New Roman"/>
          <w:color w:val="000000" w:themeColor="text1"/>
          <w:sz w:val="24"/>
          <w14:textFill>
            <w14:solidFill>
              <w14:schemeClr w14:val="tx1"/>
            </w14:solidFill>
          </w14:textFill>
        </w:rPr>
        <w:fldChar w:fldCharType="separate"/>
      </w:r>
      <w:r>
        <w:rPr>
          <w:rFonts w:ascii="Times New Roman" w:hAnsi="Times New Roman"/>
          <w:color w:val="000000" w:themeColor="text1"/>
          <w:sz w:val="24"/>
          <w14:textFill>
            <w14:solidFill>
              <w14:schemeClr w14:val="tx1"/>
            </w14:solidFill>
          </w14:textFill>
        </w:rPr>
        <w:t>尼勒克县</w:t>
      </w:r>
      <w:r>
        <w:rPr>
          <w:rFonts w:ascii="Times New Roman" w:hAnsi="Times New Roman"/>
          <w:color w:val="000000" w:themeColor="text1"/>
          <w:sz w:val="24"/>
          <w14:textFill>
            <w14:solidFill>
              <w14:schemeClr w14:val="tx1"/>
            </w14:solidFill>
          </w14:textFill>
        </w:rPr>
        <w:fldChar w:fldCharType="end"/>
      </w:r>
      <w:r>
        <w:rPr>
          <w:rFonts w:ascii="Times New Roman" w:hAnsi="Times New Roman"/>
          <w:color w:val="000000" w:themeColor="text1"/>
          <w:kern w:val="0"/>
          <w:sz w:val="24"/>
          <w14:textFill>
            <w14:solidFill>
              <w14:schemeClr w14:val="tx1"/>
            </w14:solidFill>
          </w14:textFill>
        </w:rPr>
        <w:t>，至伊宁县雅马渡汇入伊犁河，年径流量39</w:t>
      </w:r>
      <w:r>
        <w:rPr>
          <w:rFonts w:hint="eastAsia" w:ascii="Times New Roman" w:hAnsi="Times New Roman"/>
          <w:color w:val="000000" w:themeColor="text1"/>
          <w:kern w:val="0"/>
          <w:sz w:val="24"/>
          <w:lang w:eastAsia="zh-CN"/>
          <w14:textFill>
            <w14:solidFill>
              <w14:schemeClr w14:val="tx1"/>
            </w14:solidFill>
          </w14:textFill>
        </w:rPr>
        <w:t>亿m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w:t>
      </w:r>
      <w:r>
        <w:rPr>
          <w:rFonts w:hint="eastAsia" w:ascii="Times New Roman" w:hAnsi="Times New Roman" w:cs="宋体"/>
          <w:color w:val="000000" w:themeColor="text1"/>
          <w:kern w:val="0"/>
          <w:sz w:val="24"/>
          <w14:textFill>
            <w14:solidFill>
              <w14:schemeClr w14:val="tx1"/>
            </w14:solidFill>
          </w14:textFill>
        </w:rPr>
        <w:t>④</w:t>
      </w:r>
      <w:r>
        <w:rPr>
          <w:rFonts w:ascii="Times New Roman" w:hAnsi="Times New Roman"/>
          <w:color w:val="000000" w:themeColor="text1"/>
          <w:kern w:val="0"/>
          <w:sz w:val="24"/>
          <w14:textFill>
            <w14:solidFill>
              <w14:schemeClr w14:val="tx1"/>
            </w14:solidFill>
          </w14:textFill>
        </w:rPr>
        <w:t>雅马渡以下共有小支流39条，共产生年径流量21</w:t>
      </w:r>
      <w:r>
        <w:rPr>
          <w:rFonts w:hint="eastAsia" w:ascii="Times New Roman" w:hAnsi="Times New Roman"/>
          <w:color w:val="000000" w:themeColor="text1"/>
          <w:kern w:val="0"/>
          <w:sz w:val="24"/>
          <w:lang w:eastAsia="zh-CN"/>
          <w14:textFill>
            <w14:solidFill>
              <w14:schemeClr w14:val="tx1"/>
            </w14:solidFill>
          </w14:textFill>
        </w:rPr>
        <w:t>亿m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。其中，北岸支流</w:t>
      </w:r>
      <w:r>
        <w:rPr>
          <w:rFonts w:hint="eastAsia" w:ascii="Times New Roman" w:hAnsi="Times New Roman" w:cs="宋体"/>
          <w:color w:val="000000" w:themeColor="text1"/>
          <w:kern w:val="0"/>
          <w:sz w:val="24"/>
          <w14:textFill>
            <w14:solidFill>
              <w14:schemeClr w14:val="tx1"/>
            </w14:solidFill>
          </w14:textFill>
        </w:rPr>
        <w:t>16条，共产生18</w:t>
      </w:r>
      <w:r>
        <w:rPr>
          <w:rFonts w:hint="eastAsia" w:ascii="Times New Roman" w:hAnsi="Times New Roman" w:cs="宋体"/>
          <w:color w:val="000000" w:themeColor="text1"/>
          <w:kern w:val="0"/>
          <w:sz w:val="24"/>
          <w:lang w:eastAsia="zh-CN"/>
          <w14:textFill>
            <w14:solidFill>
              <w14:schemeClr w14:val="tx1"/>
            </w14:solidFill>
          </w14:textFill>
        </w:rPr>
        <w:t>亿m</w:t>
      </w:r>
      <w:r>
        <w:rPr>
          <w:rFonts w:hint="eastAsia" w:ascii="Times New Roman" w:hAnsi="Times New Roman" w:cs="宋体"/>
          <w:color w:val="000000" w:themeColor="text1"/>
          <w:kern w:val="0"/>
          <w:sz w:val="24"/>
          <w:vertAlign w:val="superscript"/>
          <w14:textFill>
            <w14:solidFill>
              <w14:schemeClr w14:val="tx1"/>
            </w14:solidFill>
          </w14:textFill>
        </w:rPr>
        <w:t>3</w:t>
      </w:r>
      <w:r>
        <w:rPr>
          <w:rFonts w:hint="eastAsia" w:ascii="Times New Roman" w:hAnsi="Times New Roman" w:cs="宋体"/>
          <w:color w:val="000000" w:themeColor="text1"/>
          <w:kern w:val="0"/>
          <w:sz w:val="24"/>
          <w14:textFill>
            <w14:solidFill>
              <w14:schemeClr w14:val="tx1"/>
            </w14:solidFill>
          </w14:textFill>
        </w:rPr>
        <w:t>；南岸支流13条，共产生3</w:t>
      </w:r>
      <w:r>
        <w:rPr>
          <w:rFonts w:hint="eastAsia" w:ascii="Times New Roman" w:hAnsi="Times New Roman" w:cs="宋体"/>
          <w:color w:val="000000" w:themeColor="text1"/>
          <w:kern w:val="0"/>
          <w:sz w:val="24"/>
          <w:lang w:eastAsia="zh-CN"/>
          <w14:textFill>
            <w14:solidFill>
              <w14:schemeClr w14:val="tx1"/>
            </w14:solidFill>
          </w14:textFill>
        </w:rPr>
        <w:t>亿m</w:t>
      </w:r>
      <w:r>
        <w:rPr>
          <w:rFonts w:hint="eastAsia" w:ascii="Times New Roman" w:hAnsi="Times New Roman" w:cs="宋体"/>
          <w:color w:val="000000" w:themeColor="text1"/>
          <w:kern w:val="0"/>
          <w:sz w:val="24"/>
          <w:vertAlign w:val="superscript"/>
          <w14:textFill>
            <w14:solidFill>
              <w14:schemeClr w14:val="tx1"/>
            </w14:solidFill>
          </w14:textFill>
        </w:rPr>
        <w:t>3</w:t>
      </w:r>
      <w:r>
        <w:rPr>
          <w:rFonts w:hint="eastAsia" w:ascii="Times New Roman" w:hAnsi="Times New Roman" w:cs="宋体"/>
          <w:color w:val="000000" w:themeColor="text1"/>
          <w:kern w:val="0"/>
          <w:sz w:val="24"/>
          <w14:textFill>
            <w14:solidFill>
              <w14:schemeClr w14:val="tx1"/>
            </w14:solidFill>
          </w14:textFill>
        </w:rPr>
        <w:t>。</w:t>
      </w:r>
    </w:p>
    <w:p w14:paraId="1233D4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color w:val="000000" w:themeColor="text1"/>
          <w:sz w:val="24"/>
          <w14:textFill>
            <w14:solidFill>
              <w14:schemeClr w14:val="tx1"/>
            </w14:solidFill>
          </w14:textFill>
        </w:rPr>
      </w:pPr>
      <w:r>
        <w:rPr>
          <w:rFonts w:hint="eastAsia" w:ascii="Times New Roman" w:hAnsi="Times New Roman" w:cs="宋体"/>
          <w:color w:val="000000" w:themeColor="text1"/>
          <w:sz w:val="24"/>
          <w14:textFill>
            <w14:solidFill>
              <w14:schemeClr w14:val="tx1"/>
            </w14:solidFill>
          </w14:textFill>
        </w:rPr>
        <w:t>新疆境内的伊犁河位于天山北支婆罗科努山与南支哈尔克山之间，是中国天山水资源最丰富的山段。新疆集水区面积约5.7</w:t>
      </w:r>
      <w:r>
        <w:rPr>
          <w:rFonts w:hint="eastAsia" w:ascii="Times New Roman" w:hAnsi="Times New Roman" w:cs="宋体"/>
          <w:color w:val="000000" w:themeColor="text1"/>
          <w:sz w:val="24"/>
          <w:lang w:eastAsia="zh-CN"/>
          <w14:textFill>
            <w14:solidFill>
              <w14:schemeClr w14:val="tx1"/>
            </w14:solidFill>
          </w14:textFill>
        </w:rPr>
        <w:t>万km</w:t>
      </w:r>
      <w:r>
        <w:rPr>
          <w:rFonts w:hint="eastAsia" w:ascii="Times New Roman" w:hAnsi="Times New Roman" w:cs="宋体"/>
          <w:color w:val="000000" w:themeColor="text1"/>
          <w:sz w:val="24"/>
          <w:vertAlign w:val="superscript"/>
          <w14:textFill>
            <w14:solidFill>
              <w14:schemeClr w14:val="tx1"/>
            </w14:solidFill>
          </w14:textFill>
        </w:rPr>
        <w:t>2</w:t>
      </w:r>
      <w:r>
        <w:rPr>
          <w:rFonts w:hint="eastAsia" w:ascii="Times New Roman" w:hAnsi="Times New Roman" w:cs="宋体"/>
          <w:color w:val="000000" w:themeColor="text1"/>
          <w:sz w:val="24"/>
          <w14:textFill>
            <w14:solidFill>
              <w14:schemeClr w14:val="tx1"/>
            </w14:solidFill>
          </w14:textFill>
        </w:rPr>
        <w:t>，占新疆面积3.5％；年径流量161.15</w:t>
      </w:r>
      <w:r>
        <w:rPr>
          <w:rFonts w:hint="eastAsia" w:ascii="Times New Roman" w:hAnsi="Times New Roman" w:cs="宋体"/>
          <w:color w:val="000000" w:themeColor="text1"/>
          <w:sz w:val="24"/>
          <w:lang w:eastAsia="zh-CN"/>
          <w14:textFill>
            <w14:solidFill>
              <w14:schemeClr w14:val="tx1"/>
            </w14:solidFill>
          </w14:textFill>
        </w:rPr>
        <w:t>亿m</w:t>
      </w:r>
      <w:r>
        <w:rPr>
          <w:rFonts w:hint="eastAsia" w:ascii="Times New Roman" w:hAnsi="Times New Roman" w:cs="宋体"/>
          <w:color w:val="000000" w:themeColor="text1"/>
          <w:sz w:val="24"/>
          <w:vertAlign w:val="superscript"/>
          <w14:textFill>
            <w14:solidFill>
              <w14:schemeClr w14:val="tx1"/>
            </w14:solidFill>
          </w14:textFill>
        </w:rPr>
        <w:t>3</w:t>
      </w:r>
      <w:r>
        <w:rPr>
          <w:rFonts w:hint="eastAsia" w:ascii="Times New Roman" w:hAnsi="Times New Roman" w:cs="宋体"/>
          <w:color w:val="000000" w:themeColor="text1"/>
          <w:sz w:val="24"/>
          <w14:textFill>
            <w14:solidFill>
              <w14:schemeClr w14:val="tx1"/>
            </w14:solidFill>
          </w14:textFill>
        </w:rPr>
        <w:t>（已扣除从哈萨克斯坦流入的水量5.85</w:t>
      </w:r>
      <w:r>
        <w:rPr>
          <w:rFonts w:hint="eastAsia" w:ascii="Times New Roman" w:hAnsi="Times New Roman" w:cs="宋体"/>
          <w:color w:val="000000" w:themeColor="text1"/>
          <w:sz w:val="24"/>
          <w:lang w:eastAsia="zh-CN"/>
          <w14:textFill>
            <w14:solidFill>
              <w14:schemeClr w14:val="tx1"/>
            </w14:solidFill>
          </w14:textFill>
        </w:rPr>
        <w:t>亿m</w:t>
      </w:r>
      <w:r>
        <w:rPr>
          <w:rFonts w:hint="eastAsia" w:ascii="Times New Roman" w:hAnsi="Times New Roman" w:cs="宋体"/>
          <w:color w:val="000000" w:themeColor="text1"/>
          <w:sz w:val="24"/>
          <w:vertAlign w:val="superscript"/>
          <w14:textFill>
            <w14:solidFill>
              <w14:schemeClr w14:val="tx1"/>
            </w14:solidFill>
          </w14:textFill>
        </w:rPr>
        <w:t>3</w:t>
      </w:r>
      <w:r>
        <w:rPr>
          <w:rFonts w:hint="eastAsia" w:ascii="Times New Roman" w:hAnsi="Times New Roman" w:cs="宋体"/>
          <w:color w:val="000000" w:themeColor="text1"/>
          <w:sz w:val="24"/>
          <w14:textFill>
            <w14:solidFill>
              <w14:schemeClr w14:val="tx1"/>
            </w14:solidFill>
          </w14:textFill>
        </w:rPr>
        <w:t>），占新疆地表径流总量19％；年均径流深268mm，为新疆平均值的5.7倍，接近于全国年均径流深值。在中国西北</w:t>
      </w:r>
      <w:r>
        <w:rPr>
          <w:rFonts w:hint="eastAsia" w:ascii="Times New Roman" w:hAnsi="Times New Roman" w:cs="宋体"/>
          <w:color w:val="000000" w:themeColor="text1"/>
          <w:sz w:val="24"/>
          <w14:textFill>
            <w14:solidFill>
              <w14:schemeClr w14:val="tx1"/>
            </w14:solidFill>
          </w14:textFill>
        </w:rPr>
        <w:fldChar w:fldCharType="begin"/>
      </w:r>
      <w:r>
        <w:rPr>
          <w:rFonts w:hint="eastAsia" w:ascii="宋体" w:hAnsi="宋体" w:cs="宋体"/>
          <w:color w:val="000000" w:themeColor="text1"/>
          <w:sz w:val="24"/>
          <w14:textFill>
            <w14:solidFill>
              <w14:schemeClr w14:val="tx1"/>
            </w14:solidFill>
          </w14:textFill>
        </w:rPr>
        <w:instrText xml:space="preserve"> HYPERLINK "http://baike.soso.com/v7044962.htm?ch=ch.bk.innerlink" \t "_blank" </w:instrText>
      </w:r>
      <w:r>
        <w:rPr>
          <w:rFonts w:hint="eastAsia" w:ascii="Times New Roman" w:hAnsi="Times New Roman" w:cs="宋体"/>
          <w:color w:val="000000" w:themeColor="text1"/>
          <w:sz w:val="24"/>
          <w14:textFill>
            <w14:solidFill>
              <w14:schemeClr w14:val="tx1"/>
            </w14:solidFill>
          </w14:textFill>
        </w:rPr>
        <w:fldChar w:fldCharType="separate"/>
      </w:r>
      <w:r>
        <w:rPr>
          <w:rFonts w:hint="eastAsia" w:ascii="Times New Roman" w:hAnsi="Times New Roman" w:cs="宋体"/>
          <w:color w:val="000000" w:themeColor="text1"/>
          <w:sz w:val="24"/>
          <w14:textFill>
            <w14:solidFill>
              <w14:schemeClr w14:val="tx1"/>
            </w14:solidFill>
          </w14:textFill>
        </w:rPr>
        <w:t>干旱区</w:t>
      </w:r>
      <w:r>
        <w:rPr>
          <w:rFonts w:hint="eastAsia" w:ascii="Times New Roman" w:hAnsi="Times New Roman" w:cs="宋体"/>
          <w:color w:val="000000" w:themeColor="text1"/>
          <w:sz w:val="24"/>
          <w14:textFill>
            <w14:solidFill>
              <w14:schemeClr w14:val="tx1"/>
            </w14:solidFill>
          </w14:textFill>
        </w:rPr>
        <w:fldChar w:fldCharType="end"/>
      </w:r>
      <w:r>
        <w:rPr>
          <w:rFonts w:hint="eastAsia" w:ascii="Times New Roman" w:hAnsi="Times New Roman" w:cs="宋体"/>
          <w:color w:val="000000" w:themeColor="text1"/>
          <w:sz w:val="24"/>
          <w14:textFill>
            <w14:solidFill>
              <w14:schemeClr w14:val="tx1"/>
            </w14:solidFill>
          </w14:textFill>
        </w:rPr>
        <w:t>中伊犁河流域堪称相对湿润地区。</w:t>
      </w:r>
    </w:p>
    <w:p w14:paraId="3A51CF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eastAsiaTheme="minorEastAsia"/>
          <w:bCs/>
          <w:color w:val="000000" w:themeColor="text1"/>
          <w:sz w:val="24"/>
          <w:lang w:eastAsia="zh-CN"/>
          <w14:textFill>
            <w14:solidFill>
              <w14:schemeClr w14:val="tx1"/>
            </w14:solidFill>
          </w14:textFill>
        </w:rPr>
      </w:pPr>
      <w:r>
        <w:rPr>
          <w:rFonts w:hint="eastAsia" w:ascii="Times New Roman" w:hAnsi="Times New Roman" w:cs="宋体"/>
          <w:bCs/>
          <w:color w:val="000000" w:themeColor="text1"/>
          <w:sz w:val="24"/>
          <w:lang w:eastAsia="zh-CN"/>
          <w14:textFill>
            <w14:solidFill>
              <w14:schemeClr w14:val="tx1"/>
            </w14:solidFill>
          </w14:textFill>
        </w:rPr>
        <w:t>（</w:t>
      </w:r>
      <w:r>
        <w:rPr>
          <w:rFonts w:hint="eastAsia" w:ascii="Times New Roman" w:hAnsi="Times New Roman" w:cs="宋体"/>
          <w:bCs/>
          <w:color w:val="000000" w:themeColor="text1"/>
          <w:sz w:val="24"/>
          <w:lang w:val="en-US" w:eastAsia="zh-CN"/>
          <w14:textFill>
            <w14:solidFill>
              <w14:schemeClr w14:val="tx1"/>
            </w14:solidFill>
          </w14:textFill>
        </w:rPr>
        <w:t>2</w:t>
      </w:r>
      <w:r>
        <w:rPr>
          <w:rFonts w:hint="eastAsia" w:ascii="Times New Roman" w:hAnsi="Times New Roman" w:cs="宋体"/>
          <w:bCs/>
          <w:color w:val="000000" w:themeColor="text1"/>
          <w:sz w:val="24"/>
          <w:lang w:eastAsia="zh-CN"/>
          <w14:textFill>
            <w14:solidFill>
              <w14:schemeClr w14:val="tx1"/>
            </w14:solidFill>
          </w14:textFill>
        </w:rPr>
        <w:t>）</w:t>
      </w:r>
      <w:r>
        <w:rPr>
          <w:rFonts w:hint="eastAsia" w:ascii="Times New Roman" w:hAnsi="Times New Roman" w:eastAsia="宋体" w:cs="宋体"/>
          <w:color w:val="000000" w:themeColor="text1"/>
          <w:sz w:val="24"/>
          <w:lang w:eastAsia="zh-CN"/>
          <w14:textFill>
            <w14:solidFill>
              <w14:schemeClr w14:val="tx1"/>
            </w14:solidFill>
          </w14:textFill>
        </w:rPr>
        <w:t>HEGSH</w:t>
      </w:r>
    </w:p>
    <w:p w14:paraId="3C578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bCs/>
          <w:color w:val="000000" w:themeColor="text1"/>
          <w:sz w:val="24"/>
          <w14:textFill>
            <w14:solidFill>
              <w14:schemeClr w14:val="tx1"/>
            </w14:solidFill>
          </w14:textFill>
        </w:rPr>
      </w:pPr>
      <w:r>
        <w:rPr>
          <w:rFonts w:hint="eastAsia" w:ascii="Times New Roman" w:hAnsi="Times New Roman" w:eastAsia="宋体" w:cs="宋体"/>
          <w:color w:val="000000" w:themeColor="text1"/>
          <w:sz w:val="24"/>
          <w:lang w:eastAsia="zh-CN"/>
          <w14:textFill>
            <w14:solidFill>
              <w14:schemeClr w14:val="tx1"/>
            </w14:solidFill>
          </w14:textFill>
        </w:rPr>
        <w:t>HEGSH</w:t>
      </w:r>
      <w:r>
        <w:rPr>
          <w:rFonts w:hint="eastAsia" w:ascii="Times New Roman" w:hAnsi="Times New Roman" w:eastAsia="宋体" w:cs="Times New Roman"/>
          <w:lang w:val="en-US" w:eastAsia="zh-CN"/>
        </w:rPr>
        <w:t>发源于HSK境内天山支脉BZT山南麓的KZ达坂以及中国新疆维吾尔自治区温泉县西南别珍套山西南麓，河源最高点海拔4125m，流域冰川多达107条，冰川面积约91.87k㎡。河流有DLDL克河（也称WLKKZ河）、DKZ河、KZMBS河三条源流，三源汇合后，河流始称</w:t>
      </w:r>
      <w:r>
        <w:rPr>
          <w:rFonts w:hint="eastAsia" w:ascii="Times New Roman" w:hAnsi="Times New Roman" w:eastAsia="宋体" w:cs="宋体"/>
          <w:color w:val="000000" w:themeColor="text1"/>
          <w:sz w:val="24"/>
          <w:lang w:eastAsia="zh-CN"/>
          <w14:textFill>
            <w14:solidFill>
              <w14:schemeClr w14:val="tx1"/>
            </w14:solidFill>
          </w14:textFill>
        </w:rPr>
        <w:t>HEGSH</w:t>
      </w:r>
      <w:r>
        <w:rPr>
          <w:rFonts w:hint="eastAsia" w:ascii="Times New Roman" w:hAnsi="Times New Roman" w:eastAsia="宋体" w:cs="Times New Roman"/>
          <w:lang w:val="en-US" w:eastAsia="zh-CN"/>
        </w:rPr>
        <w:t>，此后河流沿ZH边界线，自西北向东南而下，山口下游约4km，流经我国境内的HQZGLZ、霍河管理处，霍尔果斯口岸、绕KLKM沙漠东侧缓缓流至第四师63团8连，自出山口流程约65km后，汇入伊犁河。</w:t>
      </w:r>
    </w:p>
    <w:p w14:paraId="5B3A94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eastAsiaTheme="minorEastAsia"/>
          <w:bCs/>
          <w:color w:val="000000" w:themeColor="text1"/>
          <w:sz w:val="24"/>
          <w:lang w:eastAsia="zh-CN"/>
          <w14:textFill>
            <w14:solidFill>
              <w14:schemeClr w14:val="tx1"/>
            </w14:solidFill>
          </w14:textFill>
        </w:rPr>
      </w:pPr>
      <w:r>
        <w:rPr>
          <w:rFonts w:hint="eastAsia" w:ascii="Times New Roman" w:hAnsi="Times New Roman" w:cs="宋体"/>
          <w:bCs/>
          <w:color w:val="000000" w:themeColor="text1"/>
          <w:sz w:val="24"/>
          <w:lang w:eastAsia="zh-CN"/>
          <w14:textFill>
            <w14:solidFill>
              <w14:schemeClr w14:val="tx1"/>
            </w14:solidFill>
          </w14:textFill>
        </w:rPr>
        <w:t>（</w:t>
      </w:r>
      <w:r>
        <w:rPr>
          <w:rFonts w:hint="eastAsia" w:ascii="Times New Roman" w:hAnsi="Times New Roman" w:cs="宋体"/>
          <w:bCs/>
          <w:color w:val="000000" w:themeColor="text1"/>
          <w:sz w:val="24"/>
          <w:lang w:val="en-US" w:eastAsia="zh-CN"/>
          <w14:textFill>
            <w14:solidFill>
              <w14:schemeClr w14:val="tx1"/>
            </w14:solidFill>
          </w14:textFill>
        </w:rPr>
        <w:t>3</w:t>
      </w:r>
      <w:r>
        <w:rPr>
          <w:rFonts w:hint="eastAsia" w:ascii="Times New Roman" w:hAnsi="Times New Roman" w:cs="宋体"/>
          <w:bCs/>
          <w:color w:val="000000" w:themeColor="text1"/>
          <w:sz w:val="24"/>
          <w:lang w:eastAsia="zh-CN"/>
          <w14:textFill>
            <w14:solidFill>
              <w14:schemeClr w14:val="tx1"/>
            </w14:solidFill>
          </w14:textFill>
        </w:rPr>
        <w:t>）</w:t>
      </w:r>
      <w:r>
        <w:rPr>
          <w:rFonts w:hint="eastAsia" w:cs="宋体"/>
          <w:bCs/>
          <w:color w:val="000000" w:themeColor="text1"/>
          <w:sz w:val="24"/>
          <w:lang w:val="en-US" w:eastAsia="zh-CN"/>
          <w14:textFill>
            <w14:solidFill>
              <w14:schemeClr w14:val="tx1"/>
            </w14:solidFill>
          </w14:textFill>
        </w:rPr>
        <w:t>水库</w:t>
      </w:r>
    </w:p>
    <w:p w14:paraId="4EEAAA7F">
      <w:pPr>
        <w:ind w:firstLine="480"/>
        <w:rPr>
          <w:rFonts w:ascii="Times New Roman" w:hAnsi="Times New Roman" w:eastAsia="宋体" w:cs="Times New Roman"/>
          <w:color w:val="000000" w:themeColor="text1"/>
          <w14:textFill>
            <w14:solidFill>
              <w14:schemeClr w14:val="tx1"/>
            </w14:solidFill>
          </w14:textFill>
        </w:rPr>
      </w:pPr>
      <w:r>
        <w:rPr>
          <w:rFonts w:hint="eastAsia" w:eastAsia="宋体" w:cs="宋体"/>
          <w:bCs/>
          <w:color w:val="000000" w:themeColor="text1"/>
          <w:sz w:val="24"/>
          <w:lang w:val="en-US" w:eastAsia="zh-CN"/>
          <w14:textFill>
            <w14:solidFill>
              <w14:schemeClr w14:val="tx1"/>
            </w14:solidFill>
          </w14:textFill>
        </w:rPr>
        <w:t>距离项目最近的水库为跃进三库，距离4.2公里，为农业灌溉水库</w:t>
      </w:r>
      <w:r>
        <w:rPr>
          <w:rFonts w:ascii="Times New Roman" w:hAnsi="Times New Roman" w:eastAsia="宋体" w:cs="Times New Roman"/>
          <w:color w:val="000000" w:themeColor="text1"/>
          <w14:textFill>
            <w14:solidFill>
              <w14:schemeClr w14:val="tx1"/>
            </w14:solidFill>
          </w14:textFill>
        </w:rPr>
        <w:t>。</w:t>
      </w:r>
    </w:p>
    <w:p w14:paraId="04EB3298">
      <w:pPr>
        <w:ind w:firstLine="480"/>
        <w:rPr>
          <w:rFonts w:ascii="Times New Roman" w:hAnsi="Times New Roman" w:eastAsia="宋体" w:cs="Times New Roman"/>
          <w:color w:val="000000" w:themeColor="text1"/>
          <w14:textFill>
            <w14:solidFill>
              <w14:schemeClr w14:val="tx1"/>
            </w14:solidFill>
          </w14:textFill>
        </w:rPr>
      </w:pPr>
      <w:bookmarkStart w:id="115" w:name="_Toc16204"/>
      <w:r>
        <w:rPr>
          <w:rFonts w:hint="eastAsia" w:eastAsia="宋体" w:cs="Times New Roman"/>
          <w:color w:val="000000" w:themeColor="text1"/>
          <w:lang w:eastAsia="zh-CN"/>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地下水</w:t>
      </w:r>
      <w:bookmarkEnd w:id="115"/>
    </w:p>
    <w:p w14:paraId="30288E16">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63团位于伊犁河流域冲洪积平原下游区，该区西部区域的地下水同时受</w:t>
      </w:r>
      <w:r>
        <w:rPr>
          <w:rFonts w:hint="eastAsia" w:ascii="Times New Roman" w:hAnsi="Times New Roman" w:eastAsia="宋体" w:cs="宋体"/>
          <w:color w:val="000000" w:themeColor="text1"/>
          <w:sz w:val="24"/>
          <w:lang w:eastAsia="zh-CN"/>
          <w14:textFill>
            <w14:solidFill>
              <w14:schemeClr w14:val="tx1"/>
            </w14:solidFill>
          </w14:textFill>
        </w:rPr>
        <w:t>HEGSH</w:t>
      </w:r>
      <w:r>
        <w:rPr>
          <w:rFonts w:hint="eastAsia" w:ascii="Times New Roman" w:hAnsi="Times New Roman" w:eastAsia="宋体" w:cs="宋体"/>
          <w:color w:val="000000" w:themeColor="text1"/>
          <w:sz w:val="24"/>
          <w14:textFill>
            <w14:solidFill>
              <w14:schemeClr w14:val="tx1"/>
            </w14:solidFill>
          </w14:textFill>
        </w:rPr>
        <w:t>的侧向补给影响。地下水具潜水、承压水多层结构。</w:t>
      </w:r>
    </w:p>
    <w:p w14:paraId="20524C99">
      <w:pPr>
        <w:spacing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本区地下水的补给主要源于山区融雪水、融冰水及大气降水形成的地表径流对地下水的转化补给。山区降水通过基岩风化裂隙，构造裂隙补给深层地下，形成孔隙、裂隙水。平原区由于气候干燥，降水少，平原区降水对地下水的直接补给有限，地下水的补给来源主要是地表水的渗漏补给。平原区地下水储存于具备储水条件的第四纪松散沉积物中，形成第四系孔隙潜水或承压水。</w:t>
      </w:r>
    </w:p>
    <w:p w14:paraId="7145BC7D">
      <w:pPr>
        <w:ind w:firstLine="48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63团地下水埋深2.6～11.7m，含水层岩性为细砂，钻孔涌水量10.2～11.2m</w:t>
      </w:r>
      <w:r>
        <w:rPr>
          <w:rFonts w:hint="eastAsia" w:ascii="Times New Roman" w:hAnsi="Times New Roman" w:eastAsia="宋体" w:cs="宋体"/>
          <w:color w:val="000000" w:themeColor="text1"/>
          <w:sz w:val="24"/>
          <w:vertAlign w:val="superscript"/>
          <w14:textFill>
            <w14:solidFill>
              <w14:schemeClr w14:val="tx1"/>
            </w14:solidFill>
          </w14:textFill>
        </w:rPr>
        <w:t>3</w:t>
      </w:r>
      <w:r>
        <w:rPr>
          <w:rFonts w:hint="eastAsia" w:ascii="Times New Roman" w:hAnsi="Times New Roman" w:eastAsia="宋体" w:cs="宋体"/>
          <w:color w:val="000000" w:themeColor="text1"/>
          <w:sz w:val="24"/>
          <w14:textFill>
            <w14:solidFill>
              <w14:schemeClr w14:val="tx1"/>
            </w14:solidFill>
          </w14:textFill>
        </w:rPr>
        <w:t>/h·m，属强富水区，渗透系数5.0～5.4m/d。依据《新疆生产建设兵团第四师第三次地下水资源调查评价报告》，63团计算面积195.97km</w:t>
      </w:r>
      <w:r>
        <w:rPr>
          <w:rFonts w:hint="eastAsia" w:ascii="Times New Roman" w:hAnsi="Times New Roman" w:eastAsia="宋体" w:cs="宋体"/>
          <w:color w:val="000000" w:themeColor="text1"/>
          <w:sz w:val="24"/>
          <w:vertAlign w:val="superscript"/>
          <w14:textFill>
            <w14:solidFill>
              <w14:schemeClr w14:val="tx1"/>
            </w14:solidFill>
          </w14:textFill>
        </w:rPr>
        <w:t>2</w:t>
      </w:r>
      <w:r>
        <w:rPr>
          <w:rFonts w:hint="eastAsia" w:ascii="Times New Roman" w:hAnsi="Times New Roman" w:eastAsia="宋体" w:cs="宋体"/>
          <w:color w:val="000000" w:themeColor="text1"/>
          <w:sz w:val="24"/>
          <w14:textFill>
            <w14:solidFill>
              <w14:schemeClr w14:val="tx1"/>
            </w14:solidFill>
          </w14:textFill>
        </w:rPr>
        <w:t>，63团地下水资源量为2978.3万m</w:t>
      </w:r>
      <w:r>
        <w:rPr>
          <w:rFonts w:hint="eastAsia" w:ascii="Times New Roman" w:hAnsi="Times New Roman" w:eastAsia="宋体" w:cs="宋体"/>
          <w:color w:val="000000" w:themeColor="text1"/>
          <w:sz w:val="24"/>
          <w:vertAlign w:val="superscript"/>
          <w14:textFill>
            <w14:solidFill>
              <w14:schemeClr w14:val="tx1"/>
            </w14:solidFill>
          </w14:textFill>
        </w:rPr>
        <w:t>3</w:t>
      </w:r>
      <w:r>
        <w:rPr>
          <w:rFonts w:hint="eastAsia" w:ascii="Times New Roman" w:hAnsi="Times New Roman" w:eastAsia="宋体" w:cs="宋体"/>
          <w:color w:val="000000" w:themeColor="text1"/>
          <w:sz w:val="24"/>
          <w:lang w:eastAsia="zh-CN"/>
          <w14:textFill>
            <w14:solidFill>
              <w14:schemeClr w14:val="tx1"/>
            </w14:solidFill>
          </w14:textFill>
        </w:rPr>
        <w:t>，地下水可开采量</w:t>
      </w:r>
      <w:r>
        <w:rPr>
          <w:rFonts w:hint="eastAsia" w:ascii="Times New Roman" w:hAnsi="Times New Roman" w:eastAsia="宋体" w:cs="宋体"/>
          <w:color w:val="000000" w:themeColor="text1"/>
          <w:sz w:val="24"/>
          <w:lang w:val="en-US" w:eastAsia="zh-CN"/>
          <w14:textFill>
            <w14:solidFill>
              <w14:schemeClr w14:val="tx1"/>
            </w14:solidFill>
          </w14:textFill>
        </w:rPr>
        <w:t>2017.88万</w:t>
      </w:r>
      <w:r>
        <w:rPr>
          <w:rFonts w:hint="eastAsia" w:ascii="Times New Roman" w:hAnsi="Times New Roman" w:eastAsia="宋体" w:cs="宋体"/>
          <w:color w:val="000000" w:themeColor="text1"/>
          <w:sz w:val="24"/>
          <w14:textFill>
            <w14:solidFill>
              <w14:schemeClr w14:val="tx1"/>
            </w14:solidFill>
          </w14:textFill>
        </w:rPr>
        <w:t>m</w:t>
      </w:r>
      <w:r>
        <w:rPr>
          <w:rFonts w:hint="eastAsia" w:ascii="Times New Roman" w:hAnsi="Times New Roman" w:eastAsia="宋体" w:cs="宋体"/>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p>
    <w:p w14:paraId="0245BC54">
      <w:pPr>
        <w:pStyle w:val="8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水文地质</w:t>
      </w:r>
    </w:p>
    <w:p w14:paraId="476EC3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（1）地质构造</w:t>
      </w:r>
    </w:p>
    <w:p w14:paraId="1BCFC0B4">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63团位于中天山海西褶皱伊犁盆地中部伊犁河北岸沙漠边缘，具有内陆地自流盆地的性质和半干燥型气候条件，决定团场的外地质作用，</w:t>
      </w:r>
      <w:r>
        <w:rPr>
          <w:rFonts w:hint="eastAsia" w:eastAsia="宋体" w:cs="宋体"/>
          <w:snapToGrid w:val="0"/>
          <w:color w:val="000000" w:themeColor="text1"/>
          <w:kern w:val="0"/>
          <w:sz w:val="24"/>
          <w:lang w:eastAsia="zh-CN"/>
          <w14:textFill>
            <w14:solidFill>
              <w14:schemeClr w14:val="tx1"/>
            </w14:solidFill>
          </w14:textFill>
        </w:rPr>
        <w:t>是以物理分化作用和堆积形式为主</w:t>
      </w:r>
      <w:r>
        <w:rPr>
          <w:rFonts w:hint="eastAsia" w:ascii="Times New Roman" w:hAnsi="Times New Roman" w:eastAsia="宋体" w:cs="宋体"/>
          <w:snapToGrid w:val="0"/>
          <w:color w:val="000000" w:themeColor="text1"/>
          <w:kern w:val="0"/>
          <w:sz w:val="24"/>
          <w14:textFill>
            <w14:solidFill>
              <w14:schemeClr w14:val="tx1"/>
            </w14:solidFill>
          </w14:textFill>
        </w:rPr>
        <w:t>。因中天山是海西褶皱带，在燕山期及喜马拉雅山期的洼陷盆地，从第四纪以来一直以下降运动为主，因此沉积了巨厚的第四纪堆积物。</w:t>
      </w:r>
      <w:r>
        <w:rPr>
          <w:rFonts w:hint="eastAsia" w:ascii="Times New Roman" w:hAnsi="Times New Roman" w:eastAsia="宋体" w:cs="宋体"/>
          <w:snapToGrid w:val="0"/>
          <w:color w:val="000000" w:themeColor="text1"/>
          <w:kern w:val="0"/>
          <w:sz w:val="24"/>
          <w:lang w:eastAsia="zh-CN"/>
          <w14:textFill>
            <w14:solidFill>
              <w14:schemeClr w14:val="tx1"/>
            </w14:solidFill>
          </w14:textFill>
        </w:rPr>
        <w:t>63团</w:t>
      </w:r>
      <w:r>
        <w:rPr>
          <w:rFonts w:hint="eastAsia" w:ascii="Times New Roman" w:hAnsi="Times New Roman" w:eastAsia="宋体" w:cs="宋体"/>
          <w:snapToGrid w:val="0"/>
          <w:color w:val="000000" w:themeColor="text1"/>
          <w:kern w:val="0"/>
          <w:sz w:val="24"/>
          <w14:textFill>
            <w14:solidFill>
              <w14:schemeClr w14:val="tx1"/>
            </w14:solidFill>
          </w14:textFill>
        </w:rPr>
        <w:t>位于伊犁河冲洪积平原上，为巨厚的第四系冲洪积细粒土覆盖，无区域性构造通过。</w:t>
      </w:r>
    </w:p>
    <w:p w14:paraId="25994117">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（2）地下水的储存与分布</w:t>
      </w:r>
    </w:p>
    <w:p w14:paraId="682B143B">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63团位于伊犁河流域冲洪积平原下游区，该区西部区域的地下水同时受</w:t>
      </w:r>
      <w:r>
        <w:rPr>
          <w:rFonts w:hint="eastAsia" w:ascii="Times New Roman" w:hAnsi="Times New Roman" w:eastAsia="宋体" w:cs="宋体"/>
          <w:snapToGrid w:val="0"/>
          <w:color w:val="000000" w:themeColor="text1"/>
          <w:kern w:val="0"/>
          <w:sz w:val="24"/>
          <w:lang w:eastAsia="zh-CN"/>
          <w14:textFill>
            <w14:solidFill>
              <w14:schemeClr w14:val="tx1"/>
            </w14:solidFill>
          </w14:textFill>
        </w:rPr>
        <w:t>HEGSH</w:t>
      </w:r>
      <w:r>
        <w:rPr>
          <w:rFonts w:hint="eastAsia" w:ascii="Times New Roman" w:hAnsi="Times New Roman" w:eastAsia="宋体" w:cs="宋体"/>
          <w:snapToGrid w:val="0"/>
          <w:color w:val="000000" w:themeColor="text1"/>
          <w:kern w:val="0"/>
          <w:sz w:val="24"/>
          <w14:textFill>
            <w14:solidFill>
              <w14:schemeClr w14:val="tx1"/>
            </w14:solidFill>
          </w14:textFill>
        </w:rPr>
        <w:t>的侧向补给影响。地下水具潜水、承压水多层结构。</w:t>
      </w:r>
    </w:p>
    <w:p w14:paraId="7D7FBCAE">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由于地处</w:t>
      </w:r>
      <w:r>
        <w:rPr>
          <w:rFonts w:hint="eastAsia" w:eastAsia="宋体" w:cs="宋体"/>
          <w:snapToGrid w:val="0"/>
          <w:color w:val="000000" w:themeColor="text1"/>
          <w:kern w:val="0"/>
          <w:sz w:val="24"/>
          <w:lang w:eastAsia="zh-CN"/>
          <w14:textFill>
            <w14:solidFill>
              <w14:schemeClr w14:val="tx1"/>
            </w14:solidFill>
          </w14:textFill>
        </w:rPr>
        <w:t>各个</w:t>
      </w:r>
      <w:r>
        <w:rPr>
          <w:rFonts w:hint="eastAsia" w:ascii="Times New Roman" w:hAnsi="Times New Roman" w:eastAsia="宋体" w:cs="宋体"/>
          <w:snapToGrid w:val="0"/>
          <w:color w:val="000000" w:themeColor="text1"/>
          <w:kern w:val="0"/>
          <w:sz w:val="24"/>
          <w14:textFill>
            <w14:solidFill>
              <w14:schemeClr w14:val="tx1"/>
            </w14:solidFill>
          </w14:textFill>
        </w:rPr>
        <w:t>河流下游地势较低洼地区，使得该区地下水径流滞缓，且受沉降构造带的影响，63团地下水在巨厚的沉积物中，形成了广阔的天然地下水库，可以说，63团内是地下水的聚集区。</w:t>
      </w:r>
    </w:p>
    <w:p w14:paraId="63F36FB8">
      <w:pPr>
        <w:adjustRightInd w:val="0"/>
        <w:snapToGrid w:val="0"/>
        <w:spacing w:line="360" w:lineRule="auto"/>
        <w:ind w:firstLine="480" w:firstLineChars="200"/>
        <w:rPr>
          <w:rFonts w:hint="default" w:ascii="Times New Roman" w:hAnsi="Times New Roman" w:eastAsia="宋体" w:cs="宋体"/>
          <w:snapToGrid w:val="0"/>
          <w:color w:val="000000" w:themeColor="text1"/>
          <w:kern w:val="0"/>
          <w:sz w:val="24"/>
          <w:lang w:val="en-US" w:eastAsia="zh-CN"/>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根据统测工作，63团地下水埋深2.6～11.7m，含水层岩性为细砂，钻孔涌水量（换算后，下同）10.2～11.2m</w:t>
      </w:r>
      <w:r>
        <w:rPr>
          <w:rFonts w:hint="eastAsia" w:ascii="Times New Roman" w:hAnsi="Times New Roman" w:eastAsia="宋体" w:cs="宋体"/>
          <w:snapToGrid w:val="0"/>
          <w:color w:val="000000" w:themeColor="text1"/>
          <w:kern w:val="0"/>
          <w:sz w:val="24"/>
          <w:vertAlign w:val="superscript"/>
          <w14:textFill>
            <w14:solidFill>
              <w14:schemeClr w14:val="tx1"/>
            </w14:solidFill>
          </w14:textFill>
        </w:rPr>
        <w:t>3</w:t>
      </w:r>
      <w:r>
        <w:rPr>
          <w:rFonts w:hint="eastAsia" w:ascii="Times New Roman" w:hAnsi="Times New Roman" w:eastAsia="宋体" w:cs="宋体"/>
          <w:snapToGrid w:val="0"/>
          <w:color w:val="000000" w:themeColor="text1"/>
          <w:kern w:val="0"/>
          <w:sz w:val="24"/>
          <w14:textFill>
            <w14:solidFill>
              <w14:schemeClr w14:val="tx1"/>
            </w14:solidFill>
          </w14:textFill>
        </w:rPr>
        <w:t xml:space="preserve"> /h·m</w:t>
      </w:r>
      <w:r>
        <w:rPr>
          <w:rFonts w:hint="eastAsia" w:ascii="Times New Roman" w:hAnsi="Times New Roman" w:eastAsia="宋体" w:cs="宋体"/>
          <w:snapToGrid w:val="0"/>
          <w:color w:val="000000" w:themeColor="text1"/>
          <w:kern w:val="0"/>
          <w:sz w:val="24"/>
          <w:lang w:eastAsia="zh-CN"/>
          <w14:textFill>
            <w14:solidFill>
              <w14:schemeClr w14:val="tx1"/>
            </w14:solidFill>
          </w14:textFill>
        </w:rPr>
        <w:t>，</w:t>
      </w:r>
      <w:r>
        <w:rPr>
          <w:rFonts w:hint="eastAsia" w:ascii="Times New Roman" w:hAnsi="Times New Roman" w:eastAsia="宋体" w:cs="宋体"/>
          <w:snapToGrid w:val="0"/>
          <w:color w:val="000000" w:themeColor="text1"/>
          <w:kern w:val="0"/>
          <w:sz w:val="24"/>
          <w14:textFill>
            <w14:solidFill>
              <w14:schemeClr w14:val="tx1"/>
            </w14:solidFill>
          </w14:textFill>
        </w:rPr>
        <w:t>属强富水区，渗透系数5.0～5.4m/d。</w:t>
      </w:r>
      <w:r>
        <w:rPr>
          <w:rFonts w:hint="eastAsia" w:eastAsia="宋体" w:cs="宋体"/>
          <w:snapToGrid w:val="0"/>
          <w:color w:val="000000" w:themeColor="text1"/>
          <w:kern w:val="0"/>
          <w:sz w:val="24"/>
          <w:lang w:val="en-US" w:eastAsia="zh-CN"/>
          <w14:textFill>
            <w14:solidFill>
              <w14:schemeClr w14:val="tx1"/>
            </w14:solidFill>
          </w14:textFill>
        </w:rPr>
        <w:t>本项目位于63团南部沙地，区域地下水埋深一般在10—11.7m。</w:t>
      </w:r>
    </w:p>
    <w:p w14:paraId="6FF3721C">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（3）地下水的补径排</w:t>
      </w:r>
    </w:p>
    <w:p w14:paraId="0F3901A8">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随着地形坡度的渐缓，岩性颗粒的变细，至冲洪积平原的中下段，形成了潜水与承压水互层的多层结构。潜水补给以地表水、农灌水的入渗补给为主，次为侧向径流补给，地下水的排泄途径主要有潜水的蒸发蒸腾、地下水的侧向水平径流流出、排渠排出以及人工开采等。潜水在垂向上的蒸发蒸腾是本区地下水最主要的排泄方式。</w:t>
      </w:r>
    </w:p>
    <w:p w14:paraId="2BA16CB3">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（4）地下水化学特征</w:t>
      </w:r>
    </w:p>
    <w:p w14:paraId="58464742">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lang w:eastAsia="zh-CN"/>
          <w14:textFill>
            <w14:solidFill>
              <w14:schemeClr w14:val="tx1"/>
            </w14:solidFill>
          </w14:textFill>
        </w:rPr>
        <w:t>63团</w:t>
      </w:r>
      <w:r>
        <w:rPr>
          <w:rFonts w:hint="eastAsia" w:ascii="Times New Roman" w:hAnsi="Times New Roman" w:eastAsia="宋体" w:cs="宋体"/>
          <w:snapToGrid w:val="0"/>
          <w:color w:val="000000" w:themeColor="text1"/>
          <w:kern w:val="0"/>
          <w:sz w:val="24"/>
          <w14:textFill>
            <w14:solidFill>
              <w14:schemeClr w14:val="tx1"/>
            </w14:solidFill>
          </w14:textFill>
        </w:rPr>
        <w:t>处于</w:t>
      </w:r>
      <w:r>
        <w:rPr>
          <w:rFonts w:hint="eastAsia" w:ascii="Times New Roman" w:hAnsi="Times New Roman" w:eastAsia="宋体" w:cs="宋体"/>
          <w:snapToGrid w:val="0"/>
          <w:color w:val="000000" w:themeColor="text1"/>
          <w:kern w:val="0"/>
          <w:sz w:val="24"/>
          <w:lang w:eastAsia="zh-CN"/>
          <w14:textFill>
            <w14:solidFill>
              <w14:schemeClr w14:val="tx1"/>
            </w14:solidFill>
          </w14:textFill>
        </w:rPr>
        <w:t>HEGSH</w:t>
      </w:r>
      <w:r>
        <w:rPr>
          <w:rFonts w:hint="eastAsia" w:ascii="Times New Roman" w:hAnsi="Times New Roman" w:eastAsia="宋体" w:cs="宋体"/>
          <w:snapToGrid w:val="0"/>
          <w:color w:val="000000" w:themeColor="text1"/>
          <w:kern w:val="0"/>
          <w:sz w:val="24"/>
          <w14:textFill>
            <w14:solidFill>
              <w14:schemeClr w14:val="tx1"/>
            </w14:solidFill>
          </w14:textFill>
        </w:rPr>
        <w:t>冲积平原的中下游，受自然地理条件的限制，地下水在此径流变得缓慢、蒸发强烈等因素影响，水质也相对变得较差。但由于</w:t>
      </w:r>
      <w:r>
        <w:rPr>
          <w:rFonts w:hint="eastAsia" w:ascii="Times New Roman" w:hAnsi="Times New Roman" w:eastAsia="宋体" w:cs="宋体"/>
          <w:snapToGrid w:val="0"/>
          <w:color w:val="000000" w:themeColor="text1"/>
          <w:kern w:val="0"/>
          <w:sz w:val="24"/>
          <w:lang w:eastAsia="zh-CN"/>
          <w14:textFill>
            <w14:solidFill>
              <w14:schemeClr w14:val="tx1"/>
            </w14:solidFill>
          </w14:textFill>
        </w:rPr>
        <w:t>HEGSH</w:t>
      </w:r>
      <w:r>
        <w:rPr>
          <w:rFonts w:hint="eastAsia" w:ascii="Times New Roman" w:hAnsi="Times New Roman" w:eastAsia="宋体" w:cs="宋体"/>
          <w:snapToGrid w:val="0"/>
          <w:color w:val="000000" w:themeColor="text1"/>
          <w:kern w:val="0"/>
          <w:sz w:val="24"/>
          <w14:textFill>
            <w14:solidFill>
              <w14:schemeClr w14:val="tx1"/>
            </w14:solidFill>
          </w14:textFill>
        </w:rPr>
        <w:t>的侧渗补给、渠道及水库的渗漏影响，地下水矿化度都不大于 1g/l。地下水水化学类型主要为HCO</w:t>
      </w:r>
      <w:r>
        <w:rPr>
          <w:rFonts w:hint="eastAsia" w:ascii="Times New Roman" w:hAnsi="Times New Roman" w:eastAsia="宋体" w:cs="宋体"/>
          <w:snapToGrid w:val="0"/>
          <w:color w:val="000000" w:themeColor="text1"/>
          <w:kern w:val="0"/>
          <w:sz w:val="24"/>
          <w:vertAlign w:val="subscript"/>
          <w14:textFill>
            <w14:solidFill>
              <w14:schemeClr w14:val="tx1"/>
            </w14:solidFill>
          </w14:textFill>
        </w:rPr>
        <w:t>3</w:t>
      </w:r>
      <w:r>
        <w:rPr>
          <w:rFonts w:hint="eastAsia" w:ascii="Times New Roman" w:hAnsi="Times New Roman" w:eastAsia="宋体" w:cs="宋体"/>
          <w:snapToGrid w:val="0"/>
          <w:color w:val="000000" w:themeColor="text1"/>
          <w:kern w:val="0"/>
          <w:sz w:val="24"/>
          <w14:textFill>
            <w14:solidFill>
              <w14:schemeClr w14:val="tx1"/>
            </w14:solidFill>
          </w14:textFill>
        </w:rPr>
        <w:t>—Ca·Mg、SO</w:t>
      </w:r>
      <w:r>
        <w:rPr>
          <w:rFonts w:hint="eastAsia" w:ascii="Times New Roman" w:hAnsi="Times New Roman" w:eastAsia="宋体" w:cs="宋体"/>
          <w:snapToGrid w:val="0"/>
          <w:color w:val="000000" w:themeColor="text1"/>
          <w:kern w:val="0"/>
          <w:sz w:val="24"/>
          <w:vertAlign w:val="subscript"/>
          <w14:textFill>
            <w14:solidFill>
              <w14:schemeClr w14:val="tx1"/>
            </w14:solidFill>
          </w14:textFill>
        </w:rPr>
        <w:t>4</w:t>
      </w:r>
      <w:r>
        <w:rPr>
          <w:rFonts w:hint="eastAsia" w:ascii="Times New Roman" w:hAnsi="Times New Roman" w:eastAsia="宋体" w:cs="宋体"/>
          <w:snapToGrid w:val="0"/>
          <w:color w:val="000000" w:themeColor="text1"/>
          <w:kern w:val="0"/>
          <w:sz w:val="24"/>
          <w14:textFill>
            <w14:solidFill>
              <w14:schemeClr w14:val="tx1"/>
            </w14:solidFill>
          </w14:textFill>
        </w:rPr>
        <w:t>·HCO</w:t>
      </w:r>
      <w:r>
        <w:rPr>
          <w:rFonts w:hint="eastAsia" w:ascii="Times New Roman" w:hAnsi="Times New Roman" w:eastAsia="宋体" w:cs="宋体"/>
          <w:snapToGrid w:val="0"/>
          <w:color w:val="000000" w:themeColor="text1"/>
          <w:kern w:val="0"/>
          <w:sz w:val="24"/>
          <w:vertAlign w:val="subscript"/>
          <w14:textFill>
            <w14:solidFill>
              <w14:schemeClr w14:val="tx1"/>
            </w14:solidFill>
          </w14:textFill>
        </w:rPr>
        <w:t>3</w:t>
      </w:r>
      <w:r>
        <w:rPr>
          <w:rFonts w:hint="eastAsia" w:ascii="Times New Roman" w:hAnsi="Times New Roman" w:eastAsia="宋体" w:cs="宋体"/>
          <w:snapToGrid w:val="0"/>
          <w:color w:val="000000" w:themeColor="text1"/>
          <w:kern w:val="0"/>
          <w:sz w:val="24"/>
          <w14:textFill>
            <w14:solidFill>
              <w14:schemeClr w14:val="tx1"/>
            </w14:solidFill>
          </w14:textFill>
        </w:rPr>
        <w:t>—Na.Mg和 HCO</w:t>
      </w:r>
      <w:r>
        <w:rPr>
          <w:rFonts w:hint="eastAsia" w:ascii="Times New Roman" w:hAnsi="Times New Roman" w:eastAsia="宋体" w:cs="宋体"/>
          <w:snapToGrid w:val="0"/>
          <w:color w:val="000000" w:themeColor="text1"/>
          <w:kern w:val="0"/>
          <w:sz w:val="24"/>
          <w:vertAlign w:val="subscript"/>
          <w14:textFill>
            <w14:solidFill>
              <w14:schemeClr w14:val="tx1"/>
            </w14:solidFill>
          </w14:textFill>
        </w:rPr>
        <w:t>3</w:t>
      </w:r>
      <w:r>
        <w:rPr>
          <w:rFonts w:hint="eastAsia" w:ascii="Times New Roman" w:hAnsi="Times New Roman" w:eastAsia="宋体" w:cs="宋体"/>
          <w:snapToGrid w:val="0"/>
          <w:color w:val="000000" w:themeColor="text1"/>
          <w:kern w:val="0"/>
          <w:sz w:val="24"/>
          <w14:textFill>
            <w14:solidFill>
              <w14:schemeClr w14:val="tx1"/>
            </w14:solidFill>
          </w14:textFill>
        </w:rPr>
        <w:t>·SO</w:t>
      </w:r>
      <w:r>
        <w:rPr>
          <w:rFonts w:hint="eastAsia" w:ascii="Times New Roman" w:hAnsi="Times New Roman" w:eastAsia="宋体" w:cs="宋体"/>
          <w:snapToGrid w:val="0"/>
          <w:color w:val="000000" w:themeColor="text1"/>
          <w:kern w:val="0"/>
          <w:sz w:val="24"/>
          <w:vertAlign w:val="subscript"/>
          <w14:textFill>
            <w14:solidFill>
              <w14:schemeClr w14:val="tx1"/>
            </w14:solidFill>
          </w14:textFill>
        </w:rPr>
        <w:t>4</w:t>
      </w:r>
      <w:r>
        <w:rPr>
          <w:rFonts w:hint="eastAsia" w:ascii="Times New Roman" w:hAnsi="Times New Roman" w:eastAsia="宋体" w:cs="宋体"/>
          <w:snapToGrid w:val="0"/>
          <w:color w:val="000000" w:themeColor="text1"/>
          <w:kern w:val="0"/>
          <w:sz w:val="24"/>
          <w14:textFill>
            <w14:solidFill>
              <w14:schemeClr w14:val="tx1"/>
            </w14:solidFill>
          </w14:textFill>
        </w:rPr>
        <w:t>—Ca·Mg。</w:t>
      </w:r>
    </w:p>
    <w:p w14:paraId="2C81126F">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（5）地下水水质动态分析</w:t>
      </w:r>
    </w:p>
    <w:p w14:paraId="30572192">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63团</w:t>
      </w:r>
      <w:r>
        <w:rPr>
          <w:rFonts w:hint="eastAsia" w:ascii="Times New Roman" w:hAnsi="Times New Roman" w:eastAsia="宋体" w:cs="宋体"/>
          <w:snapToGrid w:val="0"/>
          <w:color w:val="000000" w:themeColor="text1"/>
          <w:kern w:val="0"/>
          <w:sz w:val="24"/>
          <w:lang w:eastAsia="zh-CN"/>
          <w14:textFill>
            <w14:solidFill>
              <w14:schemeClr w14:val="tx1"/>
            </w14:solidFill>
          </w14:textFill>
        </w:rPr>
        <w:t>处于HEGSH</w:t>
      </w:r>
      <w:r>
        <w:rPr>
          <w:rFonts w:hint="eastAsia" w:ascii="Times New Roman" w:hAnsi="Times New Roman" w:eastAsia="宋体" w:cs="宋体"/>
          <w:snapToGrid w:val="0"/>
          <w:color w:val="000000" w:themeColor="text1"/>
          <w:kern w:val="0"/>
          <w:sz w:val="24"/>
          <w14:textFill>
            <w14:solidFill>
              <w14:schemeClr w14:val="tx1"/>
            </w14:solidFill>
          </w14:textFill>
        </w:rPr>
        <w:t>冲积平原的中下游，地形坡度较缓，岩性</w:t>
      </w:r>
      <w:r>
        <w:rPr>
          <w:rFonts w:hint="eastAsia" w:eastAsia="宋体" w:cs="宋体"/>
          <w:snapToGrid w:val="0"/>
          <w:color w:val="000000" w:themeColor="text1"/>
          <w:kern w:val="0"/>
          <w:sz w:val="24"/>
          <w:lang w:eastAsia="zh-CN"/>
          <w14:textFill>
            <w14:solidFill>
              <w14:schemeClr w14:val="tx1"/>
            </w14:solidFill>
          </w14:textFill>
        </w:rPr>
        <w:t>颗粒</w:t>
      </w:r>
      <w:r>
        <w:rPr>
          <w:rFonts w:hint="eastAsia" w:ascii="Times New Roman" w:hAnsi="Times New Roman" w:eastAsia="宋体" w:cs="宋体"/>
          <w:snapToGrid w:val="0"/>
          <w:color w:val="000000" w:themeColor="text1"/>
          <w:kern w:val="0"/>
          <w:sz w:val="24"/>
          <w14:textFill>
            <w14:solidFill>
              <w14:schemeClr w14:val="tx1"/>
            </w14:solidFill>
          </w14:textFill>
        </w:rPr>
        <w:t>较细，地下水水力坡度也逐渐变小，地下水运移速度缓慢，地下水埋深较浅。</w:t>
      </w:r>
    </w:p>
    <w:p w14:paraId="3C9A5763">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63团无长期水质监测成果，对比2010年以来的63团水质化验成果，63团地下水类型以HCO</w:t>
      </w:r>
      <w:r>
        <w:rPr>
          <w:rFonts w:hint="eastAsia" w:ascii="Times New Roman" w:hAnsi="Times New Roman" w:eastAsia="宋体" w:cs="宋体"/>
          <w:snapToGrid w:val="0"/>
          <w:color w:val="000000" w:themeColor="text1"/>
          <w:kern w:val="0"/>
          <w:sz w:val="24"/>
          <w:vertAlign w:val="subscript"/>
          <w14:textFill>
            <w14:solidFill>
              <w14:schemeClr w14:val="tx1"/>
            </w14:solidFill>
          </w14:textFill>
        </w:rPr>
        <w:t>3</w:t>
      </w:r>
      <w:r>
        <w:rPr>
          <w:rFonts w:hint="eastAsia" w:ascii="Times New Roman" w:hAnsi="Times New Roman" w:eastAsia="宋体" w:cs="宋体"/>
          <w:snapToGrid w:val="0"/>
          <w:color w:val="000000" w:themeColor="text1"/>
          <w:kern w:val="0"/>
          <w:sz w:val="24"/>
          <w14:textFill>
            <w14:solidFill>
              <w14:schemeClr w14:val="tx1"/>
            </w14:solidFill>
          </w14:textFill>
        </w:rPr>
        <w:t>型水为主，潜水由北向南径流过程中，地下水矿化度都不大于1g/L。根据本次取样试验结果对比，水质未发生明显变化，满足生活饮用水卫生标准。</w:t>
      </w:r>
    </w:p>
    <w:p w14:paraId="74EF7EF9">
      <w:pPr>
        <w:adjustRightInd w:val="0"/>
        <w:snapToGrid w:val="0"/>
        <w:spacing w:line="360" w:lineRule="auto"/>
        <w:ind w:firstLine="480" w:firstLineChars="200"/>
        <w:rPr>
          <w:rFonts w:hint="eastAsia" w:ascii="Times New Roman" w:hAnsi="Times New Roman" w:eastAsia="宋体" w:cs="宋体"/>
          <w:snapToGrid w:val="0"/>
          <w:color w:val="000000" w:themeColor="text1"/>
          <w:kern w:val="0"/>
          <w:sz w:val="24"/>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（6）地下水水位动态分析</w:t>
      </w:r>
    </w:p>
    <w:p w14:paraId="2DC7307D">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宋体"/>
          <w:snapToGrid w:val="0"/>
          <w:color w:val="000000" w:themeColor="text1"/>
          <w:kern w:val="0"/>
          <w:sz w:val="24"/>
          <w14:textFill>
            <w14:solidFill>
              <w14:schemeClr w14:val="tx1"/>
            </w14:solidFill>
          </w14:textFill>
        </w:rPr>
        <w:t>地下水埋深由北向南逐渐变深的趋势，由北部埋深大于5.0m递变到南部大于10m。从测水水位来看，地下水水位5月份开始下降，8月－10月达到最低值，8月－10月后又开始恢复上升，3月－4月达到年内最高值，呈单峰特征；年内水位变化较大，水位变幅3.0m，主要受农业灌溉用水开采地下水的影响，其动态类型属于径流—开采型</w:t>
      </w:r>
      <w:r>
        <w:rPr>
          <w:rFonts w:hint="eastAsia" w:ascii="Times New Roman" w:hAnsi="Times New Roman" w:eastAsia="宋体" w:cs="宋体"/>
          <w:snapToGrid w:val="0"/>
          <w:color w:val="000000" w:themeColor="text1"/>
          <w:kern w:val="0"/>
          <w:sz w:val="24"/>
          <w:lang w:eastAsia="zh-CN"/>
          <w14:textFill>
            <w14:solidFill>
              <w14:schemeClr w14:val="tx1"/>
            </w14:solidFill>
          </w14:textFill>
        </w:rPr>
        <w:t>。</w:t>
      </w:r>
    </w:p>
    <w:p w14:paraId="7F524605">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16" w:name="_Toc2927"/>
      <w:bookmarkStart w:id="117" w:name="_Toc2654"/>
      <w:bookmarkStart w:id="118" w:name="_Toc17294"/>
      <w:bookmarkStart w:id="119" w:name="_Toc300"/>
      <w:bookmarkStart w:id="120" w:name="_Toc1784"/>
      <w:bookmarkStart w:id="121" w:name="_Toc6826"/>
      <w:bookmarkStart w:id="122" w:name="_Toc13761"/>
      <w:bookmarkStart w:id="123" w:name="_Toc22086"/>
      <w:r>
        <w:rPr>
          <w:rFonts w:ascii="Times New Roman" w:hAnsi="Times New Roman" w:cs="Times New Roman"/>
          <w:color w:val="000000" w:themeColor="text1"/>
          <w14:textFill>
            <w14:solidFill>
              <w14:schemeClr w14:val="tx1"/>
            </w14:solidFill>
          </w14:textFill>
        </w:rPr>
        <w:t>动物资源</w:t>
      </w:r>
      <w:bookmarkEnd w:id="116"/>
      <w:bookmarkEnd w:id="117"/>
      <w:bookmarkEnd w:id="118"/>
      <w:bookmarkEnd w:id="119"/>
      <w:bookmarkEnd w:id="120"/>
      <w:bookmarkEnd w:id="121"/>
      <w:bookmarkEnd w:id="122"/>
      <w:bookmarkEnd w:id="123"/>
    </w:p>
    <w:p w14:paraId="5E6F43FE">
      <w:pPr>
        <w:keepNext w:val="0"/>
        <w:keepLines w:val="0"/>
        <w:widowControl/>
        <w:suppressLineNumbers w:val="0"/>
        <w:jc w:val="left"/>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根据现场踏勘，项目所在区域没有国家级、自治区级保护动物，</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项目区周边人类活动频繁，无大型野生动物踪迹，偶见的野生动物多为一些小的动物和飞禽，如鼠、麻雀等动物。未见有重点保护野生动物</w:t>
      </w:r>
      <w:r>
        <w:rPr>
          <w:rFonts w:ascii="Times New Roman" w:hAnsi="Times New Roman" w:cs="Times New Roman"/>
          <w:color w:val="000000" w:themeColor="text1"/>
          <w:szCs w:val="24"/>
          <w14:textFill>
            <w14:solidFill>
              <w14:schemeClr w14:val="tx1"/>
            </w14:solidFill>
          </w14:textFill>
        </w:rPr>
        <w:t>。</w:t>
      </w:r>
    </w:p>
    <w:p w14:paraId="2C735F9A">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24" w:name="_Toc24718"/>
      <w:bookmarkStart w:id="125" w:name="_Toc18799"/>
      <w:bookmarkStart w:id="126" w:name="_Toc7551"/>
      <w:bookmarkStart w:id="127" w:name="_Toc17532"/>
      <w:bookmarkStart w:id="128" w:name="_Toc12032"/>
      <w:bookmarkStart w:id="129" w:name="_Toc16048"/>
      <w:bookmarkStart w:id="130" w:name="_Toc12717"/>
      <w:bookmarkStart w:id="131" w:name="_Toc19891"/>
      <w:r>
        <w:rPr>
          <w:rFonts w:ascii="Times New Roman" w:hAnsi="Times New Roman" w:cs="Times New Roman"/>
          <w:color w:val="000000" w:themeColor="text1"/>
          <w14:textFill>
            <w14:solidFill>
              <w14:schemeClr w14:val="tx1"/>
            </w14:solidFill>
          </w14:textFill>
        </w:rPr>
        <w:t>土壤类型</w:t>
      </w:r>
      <w:bookmarkEnd w:id="124"/>
      <w:bookmarkEnd w:id="125"/>
      <w:bookmarkEnd w:id="126"/>
      <w:bookmarkEnd w:id="127"/>
      <w:bookmarkEnd w:id="128"/>
      <w:bookmarkEnd w:id="129"/>
      <w:bookmarkEnd w:id="130"/>
      <w:bookmarkEnd w:id="131"/>
    </w:p>
    <w:p w14:paraId="7D9C14A9">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项目区地表主要为风积细砂，上部0.3～0.5m含少量植物根系；级配不良；岩性由石英、长石、云母等矿物组成</w:t>
      </w:r>
      <w:r>
        <w:rPr>
          <w:rFonts w:ascii="Times New Roman" w:hAnsi="Times New Roman" w:cs="Times New Roman"/>
          <w:color w:val="000000" w:themeColor="text1"/>
          <w14:textFill>
            <w14:solidFill>
              <w14:schemeClr w14:val="tx1"/>
            </w14:solidFill>
          </w14:textFill>
        </w:rPr>
        <w:t>。</w:t>
      </w:r>
    </w:p>
    <w:p w14:paraId="1E314861">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植被</w:t>
      </w:r>
      <w:r>
        <w:rPr>
          <w:rFonts w:ascii="Times New Roman" w:hAnsi="Times New Roman" w:cs="Times New Roman"/>
          <w:color w:val="000000" w:themeColor="text1"/>
          <w14:textFill>
            <w14:solidFill>
              <w14:schemeClr w14:val="tx1"/>
            </w14:solidFill>
          </w14:textFill>
        </w:rPr>
        <w:t>类型</w:t>
      </w:r>
    </w:p>
    <w:p w14:paraId="6181B5C2">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63团地表植被以沙漠植被为主，沙漠中伴有红柳、沙拐枣、白刺、野枸杞、梭梭、铃铛刺等灌木，还有骆驼刺、芨芨草、蒿属、碱蓬等矮生型植物。旱生型植被多分布在未利用地和沙土上。主要有琵琶柴、红柳、沙枣刺、铃铛刺、枸杞、碱蒿、骆驼刺、胖姑娘、碱灰藜、灯笼草、鸡眼草、白刺等。草甸草本植被分布在灌木有林地、水域附近，受水域浸润而生长旺盛。主要有芦苇、甘草、苦参、芨芨草、野蔷薇、灰灰草、苍耳、稗子、旋花草、奶子草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余种。</w:t>
      </w:r>
    </w:p>
    <w:p w14:paraId="78D350EA">
      <w:pPr>
        <w:keepNext w:val="0"/>
        <w:keepLines w:val="0"/>
        <w:widowControl/>
        <w:suppressLineNumbers w:val="0"/>
        <w:jc w:val="left"/>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依据地形和土壤的分布规律和现场调查，项目区主要现状主要生长的为沙丘植被，主要以多年生蒿类、红柳等沙生植被为主，生长稀疏，林草覆盖率在10%左右，高度约20～30</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cm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。本次现场踏勘未见有重点保护野生植物。</w:t>
      </w:r>
    </w:p>
    <w:p w14:paraId="7FBF0BAC">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132" w:name="_Toc22709"/>
      <w:bookmarkStart w:id="133" w:name="_Toc490417103"/>
      <w:bookmarkStart w:id="134" w:name="_Toc483492029"/>
      <w:r>
        <w:rPr>
          <w:rFonts w:ascii="Times New Roman" w:hAnsi="Times New Roman" w:cs="Times New Roman"/>
          <w:color w:val="000000" w:themeColor="text1"/>
          <w:lang w:val="en-GB"/>
          <w14:textFill>
            <w14:solidFill>
              <w14:schemeClr w14:val="tx1"/>
            </w14:solidFill>
          </w14:textFill>
        </w:rPr>
        <w:t>环境质量现状调查与评价</w:t>
      </w:r>
      <w:bookmarkEnd w:id="132"/>
      <w:bookmarkEnd w:id="133"/>
      <w:bookmarkEnd w:id="134"/>
    </w:p>
    <w:p w14:paraId="73E56C3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本次环境质量现状</w:t>
      </w:r>
      <w:r>
        <w:rPr>
          <w:rFonts w:hint="eastAsia" w:cs="Times New Roman"/>
          <w:color w:val="000000" w:themeColor="text1"/>
          <w:lang w:val="en-US" w:eastAsia="zh-CN"/>
          <w14:textFill>
            <w14:solidFill>
              <w14:schemeClr w14:val="tx1"/>
            </w14:solidFill>
          </w14:textFill>
        </w:rPr>
        <w:t>收集了</w:t>
      </w:r>
      <w:r>
        <w:rPr>
          <w:rFonts w:ascii="Times New Roman" w:hAnsi="Times New Roman" w:cs="Times New Roman"/>
          <w:color w:val="000000" w:themeColor="text1"/>
          <w14:textFill>
            <w14:solidFill>
              <w14:schemeClr w14:val="tx1"/>
            </w14:solidFill>
          </w14:textFill>
        </w:rPr>
        <w:t>新疆普京检测有限公司对</w:t>
      </w:r>
      <w:r>
        <w:rPr>
          <w:rFonts w:hint="eastAsia" w:cs="Times New Roman"/>
          <w:color w:val="000000" w:themeColor="text1"/>
          <w:lang w:val="en-US" w:eastAsia="zh-CN"/>
          <w14:textFill>
            <w14:solidFill>
              <w14:schemeClr w14:val="tx1"/>
            </w14:solidFill>
          </w14:textFill>
        </w:rPr>
        <w:t>其他</w:t>
      </w:r>
      <w:r>
        <w:rPr>
          <w:rFonts w:ascii="Times New Roman" w:hAnsi="Times New Roman" w:cs="Times New Roman"/>
          <w:color w:val="000000" w:themeColor="text1"/>
          <w14:textFill>
            <w14:solidFill>
              <w14:schemeClr w14:val="tx1"/>
            </w14:solidFill>
          </w14:textFill>
        </w:rPr>
        <w:t>项目区</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*公司6连养殖区建设项目</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的大气环境</w:t>
      </w:r>
      <w:r>
        <w:rPr>
          <w:rFonts w:hint="eastAsia" w:cs="Times New Roman"/>
          <w:color w:val="000000" w:themeColor="text1"/>
          <w:lang w:val="en-US" w:eastAsia="zh-CN"/>
          <w14:textFill>
            <w14:solidFill>
              <w14:schemeClr w14:val="tx1"/>
            </w14:solidFill>
          </w14:textFill>
        </w:rPr>
        <w:t>TSP及</w:t>
      </w:r>
      <w:r>
        <w:rPr>
          <w:rFonts w:ascii="Times New Roman" w:hAnsi="Times New Roman" w:cs="Times New Roman"/>
          <w:color w:val="000000" w:themeColor="text1"/>
          <w14:textFill>
            <w14:solidFill>
              <w14:schemeClr w14:val="tx1"/>
            </w14:solidFill>
          </w14:textFill>
        </w:rPr>
        <w:t>其他污染物（NH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S、臭气浓度）、地下水环境</w:t>
      </w:r>
      <w:r>
        <w:rPr>
          <w:rFonts w:hint="eastAsia" w:cs="Times New Roman"/>
          <w:color w:val="000000" w:themeColor="text1"/>
          <w:lang w:val="en-US" w:eastAsia="zh-CN"/>
          <w14:textFill>
            <w14:solidFill>
              <w14:schemeClr w14:val="tx1"/>
            </w14:solidFill>
          </w14:textFill>
        </w:rPr>
        <w:t>质量</w:t>
      </w:r>
      <w:r>
        <w:rPr>
          <w:rFonts w:ascii="Times New Roman" w:hAnsi="Times New Roman" w:cs="Times New Roman"/>
          <w:color w:val="000000" w:themeColor="text1"/>
          <w14:textFill>
            <w14:solidFill>
              <w14:schemeClr w14:val="tx1"/>
            </w14:solidFill>
          </w14:textFill>
        </w:rPr>
        <w:t>、声环境质量</w:t>
      </w:r>
      <w:r>
        <w:rPr>
          <w:rFonts w:hint="eastAsia" w:cs="Times New Roman"/>
          <w:color w:val="000000" w:themeColor="text1"/>
          <w:lang w:val="en-US" w:eastAsia="zh-CN"/>
          <w14:textFill>
            <w14:solidFill>
              <w14:schemeClr w14:val="tx1"/>
            </w14:solidFill>
          </w14:textFill>
        </w:rPr>
        <w:t>的</w:t>
      </w:r>
      <w:r>
        <w:rPr>
          <w:rFonts w:ascii="Times New Roman" w:hAnsi="Times New Roman" w:cs="Times New Roman"/>
          <w:color w:val="000000" w:themeColor="text1"/>
          <w14:textFill>
            <w14:solidFill>
              <w14:schemeClr w14:val="tx1"/>
            </w14:solidFill>
          </w14:textFill>
        </w:rPr>
        <w:t>现状监测</w:t>
      </w:r>
      <w:r>
        <w:rPr>
          <w:rFonts w:hint="eastAsia" w:cs="Times New Roman"/>
          <w:color w:val="000000" w:themeColor="text1"/>
          <w:lang w:val="en-US" w:eastAsia="zh-CN"/>
          <w14:textFill>
            <w14:solidFill>
              <w14:schemeClr w14:val="tx1"/>
            </w14:solidFill>
          </w14:textFill>
        </w:rPr>
        <w:t>结果，该项目监测点位距离本项目约3公里，本项目建设前与该项目监测环境相似，可以较好地体现本项目周边环境状况，可以用于本次评价</w:t>
      </w:r>
      <w:r>
        <w:rPr>
          <w:rFonts w:ascii="Times New Roman" w:hAnsi="Times New Roman" w:cs="Times New Roman"/>
          <w:color w:val="000000" w:themeColor="text1"/>
          <w14:textFill>
            <w14:solidFill>
              <w14:schemeClr w14:val="tx1"/>
            </w14:solidFill>
          </w14:textFill>
        </w:rPr>
        <w:t>。</w:t>
      </w:r>
    </w:p>
    <w:p w14:paraId="537CDC1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项目监测点位见</w:t>
      </w:r>
      <w:r>
        <w:rPr>
          <w:rFonts w:hint="eastAsia" w:ascii="Times New Roman" w:hAnsi="Times New Roman" w:cs="Times New Roman"/>
          <w:color w:val="000000" w:themeColor="text1"/>
          <w:lang w:val="en-US" w:eastAsia="zh-CN"/>
          <w14:textFill>
            <w14:solidFill>
              <w14:schemeClr w14:val="tx1"/>
            </w14:solidFill>
          </w14:textFill>
        </w:rPr>
        <w:t>附图</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检测报告</w:t>
      </w:r>
      <w:r>
        <w:rPr>
          <w:rFonts w:ascii="Times New Roman" w:hAnsi="Times New Roman" w:cs="Times New Roman"/>
          <w:color w:val="000000" w:themeColor="text1"/>
          <w14:textFill>
            <w14:solidFill>
              <w14:schemeClr w14:val="tx1"/>
            </w14:solidFill>
          </w14:textFill>
        </w:rPr>
        <w:t>见附件。</w:t>
      </w:r>
    </w:p>
    <w:p w14:paraId="2BC3D1EA">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35" w:name="_Toc483492030"/>
      <w:bookmarkStart w:id="136" w:name="_Toc490417104"/>
      <w:bookmarkStart w:id="137" w:name="_Toc429"/>
      <w:r>
        <w:rPr>
          <w:rFonts w:ascii="Times New Roman" w:hAnsi="Times New Roman" w:cs="Times New Roman"/>
          <w:color w:val="000000" w:themeColor="text1"/>
          <w14:textFill>
            <w14:solidFill>
              <w14:schemeClr w14:val="tx1"/>
            </w14:solidFill>
          </w14:textFill>
        </w:rPr>
        <w:t>大气环境质量现状调查与评价</w:t>
      </w:r>
      <w:bookmarkEnd w:id="135"/>
      <w:bookmarkEnd w:id="136"/>
      <w:bookmarkEnd w:id="137"/>
    </w:p>
    <w:p w14:paraId="43E83514">
      <w:pPr>
        <w:pStyle w:val="6"/>
        <w:ind w:left="2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基本污染物</w:t>
      </w:r>
    </w:p>
    <w:p w14:paraId="320D106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（1）基本污染物数据来源</w:t>
      </w:r>
    </w:p>
    <w:p w14:paraId="0D5E1904">
      <w:pPr>
        <w:pStyle w:val="84"/>
        <w:spacing w:line="520" w:lineRule="exact"/>
        <w:ind w:firstLine="480"/>
        <w:rPr>
          <w:rFonts w:ascii="Times New Roman" w:hAnsi="Times New Roman" w:cs="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本次评价基本污染物</w:t>
      </w:r>
      <w:r>
        <w:rPr>
          <w:rFonts w:hint="eastAsia" w:ascii="Times New Roman" w:hAnsi="Times New Roman"/>
          <w:color w:val="000000" w:themeColor="text1"/>
          <w:lang w:eastAsia="zh-CN"/>
          <w14:textFill>
            <w14:solidFill>
              <w14:schemeClr w14:val="tx1"/>
            </w14:solidFill>
          </w14:textFill>
        </w:rPr>
        <w:t>SO</w:t>
      </w:r>
      <w:r>
        <w:rPr>
          <w:rFonts w:hint="eastAsia" w:ascii="Times New Roman" w:hAnsi="Times New Roman"/>
          <w:color w:val="000000" w:themeColor="text1"/>
          <w:vertAlign w:val="subscript"/>
          <w:lang w:eastAsia="zh-CN"/>
          <w14:textFill>
            <w14:solidFill>
              <w14:schemeClr w14:val="tx1"/>
            </w14:solidFill>
          </w14:textFill>
        </w:rPr>
        <w:t>2</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eastAsia="zh-CN"/>
          <w14:textFill>
            <w14:solidFill>
              <w14:schemeClr w14:val="tx1"/>
            </w14:solidFill>
          </w14:textFill>
        </w:rPr>
        <w:t>NO</w:t>
      </w:r>
      <w:r>
        <w:rPr>
          <w:rFonts w:hint="eastAsia" w:ascii="Times New Roman" w:hAnsi="Times New Roman"/>
          <w:color w:val="000000" w:themeColor="text1"/>
          <w:vertAlign w:val="subscript"/>
          <w:lang w:eastAsia="zh-CN"/>
          <w14:textFill>
            <w14:solidFill>
              <w14:schemeClr w14:val="tx1"/>
            </w14:solidFill>
          </w14:textFill>
        </w:rPr>
        <w:t>2</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eastAsia="zh-CN"/>
          <w14:textFill>
            <w14:solidFill>
              <w14:schemeClr w14:val="tx1"/>
            </w14:solidFill>
          </w14:textFill>
        </w:rPr>
        <w:t>PM</w:t>
      </w:r>
      <w:r>
        <w:rPr>
          <w:rFonts w:hint="eastAsia" w:ascii="Times New Roman" w:hAnsi="Times New Roman"/>
          <w:color w:val="000000" w:themeColor="text1"/>
          <w:vertAlign w:val="subscript"/>
          <w:lang w:eastAsia="zh-CN"/>
          <w14:textFill>
            <w14:solidFill>
              <w14:schemeClr w14:val="tx1"/>
            </w14:solidFill>
          </w14:textFill>
        </w:rPr>
        <w:t>10</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eastAsia="zh-CN"/>
          <w14:textFill>
            <w14:solidFill>
              <w14:schemeClr w14:val="tx1"/>
            </w14:solidFill>
          </w14:textFill>
        </w:rPr>
        <w:t>PM</w:t>
      </w:r>
      <w:r>
        <w:rPr>
          <w:rFonts w:hint="eastAsia" w:ascii="Times New Roman" w:hAnsi="Times New Roman"/>
          <w:color w:val="000000" w:themeColor="text1"/>
          <w:vertAlign w:val="subscript"/>
          <w:lang w:eastAsia="zh-CN"/>
          <w14:textFill>
            <w14:solidFill>
              <w14:schemeClr w14:val="tx1"/>
            </w14:solidFill>
          </w14:textFill>
        </w:rPr>
        <w:t>2.5</w:t>
      </w:r>
      <w:r>
        <w:rPr>
          <w:rFonts w:hint="default" w:ascii="Times New Roman" w:hAnsi="Times New Roman"/>
          <w:color w:val="000000" w:themeColor="text1"/>
          <w14:textFill>
            <w14:solidFill>
              <w14:schemeClr w14:val="tx1"/>
            </w14:solidFill>
          </w14:textFill>
        </w:rPr>
        <w:t>、CO和</w:t>
      </w:r>
      <w:r>
        <w:rPr>
          <w:rFonts w:hint="eastAsia" w:ascii="Times New Roman" w:hAnsi="Times New Roman"/>
          <w:color w:val="000000" w:themeColor="text1"/>
          <w:lang w:eastAsia="zh-CN"/>
          <w14:textFill>
            <w14:solidFill>
              <w14:schemeClr w14:val="tx1"/>
            </w14:solidFill>
          </w14:textFill>
        </w:rPr>
        <w:t>O</w:t>
      </w:r>
      <w:r>
        <w:rPr>
          <w:rFonts w:hint="eastAsia" w:ascii="Times New Roman" w:hAnsi="Times New Roman"/>
          <w:color w:val="000000" w:themeColor="text1"/>
          <w:vertAlign w:val="subscript"/>
          <w:lang w:eastAsia="zh-CN"/>
          <w14:textFill>
            <w14:solidFill>
              <w14:schemeClr w14:val="tx1"/>
            </w14:solidFill>
          </w14:textFill>
        </w:rPr>
        <w:t>3</w:t>
      </w:r>
      <w:r>
        <w:rPr>
          <w:rFonts w:hint="default" w:ascii="Times New Roman" w:hAnsi="Times New Roman"/>
          <w:color w:val="000000" w:themeColor="text1"/>
          <w14:textFill>
            <w14:solidFill>
              <w14:schemeClr w14:val="tx1"/>
            </w14:solidFill>
          </w14:textFill>
        </w:rPr>
        <w:t>的数据引用</w:t>
      </w:r>
      <w:r>
        <w:rPr>
          <w:rFonts w:hint="eastAsia" w:ascii="Times New Roman" w:hAnsi="Times New Roman"/>
          <w:color w:val="000000" w:themeColor="text1"/>
          <w:lang w:val="en-US" w:eastAsia="zh-CN"/>
          <w14:textFill>
            <w14:solidFill>
              <w14:schemeClr w14:val="tx1"/>
            </w14:solidFill>
          </w14:textFill>
        </w:rPr>
        <w:t>霍城县生态环境局站点</w:t>
      </w:r>
      <w:r>
        <w:rPr>
          <w:rFonts w:hint="default" w:ascii="Times New Roman" w:hAnsi="Times New Roman"/>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3</w:t>
      </w:r>
      <w:r>
        <w:rPr>
          <w:rFonts w:hint="default" w:ascii="Times New Roman" w:hAnsi="Times New Roman"/>
          <w:color w:val="000000" w:themeColor="text1"/>
          <w14:textFill>
            <w14:solidFill>
              <w14:schemeClr w14:val="tx1"/>
            </w14:solidFill>
          </w14:textFill>
        </w:rPr>
        <w:t>年基准年连续1年的监测分析数据。站点坐标</w:t>
      </w:r>
      <w:r>
        <w:rPr>
          <w:rFonts w:hint="default" w:ascii="Times New Roman" w:hAnsi="Times New Roman" w:cs="Times New Roman"/>
          <w:color w:val="000000" w:themeColor="text1"/>
          <w14:textFill>
            <w14:solidFill>
              <w14:schemeClr w14:val="tx1"/>
            </w14:solidFill>
          </w14:textFill>
        </w:rPr>
        <w:t>E8</w:t>
      </w:r>
      <w:r>
        <w:rPr>
          <w:rFonts w:hint="default" w:ascii="Times New Roman" w:hAnsi="Times New Roman" w:cs="Times New Roman"/>
          <w:color w:val="000000" w:themeColor="text1"/>
          <w:lang w:val="en-US" w:eastAsia="zh-CN"/>
          <w14:textFill>
            <w14:solidFill>
              <w14:schemeClr w14:val="tx1"/>
            </w14:solidFill>
          </w14:textFill>
        </w:rPr>
        <w:t>0</w:t>
      </w:r>
      <w:r>
        <w:rPr>
          <w:rFonts w:hint="eastAsia" w:ascii="Times New Roman" w:hAnsi="Times New Roman" w:cs="Times New Roman"/>
          <w:color w:val="000000" w:themeColor="text1"/>
          <w:lang w:val="en-US" w:eastAsia="zh-CN"/>
          <w14:textFill>
            <w14:solidFill>
              <w14:schemeClr w14:val="tx1"/>
            </w14:solidFill>
          </w14:textFill>
        </w:rPr>
        <w:t>.8458</w:t>
      </w:r>
      <w:r>
        <w:rPr>
          <w:rFonts w:hint="default" w:ascii="Times New Roman" w:hAnsi="Times New Roman"/>
          <w:color w:val="000000" w:themeColor="text1"/>
          <w14:textFill>
            <w14:solidFill>
              <w14:schemeClr w14:val="tx1"/>
            </w14:solidFill>
          </w14:textFill>
        </w:rPr>
        <w:t>，N</w:t>
      </w:r>
      <w:r>
        <w:rPr>
          <w:rFonts w:hint="eastAsia" w:ascii="Times New Roman" w:hAnsi="Times New Roman"/>
          <w:color w:val="000000" w:themeColor="text1"/>
          <w:lang w:val="en-US" w:eastAsia="zh-CN"/>
          <w14:textFill>
            <w14:solidFill>
              <w14:schemeClr w14:val="tx1"/>
            </w14:solidFill>
          </w14:textFill>
        </w:rPr>
        <w:t>44</w:t>
      </w:r>
      <w:r>
        <w:rPr>
          <w:rFonts w:hint="eastAsia" w:ascii="Times New Roman" w:hAnsi="Times New Roman" w:cs="Times New Roman"/>
          <w:color w:val="000000" w:themeColor="text1"/>
          <w:lang w:val="en-US" w:eastAsia="zh-CN"/>
          <w14:textFill>
            <w14:solidFill>
              <w14:schemeClr w14:val="tx1"/>
            </w14:solidFill>
          </w14:textFill>
        </w:rPr>
        <w:t>.0489</w:t>
      </w:r>
      <w:r>
        <w:rPr>
          <w:rFonts w:hint="default"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区站</w:t>
      </w:r>
      <w:r>
        <w:rPr>
          <w:rFonts w:hint="default" w:ascii="Times New Roman" w:hAnsi="Times New Roman"/>
          <w:color w:val="000000" w:themeColor="text1"/>
          <w14:textFill>
            <w14:solidFill>
              <w14:schemeClr w14:val="tx1"/>
            </w14:solidFill>
          </w14:textFill>
        </w:rPr>
        <w:t>号：51329。</w:t>
      </w:r>
      <w:r>
        <w:rPr>
          <w:rFonts w:hint="eastAsia" w:ascii="Times New Roman" w:hAnsi="Times New Roman"/>
          <w:color w:val="000000" w:themeColor="text1"/>
          <w:lang w:val="en-US" w:eastAsia="zh-CN"/>
          <w14:textFill>
            <w14:solidFill>
              <w14:schemeClr w14:val="tx1"/>
            </w14:solidFill>
          </w14:textFill>
        </w:rPr>
        <w:t>该站点位于本项目东北侧25km处</w:t>
      </w:r>
      <w:r>
        <w:rPr>
          <w:rFonts w:ascii="Times New Roman" w:hAnsi="Times New Roman" w:cs="Times New Roman"/>
          <w:color w:val="000000" w:themeColor="text1"/>
          <w14:textFill>
            <w14:solidFill>
              <w14:schemeClr w14:val="tx1"/>
            </w14:solidFill>
          </w14:textFill>
        </w:rPr>
        <w:t>。</w:t>
      </w:r>
    </w:p>
    <w:p w14:paraId="044E8815">
      <w:pPr>
        <w:pStyle w:val="84"/>
        <w:spacing w:line="52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（2）评价标准</w:t>
      </w:r>
    </w:p>
    <w:p w14:paraId="146847CE">
      <w:pPr>
        <w:pStyle w:val="84"/>
        <w:spacing w:line="52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基本污染物SO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、CO和O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执行《环境空气质量标准》（GB3095-20</w:t>
      </w:r>
      <w:r>
        <w:rPr>
          <w:rFonts w:hint="eastAsia" w:cs="Times New Roman"/>
          <w:color w:val="000000" w:themeColor="text1"/>
          <w:lang w:val="en-US" w:eastAsia="zh-CN"/>
          <w14:textFill>
            <w14:solidFill>
              <w14:schemeClr w14:val="tx1"/>
            </w14:solidFill>
          </w14:textFill>
        </w:rPr>
        <w:t>26</w:t>
      </w:r>
      <w:r>
        <w:rPr>
          <w:rFonts w:ascii="Times New Roman" w:hAnsi="Times New Roman" w:cs="Times New Roman"/>
          <w:color w:val="000000" w:themeColor="text1"/>
          <w14:textFill>
            <w14:solidFill>
              <w14:schemeClr w14:val="tx1"/>
            </w14:solidFill>
          </w14:textFill>
        </w:rPr>
        <w:t>）中的</w:t>
      </w:r>
      <w:r>
        <w:rPr>
          <w:rFonts w:hint="eastAsia" w:cs="Times New Roman"/>
          <w:color w:val="000000" w:themeColor="text1"/>
          <w:lang w:val="en-US" w:eastAsia="zh-CN"/>
          <w14:textFill>
            <w14:solidFill>
              <w14:schemeClr w14:val="tx1"/>
            </w14:solidFill>
          </w14:textFill>
        </w:rPr>
        <w:t>过渡阶段</w:t>
      </w:r>
      <w:r>
        <w:rPr>
          <w:rFonts w:ascii="Times New Roman" w:hAnsi="Times New Roman" w:cs="Times New Roman"/>
          <w:color w:val="000000" w:themeColor="text1"/>
          <w14:textFill>
            <w14:solidFill>
              <w14:schemeClr w14:val="tx1"/>
            </w14:solidFill>
          </w14:textFill>
        </w:rPr>
        <w:t>二级标准。</w:t>
      </w:r>
    </w:p>
    <w:p w14:paraId="33F8C4FD">
      <w:pPr>
        <w:pStyle w:val="84"/>
        <w:spacing w:line="52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48142489">
      <w:pPr>
        <w:pStyle w:val="84"/>
        <w:spacing w:line="52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（3）空气质量达标区判定</w:t>
      </w:r>
    </w:p>
    <w:p w14:paraId="6D8BD4CE">
      <w:pPr>
        <w:spacing w:line="520" w:lineRule="exact"/>
        <w:ind w:firstLine="480"/>
        <w:rPr>
          <w:rFonts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color w:val="000000" w:themeColor="text1"/>
          <w14:textFill>
            <w14:solidFill>
              <w14:schemeClr w14:val="tx1"/>
            </w14:solidFill>
          </w14:textFill>
        </w:rPr>
        <w:t>根据202</w:t>
      </w:r>
      <w:r>
        <w:rPr>
          <w:rFonts w:hint="eastAsia"/>
          <w:color w:val="000000" w:themeColor="text1"/>
          <w:lang w:val="en-US" w:eastAsia="zh-CN"/>
          <w14:textFill>
            <w14:solidFill>
              <w14:schemeClr w14:val="tx1"/>
            </w14:solidFill>
          </w14:textFill>
        </w:rPr>
        <w:t>3</w:t>
      </w:r>
      <w:r>
        <w:rPr>
          <w:rFonts w:hint="default" w:ascii="Times New Roman" w:hAnsi="Times New Roman"/>
          <w:color w:val="000000" w:themeColor="text1"/>
          <w14:textFill>
            <w14:solidFill>
              <w14:schemeClr w14:val="tx1"/>
            </w14:solidFill>
          </w14:textFill>
        </w:rPr>
        <w:t>年</w:t>
      </w:r>
      <w:r>
        <w:rPr>
          <w:rFonts w:hint="eastAsia" w:ascii="Times New Roman" w:hAnsi="Times New Roman"/>
          <w:color w:val="000000" w:themeColor="text1"/>
          <w:lang w:val="en-US" w:eastAsia="zh-CN"/>
          <w14:textFill>
            <w14:solidFill>
              <w14:schemeClr w14:val="tx1"/>
            </w14:solidFill>
          </w14:textFill>
        </w:rPr>
        <w:t>霍城县生态环境局</w:t>
      </w:r>
      <w:r>
        <w:rPr>
          <w:rFonts w:hint="default" w:ascii="Times New Roman" w:hAnsi="Times New Roman"/>
          <w:color w:val="000000" w:themeColor="text1"/>
          <w14:textFill>
            <w14:solidFill>
              <w14:schemeClr w14:val="tx1"/>
            </w14:solidFill>
          </w14:textFill>
        </w:rPr>
        <w:t>监测站</w:t>
      </w:r>
      <w:r>
        <w:rPr>
          <w:rFonts w:hint="eastAsia" w:ascii="Times New Roman" w:hAnsi="Times New Roman"/>
          <w:color w:val="000000" w:themeColor="text1"/>
          <w:lang w:val="en-US" w:eastAsia="zh-CN"/>
          <w14:textFill>
            <w14:solidFill>
              <w14:schemeClr w14:val="tx1"/>
            </w14:solidFill>
          </w14:textFill>
        </w:rPr>
        <w:t>点</w:t>
      </w:r>
      <w:r>
        <w:rPr>
          <w:rFonts w:hint="default" w:ascii="Times New Roman" w:hAnsi="Times New Roman"/>
          <w:color w:val="000000" w:themeColor="text1"/>
          <w14:textFill>
            <w14:solidFill>
              <w14:schemeClr w14:val="tx1"/>
            </w14:solidFill>
          </w14:textFill>
        </w:rPr>
        <w:t>空气质量逐日统计结果</w:t>
      </w:r>
      <w:r>
        <w:rPr>
          <w:rFonts w:ascii="Times New Roman" w:hAnsi="Times New Roman" w:eastAsia="宋体" w:cs="Times New Roman"/>
          <w:color w:val="000000" w:themeColor="text1"/>
          <w14:textFill>
            <w14:solidFill>
              <w14:schemeClr w14:val="tx1"/>
            </w14:solidFill>
          </w14:textFill>
        </w:rPr>
        <w:t>，空气质量达标区判定结果见表</w:t>
      </w:r>
      <w:r>
        <w:rPr>
          <w:rFonts w:hint="eastAsia" w:eastAsia="宋体" w:cs="Times New Roman"/>
          <w:color w:val="000000" w:themeColor="text1"/>
          <w:lang w:val="en-US" w:eastAsia="zh-CN"/>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.2-1。</w:t>
      </w:r>
    </w:p>
    <w:p w14:paraId="0353265B">
      <w:pPr>
        <w:ind w:firstLine="0" w:firstLineChars="0"/>
        <w:jc w:val="center"/>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表</w:t>
      </w:r>
      <w:r>
        <w:rPr>
          <w:rFonts w:hint="eastAsia" w:eastAsia="宋体" w:cs="Times New Roman"/>
          <w:b/>
          <w:bCs/>
          <w:color w:val="000000" w:themeColor="text1"/>
          <w:szCs w:val="24"/>
          <w:lang w:val="en-US" w:eastAsia="zh-CN"/>
          <w14:textFill>
            <w14:solidFill>
              <w14:schemeClr w14:val="tx1"/>
            </w14:solidFill>
          </w14:textFill>
        </w:rPr>
        <w:t>4</w:t>
      </w:r>
      <w:r>
        <w:rPr>
          <w:rFonts w:ascii="Times New Roman" w:hAnsi="Times New Roman" w:eastAsia="宋体" w:cs="Times New Roman"/>
          <w:b/>
          <w:bCs/>
          <w:color w:val="000000" w:themeColor="text1"/>
          <w:szCs w:val="24"/>
          <w14:textFill>
            <w14:solidFill>
              <w14:schemeClr w14:val="tx1"/>
            </w14:solidFill>
          </w14:textFill>
        </w:rPr>
        <w:t>.2-1    区域空气质量现状评价结果一览表</w:t>
      </w:r>
    </w:p>
    <w:tbl>
      <w:tblPr>
        <w:tblStyle w:val="8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2"/>
        <w:gridCol w:w="3086"/>
        <w:gridCol w:w="1167"/>
        <w:gridCol w:w="1245"/>
        <w:gridCol w:w="996"/>
        <w:gridCol w:w="1203"/>
      </w:tblGrid>
      <w:tr w14:paraId="69933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vMerge w:val="restart"/>
            <w:tcBorders>
              <w:tl2br w:val="nil"/>
              <w:tr2bl w:val="nil"/>
            </w:tcBorders>
            <w:vAlign w:val="center"/>
          </w:tcPr>
          <w:p w14:paraId="77DF8CA2">
            <w:pPr>
              <w:pStyle w:val="92"/>
              <w:autoSpaceDE w:val="0"/>
              <w:autoSpaceDN w:val="0"/>
              <w:bidi w:val="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指标</w:t>
            </w:r>
          </w:p>
        </w:tc>
        <w:tc>
          <w:tcPr>
            <w:tcW w:w="1745" w:type="pct"/>
            <w:vMerge w:val="restart"/>
            <w:tcBorders>
              <w:tl2br w:val="nil"/>
              <w:tr2bl w:val="nil"/>
            </w:tcBorders>
            <w:vAlign w:val="center"/>
          </w:tcPr>
          <w:p w14:paraId="6E89CDFE">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年评价指标</w:t>
            </w:r>
          </w:p>
        </w:tc>
        <w:tc>
          <w:tcPr>
            <w:tcW w:w="660" w:type="pct"/>
            <w:tcBorders>
              <w:tl2br w:val="nil"/>
              <w:tr2bl w:val="nil"/>
            </w:tcBorders>
            <w:vAlign w:val="center"/>
          </w:tcPr>
          <w:p w14:paraId="10EF662B">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现状浓度</w:t>
            </w:r>
          </w:p>
        </w:tc>
        <w:tc>
          <w:tcPr>
            <w:tcW w:w="704" w:type="pct"/>
            <w:tcBorders>
              <w:tl2br w:val="nil"/>
              <w:tr2bl w:val="nil"/>
            </w:tcBorders>
            <w:vAlign w:val="center"/>
          </w:tcPr>
          <w:p w14:paraId="7B496B0D">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标准限值</w:t>
            </w:r>
          </w:p>
        </w:tc>
        <w:tc>
          <w:tcPr>
            <w:tcW w:w="563" w:type="pct"/>
            <w:vMerge w:val="restart"/>
            <w:tcBorders>
              <w:tl2br w:val="nil"/>
              <w:tr2bl w:val="nil"/>
            </w:tcBorders>
            <w:vAlign w:val="center"/>
          </w:tcPr>
          <w:p w14:paraId="6AD670C3">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占标率%</w:t>
            </w:r>
          </w:p>
        </w:tc>
        <w:tc>
          <w:tcPr>
            <w:tcW w:w="680" w:type="pct"/>
            <w:vMerge w:val="restart"/>
            <w:tcBorders>
              <w:tl2br w:val="nil"/>
              <w:tr2bl w:val="nil"/>
            </w:tcBorders>
            <w:vAlign w:val="center"/>
          </w:tcPr>
          <w:p w14:paraId="39F416DB">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达标情况</w:t>
            </w:r>
          </w:p>
        </w:tc>
      </w:tr>
      <w:tr w14:paraId="147AAD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vMerge w:val="continue"/>
            <w:tcBorders>
              <w:tl2br w:val="nil"/>
              <w:tr2bl w:val="nil"/>
            </w:tcBorders>
            <w:vAlign w:val="center"/>
          </w:tcPr>
          <w:p w14:paraId="6A58FE89">
            <w:pPr>
              <w:pStyle w:val="92"/>
              <w:autoSpaceDE w:val="0"/>
              <w:autoSpaceDN w:val="0"/>
              <w:bidi w:val="0"/>
              <w:jc w:val="center"/>
              <w:rPr>
                <w:rFonts w:hint="default" w:ascii="Times New Roman" w:hAnsi="Times New Roman"/>
                <w:color w:val="000000" w:themeColor="text1"/>
                <w14:textFill>
                  <w14:solidFill>
                    <w14:schemeClr w14:val="tx1"/>
                  </w14:solidFill>
                </w14:textFill>
              </w:rPr>
            </w:pPr>
          </w:p>
        </w:tc>
        <w:tc>
          <w:tcPr>
            <w:tcW w:w="1745" w:type="pct"/>
            <w:vMerge w:val="continue"/>
            <w:tcBorders>
              <w:tl2br w:val="nil"/>
              <w:tr2bl w:val="nil"/>
            </w:tcBorders>
            <w:vAlign w:val="center"/>
          </w:tcPr>
          <w:p w14:paraId="33DEFF83">
            <w:pPr>
              <w:pStyle w:val="92"/>
              <w:autoSpaceDE w:val="0"/>
              <w:autoSpaceDN w:val="0"/>
              <w:bidi w:val="0"/>
              <w:jc w:val="center"/>
              <w:rPr>
                <w:rFonts w:hint="default" w:ascii="Times New Roman" w:hAnsi="Times New Roman"/>
                <w:color w:val="000000" w:themeColor="text1"/>
                <w14:textFill>
                  <w14:solidFill>
                    <w14:schemeClr w14:val="tx1"/>
                  </w14:solidFill>
                </w14:textFill>
              </w:rPr>
            </w:pPr>
          </w:p>
        </w:tc>
        <w:tc>
          <w:tcPr>
            <w:tcW w:w="660" w:type="pct"/>
            <w:tcBorders>
              <w:tl2br w:val="nil"/>
              <w:tr2bl w:val="nil"/>
            </w:tcBorders>
            <w:vAlign w:val="center"/>
          </w:tcPr>
          <w:p w14:paraId="58BDA90F">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m</w:t>
            </w:r>
            <w:r>
              <w:rPr>
                <w:rFonts w:hint="default" w:ascii="Times New Roman" w:hAnsi="Times New Roman"/>
                <w:color w:val="000000" w:themeColor="text1"/>
                <w14:textFill>
                  <w14:solidFill>
                    <w14:schemeClr w14:val="tx1"/>
                  </w14:solidFill>
                </w14:textFill>
              </w:rPr>
              <w:t>g/</w:t>
            </w:r>
            <w:r>
              <w:rPr>
                <w:rFonts w:hint="eastAsia" w:ascii="Times New Roman" w:hAnsi="Times New Roman"/>
                <w:color w:val="000000" w:themeColor="text1"/>
                <w:lang w:eastAsia="zh-CN"/>
                <w14:textFill>
                  <w14:solidFill>
                    <w14:schemeClr w14:val="tx1"/>
                  </w14:solidFill>
                </w14:textFill>
              </w:rPr>
              <w:t>m</w:t>
            </w:r>
            <w:r>
              <w:rPr>
                <w:rFonts w:hint="eastAsia" w:ascii="Times New Roman" w:hAnsi="Times New Roman"/>
                <w:color w:val="000000" w:themeColor="text1"/>
                <w:vertAlign w:val="superscript"/>
                <w:lang w:eastAsia="zh-CN"/>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p>
        </w:tc>
        <w:tc>
          <w:tcPr>
            <w:tcW w:w="704" w:type="pct"/>
            <w:tcBorders>
              <w:tl2br w:val="nil"/>
              <w:tr2bl w:val="nil"/>
            </w:tcBorders>
            <w:vAlign w:val="center"/>
          </w:tcPr>
          <w:p w14:paraId="11CA6A10">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m</w:t>
            </w:r>
            <w:r>
              <w:rPr>
                <w:rFonts w:hint="default" w:ascii="Times New Roman" w:hAnsi="Times New Roman"/>
                <w:color w:val="000000" w:themeColor="text1"/>
                <w14:textFill>
                  <w14:solidFill>
                    <w14:schemeClr w14:val="tx1"/>
                  </w14:solidFill>
                </w14:textFill>
              </w:rPr>
              <w:t>g/</w:t>
            </w:r>
            <w:r>
              <w:rPr>
                <w:rFonts w:hint="eastAsia" w:ascii="Times New Roman" w:hAnsi="Times New Roman"/>
                <w:color w:val="000000" w:themeColor="text1"/>
                <w:lang w:eastAsia="zh-CN"/>
                <w14:textFill>
                  <w14:solidFill>
                    <w14:schemeClr w14:val="tx1"/>
                  </w14:solidFill>
                </w14:textFill>
              </w:rPr>
              <w:t>m</w:t>
            </w:r>
            <w:r>
              <w:rPr>
                <w:rFonts w:hint="eastAsia" w:ascii="Times New Roman" w:hAnsi="Times New Roman"/>
                <w:color w:val="000000" w:themeColor="text1"/>
                <w:vertAlign w:val="superscript"/>
                <w:lang w:eastAsia="zh-CN"/>
                <w14:textFill>
                  <w14:solidFill>
                    <w14:schemeClr w14:val="tx1"/>
                  </w14:solidFill>
                </w14:textFill>
              </w:rPr>
              <w:t>3</w:t>
            </w:r>
            <w:r>
              <w:rPr>
                <w:rFonts w:hint="default" w:ascii="Times New Roman" w:hAnsi="Times New Roman"/>
                <w:color w:val="000000" w:themeColor="text1"/>
                <w14:textFill>
                  <w14:solidFill>
                    <w14:schemeClr w14:val="tx1"/>
                  </w14:solidFill>
                </w14:textFill>
              </w:rPr>
              <w:t>）</w:t>
            </w:r>
          </w:p>
        </w:tc>
        <w:tc>
          <w:tcPr>
            <w:tcW w:w="563" w:type="pct"/>
            <w:vMerge w:val="continue"/>
            <w:tcBorders>
              <w:tl2br w:val="nil"/>
              <w:tr2bl w:val="nil"/>
            </w:tcBorders>
            <w:vAlign w:val="center"/>
          </w:tcPr>
          <w:p w14:paraId="1F7110EA">
            <w:pPr>
              <w:pStyle w:val="92"/>
              <w:autoSpaceDE w:val="0"/>
              <w:autoSpaceDN w:val="0"/>
              <w:bidi w:val="0"/>
              <w:jc w:val="center"/>
              <w:rPr>
                <w:rFonts w:hint="default" w:ascii="Times New Roman" w:hAnsi="Times New Roman"/>
                <w:color w:val="000000" w:themeColor="text1"/>
                <w14:textFill>
                  <w14:solidFill>
                    <w14:schemeClr w14:val="tx1"/>
                  </w14:solidFill>
                </w14:textFill>
              </w:rPr>
            </w:pPr>
          </w:p>
        </w:tc>
        <w:tc>
          <w:tcPr>
            <w:tcW w:w="680" w:type="pct"/>
            <w:vMerge w:val="continue"/>
            <w:tcBorders>
              <w:tl2br w:val="nil"/>
              <w:tr2bl w:val="nil"/>
            </w:tcBorders>
            <w:vAlign w:val="center"/>
          </w:tcPr>
          <w:p w14:paraId="18CACC2F">
            <w:pPr>
              <w:pStyle w:val="92"/>
              <w:autoSpaceDE w:val="0"/>
              <w:autoSpaceDN w:val="0"/>
              <w:bidi w:val="0"/>
              <w:jc w:val="center"/>
              <w:rPr>
                <w:rFonts w:hint="default" w:ascii="Times New Roman" w:hAnsi="Times New Roman"/>
                <w:color w:val="000000" w:themeColor="text1"/>
                <w14:textFill>
                  <w14:solidFill>
                    <w14:schemeClr w14:val="tx1"/>
                  </w14:solidFill>
                </w14:textFill>
              </w:rPr>
            </w:pPr>
          </w:p>
        </w:tc>
      </w:tr>
      <w:tr w14:paraId="2DBE8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6C1694F7">
            <w:pPr>
              <w:pStyle w:val="92"/>
              <w:autoSpaceDE w:val="0"/>
              <w:autoSpaceDN w:val="0"/>
              <w:bidi w:val="0"/>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PM</w:t>
            </w:r>
            <w:r>
              <w:rPr>
                <w:rFonts w:hint="eastAsia" w:ascii="Times New Roman" w:hAnsi="Times New Roman"/>
                <w:color w:val="000000" w:themeColor="text1"/>
                <w:vertAlign w:val="subscript"/>
                <w:lang w:eastAsia="zh-CN"/>
                <w14:textFill>
                  <w14:solidFill>
                    <w14:schemeClr w14:val="tx1"/>
                  </w14:solidFill>
                </w14:textFill>
              </w:rPr>
              <w:t>10</w:t>
            </w:r>
          </w:p>
        </w:tc>
        <w:tc>
          <w:tcPr>
            <w:tcW w:w="1745" w:type="pct"/>
            <w:tcBorders>
              <w:tl2br w:val="nil"/>
              <w:tr2bl w:val="nil"/>
            </w:tcBorders>
            <w:vAlign w:val="center"/>
          </w:tcPr>
          <w:p w14:paraId="4B94815E">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年平均</w:t>
            </w:r>
          </w:p>
        </w:tc>
        <w:tc>
          <w:tcPr>
            <w:tcW w:w="1167" w:type="dxa"/>
            <w:tcBorders>
              <w:tl2br w:val="nil"/>
              <w:tr2bl w:val="nil"/>
            </w:tcBorders>
            <w:vAlign w:val="center"/>
          </w:tcPr>
          <w:p w14:paraId="36866311">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0.04</w:t>
            </w:r>
            <w:r>
              <w:rPr>
                <w:rFonts w:hint="eastAsia"/>
                <w:color w:val="000000" w:themeColor="text1"/>
                <w:lang w:val="en-US" w:eastAsia="zh-CN"/>
                <w14:textFill>
                  <w14:solidFill>
                    <w14:schemeClr w14:val="tx1"/>
                  </w14:solidFill>
                </w14:textFill>
              </w:rPr>
              <w:t>8</w:t>
            </w:r>
          </w:p>
        </w:tc>
        <w:tc>
          <w:tcPr>
            <w:tcW w:w="704" w:type="pct"/>
            <w:tcBorders>
              <w:tl2br w:val="nil"/>
              <w:tr2bl w:val="nil"/>
            </w:tcBorders>
            <w:vAlign w:val="center"/>
          </w:tcPr>
          <w:p w14:paraId="5C4CEF05">
            <w:pPr>
              <w:pStyle w:val="92"/>
              <w:autoSpaceDE w:val="0"/>
              <w:autoSpaceDN w:val="0"/>
              <w:bidi w:val="0"/>
              <w:ind w:firstLine="0" w:firstLineChars="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default" w:ascii="Times New Roman" w:hAnsi="Times New Roman"/>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6</w:t>
            </w:r>
          </w:p>
        </w:tc>
        <w:tc>
          <w:tcPr>
            <w:tcW w:w="996" w:type="dxa"/>
            <w:tcBorders>
              <w:tl2br w:val="nil"/>
              <w:tr2bl w:val="nil"/>
            </w:tcBorders>
            <w:vAlign w:val="center"/>
          </w:tcPr>
          <w:p w14:paraId="3377DED7">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680" w:type="pct"/>
            <w:tcBorders>
              <w:tl2br w:val="nil"/>
              <w:tr2bl w:val="nil"/>
            </w:tcBorders>
            <w:vAlign w:val="center"/>
          </w:tcPr>
          <w:p w14:paraId="50200112">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达标</w:t>
            </w:r>
          </w:p>
        </w:tc>
      </w:tr>
      <w:tr w14:paraId="06F311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7AAE03B0">
            <w:pPr>
              <w:pStyle w:val="92"/>
              <w:autoSpaceDE w:val="0"/>
              <w:autoSpaceDN w:val="0"/>
              <w:bidi w:val="0"/>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PM</w:t>
            </w:r>
            <w:r>
              <w:rPr>
                <w:rFonts w:hint="eastAsia" w:ascii="Times New Roman" w:hAnsi="Times New Roman"/>
                <w:color w:val="000000" w:themeColor="text1"/>
                <w:vertAlign w:val="subscript"/>
                <w:lang w:eastAsia="zh-CN"/>
                <w14:textFill>
                  <w14:solidFill>
                    <w14:schemeClr w14:val="tx1"/>
                  </w14:solidFill>
                </w14:textFill>
              </w:rPr>
              <w:t>2.5</w:t>
            </w:r>
          </w:p>
        </w:tc>
        <w:tc>
          <w:tcPr>
            <w:tcW w:w="1745" w:type="pct"/>
            <w:tcBorders>
              <w:tl2br w:val="nil"/>
              <w:tr2bl w:val="nil"/>
            </w:tcBorders>
            <w:vAlign w:val="center"/>
          </w:tcPr>
          <w:p w14:paraId="59D15406">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年平均</w:t>
            </w:r>
          </w:p>
        </w:tc>
        <w:tc>
          <w:tcPr>
            <w:tcW w:w="1167" w:type="dxa"/>
            <w:tcBorders>
              <w:tl2br w:val="nil"/>
              <w:tr2bl w:val="nil"/>
            </w:tcBorders>
            <w:vAlign w:val="center"/>
          </w:tcPr>
          <w:p w14:paraId="7A86BBA4">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0.02</w:t>
            </w:r>
            <w:r>
              <w:rPr>
                <w:rFonts w:hint="eastAsia"/>
                <w:color w:val="000000" w:themeColor="text1"/>
                <w:lang w:val="en-US" w:eastAsia="zh-CN"/>
                <w14:textFill>
                  <w14:solidFill>
                    <w14:schemeClr w14:val="tx1"/>
                  </w14:solidFill>
                </w14:textFill>
              </w:rPr>
              <w:t>0</w:t>
            </w:r>
          </w:p>
        </w:tc>
        <w:tc>
          <w:tcPr>
            <w:tcW w:w="704" w:type="pct"/>
            <w:tcBorders>
              <w:tl2br w:val="nil"/>
              <w:tr2bl w:val="nil"/>
            </w:tcBorders>
            <w:vAlign w:val="center"/>
          </w:tcPr>
          <w:p w14:paraId="09785DA7">
            <w:pPr>
              <w:pStyle w:val="92"/>
              <w:autoSpaceDE w:val="0"/>
              <w:autoSpaceDN w:val="0"/>
              <w:bidi w:val="0"/>
              <w:ind w:firstLine="0" w:firstLineChars="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default" w:ascii="Times New Roman" w:hAnsi="Times New Roman"/>
                <w:color w:val="000000" w:themeColor="text1"/>
                <w14:textFill>
                  <w14:solidFill>
                    <w14:schemeClr w14:val="tx1"/>
                  </w14:solidFill>
                </w14:textFill>
              </w:rPr>
              <w:t>0.03</w:t>
            </w:r>
          </w:p>
        </w:tc>
        <w:tc>
          <w:tcPr>
            <w:tcW w:w="996" w:type="dxa"/>
            <w:tcBorders>
              <w:tl2br w:val="nil"/>
              <w:tr2bl w:val="nil"/>
            </w:tcBorders>
            <w:vAlign w:val="center"/>
          </w:tcPr>
          <w:p w14:paraId="54E4D44F">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66.7</w:t>
            </w:r>
          </w:p>
        </w:tc>
        <w:tc>
          <w:tcPr>
            <w:tcW w:w="680" w:type="pct"/>
            <w:tcBorders>
              <w:tl2br w:val="nil"/>
              <w:tr2bl w:val="nil"/>
            </w:tcBorders>
            <w:vAlign w:val="center"/>
          </w:tcPr>
          <w:p w14:paraId="48A1178E">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达标</w:t>
            </w:r>
          </w:p>
        </w:tc>
      </w:tr>
      <w:tr w14:paraId="5445C9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0CDF7302">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SO</w:t>
            </w:r>
            <w:r>
              <w:rPr>
                <w:rFonts w:hint="eastAsia" w:ascii="Times New Roman" w:hAnsi="Times New Roman"/>
                <w:color w:val="000000" w:themeColor="text1"/>
                <w:vertAlign w:val="subscript"/>
                <w:lang w:eastAsia="zh-CN"/>
                <w14:textFill>
                  <w14:solidFill>
                    <w14:schemeClr w14:val="tx1"/>
                  </w14:solidFill>
                </w14:textFill>
              </w:rPr>
              <w:t>2</w:t>
            </w:r>
          </w:p>
        </w:tc>
        <w:tc>
          <w:tcPr>
            <w:tcW w:w="1745" w:type="pct"/>
            <w:tcBorders>
              <w:tl2br w:val="nil"/>
              <w:tr2bl w:val="nil"/>
            </w:tcBorders>
            <w:vAlign w:val="center"/>
          </w:tcPr>
          <w:p w14:paraId="271CCF5E">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年平均</w:t>
            </w:r>
          </w:p>
        </w:tc>
        <w:tc>
          <w:tcPr>
            <w:tcW w:w="1167" w:type="dxa"/>
            <w:tcBorders>
              <w:tl2br w:val="nil"/>
              <w:tr2bl w:val="nil"/>
            </w:tcBorders>
            <w:vAlign w:val="center"/>
          </w:tcPr>
          <w:p w14:paraId="49F43C60">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1</w:t>
            </w:r>
          </w:p>
        </w:tc>
        <w:tc>
          <w:tcPr>
            <w:tcW w:w="704" w:type="pct"/>
            <w:tcBorders>
              <w:tl2br w:val="nil"/>
              <w:tr2bl w:val="nil"/>
            </w:tcBorders>
            <w:vAlign w:val="center"/>
          </w:tcPr>
          <w:p w14:paraId="66243FCD">
            <w:pPr>
              <w:pStyle w:val="92"/>
              <w:autoSpaceDE w:val="0"/>
              <w:autoSpaceDN w:val="0"/>
              <w:bidi w:val="0"/>
              <w:ind w:firstLine="0" w:firstLineChars="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0.06</w:t>
            </w:r>
          </w:p>
        </w:tc>
        <w:tc>
          <w:tcPr>
            <w:tcW w:w="996" w:type="dxa"/>
            <w:tcBorders>
              <w:tl2br w:val="nil"/>
              <w:tr2bl w:val="nil"/>
            </w:tcBorders>
            <w:vAlign w:val="center"/>
          </w:tcPr>
          <w:p w14:paraId="5C7B988F">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680" w:type="pct"/>
            <w:tcBorders>
              <w:tl2br w:val="nil"/>
              <w:tr2bl w:val="nil"/>
            </w:tcBorders>
            <w:vAlign w:val="center"/>
          </w:tcPr>
          <w:p w14:paraId="579DCE58">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达标</w:t>
            </w:r>
          </w:p>
        </w:tc>
      </w:tr>
      <w:tr w14:paraId="5DED2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11E584F7">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NO</w:t>
            </w:r>
            <w:r>
              <w:rPr>
                <w:rFonts w:hint="eastAsia" w:ascii="Times New Roman" w:hAnsi="Times New Roman"/>
                <w:color w:val="000000" w:themeColor="text1"/>
                <w:vertAlign w:val="subscript"/>
                <w:lang w:eastAsia="zh-CN"/>
                <w14:textFill>
                  <w14:solidFill>
                    <w14:schemeClr w14:val="tx1"/>
                  </w14:solidFill>
                </w14:textFill>
              </w:rPr>
              <w:t>2</w:t>
            </w:r>
          </w:p>
        </w:tc>
        <w:tc>
          <w:tcPr>
            <w:tcW w:w="1745" w:type="pct"/>
            <w:tcBorders>
              <w:tl2br w:val="nil"/>
              <w:tr2bl w:val="nil"/>
            </w:tcBorders>
            <w:vAlign w:val="center"/>
          </w:tcPr>
          <w:p w14:paraId="7637E751">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年平均</w:t>
            </w:r>
          </w:p>
        </w:tc>
        <w:tc>
          <w:tcPr>
            <w:tcW w:w="1167" w:type="dxa"/>
            <w:tcBorders>
              <w:tl2br w:val="nil"/>
              <w:tr2bl w:val="nil"/>
            </w:tcBorders>
            <w:vAlign w:val="center"/>
          </w:tcPr>
          <w:p w14:paraId="3E42C242">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15</w:t>
            </w:r>
          </w:p>
        </w:tc>
        <w:tc>
          <w:tcPr>
            <w:tcW w:w="704" w:type="pct"/>
            <w:tcBorders>
              <w:tl2br w:val="nil"/>
              <w:tr2bl w:val="nil"/>
            </w:tcBorders>
            <w:vAlign w:val="center"/>
          </w:tcPr>
          <w:p w14:paraId="4A74C852">
            <w:pPr>
              <w:pStyle w:val="92"/>
              <w:autoSpaceDE w:val="0"/>
              <w:autoSpaceDN w:val="0"/>
              <w:bidi w:val="0"/>
              <w:ind w:firstLine="0" w:firstLineChars="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0.04</w:t>
            </w:r>
          </w:p>
        </w:tc>
        <w:tc>
          <w:tcPr>
            <w:tcW w:w="996" w:type="dxa"/>
            <w:tcBorders>
              <w:tl2br w:val="nil"/>
              <w:tr2bl w:val="nil"/>
            </w:tcBorders>
            <w:vAlign w:val="center"/>
          </w:tcPr>
          <w:p w14:paraId="1B7906F5">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ascii="Times New Roman" w:hAnsi="Times New Roman"/>
                <w:color w:val="000000" w:themeColor="text1"/>
                <w:lang w:val="en-US" w:eastAsia="zh-CN"/>
                <w14:textFill>
                  <w14:solidFill>
                    <w14:schemeClr w14:val="tx1"/>
                  </w14:solidFill>
                </w14:textFill>
              </w:rPr>
              <w:t>7.5</w:t>
            </w:r>
          </w:p>
        </w:tc>
        <w:tc>
          <w:tcPr>
            <w:tcW w:w="680" w:type="pct"/>
            <w:tcBorders>
              <w:tl2br w:val="nil"/>
              <w:tr2bl w:val="nil"/>
            </w:tcBorders>
            <w:vAlign w:val="center"/>
          </w:tcPr>
          <w:p w14:paraId="266D8D49">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达标</w:t>
            </w:r>
          </w:p>
        </w:tc>
      </w:tr>
      <w:tr w14:paraId="135A1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646" w:type="pct"/>
            <w:tcBorders>
              <w:tl2br w:val="nil"/>
              <w:tr2bl w:val="nil"/>
            </w:tcBorders>
            <w:vAlign w:val="center"/>
          </w:tcPr>
          <w:p w14:paraId="0781E929">
            <w:pPr>
              <w:pStyle w:val="92"/>
              <w:autoSpaceDE w:val="0"/>
              <w:autoSpaceDN w:val="0"/>
              <w:bidi w:val="0"/>
              <w:jc w:val="center"/>
              <w:rPr>
                <w:rFonts w:hint="eastAsia" w:ascii="Times New Roman" w:hAnsi="Times New Roman" w:eastAsia="宋体"/>
                <w:color w:val="000000" w:themeColor="text1"/>
                <w:lang w:eastAsia="zh-CN"/>
                <w14:textFill>
                  <w14:solidFill>
                    <w14:schemeClr w14:val="tx1"/>
                  </w14:solidFill>
                </w14:textFill>
              </w:rPr>
            </w:pPr>
            <w:r>
              <w:rPr>
                <w:rFonts w:hint="default" w:ascii="Times New Roman" w:hAnsi="Times New Roman"/>
                <w:color w:val="000000" w:themeColor="text1"/>
                <w14:textFill>
                  <w14:solidFill>
                    <w14:schemeClr w14:val="tx1"/>
                  </w14:solidFill>
                </w14:textFill>
              </w:rPr>
              <w:t>CO</w:t>
            </w:r>
          </w:p>
        </w:tc>
        <w:tc>
          <w:tcPr>
            <w:tcW w:w="3086" w:type="dxa"/>
            <w:tcBorders>
              <w:tl2br w:val="nil"/>
              <w:tr2bl w:val="nil"/>
            </w:tcBorders>
            <w:vAlign w:val="center"/>
          </w:tcPr>
          <w:p w14:paraId="0DEF927A">
            <w:pPr>
              <w:pStyle w:val="92"/>
              <w:autoSpaceDE w:val="0"/>
              <w:autoSpaceDN w:val="0"/>
              <w:bidi w:val="0"/>
              <w:ind w:firstLine="0" w:firstLineChars="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default" w:ascii="Times New Roman" w:hAnsi="Times New Roman"/>
                <w:color w:val="000000" w:themeColor="text1"/>
                <w14:textFill>
                  <w14:solidFill>
                    <w14:schemeClr w14:val="tx1"/>
                  </w14:solidFill>
                </w14:textFill>
              </w:rPr>
              <w:t>24h的第95百分位数</w:t>
            </w:r>
          </w:p>
        </w:tc>
        <w:tc>
          <w:tcPr>
            <w:tcW w:w="1167" w:type="dxa"/>
            <w:tcBorders>
              <w:tl2br w:val="nil"/>
              <w:tr2bl w:val="nil"/>
            </w:tcBorders>
            <w:vAlign w:val="center"/>
          </w:tcPr>
          <w:p w14:paraId="300238DF">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7</w:t>
            </w:r>
          </w:p>
        </w:tc>
        <w:tc>
          <w:tcPr>
            <w:tcW w:w="704" w:type="pct"/>
            <w:tcBorders>
              <w:tl2br w:val="nil"/>
              <w:tr2bl w:val="nil"/>
            </w:tcBorders>
            <w:vAlign w:val="center"/>
          </w:tcPr>
          <w:p w14:paraId="7FAA7511">
            <w:pPr>
              <w:pStyle w:val="92"/>
              <w:autoSpaceDE w:val="0"/>
              <w:autoSpaceDN w:val="0"/>
              <w:bidi w:val="0"/>
              <w:ind w:firstLine="0" w:firstLineChars="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4</w:t>
            </w:r>
          </w:p>
        </w:tc>
        <w:tc>
          <w:tcPr>
            <w:tcW w:w="996" w:type="dxa"/>
            <w:tcBorders>
              <w:tl2br w:val="nil"/>
              <w:tr2bl w:val="nil"/>
            </w:tcBorders>
            <w:vAlign w:val="center"/>
          </w:tcPr>
          <w:p w14:paraId="75CFE356">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17.5</w:t>
            </w:r>
          </w:p>
        </w:tc>
        <w:tc>
          <w:tcPr>
            <w:tcW w:w="680" w:type="pct"/>
            <w:tcBorders>
              <w:tl2br w:val="nil"/>
              <w:tr2bl w:val="nil"/>
            </w:tcBorders>
            <w:vAlign w:val="center"/>
          </w:tcPr>
          <w:p w14:paraId="64974EC2">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达标</w:t>
            </w:r>
          </w:p>
        </w:tc>
      </w:tr>
      <w:tr w14:paraId="3A1671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6" w:type="pct"/>
            <w:tcBorders>
              <w:tl2br w:val="nil"/>
              <w:tr2bl w:val="nil"/>
            </w:tcBorders>
            <w:vAlign w:val="center"/>
          </w:tcPr>
          <w:p w14:paraId="2C38C6C8">
            <w:pPr>
              <w:pStyle w:val="92"/>
              <w:autoSpaceDE w:val="0"/>
              <w:autoSpaceDN w:val="0"/>
              <w:bidi w:val="0"/>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O</w:t>
            </w:r>
            <w:r>
              <w:rPr>
                <w:rFonts w:hint="eastAsia" w:ascii="Times New Roman" w:hAnsi="Times New Roman"/>
                <w:color w:val="000000" w:themeColor="text1"/>
                <w:vertAlign w:val="subscript"/>
                <w:lang w:eastAsia="zh-CN"/>
                <w14:textFill>
                  <w14:solidFill>
                    <w14:schemeClr w14:val="tx1"/>
                  </w14:solidFill>
                </w14:textFill>
              </w:rPr>
              <w:t>3</w:t>
            </w:r>
          </w:p>
        </w:tc>
        <w:tc>
          <w:tcPr>
            <w:tcW w:w="3086" w:type="dxa"/>
            <w:tcBorders>
              <w:tl2br w:val="nil"/>
              <w:tr2bl w:val="nil"/>
            </w:tcBorders>
            <w:vAlign w:val="center"/>
          </w:tcPr>
          <w:p w14:paraId="2EF2909E">
            <w:pPr>
              <w:pStyle w:val="92"/>
              <w:autoSpaceDE w:val="0"/>
              <w:autoSpaceDN w:val="0"/>
              <w:bidi w:val="0"/>
              <w:ind w:firstLine="0" w:firstLineChars="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default" w:ascii="Times New Roman" w:hAnsi="Times New Roman"/>
                <w:color w:val="000000" w:themeColor="text1"/>
                <w14:textFill>
                  <w14:solidFill>
                    <w14:schemeClr w14:val="tx1"/>
                  </w14:solidFill>
                </w14:textFill>
              </w:rPr>
              <w:t>8h平均值的第90百分位数</w:t>
            </w:r>
          </w:p>
        </w:tc>
        <w:tc>
          <w:tcPr>
            <w:tcW w:w="1167" w:type="dxa"/>
            <w:tcBorders>
              <w:tl2br w:val="nil"/>
              <w:tr2bl w:val="nil"/>
            </w:tcBorders>
            <w:vAlign w:val="center"/>
          </w:tcPr>
          <w:p w14:paraId="5E5F2A46">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9</w:t>
            </w:r>
          </w:p>
        </w:tc>
        <w:tc>
          <w:tcPr>
            <w:tcW w:w="704" w:type="pct"/>
            <w:tcBorders>
              <w:tl2br w:val="nil"/>
              <w:tr2bl w:val="nil"/>
            </w:tcBorders>
            <w:vAlign w:val="center"/>
          </w:tcPr>
          <w:p w14:paraId="7A7341CD">
            <w:pPr>
              <w:pStyle w:val="92"/>
              <w:autoSpaceDE w:val="0"/>
              <w:autoSpaceDN w:val="0"/>
              <w:bidi w:val="0"/>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color w:val="000000" w:themeColor="text1"/>
                <w14:textFill>
                  <w14:solidFill>
                    <w14:schemeClr w14:val="tx1"/>
                  </w14:solidFill>
                </w14:textFill>
              </w:rPr>
              <w:t>0.16</w:t>
            </w:r>
          </w:p>
        </w:tc>
        <w:tc>
          <w:tcPr>
            <w:tcW w:w="996" w:type="dxa"/>
            <w:tcBorders>
              <w:tl2br w:val="nil"/>
              <w:tr2bl w:val="nil"/>
            </w:tcBorders>
            <w:vAlign w:val="center"/>
          </w:tcPr>
          <w:p w14:paraId="4284D75D">
            <w:pPr>
              <w:pStyle w:val="92"/>
              <w:autoSpaceDE w:val="0"/>
              <w:autoSpaceDN w:val="0"/>
              <w:bidi w:val="0"/>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56.25</w:t>
            </w:r>
          </w:p>
        </w:tc>
        <w:tc>
          <w:tcPr>
            <w:tcW w:w="680" w:type="pct"/>
            <w:tcBorders>
              <w:tl2br w:val="nil"/>
              <w:tr2bl w:val="nil"/>
            </w:tcBorders>
            <w:vAlign w:val="center"/>
          </w:tcPr>
          <w:p w14:paraId="47E50FFD">
            <w:pPr>
              <w:pStyle w:val="92"/>
              <w:autoSpaceDE w:val="0"/>
              <w:autoSpaceDN w:val="0"/>
              <w:bidi w:val="0"/>
              <w:jc w:val="center"/>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达标</w:t>
            </w:r>
          </w:p>
        </w:tc>
      </w:tr>
    </w:tbl>
    <w:p w14:paraId="04E22375">
      <w:pPr>
        <w:autoSpaceDE w:val="0"/>
        <w:spacing w:line="520" w:lineRule="exact"/>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项目选址区域环境空气中</w:t>
      </w:r>
      <w:r>
        <w:rPr>
          <w:rFonts w:hint="eastAsia" w:ascii="Times New Roman" w:hAnsi="Times New Roman" w:cs="Times New Roman"/>
          <w:color w:val="000000" w:themeColor="text1"/>
          <w:highlight w:val="none"/>
          <w:lang w:val="en-US" w:eastAsia="zh-CN"/>
          <w14:textFill>
            <w14:solidFill>
              <w14:schemeClr w14:val="tx1"/>
            </w14:solidFill>
          </w14:textFill>
        </w:rPr>
        <w:t>SO</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、NO</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2.5</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年平均</w:t>
      </w:r>
      <w:r>
        <w:rPr>
          <w:rFonts w:hint="eastAsia" w:ascii="Times New Roman" w:hAnsi="Times New Roman" w:cs="Times New Roman"/>
          <w:color w:val="000000" w:themeColor="text1"/>
          <w:highlight w:val="none"/>
          <w:lang w:val="en-US" w:eastAsia="zh-CN"/>
          <w14:textFill>
            <w14:solidFill>
              <w14:schemeClr w14:val="tx1"/>
            </w14:solidFill>
          </w14:textFill>
        </w:rPr>
        <w:t>，CO的95百分位24小时平均、O</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的90百分位8小时平均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浓度</w:t>
      </w:r>
      <w:r>
        <w:rPr>
          <w:rFonts w:hint="eastAsia" w:ascii="Times New Roman" w:hAnsi="Times New Roman" w:cs="Times New Roman"/>
          <w:color w:val="000000" w:themeColor="text1"/>
          <w:highlight w:val="none"/>
          <w:lang w:val="en-US" w:eastAsia="zh-CN"/>
          <w14:textFill>
            <w14:solidFill>
              <w14:schemeClr w14:val="tx1"/>
            </w14:solidFill>
          </w14:textFill>
        </w:rPr>
        <w:t>值</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均</w:t>
      </w:r>
      <w:r>
        <w:rPr>
          <w:rFonts w:hint="eastAsia" w:ascii="Times New Roman" w:hAnsi="Times New Roman" w:cs="Times New Roman"/>
          <w:color w:val="000000" w:themeColor="text1"/>
          <w:highlight w:val="none"/>
          <w:lang w:val="en-US" w:eastAsia="zh-CN"/>
          <w14:textFill>
            <w14:solidFill>
              <w14:schemeClr w14:val="tx1"/>
            </w14:solidFill>
          </w14:textFill>
        </w:rPr>
        <w:t>满足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《环境空气质量标准》（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GB3095-20</w:t>
      </w:r>
      <w:r>
        <w:rPr>
          <w:rFonts w:hint="eastAsia" w:eastAsia="宋体" w:cs="Times New Roman"/>
          <w:color w:val="000000" w:themeColor="text1"/>
          <w:highlight w:val="none"/>
          <w:lang w:val="en-US" w:eastAsia="zh-CN"/>
          <w14:textFill>
            <w14:solidFill>
              <w14:schemeClr w14:val="tx1"/>
            </w14:solidFill>
          </w14:textFill>
        </w:rPr>
        <w:t>26</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eastAsia="宋体" w:cs="Times New Roman"/>
          <w:color w:val="000000" w:themeColor="text1"/>
          <w:highlight w:val="none"/>
          <w:lang w:val="en-US" w:eastAsia="zh-CN"/>
          <w14:textFill>
            <w14:solidFill>
              <w14:schemeClr w14:val="tx1"/>
            </w14:solidFill>
          </w14:textFill>
        </w:rPr>
        <w:t>过渡阶段</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二级标准要求，</w:t>
      </w:r>
      <w:r>
        <w:rPr>
          <w:rFonts w:hint="default" w:ascii="Times New Roman" w:hAnsi="Times New Roman"/>
          <w:color w:val="000000" w:themeColor="text1"/>
          <w14:textFill>
            <w14:solidFill>
              <w14:schemeClr w14:val="tx1"/>
            </w14:solidFill>
          </w14:textFill>
        </w:rPr>
        <w:t>因此区域为大气环境质量</w:t>
      </w:r>
      <w:r>
        <w:rPr>
          <w:rFonts w:hint="default" w:ascii="Times New Roman" w:hAnsi="Times New Roman" w:eastAsia="宋体" w:cs="Times New Roman"/>
          <w:color w:val="000000" w:themeColor="text1"/>
          <w14:textFill>
            <w14:solidFill>
              <w14:schemeClr w14:val="tx1"/>
            </w14:solidFill>
          </w14:textFill>
        </w:rPr>
        <w:t>达标区</w:t>
      </w:r>
      <w:r>
        <w:rPr>
          <w:rFonts w:ascii="Times New Roman" w:hAnsi="Times New Roman" w:eastAsia="宋体" w:cs="Times New Roman"/>
          <w:color w:val="000000" w:themeColor="text1"/>
          <w:szCs w:val="20"/>
          <w14:textFill>
            <w14:solidFill>
              <w14:schemeClr w14:val="tx1"/>
            </w14:solidFill>
          </w14:textFill>
        </w:rPr>
        <w:t>。</w:t>
      </w:r>
    </w:p>
    <w:p w14:paraId="4EF2FC75">
      <w:pPr>
        <w:pStyle w:val="6"/>
        <w:numPr>
          <w:ilvl w:val="3"/>
          <w:numId w:val="1"/>
        </w:numPr>
        <w:rPr>
          <w:rFonts w:ascii="Times New Roman" w:hAnsi="Times New Roman" w:cs="Times New Roman"/>
          <w:color w:val="000000" w:themeColor="text1"/>
          <w14:textFill>
            <w14:solidFill>
              <w14:schemeClr w14:val="tx1"/>
            </w14:solidFill>
          </w14:textFill>
        </w:rPr>
      </w:pPr>
      <w:bookmarkStart w:id="138" w:name="_Hlk122024861"/>
      <w:r>
        <w:rPr>
          <w:rFonts w:ascii="Times New Roman" w:hAnsi="Times New Roman" w:cs="Times New Roman"/>
          <w:color w:val="000000" w:themeColor="text1"/>
          <w14:textFill>
            <w14:solidFill>
              <w14:schemeClr w14:val="tx1"/>
            </w14:solidFill>
          </w14:textFill>
        </w:rPr>
        <w:t>其他污染物</w:t>
      </w:r>
    </w:p>
    <w:bookmarkEnd w:id="138"/>
    <w:p w14:paraId="63011D2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本项目运营期大气特征污染物为H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TSP</w:t>
      </w:r>
      <w:r>
        <w:rPr>
          <w:rFonts w:hint="eastAsia"/>
          <w:color w:val="000000" w:themeColor="text1"/>
          <w:szCs w:val="2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臭气浓度，</w:t>
      </w:r>
      <w:r>
        <w:rPr>
          <w:rFonts w:hint="eastAsia" w:cs="Times New Roman"/>
          <w:color w:val="000000" w:themeColor="text1"/>
          <w:lang w:val="en-US" w:eastAsia="zh-CN"/>
          <w14:textFill>
            <w14:solidFill>
              <w14:schemeClr w14:val="tx1"/>
            </w14:solidFill>
          </w14:textFill>
        </w:rPr>
        <w:t>本次收集了</w:t>
      </w:r>
      <w:r>
        <w:rPr>
          <w:rFonts w:ascii="Times New Roman" w:hAnsi="Times New Roman" w:cs="Times New Roman"/>
          <w:color w:val="000000" w:themeColor="text1"/>
          <w14:textFill>
            <w14:solidFill>
              <w14:schemeClr w14:val="tx1"/>
            </w14:solidFill>
          </w14:textFill>
        </w:rPr>
        <w:t>新疆普京检测有限公司对</w:t>
      </w:r>
      <w:r>
        <w:rPr>
          <w:rFonts w:hint="eastAsia" w:cs="Times New Roman"/>
          <w:color w:val="000000" w:themeColor="text1"/>
          <w:lang w:val="en-US" w:eastAsia="zh-CN"/>
          <w14:textFill>
            <w14:solidFill>
              <w14:schemeClr w14:val="tx1"/>
            </w14:solidFill>
          </w14:textFill>
        </w:rPr>
        <w:t>附近其他项目</w:t>
      </w:r>
      <w:r>
        <w:rPr>
          <w:rFonts w:ascii="Times New Roman" w:hAnsi="Times New Roman" w:cs="Times New Roman"/>
          <w:color w:val="000000" w:themeColor="text1"/>
          <w14:textFill>
            <w14:solidFill>
              <w14:schemeClr w14:val="tx1"/>
            </w14:solidFill>
          </w14:textFill>
        </w:rPr>
        <w:t>实测</w:t>
      </w:r>
      <w:r>
        <w:rPr>
          <w:rFonts w:hint="eastAsia" w:cs="Times New Roman"/>
          <w:color w:val="000000" w:themeColor="text1"/>
          <w:lang w:val="en-US" w:eastAsia="zh-CN"/>
          <w14:textFill>
            <w14:solidFill>
              <w14:schemeClr w14:val="tx1"/>
            </w14:solidFill>
          </w14:textFill>
        </w:rPr>
        <w:t>结果</w:t>
      </w:r>
      <w:r>
        <w:rPr>
          <w:rFonts w:ascii="Times New Roman" w:hAnsi="Times New Roman" w:cs="Times New Roman"/>
          <w:color w:val="000000" w:themeColor="text1"/>
          <w14:textFill>
            <w14:solidFill>
              <w14:schemeClr w14:val="tx1"/>
            </w14:solidFill>
          </w14:textFill>
        </w:rPr>
        <w:t>。监测</w:t>
      </w:r>
      <w:r>
        <w:rPr>
          <w:rFonts w:hint="eastAsia" w:cs="Times New Roman"/>
          <w:color w:val="000000" w:themeColor="text1"/>
          <w:lang w:val="en-US" w:eastAsia="zh-CN"/>
          <w14:textFill>
            <w14:solidFill>
              <w14:schemeClr w14:val="tx1"/>
            </w14:solidFill>
          </w14:textFill>
        </w:rPr>
        <w:t>结果</w:t>
      </w:r>
      <w:r>
        <w:rPr>
          <w:rFonts w:ascii="Times New Roman" w:hAnsi="Times New Roman" w:cs="Times New Roman"/>
          <w:color w:val="000000" w:themeColor="text1"/>
          <w14:textFill>
            <w14:solidFill>
              <w14:schemeClr w14:val="tx1"/>
            </w14:solidFill>
          </w14:textFill>
        </w:rPr>
        <w:t>详见表</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2-2。</w:t>
      </w:r>
    </w:p>
    <w:p w14:paraId="3A412C78">
      <w:pPr>
        <w:ind w:firstLine="0" w:firstLineChars="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4</w:t>
      </w:r>
      <w:r>
        <w:rPr>
          <w:rFonts w:ascii="Times New Roman" w:hAnsi="Times New Roman" w:eastAsia="宋体" w:cs="Times New Roman"/>
          <w:b/>
          <w:bCs/>
          <w:color w:val="000000" w:themeColor="text1"/>
          <w14:textFill>
            <w14:solidFill>
              <w14:schemeClr w14:val="tx1"/>
            </w14:solidFill>
          </w14:textFill>
        </w:rPr>
        <w:t>.2-2    环境空气质量现状监测点布置</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5"/>
        <w:gridCol w:w="1539"/>
        <w:gridCol w:w="2153"/>
        <w:gridCol w:w="4217"/>
      </w:tblGrid>
      <w:tr w14:paraId="6176A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5" w:type="dxa"/>
            <w:tcBorders>
              <w:tl2br w:val="nil"/>
              <w:tr2bl w:val="nil"/>
            </w:tcBorders>
            <w:vAlign w:val="center"/>
          </w:tcPr>
          <w:p w14:paraId="049E2E7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点位编号</w:t>
            </w:r>
          </w:p>
        </w:tc>
        <w:tc>
          <w:tcPr>
            <w:tcW w:w="1539" w:type="dxa"/>
            <w:tcBorders>
              <w:tl2br w:val="nil"/>
              <w:tr2bl w:val="nil"/>
            </w:tcBorders>
            <w:vAlign w:val="center"/>
          </w:tcPr>
          <w:p w14:paraId="7B22214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监测点位置</w:t>
            </w:r>
          </w:p>
        </w:tc>
        <w:tc>
          <w:tcPr>
            <w:tcW w:w="2153" w:type="dxa"/>
            <w:tcBorders>
              <w:tl2br w:val="nil"/>
              <w:tr2bl w:val="nil"/>
            </w:tcBorders>
            <w:vAlign w:val="center"/>
          </w:tcPr>
          <w:p w14:paraId="406FC7E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监测因子</w:t>
            </w:r>
          </w:p>
        </w:tc>
        <w:tc>
          <w:tcPr>
            <w:tcW w:w="4217" w:type="dxa"/>
            <w:tcBorders>
              <w:tl2br w:val="nil"/>
              <w:tr2bl w:val="nil"/>
            </w:tcBorders>
            <w:vAlign w:val="center"/>
          </w:tcPr>
          <w:p w14:paraId="4866BED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监测点坐标</w:t>
            </w:r>
          </w:p>
        </w:tc>
      </w:tr>
      <w:tr w14:paraId="70B9AB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5" w:type="dxa"/>
            <w:tcBorders>
              <w:tl2br w:val="nil"/>
              <w:tr2bl w:val="nil"/>
            </w:tcBorders>
            <w:vAlign w:val="center"/>
          </w:tcPr>
          <w:p w14:paraId="16536706">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w:t>
            </w:r>
          </w:p>
        </w:tc>
        <w:tc>
          <w:tcPr>
            <w:tcW w:w="1539" w:type="dxa"/>
            <w:tcBorders>
              <w:tl2br w:val="nil"/>
              <w:tr2bl w:val="nil"/>
            </w:tcBorders>
            <w:shd w:val="clear" w:color="auto" w:fill="auto"/>
            <w:vAlign w:val="center"/>
          </w:tcPr>
          <w:p w14:paraId="0F009E21">
            <w:pPr>
              <w:pStyle w:val="56"/>
              <w:ind w:firstLine="0" w:firstLineChars="0"/>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6连</w:t>
            </w:r>
            <w:r>
              <w:rPr>
                <w:rFonts w:ascii="Times New Roman" w:hAnsi="Times New Roman"/>
                <w:color w:val="000000" w:themeColor="text1"/>
                <w:szCs w:val="21"/>
                <w:lang w:val="en-US"/>
                <w14:textFill>
                  <w14:solidFill>
                    <w14:schemeClr w14:val="tx1"/>
                  </w14:solidFill>
                </w14:textFill>
              </w:rPr>
              <w:t>项目区下风向</w:t>
            </w:r>
          </w:p>
        </w:tc>
        <w:tc>
          <w:tcPr>
            <w:tcW w:w="2153" w:type="dxa"/>
            <w:tcBorders>
              <w:tl2br w:val="nil"/>
              <w:tr2bl w:val="nil"/>
            </w:tcBorders>
            <w:shd w:val="clear" w:color="auto" w:fill="auto"/>
            <w:vAlign w:val="center"/>
          </w:tcPr>
          <w:p w14:paraId="207F8293">
            <w:pPr>
              <w:pStyle w:val="56"/>
              <w:ind w:firstLine="0" w:firstLineChars="0"/>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、臭气浓度、TSP</w:t>
            </w:r>
          </w:p>
        </w:tc>
        <w:tc>
          <w:tcPr>
            <w:tcW w:w="4217" w:type="dxa"/>
            <w:tcBorders>
              <w:tl2br w:val="nil"/>
              <w:tr2bl w:val="nil"/>
            </w:tcBorders>
            <w:shd w:val="clear" w:color="auto" w:fill="auto"/>
            <w:vAlign w:val="center"/>
          </w:tcPr>
          <w:p w14:paraId="2C7C3F31">
            <w:pPr>
              <w:pStyle w:val="56"/>
              <w:ind w:firstLine="0" w:firstLineChars="0"/>
              <w:rPr>
                <w:rFonts w:ascii="Times New Roman" w:hAnsi="Times New Roman" w:eastAsia="宋体" w:cs="Times New Roman"/>
                <w:color w:val="000000" w:themeColor="text1"/>
                <w:kern w:val="2"/>
                <w:sz w:val="21"/>
                <w:szCs w:val="21"/>
                <w:lang w:val="zh-CN" w:eastAsia="zh-CN" w:bidi="zh-CN"/>
                <w14:textFill>
                  <w14:solidFill>
                    <w14:schemeClr w14:val="tx1"/>
                  </w14:solidFill>
                </w14:textFill>
              </w:rPr>
            </w:pPr>
            <w:r>
              <w:rPr>
                <w:rFonts w:ascii="Times New Roman" w:hAnsi="Times New Roman"/>
                <w:color w:val="000000" w:themeColor="text1"/>
                <w:szCs w:val="21"/>
                <w14:textFill>
                  <w14:solidFill>
                    <w14:schemeClr w14:val="tx1"/>
                  </w14:solidFill>
                </w14:textFill>
              </w:rPr>
              <w:t>80°34′14.113″E, 43°55′58.841″N</w:t>
            </w:r>
          </w:p>
        </w:tc>
      </w:tr>
    </w:tbl>
    <w:p w14:paraId="42773EA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（2）监测项目与方法</w:t>
      </w:r>
    </w:p>
    <w:p w14:paraId="5FD6258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监测项目：H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、臭气浓度、TSP。监测期间同步记录气温、气压、风速、风向等常规气象参数。</w:t>
      </w:r>
    </w:p>
    <w:p w14:paraId="4AF0336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分析方法：本项目采用的环境空气质量现状监测分析方法见表</w:t>
      </w:r>
      <w:r>
        <w:rPr>
          <w:rFonts w:hint="eastAsia"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2-3。</w:t>
      </w:r>
    </w:p>
    <w:p w14:paraId="67F6975F">
      <w:pPr>
        <w:pStyle w:val="34"/>
        <w:spacing w:line="240" w:lineRule="auto"/>
        <w:ind w:left="0" w:leftChars="0"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w:t>
      </w:r>
      <w:r>
        <w:rPr>
          <w:rFonts w:hint="eastAsia" w:cs="Times New Roman"/>
          <w:b/>
          <w:color w:val="000000" w:themeColor="text1"/>
          <w:lang w:val="en-US" w:eastAsia="zh-CN"/>
          <w14:textFill>
            <w14:solidFill>
              <w14:schemeClr w14:val="tx1"/>
            </w14:solidFill>
          </w14:textFill>
        </w:rPr>
        <w:t>4</w:t>
      </w:r>
      <w:r>
        <w:rPr>
          <w:rFonts w:ascii="Times New Roman" w:hAnsi="Times New Roman" w:cs="Times New Roman"/>
          <w:b/>
          <w:color w:val="000000" w:themeColor="text1"/>
          <w14:textFill>
            <w14:solidFill>
              <w14:schemeClr w14:val="tx1"/>
            </w14:solidFill>
          </w14:textFill>
        </w:rPr>
        <w:t xml:space="preserve">.2-3    </w:t>
      </w:r>
      <w:r>
        <w:rPr>
          <w:rFonts w:ascii="Times New Roman" w:hAnsi="Times New Roman" w:cs="Times New Roman"/>
          <w:b/>
          <w:color w:val="000000" w:themeColor="text1"/>
          <w14:textFill>
            <w14:solidFill>
              <w14:schemeClr w14:val="tx1"/>
            </w14:solidFill>
          </w14:textFill>
        </w:rPr>
        <w:tab/>
      </w:r>
      <w:r>
        <w:rPr>
          <w:rFonts w:ascii="Times New Roman" w:hAnsi="Times New Roman" w:cs="Times New Roman"/>
          <w:b/>
          <w:color w:val="000000" w:themeColor="text1"/>
          <w14:textFill>
            <w14:solidFill>
              <w14:schemeClr w14:val="tx1"/>
            </w14:solidFill>
          </w14:textFill>
        </w:rPr>
        <w:t>环境空气质量现状监测分析方法</w:t>
      </w:r>
    </w:p>
    <w:tbl>
      <w:tblPr>
        <w:tblStyle w:val="8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2012"/>
        <w:gridCol w:w="1813"/>
        <w:gridCol w:w="4223"/>
      </w:tblGrid>
      <w:tr w14:paraId="3B68F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2" w:type="dxa"/>
            <w:vAlign w:val="center"/>
          </w:tcPr>
          <w:p w14:paraId="5D80B295">
            <w:pPr>
              <w:adjustRightInd w:val="0"/>
              <w:snapToGrid/>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kern w:val="0"/>
                <w:sz w:val="21"/>
                <w:szCs w:val="21"/>
                <w14:textFill>
                  <w14:solidFill>
                    <w14:schemeClr w14:val="tx1"/>
                  </w14:solidFill>
                </w14:textFill>
              </w:rPr>
              <w:t>项目</w:t>
            </w:r>
          </w:p>
        </w:tc>
        <w:tc>
          <w:tcPr>
            <w:tcW w:w="2012" w:type="dxa"/>
            <w:vAlign w:val="center"/>
          </w:tcPr>
          <w:p w14:paraId="7FA27ED2">
            <w:pPr>
              <w:adjustRightInd w:val="0"/>
              <w:snapToGrid/>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kern w:val="0"/>
                <w:sz w:val="21"/>
                <w:szCs w:val="21"/>
                <w14:textFill>
                  <w14:solidFill>
                    <w14:schemeClr w14:val="tx1"/>
                  </w14:solidFill>
                </w14:textFill>
              </w:rPr>
              <w:t>分析方法名称</w:t>
            </w:r>
          </w:p>
        </w:tc>
        <w:tc>
          <w:tcPr>
            <w:tcW w:w="1813" w:type="dxa"/>
            <w:vAlign w:val="center"/>
          </w:tcPr>
          <w:p w14:paraId="44DC0B81">
            <w:pPr>
              <w:adjustRightInd w:val="0"/>
              <w:snapToGrid/>
              <w:ind w:firstLine="0" w:firstLineChars="0"/>
              <w:jc w:val="center"/>
              <w:rPr>
                <w:rFonts w:hint="eastAsia" w:ascii="Times New Roman" w:hAnsi="Times New Roman" w:cs="Times New Roman" w:eastAsiaTheme="minorEastAsia"/>
                <w:snapToGrid w:val="0"/>
                <w:color w:val="000000" w:themeColor="text1"/>
                <w:sz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检出限</w:t>
            </w:r>
          </w:p>
        </w:tc>
        <w:tc>
          <w:tcPr>
            <w:tcW w:w="4223" w:type="dxa"/>
            <w:vAlign w:val="center"/>
          </w:tcPr>
          <w:p w14:paraId="35F6BC6F">
            <w:pPr>
              <w:adjustRightInd w:val="0"/>
              <w:snapToGrid/>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仪器名称、型号及编号</w:t>
            </w:r>
          </w:p>
        </w:tc>
      </w:tr>
      <w:tr w14:paraId="2A980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2" w:type="dxa"/>
            <w:tcBorders>
              <w:bottom w:val="single" w:color="auto" w:sz="4" w:space="0"/>
            </w:tcBorders>
            <w:vAlign w:val="center"/>
          </w:tcPr>
          <w:p w14:paraId="1EC39D68">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总悬浮颗粒物</w:t>
            </w:r>
          </w:p>
        </w:tc>
        <w:tc>
          <w:tcPr>
            <w:tcW w:w="2012" w:type="dxa"/>
            <w:tcBorders>
              <w:bottom w:val="single" w:color="auto" w:sz="4" w:space="0"/>
            </w:tcBorders>
            <w:vAlign w:val="center"/>
          </w:tcPr>
          <w:p w14:paraId="1586C9AB">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环境空气总悬浮颗粒物的测定重量法HJ1263-2022</w:t>
            </w:r>
          </w:p>
        </w:tc>
        <w:tc>
          <w:tcPr>
            <w:tcW w:w="1813" w:type="dxa"/>
            <w:tcBorders>
              <w:bottom w:val="single" w:color="auto" w:sz="4" w:space="0"/>
            </w:tcBorders>
            <w:vAlign w:val="center"/>
          </w:tcPr>
          <w:p w14:paraId="57310E82">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7μg/m</w:t>
            </w:r>
            <w:r>
              <w:rPr>
                <w:rFonts w:hint="default" w:ascii="Times New Roman" w:hAnsi="Times New Roman" w:eastAsia="宋体" w:cs="Times New Roman"/>
                <w:snapToGrid w:val="0"/>
                <w:color w:val="000000" w:themeColor="text1"/>
                <w:szCs w:val="21"/>
                <w:vertAlign w:val="superscript"/>
                <w:lang w:val="en-US" w:eastAsia="zh-CN"/>
                <w14:textFill>
                  <w14:solidFill>
                    <w14:schemeClr w14:val="tx1"/>
                  </w14:solidFill>
                </w14:textFill>
              </w:rPr>
              <w:t>3</w:t>
            </w:r>
          </w:p>
        </w:tc>
        <w:tc>
          <w:tcPr>
            <w:tcW w:w="4223" w:type="dxa"/>
            <w:tcBorders>
              <w:bottom w:val="single" w:color="auto" w:sz="4" w:space="0"/>
            </w:tcBorders>
            <w:vAlign w:val="center"/>
          </w:tcPr>
          <w:p w14:paraId="2344EAC6">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恒温恒流大气/颗粒物采样器MH1205型 HC0020201118 HC0021201118</w:t>
            </w:r>
          </w:p>
          <w:p w14:paraId="3E926BE4">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 xml:space="preserve">空盒气压表 DYM3 </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38602</w:t>
            </w:r>
          </w:p>
          <w:p w14:paraId="4BE190F9">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三杯风速仪FB-8 JC2022041801</w:t>
            </w:r>
          </w:p>
          <w:p w14:paraId="668163BE">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恒温恒湿称量系统LB-350N 1906214</w:t>
            </w:r>
          </w:p>
          <w:p w14:paraId="0D083ECB">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 xml:space="preserve">电子天平 </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SQP</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35990478</w:t>
            </w:r>
          </w:p>
        </w:tc>
      </w:tr>
      <w:tr w14:paraId="190C2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2" w:type="dxa"/>
            <w:tcBorders>
              <w:bottom w:val="single" w:color="auto" w:sz="4" w:space="0"/>
            </w:tcBorders>
            <w:vAlign w:val="center"/>
          </w:tcPr>
          <w:p w14:paraId="15E10D9A">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氨</w:t>
            </w:r>
          </w:p>
        </w:tc>
        <w:tc>
          <w:tcPr>
            <w:tcW w:w="2012" w:type="dxa"/>
            <w:tcBorders>
              <w:bottom w:val="single" w:color="auto" w:sz="4" w:space="0"/>
            </w:tcBorders>
            <w:vAlign w:val="center"/>
          </w:tcPr>
          <w:p w14:paraId="48F3AEA8">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环境空气和废气氨的测定纳氏试剂分光光度HJ533-2009</w:t>
            </w:r>
          </w:p>
        </w:tc>
        <w:tc>
          <w:tcPr>
            <w:tcW w:w="1813" w:type="dxa"/>
            <w:tcBorders>
              <w:bottom w:val="single" w:color="auto" w:sz="4" w:space="0"/>
            </w:tcBorders>
            <w:vAlign w:val="center"/>
          </w:tcPr>
          <w:p w14:paraId="742C7C5D">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0.01mg/m</w:t>
            </w:r>
            <w:r>
              <w:rPr>
                <w:rFonts w:hint="default" w:ascii="Times New Roman" w:hAnsi="Times New Roman" w:eastAsia="宋体" w:cs="Times New Roman"/>
                <w:snapToGrid w:val="0"/>
                <w:color w:val="000000" w:themeColor="text1"/>
                <w:szCs w:val="21"/>
                <w:vertAlign w:val="superscript"/>
                <w:lang w:val="en-US" w:eastAsia="zh-CN"/>
                <w14:textFill>
                  <w14:solidFill>
                    <w14:schemeClr w14:val="tx1"/>
                  </w14:solidFill>
                </w14:textFill>
              </w:rPr>
              <w:t>3</w:t>
            </w:r>
          </w:p>
        </w:tc>
        <w:tc>
          <w:tcPr>
            <w:tcW w:w="4223" w:type="dxa"/>
            <w:tcBorders>
              <w:bottom w:val="single" w:color="auto" w:sz="4" w:space="0"/>
            </w:tcBorders>
            <w:vAlign w:val="center"/>
          </w:tcPr>
          <w:p w14:paraId="5BF59AB6">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恒温恒流大气/颗粒物采样器MH1205型 HC0020201118 HC0021201118</w:t>
            </w:r>
          </w:p>
          <w:p w14:paraId="42F24249">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 xml:space="preserve">空盒气压表 DYM3 </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38602</w:t>
            </w:r>
          </w:p>
          <w:p w14:paraId="0114E940">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三杯风速仪FB-8 JC2022041801</w:t>
            </w:r>
          </w:p>
          <w:p w14:paraId="64719035">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紫外可见分光光度计UV-1800 UEF1804016</w:t>
            </w:r>
          </w:p>
        </w:tc>
      </w:tr>
      <w:tr w14:paraId="75044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2" w:type="dxa"/>
            <w:vAlign w:val="center"/>
          </w:tcPr>
          <w:p w14:paraId="38D84708">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硫化氢</w:t>
            </w:r>
          </w:p>
        </w:tc>
        <w:tc>
          <w:tcPr>
            <w:tcW w:w="2012" w:type="dxa"/>
            <w:vAlign w:val="center"/>
          </w:tcPr>
          <w:p w14:paraId="65B29B56">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空气质量硫化氢、甲硫醇和二甲二硫的测定气相色谱法GB/T14678-93</w:t>
            </w:r>
          </w:p>
        </w:tc>
        <w:tc>
          <w:tcPr>
            <w:tcW w:w="1813" w:type="dxa"/>
            <w:vAlign w:val="center"/>
          </w:tcPr>
          <w:p w14:paraId="5C8E3CC7">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0.2×10</w:t>
            </w:r>
            <w:r>
              <w:rPr>
                <w:rFonts w:hint="default" w:ascii="Times New Roman" w:hAnsi="Times New Roman" w:eastAsia="宋体" w:cs="Times New Roman"/>
                <w:snapToGrid w:val="0"/>
                <w:color w:val="000000" w:themeColor="text1"/>
                <w:szCs w:val="21"/>
                <w:vertAlign w:val="superscript"/>
                <w:lang w:val="en-US" w:eastAsia="zh-CN"/>
                <w14:textFill>
                  <w14:solidFill>
                    <w14:schemeClr w14:val="tx1"/>
                  </w14:solidFill>
                </w14:textFill>
              </w:rPr>
              <w:t>-3</w:t>
            </w:r>
          </w:p>
          <w:p w14:paraId="7362CD60">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mg/m</w:t>
            </w:r>
            <w:r>
              <w:rPr>
                <w:rFonts w:hint="default" w:ascii="Times New Roman" w:hAnsi="Times New Roman" w:eastAsia="宋体" w:cs="Times New Roman"/>
                <w:snapToGrid w:val="0"/>
                <w:color w:val="000000" w:themeColor="text1"/>
                <w:szCs w:val="21"/>
                <w:vertAlign w:val="superscript"/>
                <w:lang w:val="en-US" w:eastAsia="zh-CN"/>
                <w14:textFill>
                  <w14:solidFill>
                    <w14:schemeClr w14:val="tx1"/>
                  </w14:solidFill>
                </w14:textFill>
              </w:rPr>
              <w:t>3</w:t>
            </w:r>
          </w:p>
        </w:tc>
        <w:tc>
          <w:tcPr>
            <w:tcW w:w="4223" w:type="dxa"/>
            <w:vMerge w:val="restart"/>
            <w:vAlign w:val="center"/>
          </w:tcPr>
          <w:p w14:paraId="667D01E4">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真空箱采样器 MH3051型 30</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1230485240805 30</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 xml:space="preserve">1230486240805 </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3051</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230487240805 30</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1230488240805</w:t>
            </w:r>
          </w:p>
          <w:p w14:paraId="613E9281">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 xml:space="preserve">空盒气压表 DYM3 </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38602</w:t>
            </w:r>
          </w:p>
          <w:p w14:paraId="3746D1FF">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三杯风速仪FB-8 JC2022041801</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 xml:space="preserve"> </w:t>
            </w:r>
          </w:p>
          <w:p w14:paraId="55DF485F">
            <w:pPr>
              <w:pStyle w:val="56"/>
              <w:adjustRightInd w:val="0"/>
              <w:snapToGrid w:val="0"/>
              <w:ind w:firstLine="0" w:firstLineChars="0"/>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气相色谱仪GC-2014C</w:t>
            </w:r>
            <w:r>
              <w:rPr>
                <w:rFonts w:hint="eastAsia" w:ascii="Times New Roman" w:hAnsi="Times New Roman" w:eastAsia="宋体" w:cs="Times New Roman"/>
                <w:snapToGrid w:val="0"/>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C11885331816CS</w:t>
            </w:r>
          </w:p>
        </w:tc>
      </w:tr>
      <w:tr w14:paraId="65B40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012" w:type="dxa"/>
            <w:vAlign w:val="center"/>
          </w:tcPr>
          <w:p w14:paraId="248A370A">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臭气浓度</w:t>
            </w:r>
          </w:p>
        </w:tc>
        <w:tc>
          <w:tcPr>
            <w:tcW w:w="2012" w:type="dxa"/>
            <w:vAlign w:val="center"/>
          </w:tcPr>
          <w:p w14:paraId="65C325A8">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环境空气和废气臭气的测定三点比较式臭袋法HJ1262-2022</w:t>
            </w:r>
          </w:p>
        </w:tc>
        <w:tc>
          <w:tcPr>
            <w:tcW w:w="1813" w:type="dxa"/>
            <w:vAlign w:val="center"/>
          </w:tcPr>
          <w:p w14:paraId="3AA37C6D">
            <w:pPr>
              <w:pStyle w:val="56"/>
              <w:adjustRightInd w:val="0"/>
              <w:snapToGrid w:val="0"/>
              <w:ind w:firstLine="0" w:firstLineChars="0"/>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Cs w:val="21"/>
                <w:lang w:val="en-US" w:eastAsia="zh-CN"/>
                <w14:textFill>
                  <w14:solidFill>
                    <w14:schemeClr w14:val="tx1"/>
                  </w14:solidFill>
                </w14:textFill>
              </w:rPr>
              <w:t>/</w:t>
            </w:r>
          </w:p>
        </w:tc>
        <w:tc>
          <w:tcPr>
            <w:tcW w:w="4223" w:type="dxa"/>
            <w:vMerge w:val="continue"/>
            <w:vAlign w:val="center"/>
          </w:tcPr>
          <w:p w14:paraId="1E632BC3">
            <w:pPr>
              <w:pStyle w:val="11"/>
              <w:adjustRightInd w:val="0"/>
              <w:snapToGrid w:val="0"/>
              <w:ind w:firstLine="0" w:firstLineChars="0"/>
              <w:jc w:val="center"/>
              <w:rPr>
                <w:rFonts w:ascii="Times New Roman" w:hAnsi="Times New Roman" w:cs="Times New Roman" w:eastAsiaTheme="minorEastAsia"/>
                <w:snapToGrid w:val="0"/>
                <w:color w:val="000000" w:themeColor="text1"/>
                <w:sz w:val="21"/>
                <w:szCs w:val="21"/>
                <w14:textFill>
                  <w14:solidFill>
                    <w14:schemeClr w14:val="tx1"/>
                  </w14:solidFill>
                </w14:textFill>
              </w:rPr>
            </w:pPr>
          </w:p>
        </w:tc>
      </w:tr>
    </w:tbl>
    <w:p w14:paraId="21616D3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（3）监测时间和频次</w:t>
      </w:r>
    </w:p>
    <w:p w14:paraId="3EFE50F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监测时间：NH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ascii="Times New Roman" w:hAnsi="Times New Roman"/>
          <w:color w:val="000000" w:themeColor="text1"/>
          <w:szCs w:val="21"/>
          <w14:textFill>
            <w14:solidFill>
              <w14:schemeClr w14:val="tx1"/>
            </w14:solidFill>
          </w14:textFill>
        </w:rPr>
        <w:t>TSP</w:t>
      </w:r>
      <w:r>
        <w:rPr>
          <w:rFonts w:hint="eastAsia" w:ascii="Times New Roman" w:hAnsi="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臭气浓度于202</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日</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27</w:t>
      </w:r>
      <w:r>
        <w:rPr>
          <w:rFonts w:ascii="Times New Roman" w:hAnsi="Times New Roman" w:cs="Times New Roman"/>
          <w:color w:val="000000" w:themeColor="text1"/>
          <w14:textFill>
            <w14:solidFill>
              <w14:schemeClr w14:val="tx1"/>
            </w14:solidFill>
          </w14:textFill>
        </w:rPr>
        <w:t>日，连续监测7天有效数据。</w:t>
      </w:r>
    </w:p>
    <w:p w14:paraId="3200520D">
      <w:pPr>
        <w:tabs>
          <w:tab w:val="left" w:pos="4024"/>
        </w:tabs>
        <w:ind w:firstLine="0" w:firstLineChars="0"/>
        <w:jc w:val="center"/>
        <w:rPr>
          <w:rFonts w:ascii="Times New Roman" w:hAnsi="Times New Roman" w:cs="Times New Roman"/>
          <w:b/>
          <w:bCs/>
          <w:snapToGrid w:val="0"/>
          <w:color w:val="000000" w:themeColor="text1"/>
          <w14:textFill>
            <w14:solidFill>
              <w14:schemeClr w14:val="tx1"/>
            </w14:solidFill>
          </w14:textFill>
        </w:rPr>
      </w:pPr>
      <w:r>
        <w:rPr>
          <w:rFonts w:ascii="Times New Roman" w:hAnsi="Times New Roman" w:cs="Times New Roman"/>
          <w:b/>
          <w:bCs/>
          <w:snapToGrid w:val="0"/>
          <w:color w:val="000000" w:themeColor="text1"/>
          <w:kern w:val="0"/>
          <w:lang w:val="zh-CN"/>
          <w14:textFill>
            <w14:solidFill>
              <w14:schemeClr w14:val="tx1"/>
            </w14:solidFill>
          </w14:textFill>
        </w:rPr>
        <w:t>表</w:t>
      </w:r>
      <w:r>
        <w:rPr>
          <w:rFonts w:hint="eastAsia" w:cs="Times New Roman"/>
          <w:b/>
          <w:bCs/>
          <w:snapToGrid w:val="0"/>
          <w:color w:val="000000" w:themeColor="text1"/>
          <w:kern w:val="0"/>
          <w:lang w:val="en-US" w:eastAsia="zh-CN"/>
          <w14:textFill>
            <w14:solidFill>
              <w14:schemeClr w14:val="tx1"/>
            </w14:solidFill>
          </w14:textFill>
        </w:rPr>
        <w:t>4</w:t>
      </w:r>
      <w:r>
        <w:rPr>
          <w:rFonts w:ascii="Times New Roman" w:hAnsi="Times New Roman" w:cs="Times New Roman"/>
          <w:b/>
          <w:bCs/>
          <w:snapToGrid w:val="0"/>
          <w:color w:val="000000" w:themeColor="text1"/>
          <w:kern w:val="0"/>
          <w:lang w:val="zh-CN"/>
          <w14:textFill>
            <w14:solidFill>
              <w14:schemeClr w14:val="tx1"/>
            </w14:solidFill>
          </w14:textFill>
        </w:rPr>
        <w:t>.</w:t>
      </w:r>
      <w:r>
        <w:rPr>
          <w:rFonts w:ascii="Times New Roman" w:hAnsi="Times New Roman" w:cs="Times New Roman"/>
          <w:b/>
          <w:bCs/>
          <w:snapToGrid w:val="0"/>
          <w:color w:val="000000" w:themeColor="text1"/>
          <w:kern w:val="0"/>
          <w14:textFill>
            <w14:solidFill>
              <w14:schemeClr w14:val="tx1"/>
            </w14:solidFill>
          </w14:textFill>
        </w:rPr>
        <w:t>2</w:t>
      </w:r>
      <w:r>
        <w:rPr>
          <w:rFonts w:ascii="Times New Roman" w:hAnsi="Times New Roman" w:cs="Times New Roman"/>
          <w:b/>
          <w:bCs/>
          <w:snapToGrid w:val="0"/>
          <w:color w:val="000000" w:themeColor="text1"/>
          <w:kern w:val="0"/>
          <w:lang w:val="zh-CN"/>
          <w14:textFill>
            <w14:solidFill>
              <w14:schemeClr w14:val="tx1"/>
            </w14:solidFill>
          </w14:textFill>
        </w:rPr>
        <w:t>-4</w:t>
      </w:r>
      <w:r>
        <w:rPr>
          <w:rFonts w:ascii="Times New Roman" w:hAnsi="Times New Roman" w:cs="Times New Roman"/>
          <w:b/>
          <w:bCs/>
          <w:snapToGrid w:val="0"/>
          <w:color w:val="000000" w:themeColor="text1"/>
          <w:kern w:val="0"/>
          <w14:textFill>
            <w14:solidFill>
              <w14:schemeClr w14:val="tx1"/>
            </w14:solidFill>
          </w14:textFill>
        </w:rPr>
        <w:t xml:space="preserve">     </w:t>
      </w:r>
      <w:r>
        <w:rPr>
          <w:rFonts w:ascii="Times New Roman" w:hAnsi="Times New Roman" w:cs="Times New Roman"/>
          <w:b/>
          <w:bCs/>
          <w:snapToGrid w:val="0"/>
          <w:color w:val="000000" w:themeColor="text1"/>
          <w:kern w:val="0"/>
          <w:lang w:val="zh-CN"/>
          <w14:textFill>
            <w14:solidFill>
              <w14:schemeClr w14:val="tx1"/>
            </w14:solidFill>
          </w14:textFill>
        </w:rPr>
        <w:t>取值时间及数据有效性一览表</w:t>
      </w:r>
    </w:p>
    <w:tbl>
      <w:tblPr>
        <w:tblStyle w:val="8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630"/>
        <w:gridCol w:w="1716"/>
        <w:gridCol w:w="3786"/>
      </w:tblGrid>
      <w:tr w14:paraId="1D7FC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7AEB01F5">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序号</w:t>
            </w:r>
          </w:p>
        </w:tc>
        <w:tc>
          <w:tcPr>
            <w:tcW w:w="2630" w:type="dxa"/>
            <w:vAlign w:val="center"/>
          </w:tcPr>
          <w:p w14:paraId="56A1880C">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污染物</w:t>
            </w:r>
          </w:p>
        </w:tc>
        <w:tc>
          <w:tcPr>
            <w:tcW w:w="1716" w:type="dxa"/>
            <w:vAlign w:val="center"/>
          </w:tcPr>
          <w:p w14:paraId="38D2E430">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取值时间</w:t>
            </w:r>
          </w:p>
        </w:tc>
        <w:tc>
          <w:tcPr>
            <w:tcW w:w="3786" w:type="dxa"/>
            <w:vAlign w:val="center"/>
          </w:tcPr>
          <w:p w14:paraId="31881046">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数据有效性</w:t>
            </w:r>
          </w:p>
        </w:tc>
      </w:tr>
      <w:tr w14:paraId="72682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779BC393">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1</w:t>
            </w:r>
          </w:p>
        </w:tc>
        <w:tc>
          <w:tcPr>
            <w:tcW w:w="2630" w:type="dxa"/>
            <w:vAlign w:val="center"/>
          </w:tcPr>
          <w:p w14:paraId="190EF113">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NH</w:t>
            </w:r>
            <w:r>
              <w:rPr>
                <w:rFonts w:ascii="Times New Roman" w:hAnsi="Times New Roman" w:cs="Times New Roman"/>
                <w:snapToGrid w:val="0"/>
                <w:color w:val="000000" w:themeColor="text1"/>
                <w:sz w:val="21"/>
                <w:szCs w:val="21"/>
                <w:vertAlign w:val="subscript"/>
                <w14:textFill>
                  <w14:solidFill>
                    <w14:schemeClr w14:val="tx1"/>
                  </w14:solidFill>
                </w14:textFill>
              </w:rPr>
              <w:t>3</w:t>
            </w:r>
          </w:p>
        </w:tc>
        <w:tc>
          <w:tcPr>
            <w:tcW w:w="1716" w:type="dxa"/>
            <w:vAlign w:val="center"/>
          </w:tcPr>
          <w:p w14:paraId="208EA6A2">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小时均值</w:t>
            </w:r>
          </w:p>
        </w:tc>
        <w:tc>
          <w:tcPr>
            <w:tcW w:w="3786" w:type="dxa"/>
            <w:vAlign w:val="center"/>
          </w:tcPr>
          <w:p w14:paraId="7321D7BC">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每次采样至少45分钟</w:t>
            </w:r>
          </w:p>
        </w:tc>
      </w:tr>
      <w:tr w14:paraId="6FA1F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6B1FE575">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2</w:t>
            </w:r>
          </w:p>
        </w:tc>
        <w:tc>
          <w:tcPr>
            <w:tcW w:w="2630" w:type="dxa"/>
            <w:vAlign w:val="center"/>
          </w:tcPr>
          <w:p w14:paraId="15405AEB">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H</w:t>
            </w:r>
            <w:r>
              <w:rPr>
                <w:rFonts w:ascii="Times New Roman" w:hAnsi="Times New Roman" w:cs="Times New Roman"/>
                <w:snapToGrid w:val="0"/>
                <w:color w:val="000000" w:themeColor="text1"/>
                <w:sz w:val="21"/>
                <w:szCs w:val="21"/>
                <w:vertAlign w:val="subscript"/>
                <w14:textFill>
                  <w14:solidFill>
                    <w14:schemeClr w14:val="tx1"/>
                  </w14:solidFill>
                </w14:textFill>
              </w:rPr>
              <w:t>2</w:t>
            </w:r>
            <w:r>
              <w:rPr>
                <w:rFonts w:ascii="Times New Roman" w:hAnsi="Times New Roman" w:cs="Times New Roman"/>
                <w:snapToGrid w:val="0"/>
                <w:color w:val="000000" w:themeColor="text1"/>
                <w:sz w:val="21"/>
                <w:szCs w:val="21"/>
                <w14:textFill>
                  <w14:solidFill>
                    <w14:schemeClr w14:val="tx1"/>
                  </w14:solidFill>
                </w14:textFill>
              </w:rPr>
              <w:t>S</w:t>
            </w:r>
          </w:p>
        </w:tc>
        <w:tc>
          <w:tcPr>
            <w:tcW w:w="1716" w:type="dxa"/>
            <w:vAlign w:val="center"/>
          </w:tcPr>
          <w:p w14:paraId="6F8C93F1">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小时均值</w:t>
            </w:r>
          </w:p>
        </w:tc>
        <w:tc>
          <w:tcPr>
            <w:tcW w:w="3786" w:type="dxa"/>
            <w:vAlign w:val="center"/>
          </w:tcPr>
          <w:p w14:paraId="4A6D3831">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每次采样至少60分钟</w:t>
            </w:r>
          </w:p>
        </w:tc>
      </w:tr>
      <w:tr w14:paraId="7D84F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4EF0A0EF">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3</w:t>
            </w:r>
          </w:p>
        </w:tc>
        <w:tc>
          <w:tcPr>
            <w:tcW w:w="2630" w:type="dxa"/>
            <w:vAlign w:val="center"/>
          </w:tcPr>
          <w:p w14:paraId="05B01B34">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臭气浓度</w:t>
            </w:r>
          </w:p>
        </w:tc>
        <w:tc>
          <w:tcPr>
            <w:tcW w:w="1716" w:type="dxa"/>
            <w:vAlign w:val="center"/>
          </w:tcPr>
          <w:p w14:paraId="66FFCF9D">
            <w:pPr>
              <w:adjustRightInd w:val="0"/>
              <w:snapToGrid w:val="0"/>
              <w:spacing w:line="240" w:lineRule="auto"/>
              <w:ind w:firstLine="0" w:firstLineChars="0"/>
              <w:jc w:val="center"/>
              <w:rPr>
                <w:rFonts w:hint="eastAsia" w:ascii="Times New Roman" w:hAnsi="Times New Roman" w:cs="Times New Roman" w:eastAsiaTheme="minorEastAsia"/>
                <w:snapToGrid w:val="0"/>
                <w:color w:val="000000" w:themeColor="text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小时均值</w:t>
            </w:r>
          </w:p>
        </w:tc>
        <w:tc>
          <w:tcPr>
            <w:tcW w:w="3786" w:type="dxa"/>
            <w:vAlign w:val="center"/>
          </w:tcPr>
          <w:p w14:paraId="2511ACDC">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w:t>
            </w:r>
          </w:p>
        </w:tc>
      </w:tr>
      <w:tr w14:paraId="3E0AD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dxa"/>
            <w:vAlign w:val="center"/>
          </w:tcPr>
          <w:p w14:paraId="751052FA">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4</w:t>
            </w:r>
          </w:p>
        </w:tc>
        <w:tc>
          <w:tcPr>
            <w:tcW w:w="2630" w:type="dxa"/>
            <w:vAlign w:val="center"/>
          </w:tcPr>
          <w:p w14:paraId="544B7E53">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TSP</w:t>
            </w:r>
          </w:p>
        </w:tc>
        <w:tc>
          <w:tcPr>
            <w:tcW w:w="1716" w:type="dxa"/>
            <w:vAlign w:val="center"/>
          </w:tcPr>
          <w:p w14:paraId="089E88AE">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24小时均值</w:t>
            </w:r>
          </w:p>
        </w:tc>
        <w:tc>
          <w:tcPr>
            <w:tcW w:w="3786" w:type="dxa"/>
            <w:vAlign w:val="center"/>
          </w:tcPr>
          <w:p w14:paraId="0AF3FAD4">
            <w:pPr>
              <w:adjustRightInd w:val="0"/>
              <w:snapToGrid w:val="0"/>
              <w:spacing w:line="240" w:lineRule="auto"/>
              <w:ind w:firstLine="0" w:firstLineChars="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每次采样至少20小时</w:t>
            </w:r>
          </w:p>
        </w:tc>
      </w:tr>
    </w:tbl>
    <w:p w14:paraId="3B47A9D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（4）监测结果</w:t>
      </w:r>
    </w:p>
    <w:p w14:paraId="45355241">
      <w:pPr>
        <w:pStyle w:val="34"/>
        <w:spacing w:line="240" w:lineRule="auto"/>
        <w:ind w:left="480"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监测结果见表</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p>
    <w:p w14:paraId="56BAE166">
      <w:pPr>
        <w:pStyle w:val="61"/>
        <w:spacing w:before="32" w:after="32" w:line="240" w:lineRule="auto"/>
        <w:rPr>
          <w:rFonts w:ascii="Times New Roman" w:hAnsi="Times New Roman" w:cs="Times New Roman"/>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4</w:t>
      </w:r>
      <w:r>
        <w:rPr>
          <w:rFonts w:ascii="Times New Roman" w:hAnsi="Times New Roman" w:eastAsia="宋体" w:cs="Times New Roman"/>
          <w:b/>
          <w:bCs/>
          <w:color w:val="auto"/>
        </w:rPr>
        <w:t>.2-5      空气质量监测结果（其他污染物）</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52"/>
        <w:gridCol w:w="1656"/>
        <w:gridCol w:w="1824"/>
        <w:gridCol w:w="1988"/>
        <w:gridCol w:w="1719"/>
      </w:tblGrid>
      <w:tr w14:paraId="000AB9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tcBorders>
              <w:tl2br w:val="nil"/>
              <w:tr2bl w:val="nil"/>
            </w:tcBorders>
            <w:vAlign w:val="center"/>
          </w:tcPr>
          <w:p w14:paraId="6FEB4825">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监测点位</w:t>
            </w:r>
          </w:p>
        </w:tc>
        <w:tc>
          <w:tcPr>
            <w:tcW w:w="936" w:type="pct"/>
            <w:tcBorders>
              <w:tl2br w:val="nil"/>
              <w:tr2bl w:val="nil"/>
            </w:tcBorders>
            <w:vAlign w:val="center"/>
          </w:tcPr>
          <w:p w14:paraId="4CF7F959">
            <w:pPr>
              <w:pStyle w:val="56"/>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日期</w:t>
            </w:r>
          </w:p>
        </w:tc>
        <w:tc>
          <w:tcPr>
            <w:tcW w:w="1031" w:type="pct"/>
            <w:tcBorders>
              <w:tl2br w:val="nil"/>
              <w:tr2bl w:val="nil"/>
            </w:tcBorders>
            <w:vAlign w:val="center"/>
          </w:tcPr>
          <w:p w14:paraId="2553857E">
            <w:pPr>
              <w:pStyle w:val="56"/>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w:t>
            </w:r>
          </w:p>
        </w:tc>
        <w:tc>
          <w:tcPr>
            <w:tcW w:w="1124" w:type="pct"/>
            <w:tcBorders>
              <w:tl2br w:val="nil"/>
              <w:tr2bl w:val="nil"/>
            </w:tcBorders>
            <w:vAlign w:val="center"/>
          </w:tcPr>
          <w:p w14:paraId="28E414F8">
            <w:pPr>
              <w:pStyle w:val="56"/>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采样阶段</w:t>
            </w:r>
          </w:p>
        </w:tc>
        <w:tc>
          <w:tcPr>
            <w:tcW w:w="972" w:type="pct"/>
            <w:tcBorders>
              <w:tl2br w:val="nil"/>
              <w:tr2bl w:val="nil"/>
            </w:tcBorders>
            <w:vAlign w:val="center"/>
          </w:tcPr>
          <w:p w14:paraId="1C74D5A8">
            <w:pPr>
              <w:pStyle w:val="56"/>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检测结果</w:t>
            </w:r>
          </w:p>
        </w:tc>
      </w:tr>
      <w:tr w14:paraId="716F18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restart"/>
            <w:tcBorders>
              <w:tl2br w:val="nil"/>
              <w:tr2bl w:val="nil"/>
            </w:tcBorders>
            <w:vAlign w:val="center"/>
          </w:tcPr>
          <w:p w14:paraId="3CEDC3B3">
            <w:pPr>
              <w:pStyle w:val="56"/>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6连</w:t>
            </w:r>
            <w:r>
              <w:rPr>
                <w:rFonts w:ascii="Times New Roman" w:hAnsi="Times New Roman"/>
                <w:color w:val="000000" w:themeColor="text1"/>
                <w:szCs w:val="21"/>
                <w14:textFill>
                  <w14:solidFill>
                    <w14:schemeClr w14:val="tx1"/>
                  </w14:solidFill>
                </w14:textFill>
              </w:rPr>
              <w:t>项目区</w:t>
            </w:r>
            <w:r>
              <w:rPr>
                <w:rFonts w:hint="eastAsia" w:ascii="Times New Roman" w:hAnsi="Times New Roman"/>
                <w:color w:val="000000" w:themeColor="text1"/>
                <w:szCs w:val="21"/>
                <w:lang w:val="en-US" w:eastAsia="zh-CN"/>
                <w14:textFill>
                  <w14:solidFill>
                    <w14:schemeClr w14:val="tx1"/>
                  </w14:solidFill>
                </w14:textFill>
              </w:rPr>
              <w:t>西</w:t>
            </w:r>
            <w:r>
              <w:rPr>
                <w:rFonts w:ascii="Times New Roman" w:hAnsi="Times New Roman"/>
                <w:color w:val="000000" w:themeColor="text1"/>
                <w:szCs w:val="21"/>
                <w14:textFill>
                  <w14:solidFill>
                    <w14:schemeClr w14:val="tx1"/>
                  </w14:solidFill>
                </w14:textFill>
              </w:rPr>
              <w:t>侧（下风向）</w:t>
            </w:r>
          </w:p>
        </w:tc>
        <w:tc>
          <w:tcPr>
            <w:tcW w:w="936" w:type="pct"/>
            <w:vMerge w:val="restart"/>
            <w:tcBorders>
              <w:tl2br w:val="nil"/>
              <w:tr2bl w:val="nil"/>
            </w:tcBorders>
            <w:vAlign w:val="center"/>
          </w:tcPr>
          <w:p w14:paraId="665A559E">
            <w:pPr>
              <w:pStyle w:val="56"/>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10月21日</w:t>
            </w:r>
          </w:p>
        </w:tc>
        <w:tc>
          <w:tcPr>
            <w:tcW w:w="1031" w:type="pct"/>
            <w:vMerge w:val="restart"/>
            <w:tcBorders>
              <w:tl2br w:val="nil"/>
              <w:tr2bl w:val="nil"/>
            </w:tcBorders>
            <w:vAlign w:val="center"/>
          </w:tcPr>
          <w:p w14:paraId="7CF88694">
            <w:pPr>
              <w:pStyle w:val="56"/>
              <w:jc w:val="center"/>
              <w:rPr>
                <w:rFonts w:hint="eastAsia"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(mg/m³)</w:t>
            </w:r>
          </w:p>
        </w:tc>
        <w:tc>
          <w:tcPr>
            <w:tcW w:w="1124" w:type="pct"/>
            <w:tcBorders>
              <w:tl2br w:val="nil"/>
              <w:tr2bl w:val="nil"/>
            </w:tcBorders>
            <w:vAlign w:val="center"/>
          </w:tcPr>
          <w:p w14:paraId="1344369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00:00~00:45</w:t>
            </w:r>
          </w:p>
        </w:tc>
        <w:tc>
          <w:tcPr>
            <w:tcW w:w="972" w:type="pct"/>
            <w:tcBorders>
              <w:tl2br w:val="nil"/>
              <w:tr2bl w:val="nil"/>
            </w:tcBorders>
            <w:vAlign w:val="center"/>
          </w:tcPr>
          <w:p w14:paraId="78C697D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1AA903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FA4E4B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2A4D7B5">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50F605A1">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6CD4CB3F">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02:00~02:45</w:t>
            </w:r>
          </w:p>
        </w:tc>
        <w:tc>
          <w:tcPr>
            <w:tcW w:w="972" w:type="pct"/>
            <w:tcBorders>
              <w:tl2br w:val="nil"/>
              <w:tr2bl w:val="nil"/>
            </w:tcBorders>
            <w:vAlign w:val="center"/>
          </w:tcPr>
          <w:p w14:paraId="4A47754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33E2D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611DA5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6471CA2">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D293BA8">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9A8390E">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04:00~04:45</w:t>
            </w:r>
          </w:p>
        </w:tc>
        <w:tc>
          <w:tcPr>
            <w:tcW w:w="972" w:type="pct"/>
            <w:tcBorders>
              <w:tl2br w:val="nil"/>
              <w:tr2bl w:val="nil"/>
            </w:tcBorders>
            <w:vAlign w:val="center"/>
          </w:tcPr>
          <w:p w14:paraId="7B14B36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23BF87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C36DF3B">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D54664B">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486D133">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6AE814D0">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06:00~06:45</w:t>
            </w:r>
          </w:p>
        </w:tc>
        <w:tc>
          <w:tcPr>
            <w:tcW w:w="972" w:type="pct"/>
            <w:tcBorders>
              <w:tl2br w:val="nil"/>
              <w:tr2bl w:val="nil"/>
            </w:tcBorders>
            <w:vAlign w:val="center"/>
          </w:tcPr>
          <w:p w14:paraId="77B5020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360AA2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04BE0F1">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79DAD6AA">
            <w:pPr>
              <w:pStyle w:val="56"/>
              <w:jc w:val="center"/>
              <w:rPr>
                <w:rFonts w:hint="eastAsia" w:ascii="Times New Roman" w:hAnsi="Times New Roman"/>
                <w:color w:val="000000" w:themeColor="text1"/>
                <w:szCs w:val="21"/>
                <w:lang w:val="en-US" w:eastAsia="zh-CN"/>
                <w14:textFill>
                  <w14:solidFill>
                    <w14:schemeClr w14:val="tx1"/>
                  </w14:solidFill>
                </w14:textFill>
              </w:rPr>
            </w:pPr>
          </w:p>
        </w:tc>
        <w:tc>
          <w:tcPr>
            <w:tcW w:w="1031" w:type="pct"/>
            <w:vMerge w:val="restart"/>
            <w:tcBorders>
              <w:tl2br w:val="nil"/>
              <w:tr2bl w:val="nil"/>
            </w:tcBorders>
            <w:vAlign w:val="center"/>
          </w:tcPr>
          <w:p w14:paraId="7E4A763D">
            <w:pPr>
              <w:pStyle w:val="56"/>
              <w:jc w:val="center"/>
              <w:rPr>
                <w:rFonts w:hint="eastAsia"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S(mg/m³)</w:t>
            </w:r>
          </w:p>
        </w:tc>
        <w:tc>
          <w:tcPr>
            <w:tcW w:w="1124" w:type="pct"/>
            <w:tcBorders>
              <w:tl2br w:val="nil"/>
              <w:tr2bl w:val="nil"/>
            </w:tcBorders>
            <w:vAlign w:val="center"/>
          </w:tcPr>
          <w:p w14:paraId="360E08C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2BA9B00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02E3D4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A939B69">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48AF39D">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A0D624F">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3A280928">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69A2543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387D4D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3ADFD2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B0C2BD2">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FC5FCD4">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21150AE7">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44BE4D7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09D462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1568F09">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F186CA2">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3D5513F">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1B27A7E2">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095681A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1621B3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021A5EF">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030B38CB">
            <w:pPr>
              <w:pStyle w:val="56"/>
              <w:jc w:val="center"/>
              <w:rPr>
                <w:rFonts w:hint="eastAsia" w:ascii="Times New Roman" w:hAnsi="Times New Roman"/>
                <w:color w:val="000000" w:themeColor="text1"/>
                <w:szCs w:val="21"/>
                <w:lang w:val="en-US" w:eastAsia="zh-CN"/>
                <w14:textFill>
                  <w14:solidFill>
                    <w14:schemeClr w14:val="tx1"/>
                  </w14:solidFill>
                </w14:textFill>
              </w:rPr>
            </w:pPr>
          </w:p>
        </w:tc>
        <w:tc>
          <w:tcPr>
            <w:tcW w:w="1031" w:type="pct"/>
            <w:vMerge w:val="restart"/>
            <w:tcBorders>
              <w:tl2br w:val="nil"/>
              <w:tr2bl w:val="nil"/>
            </w:tcBorders>
            <w:vAlign w:val="center"/>
          </w:tcPr>
          <w:p w14:paraId="561E5FAD">
            <w:pPr>
              <w:pStyle w:val="56"/>
              <w:jc w:val="center"/>
              <w:rPr>
                <w:rFonts w:hint="eastAsia"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w:t>
            </w:r>
          </w:p>
        </w:tc>
        <w:tc>
          <w:tcPr>
            <w:tcW w:w="1124" w:type="pct"/>
            <w:tcBorders>
              <w:tl2br w:val="nil"/>
              <w:tr2bl w:val="nil"/>
            </w:tcBorders>
            <w:vAlign w:val="center"/>
          </w:tcPr>
          <w:p w14:paraId="49719729">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73A72B3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5B70E4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9682815">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AEB60A7">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5C0595D">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19696F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3F9BC0B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AD02A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7026D6E">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A287D6C">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662A6A96">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0033D427">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166EA93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53CAB0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3BB43D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96EBBA8">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3BAFF26">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23418B8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71CA21F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262C7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3ACD1E1">
            <w:pPr>
              <w:pStyle w:val="56"/>
              <w:jc w:val="center"/>
              <w:rPr>
                <w:rFonts w:ascii="Times New Roman" w:hAnsi="Times New Roman"/>
                <w:color w:val="000000" w:themeColor="text1"/>
                <w:szCs w:val="21"/>
                <w14:textFill>
                  <w14:solidFill>
                    <w14:schemeClr w14:val="tx1"/>
                  </w14:solidFill>
                </w14:textFill>
              </w:rPr>
            </w:pPr>
          </w:p>
        </w:tc>
        <w:tc>
          <w:tcPr>
            <w:tcW w:w="936" w:type="pct"/>
            <w:vMerge w:val="restart"/>
            <w:tcBorders>
              <w:tl2br w:val="nil"/>
              <w:tr2bl w:val="nil"/>
            </w:tcBorders>
            <w:vAlign w:val="center"/>
          </w:tcPr>
          <w:p w14:paraId="1BF4A621">
            <w:pPr>
              <w:pStyle w:val="56"/>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10月22日</w:t>
            </w:r>
          </w:p>
        </w:tc>
        <w:tc>
          <w:tcPr>
            <w:tcW w:w="1031" w:type="pct"/>
            <w:vMerge w:val="restart"/>
            <w:tcBorders>
              <w:tl2br w:val="nil"/>
              <w:tr2bl w:val="nil"/>
            </w:tcBorders>
            <w:vAlign w:val="center"/>
          </w:tcPr>
          <w:p w14:paraId="0F08484E">
            <w:pPr>
              <w:pStyle w:val="56"/>
              <w:ind w:firstLine="0" w:firstLineChars="0"/>
              <w:jc w:val="center"/>
              <w:rPr>
                <w:rFonts w:hint="eastAsia"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(mg/m³)</w:t>
            </w:r>
          </w:p>
        </w:tc>
        <w:tc>
          <w:tcPr>
            <w:tcW w:w="1124" w:type="pct"/>
            <w:tcBorders>
              <w:tl2br w:val="nil"/>
              <w:tr2bl w:val="nil"/>
            </w:tcBorders>
            <w:vAlign w:val="center"/>
          </w:tcPr>
          <w:p w14:paraId="055369A7">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00:00~00:45</w:t>
            </w:r>
          </w:p>
        </w:tc>
        <w:tc>
          <w:tcPr>
            <w:tcW w:w="972" w:type="pct"/>
            <w:tcBorders>
              <w:tl2br w:val="nil"/>
              <w:tr2bl w:val="nil"/>
            </w:tcBorders>
            <w:vAlign w:val="center"/>
          </w:tcPr>
          <w:p w14:paraId="5A84FE6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0.02</w:t>
            </w:r>
          </w:p>
        </w:tc>
      </w:tr>
      <w:tr w14:paraId="1BCBDF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1F707F9">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6CED397">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4CA849B">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1F77964">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02:00~02:45</w:t>
            </w:r>
          </w:p>
        </w:tc>
        <w:tc>
          <w:tcPr>
            <w:tcW w:w="972" w:type="pct"/>
            <w:tcBorders>
              <w:tl2br w:val="nil"/>
              <w:tr2bl w:val="nil"/>
            </w:tcBorders>
            <w:vAlign w:val="center"/>
          </w:tcPr>
          <w:p w14:paraId="1E7DC2C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0.02</w:t>
            </w:r>
          </w:p>
        </w:tc>
      </w:tr>
      <w:tr w14:paraId="6AC51A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80D02E0">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A3B221F">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41739B7">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29B3CF5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04:00~04:45</w:t>
            </w:r>
          </w:p>
        </w:tc>
        <w:tc>
          <w:tcPr>
            <w:tcW w:w="972" w:type="pct"/>
            <w:tcBorders>
              <w:tl2br w:val="nil"/>
              <w:tr2bl w:val="nil"/>
            </w:tcBorders>
            <w:vAlign w:val="center"/>
          </w:tcPr>
          <w:p w14:paraId="32B2C7D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0.03</w:t>
            </w:r>
          </w:p>
        </w:tc>
      </w:tr>
      <w:tr w14:paraId="576954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9C0C89E">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0186AB79">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B41048F">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1AFA510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06:00~06:45</w:t>
            </w:r>
          </w:p>
        </w:tc>
        <w:tc>
          <w:tcPr>
            <w:tcW w:w="972" w:type="pct"/>
            <w:tcBorders>
              <w:tl2br w:val="nil"/>
              <w:tr2bl w:val="nil"/>
            </w:tcBorders>
            <w:vAlign w:val="center"/>
          </w:tcPr>
          <w:p w14:paraId="43A11FEB">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0.02</w:t>
            </w:r>
          </w:p>
        </w:tc>
      </w:tr>
      <w:tr w14:paraId="0CC544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042077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8CB418C">
            <w:pPr>
              <w:pStyle w:val="56"/>
              <w:jc w:val="center"/>
              <w:rPr>
                <w:rFonts w:hint="eastAsia" w:ascii="Times New Roman" w:hAnsi="Times New Roman"/>
                <w:color w:val="000000" w:themeColor="text1"/>
                <w:szCs w:val="21"/>
                <w:lang w:val="en-US" w:eastAsia="zh-CN"/>
                <w14:textFill>
                  <w14:solidFill>
                    <w14:schemeClr w14:val="tx1"/>
                  </w14:solidFill>
                </w14:textFill>
              </w:rPr>
            </w:pPr>
          </w:p>
        </w:tc>
        <w:tc>
          <w:tcPr>
            <w:tcW w:w="1031" w:type="pct"/>
            <w:vMerge w:val="restart"/>
            <w:tcBorders>
              <w:tl2br w:val="nil"/>
              <w:tr2bl w:val="nil"/>
            </w:tcBorders>
            <w:vAlign w:val="center"/>
          </w:tcPr>
          <w:p w14:paraId="7C147D8F">
            <w:pPr>
              <w:pStyle w:val="56"/>
              <w:ind w:firstLine="0" w:firstLineChars="0"/>
              <w:jc w:val="center"/>
              <w:rPr>
                <w:rFonts w:hint="eastAsia"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S(mg/m³)</w:t>
            </w:r>
          </w:p>
        </w:tc>
        <w:tc>
          <w:tcPr>
            <w:tcW w:w="1124" w:type="pct"/>
            <w:tcBorders>
              <w:tl2br w:val="nil"/>
              <w:tr2bl w:val="nil"/>
            </w:tcBorders>
            <w:vAlign w:val="center"/>
          </w:tcPr>
          <w:p w14:paraId="5D43F35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36E4A2C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239B30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B19962B">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B587F58">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EBBA567">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689DCB3">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13F07E0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3BAF1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AF02F40">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C4FB5CE">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95EADC7">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070B111E">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04B92AA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672B3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D8B570C">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FE099C3">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341506D">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C9E2F7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584F503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6DB316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C32A76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7361086">
            <w:pPr>
              <w:pStyle w:val="56"/>
              <w:jc w:val="center"/>
              <w:rPr>
                <w:rFonts w:hint="eastAsia" w:ascii="Times New Roman" w:hAnsi="Times New Roman"/>
                <w:color w:val="000000" w:themeColor="text1"/>
                <w:szCs w:val="21"/>
                <w:lang w:val="en-US" w:eastAsia="zh-CN"/>
                <w14:textFill>
                  <w14:solidFill>
                    <w14:schemeClr w14:val="tx1"/>
                  </w14:solidFill>
                </w14:textFill>
              </w:rPr>
            </w:pPr>
          </w:p>
        </w:tc>
        <w:tc>
          <w:tcPr>
            <w:tcW w:w="1031" w:type="pct"/>
            <w:vMerge w:val="restart"/>
            <w:tcBorders>
              <w:tl2br w:val="nil"/>
              <w:tr2bl w:val="nil"/>
            </w:tcBorders>
            <w:vAlign w:val="center"/>
          </w:tcPr>
          <w:p w14:paraId="7B5C2E07">
            <w:pPr>
              <w:pStyle w:val="56"/>
              <w:ind w:firstLine="0" w:firstLineChars="0"/>
              <w:jc w:val="center"/>
              <w:rPr>
                <w:rFonts w:hint="eastAsia"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w:t>
            </w:r>
          </w:p>
        </w:tc>
        <w:tc>
          <w:tcPr>
            <w:tcW w:w="1124" w:type="pct"/>
            <w:tcBorders>
              <w:tl2br w:val="nil"/>
              <w:tr2bl w:val="nil"/>
            </w:tcBorders>
            <w:vAlign w:val="center"/>
          </w:tcPr>
          <w:p w14:paraId="3EEDDD7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201B658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70858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F894F3E">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7983493">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DB9BF21">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29685806">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38DC674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3F81E9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FFB3A85">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31E2717">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92CC23D">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44B9A5F">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2592AF7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5E6023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B623D0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C6C21C0">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6D45BD1B">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0A0B4E2">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5B82C8A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03E73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1D9EF25">
            <w:pPr>
              <w:pStyle w:val="56"/>
              <w:jc w:val="center"/>
              <w:rPr>
                <w:rFonts w:ascii="Times New Roman" w:hAnsi="Times New Roman"/>
                <w:color w:val="000000" w:themeColor="text1"/>
                <w:szCs w:val="21"/>
                <w14:textFill>
                  <w14:solidFill>
                    <w14:schemeClr w14:val="tx1"/>
                  </w14:solidFill>
                </w14:textFill>
              </w:rPr>
            </w:pPr>
          </w:p>
        </w:tc>
        <w:tc>
          <w:tcPr>
            <w:tcW w:w="936" w:type="pct"/>
            <w:vMerge w:val="restart"/>
            <w:tcBorders>
              <w:tl2br w:val="nil"/>
              <w:tr2bl w:val="nil"/>
            </w:tcBorders>
            <w:vAlign w:val="center"/>
          </w:tcPr>
          <w:p w14:paraId="36507F4E">
            <w:pPr>
              <w:pStyle w:val="56"/>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10月23日</w:t>
            </w:r>
          </w:p>
        </w:tc>
        <w:tc>
          <w:tcPr>
            <w:tcW w:w="1031" w:type="pct"/>
            <w:vMerge w:val="restart"/>
            <w:tcBorders>
              <w:tl2br w:val="nil"/>
              <w:tr2bl w:val="nil"/>
            </w:tcBorders>
            <w:vAlign w:val="center"/>
          </w:tcPr>
          <w:p w14:paraId="301CFB8B">
            <w:pPr>
              <w:pStyle w:val="56"/>
              <w:ind w:firstLine="0" w:firstLineChars="0"/>
              <w:jc w:val="center"/>
              <w:rPr>
                <w:rFonts w:hint="eastAsia"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(mg/m³)</w:t>
            </w:r>
          </w:p>
        </w:tc>
        <w:tc>
          <w:tcPr>
            <w:tcW w:w="1124" w:type="pct"/>
            <w:tcBorders>
              <w:tl2br w:val="nil"/>
              <w:tr2bl w:val="nil"/>
            </w:tcBorders>
            <w:vAlign w:val="center"/>
          </w:tcPr>
          <w:p w14:paraId="18C387B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00:00~00:45</w:t>
            </w:r>
          </w:p>
        </w:tc>
        <w:tc>
          <w:tcPr>
            <w:tcW w:w="972" w:type="pct"/>
            <w:tcBorders>
              <w:tl2br w:val="nil"/>
              <w:tr2bl w:val="nil"/>
            </w:tcBorders>
            <w:vAlign w:val="center"/>
          </w:tcPr>
          <w:p w14:paraId="79646B9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0.04</w:t>
            </w:r>
          </w:p>
        </w:tc>
      </w:tr>
      <w:tr w14:paraId="6D78C6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9C683E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CD68542">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C7C162F">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6C11760">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02:00~02:45</w:t>
            </w:r>
          </w:p>
        </w:tc>
        <w:tc>
          <w:tcPr>
            <w:tcW w:w="972" w:type="pct"/>
            <w:tcBorders>
              <w:tl2br w:val="nil"/>
              <w:tr2bl w:val="nil"/>
            </w:tcBorders>
            <w:vAlign w:val="center"/>
          </w:tcPr>
          <w:p w14:paraId="4AA37C1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004BE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FFBD62C">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EF43B47">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565FE02">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BB891E2">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04:00~04:45</w:t>
            </w:r>
          </w:p>
        </w:tc>
        <w:tc>
          <w:tcPr>
            <w:tcW w:w="972" w:type="pct"/>
            <w:tcBorders>
              <w:tl2br w:val="nil"/>
              <w:tr2bl w:val="nil"/>
            </w:tcBorders>
            <w:vAlign w:val="center"/>
          </w:tcPr>
          <w:p w14:paraId="4C0B64B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6509FD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A9B1B0D">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888C5C6">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C96E1D5">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62BF572">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06:00~06:45</w:t>
            </w:r>
          </w:p>
        </w:tc>
        <w:tc>
          <w:tcPr>
            <w:tcW w:w="972" w:type="pct"/>
            <w:tcBorders>
              <w:tl2br w:val="nil"/>
              <w:tr2bl w:val="nil"/>
            </w:tcBorders>
            <w:vAlign w:val="center"/>
          </w:tcPr>
          <w:p w14:paraId="09F1BE0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720D49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D94D2FA">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BA712B7">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3C47D777">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S(mg/m³)</w:t>
            </w:r>
          </w:p>
        </w:tc>
        <w:tc>
          <w:tcPr>
            <w:tcW w:w="1124" w:type="pct"/>
            <w:tcBorders>
              <w:tl2br w:val="nil"/>
              <w:tr2bl w:val="nil"/>
            </w:tcBorders>
            <w:vAlign w:val="center"/>
          </w:tcPr>
          <w:p w14:paraId="640017FB">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3388B52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79105F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278874C">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F51E91A">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CCEA1D1">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302384DA">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2777AFE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0F929D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148952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A1ABD04">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7B72F2E">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62F1761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61CD691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69B028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404970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DDE3A1C">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8D4F713">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1354FC61">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38E0F05B">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07E7D5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AF4DAC0">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FCA7CB2">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30840EA4">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w:t>
            </w:r>
          </w:p>
        </w:tc>
        <w:tc>
          <w:tcPr>
            <w:tcW w:w="1124" w:type="pct"/>
            <w:tcBorders>
              <w:tl2br w:val="nil"/>
              <w:tr2bl w:val="nil"/>
            </w:tcBorders>
            <w:vAlign w:val="center"/>
          </w:tcPr>
          <w:p w14:paraId="3244C022">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1EEF378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77AB39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1E4D75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2BC627C">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64B3FD31">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13AEB13A">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121F0ED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2B8633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36F8CA4">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6E31B0E">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2DABAA7F">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323C895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536C9AF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111E8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124251F">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5ECC9CB">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FEC4460">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0351027F">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088761A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D8816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BDE98D7">
            <w:pPr>
              <w:pStyle w:val="56"/>
              <w:jc w:val="center"/>
              <w:rPr>
                <w:rFonts w:ascii="Times New Roman" w:hAnsi="Times New Roman"/>
                <w:color w:val="000000" w:themeColor="text1"/>
                <w:szCs w:val="21"/>
                <w14:textFill>
                  <w14:solidFill>
                    <w14:schemeClr w14:val="tx1"/>
                  </w14:solidFill>
                </w14:textFill>
              </w:rPr>
            </w:pPr>
          </w:p>
        </w:tc>
        <w:tc>
          <w:tcPr>
            <w:tcW w:w="936" w:type="pct"/>
            <w:vMerge w:val="restart"/>
            <w:tcBorders>
              <w:tl2br w:val="nil"/>
              <w:tr2bl w:val="nil"/>
            </w:tcBorders>
            <w:vAlign w:val="center"/>
          </w:tcPr>
          <w:p w14:paraId="0303DBA1">
            <w:pPr>
              <w:pStyle w:val="56"/>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10月24日</w:t>
            </w:r>
          </w:p>
        </w:tc>
        <w:tc>
          <w:tcPr>
            <w:tcW w:w="1031" w:type="pct"/>
            <w:vMerge w:val="restart"/>
            <w:tcBorders>
              <w:tl2br w:val="nil"/>
              <w:tr2bl w:val="nil"/>
            </w:tcBorders>
            <w:vAlign w:val="center"/>
          </w:tcPr>
          <w:p w14:paraId="3D2381AF">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(mg/m³)</w:t>
            </w:r>
          </w:p>
        </w:tc>
        <w:tc>
          <w:tcPr>
            <w:tcW w:w="1124" w:type="pct"/>
            <w:tcBorders>
              <w:tl2br w:val="nil"/>
              <w:tr2bl w:val="nil"/>
            </w:tcBorders>
            <w:vAlign w:val="center"/>
          </w:tcPr>
          <w:p w14:paraId="255C3F91">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00:00~00:45</w:t>
            </w:r>
          </w:p>
        </w:tc>
        <w:tc>
          <w:tcPr>
            <w:tcW w:w="972" w:type="pct"/>
            <w:tcBorders>
              <w:tl2br w:val="nil"/>
              <w:tr2bl w:val="nil"/>
            </w:tcBorders>
            <w:vAlign w:val="center"/>
          </w:tcPr>
          <w:p w14:paraId="354B144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16B7C7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45BD8B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E1DF5D6">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5E4B3102">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347B2DB5">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02:00~02:45</w:t>
            </w:r>
          </w:p>
        </w:tc>
        <w:tc>
          <w:tcPr>
            <w:tcW w:w="972" w:type="pct"/>
            <w:tcBorders>
              <w:tl2br w:val="nil"/>
              <w:tr2bl w:val="nil"/>
            </w:tcBorders>
            <w:vAlign w:val="center"/>
          </w:tcPr>
          <w:p w14:paraId="397438D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4CC92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2D89FA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0811BD1">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D997B4F">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1208B9E">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04:00~04:45</w:t>
            </w:r>
          </w:p>
        </w:tc>
        <w:tc>
          <w:tcPr>
            <w:tcW w:w="972" w:type="pct"/>
            <w:tcBorders>
              <w:tl2br w:val="nil"/>
              <w:tr2bl w:val="nil"/>
            </w:tcBorders>
            <w:vAlign w:val="center"/>
          </w:tcPr>
          <w:p w14:paraId="1B3AA63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5D4D1A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DDD2A8B">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1CD35F4">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5A4CED4">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458DAE8">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06:00~06:45</w:t>
            </w:r>
          </w:p>
        </w:tc>
        <w:tc>
          <w:tcPr>
            <w:tcW w:w="972" w:type="pct"/>
            <w:tcBorders>
              <w:tl2br w:val="nil"/>
              <w:tr2bl w:val="nil"/>
            </w:tcBorders>
            <w:vAlign w:val="center"/>
          </w:tcPr>
          <w:p w14:paraId="0FFEA98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6CFEB0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F628FE6">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04A1C62">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728EBC08">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S(mg/m³)</w:t>
            </w:r>
          </w:p>
        </w:tc>
        <w:tc>
          <w:tcPr>
            <w:tcW w:w="1124" w:type="pct"/>
            <w:tcBorders>
              <w:tl2br w:val="nil"/>
              <w:tr2bl w:val="nil"/>
            </w:tcBorders>
            <w:vAlign w:val="center"/>
          </w:tcPr>
          <w:p w14:paraId="7520808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2432777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270E1C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8FAE91C">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C5C97E5">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081A847A">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C86AA7F">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685FE9B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0496B2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ADB81ED">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1D29F31">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11C8BF1">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474CCB3">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744688F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269151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04241B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FC5937A">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321B24A">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AEE3A7B">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48D86C5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707373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40F58CD">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D8E655A">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33809541">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w:t>
            </w:r>
          </w:p>
        </w:tc>
        <w:tc>
          <w:tcPr>
            <w:tcW w:w="1124" w:type="pct"/>
            <w:tcBorders>
              <w:tl2br w:val="nil"/>
              <w:tr2bl w:val="nil"/>
            </w:tcBorders>
            <w:vAlign w:val="center"/>
          </w:tcPr>
          <w:p w14:paraId="41E663E8">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44EBD20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05BF5B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7C33FF1">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900668C">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C25A565">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089740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35BEF49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5702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598773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71D58AD">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584FFF53">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262B37B0">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651C62F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5D868B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17892BB">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EEB1007">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0310B306">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DB2BB01">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2F666B6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1E989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E5BF139">
            <w:pPr>
              <w:pStyle w:val="56"/>
              <w:jc w:val="center"/>
              <w:rPr>
                <w:rFonts w:ascii="Times New Roman" w:hAnsi="Times New Roman"/>
                <w:color w:val="000000" w:themeColor="text1"/>
                <w:szCs w:val="21"/>
                <w14:textFill>
                  <w14:solidFill>
                    <w14:schemeClr w14:val="tx1"/>
                  </w14:solidFill>
                </w14:textFill>
              </w:rPr>
            </w:pPr>
          </w:p>
        </w:tc>
        <w:tc>
          <w:tcPr>
            <w:tcW w:w="936" w:type="pct"/>
            <w:vMerge w:val="restart"/>
            <w:tcBorders>
              <w:tl2br w:val="nil"/>
              <w:tr2bl w:val="nil"/>
            </w:tcBorders>
            <w:vAlign w:val="center"/>
          </w:tcPr>
          <w:p w14:paraId="4558827B">
            <w:pPr>
              <w:pStyle w:val="56"/>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10月25日</w:t>
            </w:r>
          </w:p>
        </w:tc>
        <w:tc>
          <w:tcPr>
            <w:tcW w:w="1031" w:type="pct"/>
            <w:vMerge w:val="restart"/>
            <w:tcBorders>
              <w:tl2br w:val="nil"/>
              <w:tr2bl w:val="nil"/>
            </w:tcBorders>
            <w:vAlign w:val="center"/>
          </w:tcPr>
          <w:p w14:paraId="6E992972">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(mg/m³)</w:t>
            </w:r>
          </w:p>
        </w:tc>
        <w:tc>
          <w:tcPr>
            <w:tcW w:w="1124" w:type="pct"/>
            <w:tcBorders>
              <w:tl2br w:val="nil"/>
              <w:tr2bl w:val="nil"/>
            </w:tcBorders>
            <w:vAlign w:val="center"/>
          </w:tcPr>
          <w:p w14:paraId="50C4D40B">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00:00~00:45</w:t>
            </w:r>
          </w:p>
        </w:tc>
        <w:tc>
          <w:tcPr>
            <w:tcW w:w="972" w:type="pct"/>
            <w:tcBorders>
              <w:tl2br w:val="nil"/>
              <w:tr2bl w:val="nil"/>
            </w:tcBorders>
            <w:vAlign w:val="center"/>
          </w:tcPr>
          <w:p w14:paraId="31971A6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6A373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8C86D98">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0B830D39">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76FCC35">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6119B444">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02:00~02:45</w:t>
            </w:r>
          </w:p>
        </w:tc>
        <w:tc>
          <w:tcPr>
            <w:tcW w:w="972" w:type="pct"/>
            <w:tcBorders>
              <w:tl2br w:val="nil"/>
              <w:tr2bl w:val="nil"/>
            </w:tcBorders>
            <w:vAlign w:val="center"/>
          </w:tcPr>
          <w:p w14:paraId="32BDB9C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0.04</w:t>
            </w:r>
          </w:p>
        </w:tc>
      </w:tr>
      <w:tr w14:paraId="1BA7D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604EC8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AFC7293">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524899CD">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F3370B9">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04:00~04:45</w:t>
            </w:r>
          </w:p>
        </w:tc>
        <w:tc>
          <w:tcPr>
            <w:tcW w:w="972" w:type="pct"/>
            <w:tcBorders>
              <w:tl2br w:val="nil"/>
              <w:tr2bl w:val="nil"/>
            </w:tcBorders>
            <w:vAlign w:val="center"/>
          </w:tcPr>
          <w:p w14:paraId="2D3E050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6C9E1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1BB90EA">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C314E1B">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12C945A">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7C31F04">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06:00~06:45</w:t>
            </w:r>
          </w:p>
        </w:tc>
        <w:tc>
          <w:tcPr>
            <w:tcW w:w="972" w:type="pct"/>
            <w:tcBorders>
              <w:tl2br w:val="nil"/>
              <w:tr2bl w:val="nil"/>
            </w:tcBorders>
            <w:vAlign w:val="center"/>
          </w:tcPr>
          <w:p w14:paraId="20EE19EB">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29E1B0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6E05BA4">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08987F67">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25AAE9B5">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S(mg/m³)</w:t>
            </w:r>
          </w:p>
        </w:tc>
        <w:tc>
          <w:tcPr>
            <w:tcW w:w="1124" w:type="pct"/>
            <w:tcBorders>
              <w:tl2br w:val="nil"/>
              <w:tr2bl w:val="nil"/>
            </w:tcBorders>
            <w:vAlign w:val="center"/>
          </w:tcPr>
          <w:p w14:paraId="389FD112">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502A7F2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4E79C1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CA950D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C908C59">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2530481A">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6BA9B0EB">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1385F5F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6ED0BD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950224A">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A6C68BF">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7B09DE9">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0F496CB">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6CB72F3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10A4C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55BF94BF">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47A01DC">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079838C">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33601CE9">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1200F30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3CECA7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162AF80">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C341D3C">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63746CB8">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w:t>
            </w:r>
          </w:p>
        </w:tc>
        <w:tc>
          <w:tcPr>
            <w:tcW w:w="1124" w:type="pct"/>
            <w:tcBorders>
              <w:tl2br w:val="nil"/>
              <w:tr2bl w:val="nil"/>
            </w:tcBorders>
            <w:vAlign w:val="center"/>
          </w:tcPr>
          <w:p w14:paraId="520AE20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116D4D1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3207F3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6A87A01">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00D26ECD">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5509DC4">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45BF081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412E346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45A18A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EFCEFF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C2432D8">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544F399E">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045AFBE3">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7CD7522B">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1D547E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F42CEFA">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3B14635">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5A8CCEA5">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5D6EE79">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0F33D5C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0D41BE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3E838D9">
            <w:pPr>
              <w:pStyle w:val="56"/>
              <w:jc w:val="center"/>
              <w:rPr>
                <w:rFonts w:ascii="Times New Roman" w:hAnsi="Times New Roman"/>
                <w:color w:val="000000" w:themeColor="text1"/>
                <w:szCs w:val="21"/>
                <w14:textFill>
                  <w14:solidFill>
                    <w14:schemeClr w14:val="tx1"/>
                  </w14:solidFill>
                </w14:textFill>
              </w:rPr>
            </w:pPr>
          </w:p>
        </w:tc>
        <w:tc>
          <w:tcPr>
            <w:tcW w:w="936" w:type="pct"/>
            <w:vMerge w:val="restart"/>
            <w:tcBorders>
              <w:tl2br w:val="nil"/>
              <w:tr2bl w:val="nil"/>
            </w:tcBorders>
            <w:vAlign w:val="center"/>
          </w:tcPr>
          <w:p w14:paraId="4AE7BDA5">
            <w:pPr>
              <w:pStyle w:val="56"/>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10月26日</w:t>
            </w:r>
          </w:p>
        </w:tc>
        <w:tc>
          <w:tcPr>
            <w:tcW w:w="1031" w:type="pct"/>
            <w:vMerge w:val="restart"/>
            <w:tcBorders>
              <w:tl2br w:val="nil"/>
              <w:tr2bl w:val="nil"/>
            </w:tcBorders>
            <w:vAlign w:val="center"/>
          </w:tcPr>
          <w:p w14:paraId="133EF3F2">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(mg/m³)</w:t>
            </w:r>
          </w:p>
        </w:tc>
        <w:tc>
          <w:tcPr>
            <w:tcW w:w="1124" w:type="pct"/>
            <w:tcBorders>
              <w:tl2br w:val="nil"/>
              <w:tr2bl w:val="nil"/>
            </w:tcBorders>
            <w:vAlign w:val="center"/>
          </w:tcPr>
          <w:p w14:paraId="2AB1294C">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00:00~00:45</w:t>
            </w:r>
          </w:p>
        </w:tc>
        <w:tc>
          <w:tcPr>
            <w:tcW w:w="972" w:type="pct"/>
            <w:tcBorders>
              <w:tl2br w:val="nil"/>
              <w:tr2bl w:val="nil"/>
            </w:tcBorders>
            <w:vAlign w:val="center"/>
          </w:tcPr>
          <w:p w14:paraId="04E690E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5F980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0C554F6">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83457FC">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0C5794B8">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84ED9D0">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02:00~02:45</w:t>
            </w:r>
          </w:p>
        </w:tc>
        <w:tc>
          <w:tcPr>
            <w:tcW w:w="972" w:type="pct"/>
            <w:tcBorders>
              <w:tl2br w:val="nil"/>
              <w:tr2bl w:val="nil"/>
            </w:tcBorders>
            <w:vAlign w:val="center"/>
          </w:tcPr>
          <w:p w14:paraId="451BCD3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0E105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5EF38E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539A516">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EC95E56">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653A7621">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04:00~04:45</w:t>
            </w:r>
          </w:p>
        </w:tc>
        <w:tc>
          <w:tcPr>
            <w:tcW w:w="972" w:type="pct"/>
            <w:tcBorders>
              <w:tl2br w:val="nil"/>
              <w:tr2bl w:val="nil"/>
            </w:tcBorders>
            <w:vAlign w:val="center"/>
          </w:tcPr>
          <w:p w14:paraId="2FA94F7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025831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6D4AD85">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F56A183">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863193E">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3FD9993">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06:00~06:45</w:t>
            </w:r>
          </w:p>
        </w:tc>
        <w:tc>
          <w:tcPr>
            <w:tcW w:w="972" w:type="pct"/>
            <w:tcBorders>
              <w:tl2br w:val="nil"/>
              <w:tr2bl w:val="nil"/>
            </w:tcBorders>
            <w:vAlign w:val="center"/>
          </w:tcPr>
          <w:p w14:paraId="535C978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2EC5A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7AC522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1DF2754">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3D5221E3">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S(mg/m³)</w:t>
            </w:r>
          </w:p>
        </w:tc>
        <w:tc>
          <w:tcPr>
            <w:tcW w:w="1124" w:type="pct"/>
            <w:tcBorders>
              <w:tl2br w:val="nil"/>
              <w:tr2bl w:val="nil"/>
            </w:tcBorders>
            <w:vAlign w:val="center"/>
          </w:tcPr>
          <w:p w14:paraId="2A5424E1">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618BB23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07653E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0AB7FD9">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0249BC8">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1E22DB2">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6CCE7334">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43B6824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15E034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AD96EDE">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D509196">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45B18EC7">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8FE0B47">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4819D65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7E5B75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F286F20">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9FA04F5">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23CFE3C">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683DF6A">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3DA444B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2B637B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4D60691C">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B9FE1D1">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578F7E86">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w:t>
            </w:r>
          </w:p>
        </w:tc>
        <w:tc>
          <w:tcPr>
            <w:tcW w:w="1124" w:type="pct"/>
            <w:tcBorders>
              <w:tl2br w:val="nil"/>
              <w:tr2bl w:val="nil"/>
            </w:tcBorders>
            <w:vAlign w:val="center"/>
          </w:tcPr>
          <w:p w14:paraId="12A36F30">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5D47A21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CAA7B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A7FA9A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943ACB6">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F5A8556">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10CB6DD9">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7CFAC43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BB3B1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1611D54">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44B388F1">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E9A9FCA">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10022F8">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0A77574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41C0AE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39A0EC56">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376A311">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ED8976F">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3DC71A8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0D6247F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B5797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84F4205">
            <w:pPr>
              <w:pStyle w:val="56"/>
              <w:jc w:val="center"/>
              <w:rPr>
                <w:rFonts w:ascii="Times New Roman" w:hAnsi="Times New Roman"/>
                <w:color w:val="000000" w:themeColor="text1"/>
                <w:szCs w:val="21"/>
                <w14:textFill>
                  <w14:solidFill>
                    <w14:schemeClr w14:val="tx1"/>
                  </w14:solidFill>
                </w14:textFill>
              </w:rPr>
            </w:pPr>
          </w:p>
        </w:tc>
        <w:tc>
          <w:tcPr>
            <w:tcW w:w="936" w:type="pct"/>
            <w:vMerge w:val="restart"/>
            <w:tcBorders>
              <w:tl2br w:val="nil"/>
              <w:tr2bl w:val="nil"/>
            </w:tcBorders>
            <w:vAlign w:val="center"/>
          </w:tcPr>
          <w:p w14:paraId="10A664DF">
            <w:pPr>
              <w:pStyle w:val="56"/>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10月27日</w:t>
            </w:r>
          </w:p>
        </w:tc>
        <w:tc>
          <w:tcPr>
            <w:tcW w:w="1031" w:type="pct"/>
            <w:vMerge w:val="restart"/>
            <w:tcBorders>
              <w:tl2br w:val="nil"/>
              <w:tr2bl w:val="nil"/>
            </w:tcBorders>
            <w:vAlign w:val="center"/>
          </w:tcPr>
          <w:p w14:paraId="5DCD71D3">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(mg/m³)</w:t>
            </w:r>
          </w:p>
        </w:tc>
        <w:tc>
          <w:tcPr>
            <w:tcW w:w="1124" w:type="pct"/>
            <w:tcBorders>
              <w:tl2br w:val="nil"/>
              <w:tr2bl w:val="nil"/>
            </w:tcBorders>
            <w:vAlign w:val="center"/>
          </w:tcPr>
          <w:p w14:paraId="5E009234">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00:00~00:45</w:t>
            </w:r>
          </w:p>
        </w:tc>
        <w:tc>
          <w:tcPr>
            <w:tcW w:w="972" w:type="pct"/>
            <w:tcBorders>
              <w:tl2br w:val="nil"/>
              <w:tr2bl w:val="nil"/>
            </w:tcBorders>
            <w:vAlign w:val="center"/>
          </w:tcPr>
          <w:p w14:paraId="75E9FDE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034F92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91487EA">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A976D68">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08239684">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17E544A">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02:00~02:45</w:t>
            </w:r>
          </w:p>
        </w:tc>
        <w:tc>
          <w:tcPr>
            <w:tcW w:w="972" w:type="pct"/>
            <w:tcBorders>
              <w:tl2br w:val="nil"/>
              <w:tr2bl w:val="nil"/>
            </w:tcBorders>
            <w:vAlign w:val="center"/>
          </w:tcPr>
          <w:p w14:paraId="50337FE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4D3C8B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7C380FC">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E7CFF13">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279830C4">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0EE6FE04">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04:00~04:45</w:t>
            </w:r>
          </w:p>
        </w:tc>
        <w:tc>
          <w:tcPr>
            <w:tcW w:w="972" w:type="pct"/>
            <w:tcBorders>
              <w:tl2br w:val="nil"/>
              <w:tr2bl w:val="nil"/>
            </w:tcBorders>
            <w:vAlign w:val="center"/>
          </w:tcPr>
          <w:p w14:paraId="45A3C72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w:t>
            </w:r>
          </w:p>
        </w:tc>
      </w:tr>
      <w:tr w14:paraId="3C8685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769DD97">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27BB521E">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0C59EE72">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1A1C52A3">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06:00~06:45</w:t>
            </w:r>
          </w:p>
        </w:tc>
        <w:tc>
          <w:tcPr>
            <w:tcW w:w="972" w:type="pct"/>
            <w:tcBorders>
              <w:tl2br w:val="nil"/>
              <w:tr2bl w:val="nil"/>
            </w:tcBorders>
            <w:vAlign w:val="center"/>
          </w:tcPr>
          <w:p w14:paraId="2E0603A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0.02</w:t>
            </w:r>
          </w:p>
        </w:tc>
      </w:tr>
      <w:tr w14:paraId="67DB3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29BF7B7A">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FBE68E7">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2306C9A6">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S(mg/m³)</w:t>
            </w:r>
          </w:p>
        </w:tc>
        <w:tc>
          <w:tcPr>
            <w:tcW w:w="1124" w:type="pct"/>
            <w:tcBorders>
              <w:tl2br w:val="nil"/>
              <w:tr2bl w:val="nil"/>
            </w:tcBorders>
            <w:vAlign w:val="center"/>
          </w:tcPr>
          <w:p w14:paraId="0DF88E28">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2F3B7E7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6483E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753C7FB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3184761C">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F329833">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3080B1D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01814BB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39D6C4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A854612">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1DE04337">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19892BB0">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2840747E">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0F4FF1E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25E647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1B0B2ED5">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9A77C2F">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638BAEC6">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138D8C2E">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04D3744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r>
      <w:tr w14:paraId="7C6058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5927923">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5A98D806">
            <w:pPr>
              <w:pStyle w:val="56"/>
              <w:jc w:val="center"/>
              <w:rPr>
                <w:rFonts w:ascii="Times New Roman" w:hAnsi="Times New Roman"/>
                <w:color w:val="000000" w:themeColor="text1"/>
                <w:szCs w:val="21"/>
                <w14:textFill>
                  <w14:solidFill>
                    <w14:schemeClr w14:val="tx1"/>
                  </w14:solidFill>
                </w14:textFill>
              </w:rPr>
            </w:pPr>
          </w:p>
        </w:tc>
        <w:tc>
          <w:tcPr>
            <w:tcW w:w="1031" w:type="pct"/>
            <w:vMerge w:val="restart"/>
            <w:tcBorders>
              <w:tl2br w:val="nil"/>
              <w:tr2bl w:val="nil"/>
            </w:tcBorders>
            <w:vAlign w:val="center"/>
          </w:tcPr>
          <w:p w14:paraId="407F19BC">
            <w:pPr>
              <w:pStyle w:val="56"/>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w:t>
            </w:r>
          </w:p>
        </w:tc>
        <w:tc>
          <w:tcPr>
            <w:tcW w:w="1124" w:type="pct"/>
            <w:tcBorders>
              <w:tl2br w:val="nil"/>
              <w:tr2bl w:val="nil"/>
            </w:tcBorders>
            <w:vAlign w:val="center"/>
          </w:tcPr>
          <w:p w14:paraId="4EBB9BA5">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00:00~01:00</w:t>
            </w:r>
          </w:p>
        </w:tc>
        <w:tc>
          <w:tcPr>
            <w:tcW w:w="972" w:type="pct"/>
            <w:tcBorders>
              <w:tl2br w:val="nil"/>
              <w:tr2bl w:val="nil"/>
            </w:tcBorders>
            <w:vAlign w:val="center"/>
          </w:tcPr>
          <w:p w14:paraId="715B253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366B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0E1F7D95">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942003D">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391218B0">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5EA1AAC8">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02:00~03:00</w:t>
            </w:r>
          </w:p>
        </w:tc>
        <w:tc>
          <w:tcPr>
            <w:tcW w:w="972" w:type="pct"/>
            <w:tcBorders>
              <w:tl2br w:val="nil"/>
              <w:tr2bl w:val="nil"/>
            </w:tcBorders>
            <w:vAlign w:val="center"/>
          </w:tcPr>
          <w:p w14:paraId="35229D4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25DD72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A9AF12A">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3490FD3">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5A21B795">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7C8AA313">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04:00~05:00</w:t>
            </w:r>
          </w:p>
        </w:tc>
        <w:tc>
          <w:tcPr>
            <w:tcW w:w="972" w:type="pct"/>
            <w:tcBorders>
              <w:tl2br w:val="nil"/>
              <w:tr2bl w:val="nil"/>
            </w:tcBorders>
            <w:vAlign w:val="center"/>
          </w:tcPr>
          <w:p w14:paraId="4C30F26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r w14:paraId="6CE289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34" w:type="pct"/>
            <w:vMerge w:val="continue"/>
            <w:tcBorders>
              <w:tl2br w:val="nil"/>
              <w:tr2bl w:val="nil"/>
            </w:tcBorders>
            <w:vAlign w:val="center"/>
          </w:tcPr>
          <w:p w14:paraId="658DE010">
            <w:pPr>
              <w:pStyle w:val="56"/>
              <w:jc w:val="center"/>
              <w:rPr>
                <w:rFonts w:ascii="Times New Roman" w:hAnsi="Times New Roman"/>
                <w:color w:val="000000" w:themeColor="text1"/>
                <w:szCs w:val="21"/>
                <w14:textFill>
                  <w14:solidFill>
                    <w14:schemeClr w14:val="tx1"/>
                  </w14:solidFill>
                </w14:textFill>
              </w:rPr>
            </w:pPr>
          </w:p>
        </w:tc>
        <w:tc>
          <w:tcPr>
            <w:tcW w:w="936" w:type="pct"/>
            <w:vMerge w:val="continue"/>
            <w:tcBorders>
              <w:tl2br w:val="nil"/>
              <w:tr2bl w:val="nil"/>
            </w:tcBorders>
            <w:vAlign w:val="center"/>
          </w:tcPr>
          <w:p w14:paraId="6E644CBB">
            <w:pPr>
              <w:pStyle w:val="56"/>
              <w:jc w:val="center"/>
              <w:rPr>
                <w:rFonts w:ascii="Times New Roman" w:hAnsi="Times New Roman"/>
                <w:color w:val="000000" w:themeColor="text1"/>
                <w:szCs w:val="21"/>
                <w14:textFill>
                  <w14:solidFill>
                    <w14:schemeClr w14:val="tx1"/>
                  </w14:solidFill>
                </w14:textFill>
              </w:rPr>
            </w:pPr>
          </w:p>
        </w:tc>
        <w:tc>
          <w:tcPr>
            <w:tcW w:w="1031" w:type="pct"/>
            <w:vMerge w:val="continue"/>
            <w:tcBorders>
              <w:tl2br w:val="nil"/>
              <w:tr2bl w:val="nil"/>
            </w:tcBorders>
            <w:vAlign w:val="center"/>
          </w:tcPr>
          <w:p w14:paraId="75F18774">
            <w:pPr>
              <w:pStyle w:val="56"/>
              <w:jc w:val="center"/>
              <w:rPr>
                <w:rFonts w:ascii="Times New Roman" w:hAnsi="Times New Roman"/>
                <w:color w:val="000000" w:themeColor="text1"/>
                <w:szCs w:val="21"/>
                <w14:textFill>
                  <w14:solidFill>
                    <w14:schemeClr w14:val="tx1"/>
                  </w14:solidFill>
                </w14:textFill>
              </w:rPr>
            </w:pPr>
          </w:p>
        </w:tc>
        <w:tc>
          <w:tcPr>
            <w:tcW w:w="1124" w:type="pct"/>
            <w:tcBorders>
              <w:tl2br w:val="nil"/>
              <w:tr2bl w:val="nil"/>
            </w:tcBorders>
            <w:vAlign w:val="center"/>
          </w:tcPr>
          <w:p w14:paraId="2BBAFC3D">
            <w:pPr>
              <w:pStyle w:val="56"/>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06:00~07:00</w:t>
            </w:r>
          </w:p>
        </w:tc>
        <w:tc>
          <w:tcPr>
            <w:tcW w:w="972" w:type="pct"/>
            <w:tcBorders>
              <w:tl2br w:val="nil"/>
              <w:tr2bl w:val="nil"/>
            </w:tcBorders>
            <w:vAlign w:val="center"/>
          </w:tcPr>
          <w:p w14:paraId="12CA8C9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r>
    </w:tbl>
    <w:p w14:paraId="6A0AD141">
      <w:pPr>
        <w:tabs>
          <w:tab w:val="left" w:pos="4024"/>
        </w:tabs>
        <w:ind w:firstLine="0" w:firstLineChars="0"/>
        <w:jc w:val="center"/>
        <w:rPr>
          <w:rFonts w:ascii="Times New Roman" w:hAnsi="Times New Roman" w:eastAsia="宋体" w:cs="Times New Roman"/>
          <w:b/>
          <w:bCs/>
          <w:snapToGrid w:val="0"/>
          <w:color w:val="auto"/>
        </w:rPr>
      </w:pPr>
      <w:r>
        <w:rPr>
          <w:rFonts w:ascii="Times New Roman" w:hAnsi="Times New Roman" w:eastAsia="宋体" w:cs="Times New Roman"/>
          <w:b/>
          <w:bCs/>
          <w:snapToGrid w:val="0"/>
          <w:color w:val="auto"/>
          <w:kern w:val="0"/>
        </w:rPr>
        <w:t>表</w:t>
      </w:r>
      <w:r>
        <w:rPr>
          <w:rFonts w:hint="eastAsia" w:eastAsia="宋体" w:cs="Times New Roman"/>
          <w:b/>
          <w:bCs/>
          <w:snapToGrid w:val="0"/>
          <w:color w:val="auto"/>
          <w:kern w:val="0"/>
          <w:lang w:val="en-US" w:eastAsia="zh-CN"/>
        </w:rPr>
        <w:t>4</w:t>
      </w:r>
      <w:r>
        <w:rPr>
          <w:rFonts w:ascii="Times New Roman" w:hAnsi="Times New Roman" w:eastAsia="宋体" w:cs="Times New Roman"/>
          <w:b/>
          <w:bCs/>
          <w:snapToGrid w:val="0"/>
          <w:color w:val="auto"/>
          <w:kern w:val="0"/>
        </w:rPr>
        <w:t>.2-6     TSP现状监测结果     单位：mg/m</w:t>
      </w:r>
      <w:r>
        <w:rPr>
          <w:rFonts w:ascii="Times New Roman" w:hAnsi="Times New Roman" w:eastAsia="宋体" w:cs="Times New Roman"/>
          <w:b/>
          <w:bCs/>
          <w:snapToGrid w:val="0"/>
          <w:color w:val="auto"/>
          <w:kern w:val="0"/>
          <w:vertAlign w:val="superscript"/>
        </w:rPr>
        <w:t>3</w:t>
      </w:r>
    </w:p>
    <w:tbl>
      <w:tblPr>
        <w:tblStyle w:val="3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587"/>
        <w:gridCol w:w="3241"/>
        <w:gridCol w:w="1437"/>
      </w:tblGrid>
      <w:tr w14:paraId="67AA8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36" w:type="pct"/>
            <w:vMerge w:val="restart"/>
            <w:vAlign w:val="center"/>
          </w:tcPr>
          <w:p w14:paraId="21BCE465">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检测</w:t>
            </w:r>
          </w:p>
          <w:p w14:paraId="7A30032A">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点位</w:t>
            </w:r>
          </w:p>
        </w:tc>
        <w:tc>
          <w:tcPr>
            <w:tcW w:w="1980" w:type="pct"/>
            <w:vAlign w:val="center"/>
          </w:tcPr>
          <w:p w14:paraId="435B3680">
            <w:pPr>
              <w:pStyle w:val="6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时间</w:t>
            </w:r>
          </w:p>
        </w:tc>
        <w:tc>
          <w:tcPr>
            <w:tcW w:w="1789" w:type="pct"/>
            <w:vAlign w:val="center"/>
          </w:tcPr>
          <w:p w14:paraId="39A474E2">
            <w:pPr>
              <w:pStyle w:val="60"/>
              <w:rPr>
                <w:rFonts w:hint="default" w:ascii="Times New Roman" w:hAnsi="Times New Roman" w:cs="Times New Roman" w:eastAsiaTheme="minorEastAsia"/>
                <w:snapToGrid w:val="0"/>
                <w:color w:val="000000" w:themeColor="text1"/>
                <w:lang w:val="en-US" w:eastAsia="zh-CN"/>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采样阶段</w:t>
            </w:r>
          </w:p>
        </w:tc>
        <w:tc>
          <w:tcPr>
            <w:tcW w:w="793" w:type="pct"/>
            <w:vAlign w:val="center"/>
          </w:tcPr>
          <w:p w14:paraId="1038676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TSP检测结果</w:t>
            </w:r>
          </w:p>
        </w:tc>
      </w:tr>
      <w:tr w14:paraId="7348F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5DD1AF7D">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6连</w:t>
            </w:r>
            <w:r>
              <w:rPr>
                <w:rFonts w:ascii="Times New Roman" w:hAnsi="Times New Roman" w:cs="Times New Roman"/>
                <w:snapToGrid w:val="0"/>
                <w:color w:val="000000" w:themeColor="text1"/>
                <w14:textFill>
                  <w14:solidFill>
                    <w14:schemeClr w14:val="tx1"/>
                  </w14:solidFill>
                </w14:textFill>
              </w:rPr>
              <w:t>项目区</w:t>
            </w:r>
          </w:p>
          <w:p w14:paraId="5CF677CD">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下风向</w:t>
            </w:r>
          </w:p>
        </w:tc>
        <w:tc>
          <w:tcPr>
            <w:tcW w:w="1980" w:type="pct"/>
            <w:vAlign w:val="center"/>
          </w:tcPr>
          <w:p w14:paraId="65159FC5">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202</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年</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月</w:t>
            </w:r>
            <w:r>
              <w:rPr>
                <w:rFonts w:hint="eastAsia" w:ascii="Times New Roman" w:hAnsi="Times New Roman" w:cs="Times New Roman"/>
                <w:snapToGrid w:val="0"/>
                <w:color w:val="000000" w:themeColor="text1"/>
                <w:lang w:val="en-US" w:eastAsia="zh-CN"/>
                <w14:textFill>
                  <w14:solidFill>
                    <w14:schemeClr w14:val="tx1"/>
                  </w14:solidFill>
                </w14:textFill>
              </w:rPr>
              <w:t>21</w:t>
            </w:r>
            <w:r>
              <w:rPr>
                <w:rFonts w:ascii="Times New Roman" w:hAnsi="Times New Roman" w:cs="Times New Roman"/>
                <w:snapToGrid w:val="0"/>
                <w:color w:val="000000" w:themeColor="text1"/>
                <w14:textFill>
                  <w14:solidFill>
                    <w14:schemeClr w14:val="tx1"/>
                  </w14:solidFill>
                </w14:textFill>
              </w:rPr>
              <w:t>日</w:t>
            </w:r>
          </w:p>
        </w:tc>
        <w:tc>
          <w:tcPr>
            <w:tcW w:w="1789" w:type="pct"/>
            <w:vAlign w:val="center"/>
          </w:tcPr>
          <w:p w14:paraId="7F1A40F8">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00:00~24:00</w:t>
            </w:r>
          </w:p>
        </w:tc>
        <w:tc>
          <w:tcPr>
            <w:tcW w:w="793" w:type="pct"/>
            <w:vAlign w:val="center"/>
          </w:tcPr>
          <w:p w14:paraId="640A64BA">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0.082</w:t>
            </w:r>
          </w:p>
        </w:tc>
      </w:tr>
      <w:tr w14:paraId="7E3BA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1E7B87B">
            <w:pPr>
              <w:pStyle w:val="60"/>
              <w:rPr>
                <w:rFonts w:ascii="Times New Roman" w:hAnsi="Times New Roman" w:cs="Times New Roman"/>
                <w:color w:val="000000" w:themeColor="text1"/>
                <w14:textFill>
                  <w14:solidFill>
                    <w14:schemeClr w14:val="tx1"/>
                  </w14:solidFill>
                </w14:textFill>
              </w:rPr>
            </w:pPr>
          </w:p>
        </w:tc>
        <w:tc>
          <w:tcPr>
            <w:tcW w:w="1980" w:type="pct"/>
            <w:vAlign w:val="center"/>
          </w:tcPr>
          <w:p w14:paraId="52DA1C6E">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202</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年</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月</w:t>
            </w:r>
            <w:r>
              <w:rPr>
                <w:rFonts w:hint="eastAsia" w:ascii="Times New Roman" w:hAnsi="Times New Roman" w:cs="Times New Roman"/>
                <w:snapToGrid w:val="0"/>
                <w:color w:val="000000" w:themeColor="text1"/>
                <w:lang w:val="en-US" w:eastAsia="zh-CN"/>
                <w14:textFill>
                  <w14:solidFill>
                    <w14:schemeClr w14:val="tx1"/>
                  </w14:solidFill>
                </w14:textFill>
              </w:rPr>
              <w:t>22</w:t>
            </w:r>
            <w:r>
              <w:rPr>
                <w:rFonts w:ascii="Times New Roman" w:hAnsi="Times New Roman" w:cs="Times New Roman"/>
                <w:snapToGrid w:val="0"/>
                <w:color w:val="000000" w:themeColor="text1"/>
                <w14:textFill>
                  <w14:solidFill>
                    <w14:schemeClr w14:val="tx1"/>
                  </w14:solidFill>
                </w14:textFill>
              </w:rPr>
              <w:t>日</w:t>
            </w:r>
          </w:p>
        </w:tc>
        <w:tc>
          <w:tcPr>
            <w:tcW w:w="1789" w:type="pct"/>
            <w:vAlign w:val="center"/>
          </w:tcPr>
          <w:p w14:paraId="210E86A9">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00:00~24:00</w:t>
            </w:r>
          </w:p>
        </w:tc>
        <w:tc>
          <w:tcPr>
            <w:tcW w:w="793" w:type="pct"/>
            <w:vAlign w:val="center"/>
          </w:tcPr>
          <w:p w14:paraId="6FA6134B">
            <w:pPr>
              <w:pStyle w:val="60"/>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0.073</w:t>
            </w:r>
          </w:p>
        </w:tc>
      </w:tr>
      <w:tr w14:paraId="56FCE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301639ED">
            <w:pPr>
              <w:pStyle w:val="60"/>
              <w:rPr>
                <w:rFonts w:ascii="Times New Roman" w:hAnsi="Times New Roman" w:cs="Times New Roman"/>
                <w:color w:val="000000" w:themeColor="text1"/>
                <w14:textFill>
                  <w14:solidFill>
                    <w14:schemeClr w14:val="tx1"/>
                  </w14:solidFill>
                </w14:textFill>
              </w:rPr>
            </w:pPr>
          </w:p>
        </w:tc>
        <w:tc>
          <w:tcPr>
            <w:tcW w:w="1980" w:type="pct"/>
            <w:vAlign w:val="center"/>
          </w:tcPr>
          <w:p w14:paraId="668FB827">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202</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年</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月</w:t>
            </w:r>
            <w:r>
              <w:rPr>
                <w:rFonts w:hint="eastAsia" w:ascii="Times New Roman" w:hAnsi="Times New Roman" w:cs="Times New Roman"/>
                <w:snapToGrid w:val="0"/>
                <w:color w:val="000000" w:themeColor="text1"/>
                <w:lang w:val="en-US" w:eastAsia="zh-CN"/>
                <w14:textFill>
                  <w14:solidFill>
                    <w14:schemeClr w14:val="tx1"/>
                  </w14:solidFill>
                </w14:textFill>
              </w:rPr>
              <w:t>23</w:t>
            </w:r>
            <w:r>
              <w:rPr>
                <w:rFonts w:ascii="Times New Roman" w:hAnsi="Times New Roman" w:cs="Times New Roman"/>
                <w:snapToGrid w:val="0"/>
                <w:color w:val="000000" w:themeColor="text1"/>
                <w14:textFill>
                  <w14:solidFill>
                    <w14:schemeClr w14:val="tx1"/>
                  </w14:solidFill>
                </w14:textFill>
              </w:rPr>
              <w:t>日</w:t>
            </w:r>
          </w:p>
        </w:tc>
        <w:tc>
          <w:tcPr>
            <w:tcW w:w="1789" w:type="pct"/>
            <w:vAlign w:val="center"/>
          </w:tcPr>
          <w:p w14:paraId="070198C1">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00:00~24:00</w:t>
            </w:r>
          </w:p>
        </w:tc>
        <w:tc>
          <w:tcPr>
            <w:tcW w:w="793" w:type="pct"/>
            <w:vAlign w:val="center"/>
          </w:tcPr>
          <w:p w14:paraId="0B5B86A8">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0.085</w:t>
            </w:r>
          </w:p>
        </w:tc>
      </w:tr>
      <w:tr w14:paraId="176E5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7A7BAFC">
            <w:pPr>
              <w:pStyle w:val="60"/>
              <w:rPr>
                <w:rFonts w:ascii="Times New Roman" w:hAnsi="Times New Roman" w:cs="Times New Roman"/>
                <w:color w:val="000000" w:themeColor="text1"/>
                <w14:textFill>
                  <w14:solidFill>
                    <w14:schemeClr w14:val="tx1"/>
                  </w14:solidFill>
                </w14:textFill>
              </w:rPr>
            </w:pPr>
          </w:p>
        </w:tc>
        <w:tc>
          <w:tcPr>
            <w:tcW w:w="1980" w:type="pct"/>
            <w:vAlign w:val="center"/>
          </w:tcPr>
          <w:p w14:paraId="24AECA91">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202</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年</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月</w:t>
            </w:r>
            <w:r>
              <w:rPr>
                <w:rFonts w:hint="eastAsia" w:ascii="Times New Roman" w:hAnsi="Times New Roman" w:cs="Times New Roman"/>
                <w:snapToGrid w:val="0"/>
                <w:color w:val="000000" w:themeColor="text1"/>
                <w:lang w:val="en-US" w:eastAsia="zh-CN"/>
                <w14:textFill>
                  <w14:solidFill>
                    <w14:schemeClr w14:val="tx1"/>
                  </w14:solidFill>
                </w14:textFill>
              </w:rPr>
              <w:t>24</w:t>
            </w:r>
            <w:r>
              <w:rPr>
                <w:rFonts w:ascii="Times New Roman" w:hAnsi="Times New Roman" w:cs="Times New Roman"/>
                <w:snapToGrid w:val="0"/>
                <w:color w:val="000000" w:themeColor="text1"/>
                <w14:textFill>
                  <w14:solidFill>
                    <w14:schemeClr w14:val="tx1"/>
                  </w14:solidFill>
                </w14:textFill>
              </w:rPr>
              <w:t>日</w:t>
            </w:r>
          </w:p>
        </w:tc>
        <w:tc>
          <w:tcPr>
            <w:tcW w:w="1789" w:type="pct"/>
            <w:vAlign w:val="center"/>
          </w:tcPr>
          <w:p w14:paraId="71C6F984">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00:00~24:00</w:t>
            </w:r>
          </w:p>
        </w:tc>
        <w:tc>
          <w:tcPr>
            <w:tcW w:w="793" w:type="pct"/>
            <w:vAlign w:val="center"/>
          </w:tcPr>
          <w:p w14:paraId="592C4E75">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0.073</w:t>
            </w:r>
          </w:p>
        </w:tc>
      </w:tr>
      <w:tr w14:paraId="62D28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D1D62CA">
            <w:pPr>
              <w:pStyle w:val="60"/>
              <w:rPr>
                <w:rFonts w:ascii="Times New Roman" w:hAnsi="Times New Roman" w:cs="Times New Roman"/>
                <w:color w:val="000000" w:themeColor="text1"/>
                <w14:textFill>
                  <w14:solidFill>
                    <w14:schemeClr w14:val="tx1"/>
                  </w14:solidFill>
                </w14:textFill>
              </w:rPr>
            </w:pPr>
          </w:p>
        </w:tc>
        <w:tc>
          <w:tcPr>
            <w:tcW w:w="1980" w:type="pct"/>
            <w:vAlign w:val="center"/>
          </w:tcPr>
          <w:p w14:paraId="23C1B77D">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202</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年</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月</w:t>
            </w:r>
            <w:r>
              <w:rPr>
                <w:rFonts w:hint="eastAsia" w:ascii="Times New Roman" w:hAnsi="Times New Roman" w:cs="Times New Roman"/>
                <w:snapToGrid w:val="0"/>
                <w:color w:val="000000" w:themeColor="text1"/>
                <w:lang w:val="en-US" w:eastAsia="zh-CN"/>
                <w14:textFill>
                  <w14:solidFill>
                    <w14:schemeClr w14:val="tx1"/>
                  </w14:solidFill>
                </w14:textFill>
              </w:rPr>
              <w:t>25</w:t>
            </w:r>
            <w:r>
              <w:rPr>
                <w:rFonts w:ascii="Times New Roman" w:hAnsi="Times New Roman" w:cs="Times New Roman"/>
                <w:snapToGrid w:val="0"/>
                <w:color w:val="000000" w:themeColor="text1"/>
                <w14:textFill>
                  <w14:solidFill>
                    <w14:schemeClr w14:val="tx1"/>
                  </w14:solidFill>
                </w14:textFill>
              </w:rPr>
              <w:t>日</w:t>
            </w:r>
          </w:p>
        </w:tc>
        <w:tc>
          <w:tcPr>
            <w:tcW w:w="1789" w:type="pct"/>
            <w:vAlign w:val="center"/>
          </w:tcPr>
          <w:p w14:paraId="08066228">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00:00~24:00</w:t>
            </w:r>
          </w:p>
        </w:tc>
        <w:tc>
          <w:tcPr>
            <w:tcW w:w="793" w:type="pct"/>
            <w:vAlign w:val="center"/>
          </w:tcPr>
          <w:p w14:paraId="41174956">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0.087</w:t>
            </w:r>
          </w:p>
        </w:tc>
      </w:tr>
      <w:tr w14:paraId="555DB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7EDE0AE">
            <w:pPr>
              <w:pStyle w:val="60"/>
              <w:rPr>
                <w:rFonts w:ascii="Times New Roman" w:hAnsi="Times New Roman" w:cs="Times New Roman"/>
                <w:color w:val="000000" w:themeColor="text1"/>
                <w14:textFill>
                  <w14:solidFill>
                    <w14:schemeClr w14:val="tx1"/>
                  </w14:solidFill>
                </w14:textFill>
              </w:rPr>
            </w:pPr>
          </w:p>
        </w:tc>
        <w:tc>
          <w:tcPr>
            <w:tcW w:w="1980" w:type="pct"/>
            <w:vAlign w:val="center"/>
          </w:tcPr>
          <w:p w14:paraId="545A34AD">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202</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年</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月</w:t>
            </w:r>
            <w:r>
              <w:rPr>
                <w:rFonts w:hint="eastAsia" w:ascii="Times New Roman" w:hAnsi="Times New Roman" w:cs="Times New Roman"/>
                <w:snapToGrid w:val="0"/>
                <w:color w:val="000000" w:themeColor="text1"/>
                <w:lang w:val="en-US" w:eastAsia="zh-CN"/>
                <w14:textFill>
                  <w14:solidFill>
                    <w14:schemeClr w14:val="tx1"/>
                  </w14:solidFill>
                </w14:textFill>
              </w:rPr>
              <w:t>26</w:t>
            </w:r>
            <w:r>
              <w:rPr>
                <w:rFonts w:ascii="Times New Roman" w:hAnsi="Times New Roman" w:cs="Times New Roman"/>
                <w:snapToGrid w:val="0"/>
                <w:color w:val="000000" w:themeColor="text1"/>
                <w14:textFill>
                  <w14:solidFill>
                    <w14:schemeClr w14:val="tx1"/>
                  </w14:solidFill>
                </w14:textFill>
              </w:rPr>
              <w:t>日</w:t>
            </w:r>
          </w:p>
        </w:tc>
        <w:tc>
          <w:tcPr>
            <w:tcW w:w="1789" w:type="pct"/>
            <w:vAlign w:val="center"/>
          </w:tcPr>
          <w:p w14:paraId="21E2F346">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00:00~24:00</w:t>
            </w:r>
          </w:p>
        </w:tc>
        <w:tc>
          <w:tcPr>
            <w:tcW w:w="793" w:type="pct"/>
            <w:vAlign w:val="center"/>
          </w:tcPr>
          <w:p w14:paraId="4DC09E28">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0.079</w:t>
            </w:r>
          </w:p>
        </w:tc>
      </w:tr>
      <w:tr w14:paraId="07651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39F2515">
            <w:pPr>
              <w:pStyle w:val="60"/>
              <w:rPr>
                <w:rFonts w:ascii="Times New Roman" w:hAnsi="Times New Roman" w:cs="Times New Roman"/>
                <w:color w:val="000000" w:themeColor="text1"/>
                <w14:textFill>
                  <w14:solidFill>
                    <w14:schemeClr w14:val="tx1"/>
                  </w14:solidFill>
                </w14:textFill>
              </w:rPr>
            </w:pPr>
          </w:p>
        </w:tc>
        <w:tc>
          <w:tcPr>
            <w:tcW w:w="1980" w:type="pct"/>
            <w:vAlign w:val="center"/>
          </w:tcPr>
          <w:p w14:paraId="425B72B0">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202</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年</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月</w:t>
            </w:r>
            <w:r>
              <w:rPr>
                <w:rFonts w:hint="eastAsia" w:ascii="Times New Roman" w:hAnsi="Times New Roman" w:cs="Times New Roman"/>
                <w:snapToGrid w:val="0"/>
                <w:color w:val="000000" w:themeColor="text1"/>
                <w:lang w:val="en-US" w:eastAsia="zh-CN"/>
                <w14:textFill>
                  <w14:solidFill>
                    <w14:schemeClr w14:val="tx1"/>
                  </w14:solidFill>
                </w14:textFill>
              </w:rPr>
              <w:t>27</w:t>
            </w:r>
            <w:r>
              <w:rPr>
                <w:rFonts w:ascii="Times New Roman" w:hAnsi="Times New Roman" w:cs="Times New Roman"/>
                <w:snapToGrid w:val="0"/>
                <w:color w:val="000000" w:themeColor="text1"/>
                <w14:textFill>
                  <w14:solidFill>
                    <w14:schemeClr w14:val="tx1"/>
                  </w14:solidFill>
                </w14:textFill>
              </w:rPr>
              <w:t>日</w:t>
            </w:r>
          </w:p>
        </w:tc>
        <w:tc>
          <w:tcPr>
            <w:tcW w:w="1789" w:type="pct"/>
            <w:vAlign w:val="center"/>
          </w:tcPr>
          <w:p w14:paraId="58AF99C0">
            <w:pPr>
              <w:pStyle w:val="60"/>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00:00~24:00</w:t>
            </w:r>
          </w:p>
        </w:tc>
        <w:tc>
          <w:tcPr>
            <w:tcW w:w="793" w:type="pct"/>
            <w:vAlign w:val="center"/>
          </w:tcPr>
          <w:p w14:paraId="3AE6D5AB">
            <w:pPr>
              <w:pStyle w:val="6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0.084</w:t>
            </w:r>
          </w:p>
        </w:tc>
      </w:tr>
    </w:tbl>
    <w:p w14:paraId="31D7582F">
      <w:pPr>
        <w:ind w:firstLine="480"/>
        <w:rPr>
          <w:rFonts w:ascii="Times New Roman" w:hAnsi="Times New Roman" w:cs="Times New Roman"/>
          <w:color w:val="auto"/>
        </w:rPr>
      </w:pPr>
      <w:r>
        <w:rPr>
          <w:rFonts w:ascii="Times New Roman" w:hAnsi="Times New Roman" w:cs="Times New Roman"/>
          <w:color w:val="auto"/>
        </w:rPr>
        <w:t>（4）现状评价</w:t>
      </w:r>
    </w:p>
    <w:p w14:paraId="1069CE9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评价因子：NH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S、TSP、臭气浓度。</w:t>
      </w:r>
    </w:p>
    <w:p w14:paraId="4E72BBA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评价标准：评价区域为二类环境空气质量功能区，TSP执行《环境空气质量标准》（GB3095-2012）表2中二级标准。NH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S的评价采用《环境影响评价技术导则 大气环境》（HJ2.2-2018）附录D其他污染物空气质量浓度参考限值。</w:t>
      </w:r>
    </w:p>
    <w:p w14:paraId="35694BB0">
      <w:pPr>
        <w:tabs>
          <w:tab w:val="left" w:pos="4024"/>
        </w:tabs>
        <w:ind w:firstLine="0" w:firstLineChars="0"/>
        <w:jc w:val="center"/>
        <w:rPr>
          <w:rFonts w:ascii="Times New Roman" w:hAnsi="Times New Roman" w:eastAsia="宋体" w:cs="Times New Roman"/>
          <w:b/>
          <w:bCs/>
          <w:snapToGrid w:val="0"/>
          <w:color w:val="000000" w:themeColor="text1"/>
          <w14:textFill>
            <w14:solidFill>
              <w14:schemeClr w14:val="tx1"/>
            </w14:solidFill>
          </w14:textFill>
        </w:rPr>
      </w:pPr>
      <w:r>
        <w:rPr>
          <w:rFonts w:ascii="Times New Roman" w:hAnsi="Times New Roman" w:eastAsia="宋体" w:cs="Times New Roman"/>
          <w:b/>
          <w:bCs/>
          <w:snapToGrid w:val="0"/>
          <w:color w:val="000000" w:themeColor="text1"/>
          <w:kern w:val="0"/>
          <w:lang w:val="zh-CN"/>
          <w14:textFill>
            <w14:solidFill>
              <w14:schemeClr w14:val="tx1"/>
            </w14:solidFill>
          </w14:textFill>
        </w:rPr>
        <w:t>表</w:t>
      </w:r>
      <w:r>
        <w:rPr>
          <w:rFonts w:hint="eastAsia" w:eastAsia="宋体" w:cs="Times New Roman"/>
          <w:b/>
          <w:bCs/>
          <w:snapToGrid w:val="0"/>
          <w:color w:val="000000" w:themeColor="text1"/>
          <w:kern w:val="0"/>
          <w:lang w:val="en-US" w:eastAsia="zh-CN"/>
          <w14:textFill>
            <w14:solidFill>
              <w14:schemeClr w14:val="tx1"/>
            </w14:solidFill>
          </w14:textFill>
        </w:rPr>
        <w:t>4</w:t>
      </w:r>
      <w:r>
        <w:rPr>
          <w:rFonts w:ascii="Times New Roman" w:hAnsi="Times New Roman" w:eastAsia="宋体" w:cs="Times New Roman"/>
          <w:b/>
          <w:bCs/>
          <w:snapToGrid w:val="0"/>
          <w:color w:val="000000" w:themeColor="text1"/>
          <w:kern w:val="0"/>
          <w:lang w:val="zh-CN"/>
          <w14:textFill>
            <w14:solidFill>
              <w14:schemeClr w14:val="tx1"/>
            </w14:solidFill>
          </w14:textFill>
        </w:rPr>
        <w:t>.</w:t>
      </w:r>
      <w:r>
        <w:rPr>
          <w:rFonts w:ascii="Times New Roman" w:hAnsi="Times New Roman" w:eastAsia="宋体" w:cs="Times New Roman"/>
          <w:b/>
          <w:bCs/>
          <w:snapToGrid w:val="0"/>
          <w:color w:val="000000" w:themeColor="text1"/>
          <w:kern w:val="0"/>
          <w14:textFill>
            <w14:solidFill>
              <w14:schemeClr w14:val="tx1"/>
            </w14:solidFill>
          </w14:textFill>
        </w:rPr>
        <w:t>2</w:t>
      </w:r>
      <w:r>
        <w:rPr>
          <w:rFonts w:ascii="Times New Roman" w:hAnsi="Times New Roman" w:eastAsia="宋体" w:cs="Times New Roman"/>
          <w:b/>
          <w:bCs/>
          <w:snapToGrid w:val="0"/>
          <w:color w:val="000000" w:themeColor="text1"/>
          <w:kern w:val="0"/>
          <w:lang w:val="zh-CN"/>
          <w14:textFill>
            <w14:solidFill>
              <w14:schemeClr w14:val="tx1"/>
            </w14:solidFill>
          </w14:textFill>
        </w:rPr>
        <w:t>-</w:t>
      </w:r>
      <w:r>
        <w:rPr>
          <w:rFonts w:ascii="Times New Roman" w:hAnsi="Times New Roman" w:eastAsia="宋体" w:cs="Times New Roman"/>
          <w:b/>
          <w:bCs/>
          <w:snapToGrid w:val="0"/>
          <w:color w:val="000000" w:themeColor="text1"/>
          <w:kern w:val="0"/>
          <w14:textFill>
            <w14:solidFill>
              <w14:schemeClr w14:val="tx1"/>
            </w14:solidFill>
          </w14:textFill>
        </w:rPr>
        <w:t xml:space="preserve">7     </w:t>
      </w:r>
      <w:r>
        <w:rPr>
          <w:rFonts w:ascii="Times New Roman" w:hAnsi="Times New Roman" w:eastAsia="宋体" w:cs="Times New Roman"/>
          <w:b/>
          <w:bCs/>
          <w:snapToGrid w:val="0"/>
          <w:color w:val="000000" w:themeColor="text1"/>
          <w:kern w:val="0"/>
          <w:lang w:val="zh-CN"/>
          <w14:textFill>
            <w14:solidFill>
              <w14:schemeClr w14:val="tx1"/>
            </w14:solidFill>
          </w14:textFill>
        </w:rPr>
        <w:t>评价标准一览表</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36"/>
        <w:gridCol w:w="1334"/>
        <w:gridCol w:w="1705"/>
        <w:gridCol w:w="1296"/>
        <w:gridCol w:w="3189"/>
      </w:tblGrid>
      <w:tr w14:paraId="28A0C3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vMerge w:val="restart"/>
            <w:shd w:val="clear" w:color="auto" w:fill="auto"/>
            <w:vAlign w:val="center"/>
          </w:tcPr>
          <w:p w14:paraId="5F1EF71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污染物名称</w:t>
            </w:r>
          </w:p>
        </w:tc>
        <w:tc>
          <w:tcPr>
            <w:tcW w:w="3039" w:type="dxa"/>
            <w:gridSpan w:val="2"/>
            <w:shd w:val="clear" w:color="auto" w:fill="auto"/>
            <w:vAlign w:val="center"/>
          </w:tcPr>
          <w:p w14:paraId="1EB12316">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浓度限值</w:t>
            </w:r>
          </w:p>
        </w:tc>
        <w:tc>
          <w:tcPr>
            <w:tcW w:w="1296" w:type="dxa"/>
            <w:vMerge w:val="restart"/>
            <w:shd w:val="clear" w:color="auto" w:fill="auto"/>
            <w:vAlign w:val="center"/>
          </w:tcPr>
          <w:p w14:paraId="1122B40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浓度单位</w:t>
            </w:r>
          </w:p>
        </w:tc>
        <w:tc>
          <w:tcPr>
            <w:tcW w:w="3189" w:type="dxa"/>
            <w:vMerge w:val="restart"/>
            <w:vAlign w:val="center"/>
          </w:tcPr>
          <w:p w14:paraId="470F5A5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标准来源</w:t>
            </w:r>
          </w:p>
        </w:tc>
      </w:tr>
      <w:tr w14:paraId="615C9E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vMerge w:val="continue"/>
            <w:shd w:val="clear" w:color="auto" w:fill="auto"/>
            <w:vAlign w:val="center"/>
          </w:tcPr>
          <w:p w14:paraId="3CF13B61">
            <w:pPr>
              <w:pStyle w:val="60"/>
              <w:rPr>
                <w:rFonts w:ascii="Times New Roman" w:hAnsi="Times New Roman" w:cs="Times New Roman"/>
                <w:color w:val="000000" w:themeColor="text1"/>
                <w14:textFill>
                  <w14:solidFill>
                    <w14:schemeClr w14:val="tx1"/>
                  </w14:solidFill>
                </w14:textFill>
              </w:rPr>
            </w:pPr>
          </w:p>
        </w:tc>
        <w:tc>
          <w:tcPr>
            <w:tcW w:w="1334" w:type="dxa"/>
            <w:shd w:val="clear" w:color="auto" w:fill="auto"/>
            <w:vAlign w:val="center"/>
          </w:tcPr>
          <w:p w14:paraId="04612B7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24小时平均</w:t>
            </w:r>
          </w:p>
        </w:tc>
        <w:tc>
          <w:tcPr>
            <w:tcW w:w="1705" w:type="dxa"/>
            <w:shd w:val="clear" w:color="auto" w:fill="auto"/>
            <w:vAlign w:val="center"/>
          </w:tcPr>
          <w:p w14:paraId="677356C6">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1小时平均</w:t>
            </w:r>
          </w:p>
        </w:tc>
        <w:tc>
          <w:tcPr>
            <w:tcW w:w="1296" w:type="dxa"/>
            <w:vMerge w:val="continue"/>
            <w:shd w:val="clear" w:color="auto" w:fill="auto"/>
            <w:vAlign w:val="center"/>
          </w:tcPr>
          <w:p w14:paraId="519A79A0">
            <w:pPr>
              <w:pStyle w:val="60"/>
              <w:rPr>
                <w:rFonts w:ascii="Times New Roman" w:hAnsi="Times New Roman" w:cs="Times New Roman"/>
                <w:color w:val="000000" w:themeColor="text1"/>
                <w14:textFill>
                  <w14:solidFill>
                    <w14:schemeClr w14:val="tx1"/>
                  </w14:solidFill>
                </w14:textFill>
              </w:rPr>
            </w:pPr>
          </w:p>
        </w:tc>
        <w:tc>
          <w:tcPr>
            <w:tcW w:w="3189" w:type="dxa"/>
            <w:vMerge w:val="continue"/>
            <w:vAlign w:val="center"/>
          </w:tcPr>
          <w:p w14:paraId="443F54CB">
            <w:pPr>
              <w:pStyle w:val="60"/>
              <w:rPr>
                <w:rFonts w:ascii="Times New Roman" w:hAnsi="Times New Roman" w:cs="Times New Roman"/>
                <w:color w:val="000000" w:themeColor="text1"/>
                <w14:textFill>
                  <w14:solidFill>
                    <w14:schemeClr w14:val="tx1"/>
                  </w14:solidFill>
                </w14:textFill>
              </w:rPr>
            </w:pPr>
          </w:p>
        </w:tc>
      </w:tr>
      <w:tr w14:paraId="59AFF3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119857FE">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H</w:t>
            </w:r>
            <w:r>
              <w:rPr>
                <w:rFonts w:ascii="Times New Roman" w:hAnsi="Times New Roman" w:cs="Times New Roman"/>
                <w:color w:val="000000" w:themeColor="text1"/>
                <w:vertAlign w:val="subscript"/>
                <w:lang w:val="zh-CN"/>
                <w14:textFill>
                  <w14:solidFill>
                    <w14:schemeClr w14:val="tx1"/>
                  </w14:solidFill>
                </w14:textFill>
              </w:rPr>
              <w:t>2</w:t>
            </w:r>
            <w:r>
              <w:rPr>
                <w:rFonts w:ascii="Times New Roman" w:hAnsi="Times New Roman" w:cs="Times New Roman"/>
                <w:color w:val="000000" w:themeColor="text1"/>
                <w:lang w:val="zh-CN"/>
                <w14:textFill>
                  <w14:solidFill>
                    <w14:schemeClr w14:val="tx1"/>
                  </w14:solidFill>
                </w14:textFill>
              </w:rPr>
              <w:t>S</w:t>
            </w:r>
          </w:p>
        </w:tc>
        <w:tc>
          <w:tcPr>
            <w:tcW w:w="1334" w:type="dxa"/>
            <w:shd w:val="clear" w:color="auto" w:fill="auto"/>
            <w:vAlign w:val="center"/>
          </w:tcPr>
          <w:p w14:paraId="1729466A">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p>
        </w:tc>
        <w:tc>
          <w:tcPr>
            <w:tcW w:w="1705" w:type="dxa"/>
            <w:shd w:val="clear" w:color="auto" w:fill="auto"/>
            <w:vAlign w:val="center"/>
          </w:tcPr>
          <w:p w14:paraId="28BF3C01">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10</w:t>
            </w:r>
          </w:p>
        </w:tc>
        <w:tc>
          <w:tcPr>
            <w:tcW w:w="1296" w:type="dxa"/>
            <w:vMerge w:val="restart"/>
            <w:shd w:val="clear" w:color="auto" w:fill="auto"/>
            <w:vAlign w:val="center"/>
          </w:tcPr>
          <w:p w14:paraId="45008BB3">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μg/m</w:t>
            </w:r>
            <w:r>
              <w:rPr>
                <w:rFonts w:ascii="Times New Roman" w:hAnsi="Times New Roman" w:cs="Times New Roman"/>
                <w:color w:val="000000" w:themeColor="text1"/>
                <w:vertAlign w:val="superscript"/>
                <w:lang w:val="zh-CN"/>
                <w14:textFill>
                  <w14:solidFill>
                    <w14:schemeClr w14:val="tx1"/>
                  </w14:solidFill>
                </w14:textFill>
              </w:rPr>
              <w:t>3</w:t>
            </w:r>
          </w:p>
        </w:tc>
        <w:tc>
          <w:tcPr>
            <w:tcW w:w="3189" w:type="dxa"/>
            <w:vMerge w:val="restart"/>
            <w:vAlign w:val="center"/>
          </w:tcPr>
          <w:p w14:paraId="61DDB4DC">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《环境影响评价技术导则 大气环境》（HJ2.2-2018）附录D相应标准要求</w:t>
            </w:r>
          </w:p>
        </w:tc>
      </w:tr>
      <w:tr w14:paraId="2C1F69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61417A4C">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NH</w:t>
            </w:r>
            <w:r>
              <w:rPr>
                <w:rFonts w:ascii="Times New Roman" w:hAnsi="Times New Roman" w:cs="Times New Roman"/>
                <w:color w:val="000000" w:themeColor="text1"/>
                <w:vertAlign w:val="subscript"/>
                <w:lang w:val="zh-CN"/>
                <w14:textFill>
                  <w14:solidFill>
                    <w14:schemeClr w14:val="tx1"/>
                  </w14:solidFill>
                </w14:textFill>
              </w:rPr>
              <w:t>3</w:t>
            </w:r>
          </w:p>
        </w:tc>
        <w:tc>
          <w:tcPr>
            <w:tcW w:w="1334" w:type="dxa"/>
            <w:shd w:val="clear" w:color="auto" w:fill="auto"/>
            <w:vAlign w:val="center"/>
          </w:tcPr>
          <w:p w14:paraId="33D17992">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p>
        </w:tc>
        <w:tc>
          <w:tcPr>
            <w:tcW w:w="1705" w:type="dxa"/>
            <w:shd w:val="clear" w:color="auto" w:fill="auto"/>
            <w:vAlign w:val="center"/>
          </w:tcPr>
          <w:p w14:paraId="59F172F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200</w:t>
            </w:r>
          </w:p>
        </w:tc>
        <w:tc>
          <w:tcPr>
            <w:tcW w:w="1296" w:type="dxa"/>
            <w:vMerge w:val="continue"/>
            <w:shd w:val="clear" w:color="auto" w:fill="auto"/>
            <w:vAlign w:val="center"/>
          </w:tcPr>
          <w:p w14:paraId="631BBF67">
            <w:pPr>
              <w:pStyle w:val="60"/>
              <w:rPr>
                <w:rFonts w:ascii="Times New Roman" w:hAnsi="Times New Roman" w:cs="Times New Roman"/>
                <w:snapToGrid w:val="0"/>
                <w:color w:val="000000" w:themeColor="text1"/>
                <w14:textFill>
                  <w14:solidFill>
                    <w14:schemeClr w14:val="tx1"/>
                  </w14:solidFill>
                </w14:textFill>
              </w:rPr>
            </w:pPr>
          </w:p>
        </w:tc>
        <w:tc>
          <w:tcPr>
            <w:tcW w:w="3189" w:type="dxa"/>
            <w:vMerge w:val="continue"/>
            <w:vAlign w:val="center"/>
          </w:tcPr>
          <w:p w14:paraId="5310C821">
            <w:pPr>
              <w:pStyle w:val="60"/>
              <w:rPr>
                <w:rFonts w:ascii="Times New Roman" w:hAnsi="Times New Roman" w:cs="Times New Roman"/>
                <w:color w:val="000000" w:themeColor="text1"/>
                <w14:textFill>
                  <w14:solidFill>
                    <w14:schemeClr w14:val="tx1"/>
                  </w14:solidFill>
                </w14:textFill>
              </w:rPr>
            </w:pPr>
          </w:p>
        </w:tc>
      </w:tr>
      <w:tr w14:paraId="3B4801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58E7F5C3">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TSP</w:t>
            </w:r>
          </w:p>
        </w:tc>
        <w:tc>
          <w:tcPr>
            <w:tcW w:w="1334" w:type="dxa"/>
            <w:shd w:val="clear" w:color="auto" w:fill="auto"/>
            <w:vAlign w:val="center"/>
          </w:tcPr>
          <w:p w14:paraId="5B87F04C">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0.2</w:t>
            </w:r>
          </w:p>
        </w:tc>
        <w:tc>
          <w:tcPr>
            <w:tcW w:w="1705" w:type="dxa"/>
            <w:shd w:val="clear" w:color="auto" w:fill="auto"/>
            <w:vAlign w:val="center"/>
          </w:tcPr>
          <w:p w14:paraId="4A0C1265">
            <w:pPr>
              <w:pStyle w:val="6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296" w:type="dxa"/>
            <w:shd w:val="clear" w:color="auto" w:fill="auto"/>
            <w:vAlign w:val="center"/>
          </w:tcPr>
          <w:p w14:paraId="2BC307AD">
            <w:pPr>
              <w:pStyle w:val="6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lang w:val="zh-CN"/>
                <w14:textFill>
                  <w14:solidFill>
                    <w14:schemeClr w14:val="tx1"/>
                  </w14:solidFill>
                </w14:textFill>
              </w:rPr>
              <w:t>g/m</w:t>
            </w:r>
            <w:r>
              <w:rPr>
                <w:rFonts w:ascii="Times New Roman" w:hAnsi="Times New Roman" w:cs="Times New Roman"/>
                <w:color w:val="000000" w:themeColor="text1"/>
                <w:vertAlign w:val="superscript"/>
                <w:lang w:val="zh-CN"/>
                <w14:textFill>
                  <w14:solidFill>
                    <w14:schemeClr w14:val="tx1"/>
                  </w14:solidFill>
                </w14:textFill>
              </w:rPr>
              <w:t>3</w:t>
            </w:r>
          </w:p>
        </w:tc>
        <w:tc>
          <w:tcPr>
            <w:tcW w:w="3189" w:type="dxa"/>
            <w:vAlign w:val="center"/>
          </w:tcPr>
          <w:p w14:paraId="162BFD58">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《环境空气质量标准》（GB3095-2012）表2二级标准</w:t>
            </w:r>
          </w:p>
        </w:tc>
      </w:tr>
      <w:tr w14:paraId="7E9244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36" w:type="dxa"/>
            <w:shd w:val="clear" w:color="auto" w:fill="auto"/>
            <w:vAlign w:val="center"/>
          </w:tcPr>
          <w:p w14:paraId="1C8073EA">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臭气浓度</w:t>
            </w:r>
          </w:p>
        </w:tc>
        <w:tc>
          <w:tcPr>
            <w:tcW w:w="1334" w:type="dxa"/>
            <w:shd w:val="clear" w:color="auto" w:fill="auto"/>
            <w:vAlign w:val="center"/>
          </w:tcPr>
          <w:p w14:paraId="06D69C8D">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1705" w:type="dxa"/>
            <w:shd w:val="clear" w:color="auto" w:fill="auto"/>
            <w:vAlign w:val="center"/>
          </w:tcPr>
          <w:p w14:paraId="6B8B837B">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w:t>
            </w:r>
          </w:p>
        </w:tc>
        <w:tc>
          <w:tcPr>
            <w:tcW w:w="1296" w:type="dxa"/>
            <w:shd w:val="clear" w:color="auto" w:fill="auto"/>
            <w:vAlign w:val="center"/>
          </w:tcPr>
          <w:p w14:paraId="2486AB1F">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无量纲</w:t>
            </w:r>
          </w:p>
        </w:tc>
        <w:tc>
          <w:tcPr>
            <w:tcW w:w="3189" w:type="dxa"/>
            <w:vAlign w:val="center"/>
          </w:tcPr>
          <w:p w14:paraId="2CFABFF7">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《畜禽场环境质量标准》（NY/T388-1999）（场区稀释倍数≤50，下风向稀释倍数≤40）</w:t>
            </w:r>
          </w:p>
        </w:tc>
      </w:tr>
    </w:tbl>
    <w:p w14:paraId="29F6C96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评价方法：环境空气质量评价采用占标百分比评价法，数学表达式：</w:t>
      </w:r>
    </w:p>
    <w:p w14:paraId="2FED0510">
      <w:pPr>
        <w:ind w:firstLine="480"/>
        <w:jc w:val="center"/>
        <w:rPr>
          <w:rFonts w:ascii="Times New Roman" w:hAnsi="Times New Roman" w:cs="Times New Roman"/>
          <w:color w:val="000000" w:themeColor="text1"/>
          <w14:textFill>
            <w14:solidFill>
              <w14:schemeClr w14:val="tx1"/>
            </w14:solidFill>
          </w14:textFill>
        </w:rPr>
      </w:pPr>
      <w:bookmarkStart w:id="139" w:name="_Toc173664414"/>
      <w:bookmarkStart w:id="140" w:name="_Toc173745759"/>
      <w:bookmarkStart w:id="141" w:name="_Toc173913381"/>
      <w:bookmarkStart w:id="142" w:name="_Toc173913122"/>
      <w:bookmarkStart w:id="143" w:name="_Toc173719425"/>
      <w:bookmarkStart w:id="144" w:name="_Toc173912864"/>
      <w:r>
        <w:rPr>
          <w:rFonts w:ascii="Times New Roman" w:hAnsi="Times New Roman" w:cs="Times New Roman"/>
          <w:color w:val="000000" w:themeColor="text1"/>
          <w14:textFill>
            <w14:solidFill>
              <w14:schemeClr w14:val="tx1"/>
            </w14:solidFill>
          </w14:textFill>
        </w:rPr>
        <w:t>P</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=C</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/C</w:t>
      </w:r>
      <w:r>
        <w:rPr>
          <w:rFonts w:ascii="Times New Roman" w:hAnsi="Times New Roman" w:cs="Times New Roman"/>
          <w:color w:val="000000" w:themeColor="text1"/>
          <w:vertAlign w:val="subscript"/>
          <w14:textFill>
            <w14:solidFill>
              <w14:schemeClr w14:val="tx1"/>
            </w14:solidFill>
          </w14:textFill>
        </w:rPr>
        <w:t>oi</w:t>
      </w:r>
      <w:r>
        <w:rPr>
          <w:rFonts w:ascii="Times New Roman" w:hAnsi="Times New Roman" w:cs="Times New Roman"/>
          <w:color w:val="000000" w:themeColor="text1"/>
          <w14:textFill>
            <w14:solidFill>
              <w14:schemeClr w14:val="tx1"/>
            </w14:solidFill>
          </w14:textFill>
        </w:rPr>
        <w:t>×10</w:t>
      </w:r>
      <w:bookmarkEnd w:id="139"/>
      <w:bookmarkEnd w:id="140"/>
      <w:bookmarkEnd w:id="141"/>
      <w:bookmarkEnd w:id="142"/>
      <w:bookmarkEnd w:id="143"/>
      <w:bookmarkEnd w:id="144"/>
      <w:r>
        <w:rPr>
          <w:rFonts w:ascii="Times New Roman" w:hAnsi="Times New Roman" w:cs="Times New Roman"/>
          <w:color w:val="000000" w:themeColor="text1"/>
          <w14:textFill>
            <w14:solidFill>
              <w14:schemeClr w14:val="tx1"/>
            </w14:solidFill>
          </w14:textFill>
        </w:rPr>
        <w:t>0%</w:t>
      </w:r>
    </w:p>
    <w:p w14:paraId="51740C4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式中：P</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——第i种</w:t>
      </w:r>
      <w:r>
        <w:rPr>
          <w:rFonts w:hint="eastAsia" w:ascii="Times New Roman" w:hAnsi="Times New Roman" w:cs="Times New Roman"/>
          <w:color w:val="000000" w:themeColor="text1"/>
          <w:lang w:eastAsia="zh-CN"/>
          <w14:textFill>
            <w14:solidFill>
              <w14:schemeClr w14:val="tx1"/>
            </w14:solidFill>
          </w14:textFill>
        </w:rPr>
        <w:t>污染</w:t>
      </w:r>
      <w:r>
        <w:rPr>
          <w:rFonts w:ascii="Times New Roman" w:hAnsi="Times New Roman" w:cs="Times New Roman"/>
          <w:color w:val="000000" w:themeColor="text1"/>
          <w14:textFill>
            <w14:solidFill>
              <w14:schemeClr w14:val="tx1"/>
            </w14:solidFill>
          </w14:textFill>
        </w:rPr>
        <w:t>物的占标百分比；</w:t>
      </w:r>
    </w:p>
    <w:p w14:paraId="37CE55B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——第i种污染因子的</w:t>
      </w:r>
      <w:r>
        <w:rPr>
          <w:rFonts w:hint="eastAsia" w:ascii="Times New Roman" w:hAnsi="Times New Roman" w:cs="Times New Roman"/>
          <w:color w:val="000000" w:themeColor="text1"/>
          <w:lang w:eastAsia="zh-CN"/>
          <w14:textFill>
            <w14:solidFill>
              <w14:schemeClr w14:val="tx1"/>
            </w14:solidFill>
          </w14:textFill>
        </w:rPr>
        <w:t>检测值</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14:paraId="10CCAFF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oi</w:t>
      </w:r>
      <w:r>
        <w:rPr>
          <w:rFonts w:ascii="Times New Roman" w:hAnsi="Times New Roman" w:cs="Times New Roman"/>
          <w:color w:val="000000" w:themeColor="text1"/>
          <w14:textFill>
            <w14:solidFill>
              <w14:schemeClr w14:val="tx1"/>
            </w14:solidFill>
          </w14:textFill>
        </w:rPr>
        <w:t>——第i种污染因子的环境空气质量标准值mg/m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14:paraId="6BDCAC3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凡是占标百分比P</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大于100%，表明该点环境质量劣于评价标准等级，反之则满足标准等级。补充监测数据的现状评价内容，分别对各监测点位不同污染物的短期浓度进行环境质量现状评价，对于超标的污染物，计算其超标倍数及超标率。</w:t>
      </w:r>
    </w:p>
    <w:p w14:paraId="6DCEF21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（5）评价结果</w:t>
      </w:r>
    </w:p>
    <w:p w14:paraId="613F972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采用标准指数法对环境空气质量监测结果进行评价，本环评臭气浓度值参照执行《畜禽场环境质量标准》（NY/T388-1999）（场区稀释倍数≤50，下风向稀释倍数≤40）；监测的1h平均《环境影响评价技术导则 大气环境》（HJ2.2-2018）中“表D.1其他污染物空气质量浓度参考值”（氨≤0.2mg/m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、硫化氢≤0.01mg/m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）；监测的24h平均《环境空气质量标准》（GB3095-2012）表2二级标准（TSP≤0.2mg/m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14:paraId="108CB66A">
      <w:pPr>
        <w:ind w:firstLine="0" w:firstLineChars="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4</w:t>
      </w:r>
      <w:r>
        <w:rPr>
          <w:rFonts w:ascii="Times New Roman" w:hAnsi="Times New Roman" w:eastAsia="宋体" w:cs="Times New Roman"/>
          <w:b/>
          <w:bCs/>
          <w:color w:val="000000" w:themeColor="text1"/>
          <w14:textFill>
            <w14:solidFill>
              <w14:schemeClr w14:val="tx1"/>
            </w14:solidFill>
          </w14:textFill>
        </w:rPr>
        <w:t>.2-8    其他污染物环境质量现状（监测结果）表</w:t>
      </w:r>
    </w:p>
    <w:tbl>
      <w:tblPr>
        <w:tblStyle w:val="35"/>
        <w:tblW w:w="83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87"/>
        <w:gridCol w:w="1120"/>
        <w:gridCol w:w="1599"/>
        <w:gridCol w:w="1307"/>
        <w:gridCol w:w="875"/>
        <w:gridCol w:w="843"/>
      </w:tblGrid>
      <w:tr w14:paraId="20DA6A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0" w:type="dxa"/>
            <w:tcBorders>
              <w:tl2br w:val="nil"/>
              <w:tr2bl w:val="nil"/>
            </w:tcBorders>
            <w:vAlign w:val="center"/>
          </w:tcPr>
          <w:p w14:paraId="784DCA7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监测点名称</w:t>
            </w:r>
          </w:p>
        </w:tc>
        <w:tc>
          <w:tcPr>
            <w:tcW w:w="1887" w:type="dxa"/>
            <w:tcBorders>
              <w:tl2br w:val="nil"/>
              <w:tr2bl w:val="nil"/>
            </w:tcBorders>
            <w:vAlign w:val="center"/>
          </w:tcPr>
          <w:p w14:paraId="3D9F208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污染物</w:t>
            </w:r>
          </w:p>
        </w:tc>
        <w:tc>
          <w:tcPr>
            <w:tcW w:w="1120" w:type="dxa"/>
            <w:tcBorders>
              <w:tl2br w:val="nil"/>
              <w:tr2bl w:val="nil"/>
            </w:tcBorders>
            <w:vAlign w:val="center"/>
          </w:tcPr>
          <w:p w14:paraId="7CD1F51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评价标准/（</w:t>
            </w:r>
            <w:r>
              <w:rPr>
                <w:rFonts w:hint="eastAsia" w:ascii="Times New Roman" w:hAnsi="Times New Roman"/>
                <w:color w:val="000000" w:themeColor="text1"/>
                <w:szCs w:val="21"/>
                <w:lang w:val="en-US" w:eastAsia="zh-CN"/>
                <w14:textFill>
                  <w14:solidFill>
                    <w14:schemeClr w14:val="tx1"/>
                  </w14:solidFill>
                </w14:textFill>
              </w:rPr>
              <w:t>m</w:t>
            </w:r>
            <w:r>
              <w:rPr>
                <w:rFonts w:ascii="Times New Roman" w:hAnsi="Times New Roman"/>
                <w:color w:val="000000" w:themeColor="text1"/>
                <w:szCs w:val="21"/>
                <w14:textFill>
                  <w14:solidFill>
                    <w14:schemeClr w14:val="tx1"/>
                  </w14:solidFill>
                </w14:textFill>
              </w:rPr>
              <w:t>g/m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p>
        </w:tc>
        <w:tc>
          <w:tcPr>
            <w:tcW w:w="1599" w:type="dxa"/>
            <w:tcBorders>
              <w:tl2br w:val="nil"/>
              <w:tr2bl w:val="nil"/>
            </w:tcBorders>
            <w:vAlign w:val="center"/>
          </w:tcPr>
          <w:p w14:paraId="5D6F075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监测浓度范围/（µg/m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p>
        </w:tc>
        <w:tc>
          <w:tcPr>
            <w:tcW w:w="1307" w:type="dxa"/>
            <w:tcBorders>
              <w:tl2br w:val="nil"/>
              <w:tr2bl w:val="nil"/>
            </w:tcBorders>
            <w:vAlign w:val="center"/>
          </w:tcPr>
          <w:p w14:paraId="248FFC4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最大浓度占标率/%</w:t>
            </w:r>
          </w:p>
        </w:tc>
        <w:tc>
          <w:tcPr>
            <w:tcW w:w="875" w:type="dxa"/>
            <w:tcBorders>
              <w:tl2br w:val="nil"/>
              <w:tr2bl w:val="nil"/>
            </w:tcBorders>
            <w:vAlign w:val="center"/>
          </w:tcPr>
          <w:p w14:paraId="7A8210D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超标率/%</w:t>
            </w:r>
          </w:p>
        </w:tc>
        <w:tc>
          <w:tcPr>
            <w:tcW w:w="843" w:type="dxa"/>
            <w:tcBorders>
              <w:tl2br w:val="nil"/>
              <w:tr2bl w:val="nil"/>
            </w:tcBorders>
            <w:vAlign w:val="center"/>
          </w:tcPr>
          <w:p w14:paraId="7CA511B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达标情况</w:t>
            </w:r>
          </w:p>
        </w:tc>
      </w:tr>
      <w:tr w14:paraId="0C362C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0" w:type="dxa"/>
            <w:vMerge w:val="restart"/>
            <w:tcBorders>
              <w:tl2br w:val="nil"/>
              <w:tr2bl w:val="nil"/>
            </w:tcBorders>
            <w:vAlign w:val="center"/>
          </w:tcPr>
          <w:p w14:paraId="4FA3C85C">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6连</w:t>
            </w:r>
            <w:r>
              <w:rPr>
                <w:rFonts w:ascii="Times New Roman" w:hAnsi="Times New Roman"/>
                <w:color w:val="000000" w:themeColor="text1"/>
                <w:szCs w:val="21"/>
                <w14:textFill>
                  <w14:solidFill>
                    <w14:schemeClr w14:val="tx1"/>
                  </w14:solidFill>
                </w14:textFill>
              </w:rPr>
              <w:t>项目区下风向</w:t>
            </w:r>
          </w:p>
        </w:tc>
        <w:tc>
          <w:tcPr>
            <w:tcW w:w="1887" w:type="dxa"/>
            <w:tcBorders>
              <w:tl2br w:val="nil"/>
              <w:tr2bl w:val="nil"/>
            </w:tcBorders>
            <w:vAlign w:val="center"/>
          </w:tcPr>
          <w:p w14:paraId="39A5797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p>
        </w:tc>
        <w:tc>
          <w:tcPr>
            <w:tcW w:w="1120" w:type="dxa"/>
            <w:tcBorders>
              <w:tl2br w:val="nil"/>
              <w:tr2bl w:val="nil"/>
            </w:tcBorders>
            <w:vAlign w:val="center"/>
          </w:tcPr>
          <w:p w14:paraId="2B004B1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w:t>
            </w:r>
          </w:p>
        </w:tc>
        <w:tc>
          <w:tcPr>
            <w:tcW w:w="1599" w:type="dxa"/>
            <w:tcBorders>
              <w:tl2br w:val="nil"/>
              <w:tr2bl w:val="nil"/>
            </w:tcBorders>
            <w:vAlign w:val="center"/>
          </w:tcPr>
          <w:p w14:paraId="3AB9A63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0.02~0.04</w:t>
            </w:r>
          </w:p>
        </w:tc>
        <w:tc>
          <w:tcPr>
            <w:tcW w:w="1307" w:type="dxa"/>
            <w:tcBorders>
              <w:tl2br w:val="nil"/>
              <w:tr2bl w:val="nil"/>
            </w:tcBorders>
            <w:vAlign w:val="center"/>
          </w:tcPr>
          <w:p w14:paraId="4685E298">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w:t>
            </w:r>
          </w:p>
        </w:tc>
        <w:tc>
          <w:tcPr>
            <w:tcW w:w="875" w:type="dxa"/>
            <w:tcBorders>
              <w:tl2br w:val="nil"/>
              <w:tr2bl w:val="nil"/>
            </w:tcBorders>
            <w:vAlign w:val="center"/>
          </w:tcPr>
          <w:p w14:paraId="1BEFF81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w:t>
            </w:r>
          </w:p>
        </w:tc>
        <w:tc>
          <w:tcPr>
            <w:tcW w:w="843" w:type="dxa"/>
            <w:tcBorders>
              <w:tl2br w:val="nil"/>
              <w:tr2bl w:val="nil"/>
            </w:tcBorders>
            <w:vAlign w:val="center"/>
          </w:tcPr>
          <w:p w14:paraId="11901C9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r>
      <w:tr w14:paraId="221922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0" w:type="dxa"/>
            <w:vMerge w:val="continue"/>
            <w:tcBorders>
              <w:tl2br w:val="nil"/>
              <w:tr2bl w:val="nil"/>
            </w:tcBorders>
            <w:vAlign w:val="center"/>
          </w:tcPr>
          <w:p w14:paraId="113EDBE8">
            <w:pPr>
              <w:pStyle w:val="56"/>
              <w:rPr>
                <w:rFonts w:ascii="Times New Roman" w:hAnsi="Times New Roman"/>
                <w:color w:val="000000" w:themeColor="text1"/>
                <w:szCs w:val="21"/>
                <w14:textFill>
                  <w14:solidFill>
                    <w14:schemeClr w14:val="tx1"/>
                  </w14:solidFill>
                </w14:textFill>
              </w:rPr>
            </w:pPr>
          </w:p>
        </w:tc>
        <w:tc>
          <w:tcPr>
            <w:tcW w:w="1887" w:type="dxa"/>
            <w:tcBorders>
              <w:tl2br w:val="nil"/>
              <w:tr2bl w:val="nil"/>
            </w:tcBorders>
            <w:vAlign w:val="center"/>
          </w:tcPr>
          <w:p w14:paraId="0EC1E2D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w:t>
            </w:r>
          </w:p>
        </w:tc>
        <w:tc>
          <w:tcPr>
            <w:tcW w:w="1120" w:type="dxa"/>
            <w:tcBorders>
              <w:tl2br w:val="nil"/>
              <w:tr2bl w:val="nil"/>
            </w:tcBorders>
            <w:vAlign w:val="center"/>
          </w:tcPr>
          <w:p w14:paraId="37B2DD8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0.01</w:t>
            </w:r>
          </w:p>
        </w:tc>
        <w:tc>
          <w:tcPr>
            <w:tcW w:w="1599" w:type="dxa"/>
            <w:tcBorders>
              <w:tl2br w:val="nil"/>
              <w:tr2bl w:val="nil"/>
            </w:tcBorders>
            <w:vAlign w:val="center"/>
          </w:tcPr>
          <w:p w14:paraId="2888D9E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0.0002</w:t>
            </w:r>
          </w:p>
        </w:tc>
        <w:tc>
          <w:tcPr>
            <w:tcW w:w="1307" w:type="dxa"/>
            <w:tcBorders>
              <w:tl2br w:val="nil"/>
              <w:tr2bl w:val="nil"/>
            </w:tcBorders>
            <w:vAlign w:val="center"/>
          </w:tcPr>
          <w:p w14:paraId="2E7A1090">
            <w:pPr>
              <w:pStyle w:val="56"/>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w:t>
            </w:r>
          </w:p>
        </w:tc>
        <w:tc>
          <w:tcPr>
            <w:tcW w:w="875" w:type="dxa"/>
            <w:tcBorders>
              <w:tl2br w:val="nil"/>
              <w:tr2bl w:val="nil"/>
            </w:tcBorders>
            <w:vAlign w:val="center"/>
          </w:tcPr>
          <w:p w14:paraId="41EDC4A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w:t>
            </w:r>
          </w:p>
        </w:tc>
        <w:tc>
          <w:tcPr>
            <w:tcW w:w="843" w:type="dxa"/>
            <w:tcBorders>
              <w:tl2br w:val="nil"/>
              <w:tr2bl w:val="nil"/>
            </w:tcBorders>
            <w:vAlign w:val="center"/>
          </w:tcPr>
          <w:p w14:paraId="34367F3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r>
      <w:tr w14:paraId="36B3CC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0" w:type="dxa"/>
            <w:vMerge w:val="continue"/>
            <w:tcBorders>
              <w:tl2br w:val="nil"/>
              <w:tr2bl w:val="nil"/>
            </w:tcBorders>
            <w:vAlign w:val="center"/>
          </w:tcPr>
          <w:p w14:paraId="70354F11">
            <w:pPr>
              <w:pStyle w:val="56"/>
              <w:rPr>
                <w:rFonts w:ascii="Times New Roman" w:hAnsi="Times New Roman"/>
                <w:color w:val="000000" w:themeColor="text1"/>
                <w:szCs w:val="21"/>
                <w14:textFill>
                  <w14:solidFill>
                    <w14:schemeClr w14:val="tx1"/>
                  </w14:solidFill>
                </w14:textFill>
              </w:rPr>
            </w:pPr>
          </w:p>
        </w:tc>
        <w:tc>
          <w:tcPr>
            <w:tcW w:w="1887" w:type="dxa"/>
            <w:tcBorders>
              <w:tl2br w:val="nil"/>
              <w:tr2bl w:val="nil"/>
            </w:tcBorders>
            <w:vAlign w:val="center"/>
          </w:tcPr>
          <w:p w14:paraId="1EC0C52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TSP</w:t>
            </w:r>
          </w:p>
        </w:tc>
        <w:tc>
          <w:tcPr>
            <w:tcW w:w="1120" w:type="dxa"/>
            <w:tcBorders>
              <w:tl2br w:val="nil"/>
              <w:tr2bl w:val="nil"/>
            </w:tcBorders>
            <w:vAlign w:val="center"/>
          </w:tcPr>
          <w:p w14:paraId="21C2F66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w:t>
            </w:r>
          </w:p>
        </w:tc>
        <w:tc>
          <w:tcPr>
            <w:tcW w:w="1599" w:type="dxa"/>
            <w:tcBorders>
              <w:tl2br w:val="nil"/>
              <w:tr2bl w:val="nil"/>
            </w:tcBorders>
            <w:vAlign w:val="center"/>
          </w:tcPr>
          <w:p w14:paraId="55AACF8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0.073~0.087</w:t>
            </w:r>
          </w:p>
        </w:tc>
        <w:tc>
          <w:tcPr>
            <w:tcW w:w="1307" w:type="dxa"/>
            <w:tcBorders>
              <w:tl2br w:val="nil"/>
              <w:tr2bl w:val="nil"/>
            </w:tcBorders>
            <w:vAlign w:val="center"/>
          </w:tcPr>
          <w:p w14:paraId="7DFBC13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43.5</w:t>
            </w:r>
          </w:p>
        </w:tc>
        <w:tc>
          <w:tcPr>
            <w:tcW w:w="875" w:type="dxa"/>
            <w:tcBorders>
              <w:tl2br w:val="nil"/>
              <w:tr2bl w:val="nil"/>
            </w:tcBorders>
            <w:vAlign w:val="center"/>
          </w:tcPr>
          <w:p w14:paraId="2EBB3D1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w:t>
            </w:r>
          </w:p>
        </w:tc>
        <w:tc>
          <w:tcPr>
            <w:tcW w:w="843" w:type="dxa"/>
            <w:tcBorders>
              <w:tl2br w:val="nil"/>
              <w:tr2bl w:val="nil"/>
            </w:tcBorders>
            <w:vAlign w:val="center"/>
          </w:tcPr>
          <w:p w14:paraId="7FED0A4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r>
      <w:tr w14:paraId="69BE88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50" w:type="dxa"/>
            <w:vMerge w:val="continue"/>
            <w:tcBorders>
              <w:tl2br w:val="nil"/>
              <w:tr2bl w:val="nil"/>
            </w:tcBorders>
            <w:vAlign w:val="center"/>
          </w:tcPr>
          <w:p w14:paraId="310EAF14">
            <w:pPr>
              <w:pStyle w:val="56"/>
              <w:rPr>
                <w:rFonts w:ascii="Times New Roman" w:hAnsi="Times New Roman"/>
                <w:color w:val="000000" w:themeColor="text1"/>
                <w:szCs w:val="21"/>
                <w14:textFill>
                  <w14:solidFill>
                    <w14:schemeClr w14:val="tx1"/>
                  </w14:solidFill>
                </w14:textFill>
              </w:rPr>
            </w:pPr>
          </w:p>
        </w:tc>
        <w:tc>
          <w:tcPr>
            <w:tcW w:w="1887" w:type="dxa"/>
            <w:tcBorders>
              <w:tl2br w:val="nil"/>
              <w:tr2bl w:val="nil"/>
            </w:tcBorders>
            <w:vAlign w:val="center"/>
          </w:tcPr>
          <w:p w14:paraId="5DADF61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臭气浓度（无量纲）</w:t>
            </w:r>
          </w:p>
        </w:tc>
        <w:tc>
          <w:tcPr>
            <w:tcW w:w="1120" w:type="dxa"/>
            <w:tcBorders>
              <w:tl2br w:val="nil"/>
              <w:tr2bl w:val="nil"/>
            </w:tcBorders>
            <w:vAlign w:val="center"/>
          </w:tcPr>
          <w:p w14:paraId="4471421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40</w:t>
            </w:r>
          </w:p>
        </w:tc>
        <w:tc>
          <w:tcPr>
            <w:tcW w:w="1599" w:type="dxa"/>
            <w:tcBorders>
              <w:tl2br w:val="nil"/>
              <w:tr2bl w:val="nil"/>
            </w:tcBorders>
            <w:vAlign w:val="center"/>
          </w:tcPr>
          <w:p w14:paraId="226CCF7F">
            <w:pPr>
              <w:pStyle w:val="56"/>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&lt;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c>
          <w:tcPr>
            <w:tcW w:w="1307" w:type="dxa"/>
            <w:tcBorders>
              <w:tl2br w:val="nil"/>
              <w:tr2bl w:val="nil"/>
            </w:tcBorders>
            <w:vAlign w:val="center"/>
          </w:tcPr>
          <w:p w14:paraId="6C15954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12.5</w:t>
            </w:r>
          </w:p>
        </w:tc>
        <w:tc>
          <w:tcPr>
            <w:tcW w:w="875" w:type="dxa"/>
            <w:tcBorders>
              <w:tl2br w:val="nil"/>
              <w:tr2bl w:val="nil"/>
            </w:tcBorders>
            <w:vAlign w:val="center"/>
          </w:tcPr>
          <w:p w14:paraId="2A38B5A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w:t>
            </w:r>
          </w:p>
        </w:tc>
        <w:tc>
          <w:tcPr>
            <w:tcW w:w="843" w:type="dxa"/>
            <w:tcBorders>
              <w:tl2br w:val="nil"/>
              <w:tr2bl w:val="nil"/>
            </w:tcBorders>
            <w:vAlign w:val="center"/>
          </w:tcPr>
          <w:p w14:paraId="346E5CC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r>
    </w:tbl>
    <w:p w14:paraId="43354D70">
      <w:pPr>
        <w:ind w:firstLine="400"/>
        <w:rPr>
          <w:rFonts w:ascii="Times New Roman" w:hAnsi="Times New Roman" w:cs="Times New Roman"/>
          <w:color w:val="000000" w:themeColor="text1"/>
          <w:sz w:val="21"/>
          <w:szCs w:val="20"/>
          <w14:textFill>
            <w14:solidFill>
              <w14:schemeClr w14:val="tx1"/>
            </w14:solidFill>
          </w14:textFill>
        </w:rPr>
      </w:pPr>
      <w:r>
        <w:rPr>
          <w:rFonts w:ascii="Times New Roman" w:hAnsi="Times New Roman" w:cs="Times New Roman"/>
          <w:color w:val="000000" w:themeColor="text1"/>
          <w:sz w:val="20"/>
          <w:szCs w:val="18"/>
          <w14:textFill>
            <w14:solidFill>
              <w14:schemeClr w14:val="tx1"/>
            </w14:solidFill>
          </w14:textFill>
        </w:rPr>
        <w:t>注：低出方法检出限数据，以</w:t>
      </w:r>
      <w:r>
        <w:rPr>
          <w:rFonts w:hint="eastAsia" w:cs="Times New Roman"/>
          <w:color w:val="000000" w:themeColor="text1"/>
          <w:sz w:val="20"/>
          <w:szCs w:val="18"/>
          <w:lang w:eastAsia="zh-CN"/>
          <w14:textFill>
            <w14:solidFill>
              <w14:schemeClr w14:val="tx1"/>
            </w14:solidFill>
          </w14:textFill>
        </w:rPr>
        <w:t>〈</w:t>
      </w:r>
      <w:r>
        <w:rPr>
          <w:rFonts w:ascii="Times New Roman" w:hAnsi="Times New Roman" w:cs="Times New Roman"/>
          <w:color w:val="000000" w:themeColor="text1"/>
          <w:sz w:val="20"/>
          <w:szCs w:val="18"/>
          <w14:textFill>
            <w14:solidFill>
              <w14:schemeClr w14:val="tx1"/>
            </w14:solidFill>
          </w14:textFill>
        </w:rPr>
        <w:t>检出限表示，并按1/2最低检出限值进行统计计算。</w:t>
      </w:r>
    </w:p>
    <w:p w14:paraId="13A0BF8E">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从类比项目的监测结果来看，</w:t>
      </w:r>
      <w:r>
        <w:rPr>
          <w:rFonts w:ascii="Times New Roman" w:hAnsi="Times New Roman" w:cs="Times New Roman"/>
          <w:color w:val="000000" w:themeColor="text1"/>
          <w14:textFill>
            <w14:solidFill>
              <w14:schemeClr w14:val="tx1"/>
            </w14:solidFill>
          </w14:textFill>
        </w:rPr>
        <w:t>特征污染物TSP、H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、臭气浓度占标率均小于100%，说明各监测点环境空气质量较好，TSP满足《环境空气质量标准》（GB3095-2012）表2中二级标准，H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满足《环境影响评价技术导则 大气环境》（HJ2.2-2018）附录D中相应标准要求，臭气浓度满足《畜禽场环境质量标准》（NY/T388-1999）中相应标准要求。</w:t>
      </w:r>
    </w:p>
    <w:p w14:paraId="30F167A5">
      <w:pPr>
        <w:pStyle w:val="6"/>
        <w:numPr>
          <w:ilvl w:val="3"/>
          <w:numId w:val="1"/>
        </w:numPr>
        <w:ind w:leftChars="0"/>
        <w:rPr>
          <w:rFonts w:ascii="Times New Roman" w:hAnsi="Times New Roman" w:cs="Times New Roman"/>
          <w:snapToGrid w:val="0"/>
          <w:color w:val="000000" w:themeColor="text1"/>
          <w:lang w:val="zh-CN"/>
          <w14:textFill>
            <w14:solidFill>
              <w14:schemeClr w14:val="tx1"/>
            </w14:solidFill>
          </w14:textFill>
        </w:rPr>
      </w:pPr>
      <w:bookmarkStart w:id="145" w:name="_Hlk122024421"/>
      <w:bookmarkStart w:id="146" w:name="_Hlk122024035"/>
      <w:r>
        <w:rPr>
          <w:rFonts w:ascii="Times New Roman" w:hAnsi="Times New Roman" w:cs="Times New Roman"/>
          <w:snapToGrid w:val="0"/>
          <w:color w:val="000000" w:themeColor="text1"/>
          <w:lang w:val="zh-CN"/>
          <w14:textFill>
            <w14:solidFill>
              <w14:schemeClr w14:val="tx1"/>
            </w14:solidFill>
          </w14:textFill>
        </w:rPr>
        <w:t>环境空气</w:t>
      </w:r>
      <w:r>
        <w:rPr>
          <w:rFonts w:hint="eastAsia" w:cs="Times New Roman"/>
          <w:snapToGrid w:val="0"/>
          <w:color w:val="000000" w:themeColor="text1"/>
          <w:lang w:val="en-US" w:eastAsia="zh-CN"/>
          <w14:textFill>
            <w14:solidFill>
              <w14:schemeClr w14:val="tx1"/>
            </w14:solidFill>
          </w14:textFill>
        </w:rPr>
        <w:t>现状</w:t>
      </w:r>
      <w:r>
        <w:rPr>
          <w:rFonts w:ascii="Times New Roman" w:hAnsi="Times New Roman" w:cs="Times New Roman"/>
          <w:snapToGrid w:val="0"/>
          <w:color w:val="000000" w:themeColor="text1"/>
          <w:lang w:val="zh-CN"/>
          <w14:textFill>
            <w14:solidFill>
              <w14:schemeClr w14:val="tx1"/>
            </w14:solidFill>
          </w14:textFill>
        </w:rPr>
        <w:t>评价结论</w:t>
      </w:r>
      <w:bookmarkEnd w:id="145"/>
      <w:bookmarkEnd w:id="146"/>
    </w:p>
    <w:p w14:paraId="60BD5A0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Cs w:val="24"/>
          <w:lang w:val="zh-CN"/>
          <w14:textFill>
            <w14:solidFill>
              <w14:schemeClr w14:val="tx1"/>
            </w14:solidFill>
          </w14:textFill>
        </w:rPr>
        <w:t>（1）基本污</w:t>
      </w:r>
      <w:r>
        <w:rPr>
          <w:rFonts w:ascii="Times New Roman" w:hAnsi="Times New Roman" w:cs="Times New Roman"/>
          <w:color w:val="000000" w:themeColor="text1"/>
          <w14:textFill>
            <w14:solidFill>
              <w14:schemeClr w14:val="tx1"/>
            </w14:solidFill>
          </w14:textFill>
        </w:rPr>
        <w:t>染物</w:t>
      </w:r>
    </w:p>
    <w:p w14:paraId="60EA964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根据对基本污染物的年评价指标的分析结果，本项目所在区域NO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、CO、PM</w:t>
      </w:r>
      <w:r>
        <w:rPr>
          <w:rFonts w:ascii="Times New Roman" w:hAnsi="Times New Roman" w:cs="Times New Roman"/>
          <w:color w:val="000000" w:themeColor="text1"/>
          <w:vertAlign w:val="subscript"/>
          <w14:textFill>
            <w14:solidFill>
              <w14:schemeClr w14:val="tx1"/>
            </w14:solidFill>
          </w14:textFill>
        </w:rPr>
        <w:t>10</w:t>
      </w:r>
      <w:r>
        <w:rPr>
          <w:rFonts w:hint="eastAsia" w:ascii="Times New Roman" w:hAnsi="Times New Roman" w:cs="Times New Roman"/>
          <w:color w:val="000000" w:themeColor="text1"/>
          <w:vertAlign w:val="subscript"/>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及O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的评价指标</w:t>
      </w:r>
      <w:r>
        <w:rPr>
          <w:rFonts w:hint="eastAsia" w:ascii="Times New Roman" w:hAnsi="Times New Roman" w:cs="Times New Roman"/>
          <w:color w:val="000000" w:themeColor="text1"/>
          <w:lang w:val="en-US" w:eastAsia="zh-CN"/>
          <w14:textFill>
            <w14:solidFill>
              <w14:schemeClr w14:val="tx1"/>
            </w14:solidFill>
          </w14:textFill>
        </w:rPr>
        <w:t>均</w:t>
      </w:r>
      <w:r>
        <w:rPr>
          <w:rFonts w:ascii="Times New Roman" w:hAnsi="Times New Roman" w:cs="Times New Roman"/>
          <w:color w:val="000000" w:themeColor="text1"/>
          <w14:textFill>
            <w14:solidFill>
              <w14:schemeClr w14:val="tx1"/>
            </w14:solidFill>
          </w14:textFill>
        </w:rPr>
        <w:t>为达标，所以项目所在区域为达标区。</w:t>
      </w:r>
    </w:p>
    <w:p w14:paraId="0E296A4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（2）其他污染物</w:t>
      </w:r>
    </w:p>
    <w:p w14:paraId="344419A9">
      <w:pPr>
        <w:ind w:firstLine="480"/>
        <w:rPr>
          <w:rFonts w:ascii="Times New Roman" w:hAnsi="Times New Roman" w:cs="Times New Roman"/>
          <w:color w:val="FF0000"/>
          <w:szCs w:val="24"/>
        </w:rPr>
      </w:pPr>
      <w:r>
        <w:rPr>
          <w:rFonts w:ascii="Times New Roman" w:hAnsi="Times New Roman" w:cs="Times New Roman"/>
          <w:color w:val="000000" w:themeColor="text1"/>
          <w14:textFill>
            <w14:solidFill>
              <w14:schemeClr w14:val="tx1"/>
            </w14:solidFill>
          </w14:textFill>
        </w:rPr>
        <w:t>特征污染物TSP、H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、臭气浓度占标率均小于100%，说明各监测点环境空气质量较好，TSP满足《环境空气质量标准》（GB3095-2012）表2中二级标准，H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满足《环境影响评价技术导则 大气环境》（HJ2.2-2018）附录D中相应标准要求。臭气浓度满足《畜禽场环境质量标准》（NY/T388-1999）中相应标</w:t>
      </w:r>
      <w:r>
        <w:rPr>
          <w:rFonts w:ascii="Times New Roman" w:hAnsi="Times New Roman" w:eastAsia="宋体" w:cs="Times New Roman"/>
          <w:color w:val="000000" w:themeColor="text1"/>
          <w:szCs w:val="24"/>
          <w14:textFill>
            <w14:solidFill>
              <w14:schemeClr w14:val="tx1"/>
            </w14:solidFill>
          </w14:textFill>
        </w:rPr>
        <w:t>准要求。</w:t>
      </w:r>
    </w:p>
    <w:p w14:paraId="7AAA9BC3">
      <w:pPr>
        <w:pStyle w:val="5"/>
        <w:numPr>
          <w:ilvl w:val="2"/>
          <w:numId w:val="1"/>
        </w:numPr>
        <w:ind w:left="120"/>
        <w:rPr>
          <w:rFonts w:ascii="Times New Roman" w:hAnsi="Times New Roman" w:cs="Times New Roman"/>
          <w:color w:val="auto"/>
        </w:rPr>
      </w:pPr>
      <w:bookmarkStart w:id="147" w:name="_Toc16550"/>
      <w:r>
        <w:rPr>
          <w:rFonts w:ascii="Times New Roman" w:hAnsi="Times New Roman" w:cs="Times New Roman"/>
          <w:color w:val="auto"/>
        </w:rPr>
        <w:t>地表水环境现状调查与评价</w:t>
      </w:r>
      <w:bookmarkEnd w:id="147"/>
    </w:p>
    <w:p w14:paraId="354CDA26">
      <w:pPr>
        <w:ind w:firstLine="480"/>
        <w:rPr>
          <w:rFonts w:hint="default" w:ascii="Times New Roman" w:hAnsi="Times New Roman" w:cs="Times New Roman"/>
          <w:color w:val="auto"/>
          <w:lang w:val="en-US" w:eastAsia="zh-CN"/>
        </w:rPr>
      </w:pPr>
      <w:r>
        <w:rPr>
          <w:rFonts w:hint="eastAsia" w:cs="Times New Roman"/>
          <w:color w:val="auto"/>
          <w:lang w:val="en-US" w:eastAsia="zh-CN"/>
        </w:rPr>
        <w:t>本项目区域属于地表水环境质</w:t>
      </w:r>
      <w:r>
        <w:rPr>
          <w:rFonts w:hint="eastAsia" w:ascii="Times New Roman" w:hAnsi="Times New Roman" w:cs="Times New Roman"/>
          <w:color w:val="auto"/>
          <w:lang w:val="en-US" w:eastAsia="zh-CN"/>
        </w:rPr>
        <w:t>量Ⅲ类区，本项目建设区域距离最近地表水距离2.7公里，项目养殖废水治理后回用于绿化浇灌，生活污水抽排到污水处理厂处理，因此项目不向地表水体排放水污染物，不开展地表水环境影响评价。</w:t>
      </w:r>
    </w:p>
    <w:p w14:paraId="7E5DD19C">
      <w:pPr>
        <w:pStyle w:val="5"/>
        <w:numPr>
          <w:ilvl w:val="2"/>
          <w:numId w:val="1"/>
        </w:numPr>
        <w:ind w:left="120"/>
        <w:rPr>
          <w:rFonts w:ascii="Times New Roman" w:hAnsi="Times New Roman" w:cs="Times New Roman"/>
          <w:color w:val="auto"/>
        </w:rPr>
      </w:pPr>
      <w:bookmarkStart w:id="148" w:name="_Toc17252"/>
      <w:bookmarkStart w:id="149" w:name="_Toc490417106"/>
      <w:bookmarkStart w:id="150" w:name="_Toc483492031"/>
      <w:r>
        <w:rPr>
          <w:rFonts w:ascii="Times New Roman" w:hAnsi="Times New Roman" w:cs="Times New Roman"/>
          <w:color w:val="auto"/>
        </w:rPr>
        <w:t>地下水环境质量现状调查与评价</w:t>
      </w:r>
      <w:bookmarkEnd w:id="148"/>
      <w:bookmarkEnd w:id="149"/>
      <w:bookmarkEnd w:id="150"/>
    </w:p>
    <w:p w14:paraId="4FF2D1C7">
      <w:pPr>
        <w:ind w:firstLine="480"/>
        <w:rPr>
          <w:rFonts w:ascii="Times New Roman" w:hAnsi="Times New Roman" w:cs="Times New Roman"/>
          <w:color w:val="auto"/>
        </w:rPr>
      </w:pPr>
      <w:r>
        <w:rPr>
          <w:rFonts w:ascii="Times New Roman" w:hAnsi="Times New Roman" w:cs="Times New Roman"/>
          <w:color w:val="auto"/>
        </w:rPr>
        <w:t>根据《环境影响评价技术导则 地下水环境》（HJ610-2016），三级评价项目水质监测点应不少于3个。</w:t>
      </w:r>
    </w:p>
    <w:p w14:paraId="10E85D5F">
      <w:pPr>
        <w:ind w:firstLine="480"/>
        <w:rPr>
          <w:rFonts w:ascii="Times New Roman" w:hAnsi="Times New Roman" w:cs="Times New Roman"/>
          <w:color w:val="000000" w:themeColor="text1"/>
          <w14:textFill>
            <w14:solidFill>
              <w14:schemeClr w14:val="tx1"/>
            </w14:solidFill>
          </w14:textFill>
        </w:rPr>
      </w:pPr>
      <w:bookmarkStart w:id="151" w:name="_Toc7686"/>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监测布点</w:t>
      </w:r>
      <w:bookmarkEnd w:id="151"/>
    </w:p>
    <w:p w14:paraId="4EF17806">
      <w:pPr>
        <w:ind w:firstLine="480"/>
        <w:rPr>
          <w:rFonts w:ascii="Times New Roman" w:hAnsi="Times New Roman"/>
        </w:rPr>
      </w:pPr>
      <w:r>
        <w:rPr>
          <w:rFonts w:ascii="Times New Roman" w:hAnsi="Times New Roman" w:cs="Times New Roman"/>
          <w:color w:val="000000" w:themeColor="text1"/>
          <w14:textFill>
            <w14:solidFill>
              <w14:schemeClr w14:val="tx1"/>
            </w14:solidFill>
          </w14:textFill>
        </w:rPr>
        <w:t>本项目地下水监测采用控制性布点与功能性布点相结合的布设原则，并根据当地实际情况</w:t>
      </w:r>
      <w:r>
        <w:rPr>
          <w:rFonts w:hint="eastAsia" w:ascii="Times New Roman" w:hAnsi="Times New Roman" w:cs="Times New Roman"/>
          <w:color w:val="000000" w:themeColor="text1"/>
          <w:lang w:val="en-US" w:eastAsia="zh-CN"/>
          <w14:textFill>
            <w14:solidFill>
              <w14:schemeClr w14:val="tx1"/>
            </w14:solidFill>
          </w14:textFill>
        </w:rPr>
        <w:t>布设。</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根据调查本项目引用第四师地下水资源调查评价及地下水超采区划定报告中地下水水位图，63团6连地下水水位约10.8m（距离本项目区约3km），同时参考</w:t>
      </w:r>
      <w:r>
        <w:rPr>
          <w:rFonts w:hint="eastAsia" w:ascii="Times New Roman" w:hAnsi="Times New Roman" w:eastAsiaTheme="minorEastAsia" w:cstheme="minorEastAsia"/>
          <w:b w:val="0"/>
          <w:bCs w:val="0"/>
          <w:color w:val="000000" w:themeColor="text1"/>
          <w:sz w:val="24"/>
          <w:szCs w:val="24"/>
          <w:lang w:val="en-US" w:eastAsia="zh-CN"/>
          <w14:textFill>
            <w14:solidFill>
              <w14:schemeClr w14:val="tx1"/>
            </w14:solidFill>
          </w14:textFill>
        </w:rPr>
        <w:t>兵团水利局《关于2023年第一季度兵团辖区内地下水水位变化、地下水取水量情况的通报，第四师</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水位处于较2022年有所上升，因此本项目地下水水位情况基本清楚</w:t>
      </w:r>
      <w:r>
        <w:rPr>
          <w:rFonts w:hint="eastAsia" w:ascii="Times New Roman" w:hAnsi="Times New Roman" w:eastAsiaTheme="minorEastAsia" w:cstheme="minorEastAsia"/>
          <w:b w:val="0"/>
          <w:bCs w:val="0"/>
          <w:color w:val="000000" w:themeColor="text1"/>
          <w:sz w:val="24"/>
          <w:szCs w:val="24"/>
          <w:lang w:val="en-US" w:eastAsia="zh-CN"/>
          <w14:textFill>
            <w14:solidFill>
              <w14:schemeClr w14:val="tx1"/>
            </w14:solidFill>
          </w14:textFill>
        </w:rPr>
        <w:t>，没有</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再</w:t>
      </w:r>
      <w:r>
        <w:rPr>
          <w:rFonts w:hint="eastAsia" w:ascii="Times New Roman" w:hAnsi="Times New Roman" w:eastAsiaTheme="minorEastAsia" w:cstheme="minorEastAsia"/>
          <w:b w:val="0"/>
          <w:bCs w:val="0"/>
          <w:color w:val="000000" w:themeColor="text1"/>
          <w:sz w:val="24"/>
          <w:szCs w:val="24"/>
          <w:lang w:val="en-US" w:eastAsia="zh-CN"/>
          <w14:textFill>
            <w14:solidFill>
              <w14:schemeClr w14:val="tx1"/>
            </w14:solidFill>
          </w14:textFill>
        </w:rPr>
        <w:t>进行地下水水位现状监测</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。本项目</w:t>
      </w:r>
      <w:r>
        <w:rPr>
          <w:rFonts w:hint="eastAsia" w:cstheme="minorEastAsia"/>
          <w:b w:val="0"/>
          <w:bCs w:val="0"/>
          <w:color w:val="000000" w:themeColor="text1"/>
          <w:sz w:val="24"/>
          <w:szCs w:val="24"/>
          <w:lang w:val="en-US" w:eastAsia="zh-CN"/>
          <w14:textFill>
            <w14:solidFill>
              <w14:schemeClr w14:val="tx1"/>
            </w14:solidFill>
          </w14:textFill>
        </w:rPr>
        <w:t>引用</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地下水水质监测</w:t>
      </w:r>
      <w:r>
        <w:rPr>
          <w:rFonts w:hint="eastAsia" w:cstheme="minorEastAsia"/>
          <w:b w:val="0"/>
          <w:bCs w:val="0"/>
          <w:color w:val="000000" w:themeColor="text1"/>
          <w:sz w:val="24"/>
          <w:szCs w:val="24"/>
          <w:lang w:val="en-US" w:eastAsia="zh-CN"/>
          <w14:textFill>
            <w14:solidFill>
              <w14:schemeClr w14:val="tx1"/>
            </w14:solidFill>
          </w14:textFill>
        </w:rPr>
        <w:t>资料点位</w:t>
      </w:r>
      <w:r>
        <w:rPr>
          <w:rFonts w:hint="eastAsia" w:ascii="Times New Roman" w:hAnsi="Times New Roman" w:cstheme="minorEastAsia"/>
          <w:b w:val="0"/>
          <w:bCs w:val="0"/>
          <w:color w:val="000000" w:themeColor="text1"/>
          <w:sz w:val="24"/>
          <w:szCs w:val="24"/>
          <w:lang w:val="en-US" w:eastAsia="zh-CN"/>
          <w14:textFill>
            <w14:solidFill>
              <w14:schemeClr w14:val="tx1"/>
            </w14:solidFill>
          </w14:textFill>
        </w:rPr>
        <w:t>布设如下：</w:t>
      </w:r>
      <w:r>
        <w:rPr>
          <w:rFonts w:hint="eastAsia" w:ascii="Times New Roman" w:hAnsi="Times New Roman" w:cs="Times New Roman"/>
          <w:color w:val="000000" w:themeColor="text1"/>
          <w:lang w:val="en-US" w:eastAsia="zh-CN"/>
          <w14:textFill>
            <w14:solidFill>
              <w14:schemeClr w14:val="tx1"/>
            </w14:solidFill>
          </w14:textFill>
        </w:rPr>
        <w:t>6连</w:t>
      </w:r>
      <w:r>
        <w:rPr>
          <w:rFonts w:hint="eastAsia" w:cs="Times New Roman"/>
          <w:color w:val="000000" w:themeColor="text1"/>
          <w:lang w:val="en-US" w:eastAsia="zh-CN"/>
          <w14:textFill>
            <w14:solidFill>
              <w14:schemeClr w14:val="tx1"/>
            </w14:solidFill>
          </w14:textFill>
        </w:rPr>
        <w:t>东北侧上游水井</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（团场6连人饮4号井）</w:t>
      </w:r>
      <w:r>
        <w:rPr>
          <w:rFonts w:hint="eastAsia" w:cs="Times New Roman"/>
          <w:color w:val="000000" w:themeColor="text1"/>
          <w:lang w:val="en-US" w:eastAsia="zh-CN"/>
          <w14:textFill>
            <w14:solidFill>
              <w14:schemeClr w14:val="tx1"/>
            </w14:solidFill>
          </w14:textFill>
        </w:rPr>
        <w:t>、项目区东侧</w:t>
      </w:r>
      <w:r>
        <w:rPr>
          <w:rFonts w:hint="eastAsia" w:ascii="Times New Roman" w:hAnsi="Times New Roman" w:cs="Times New Roman"/>
          <w:color w:val="000000" w:themeColor="text1"/>
          <w:lang w:val="en-US" w:eastAsia="zh-CN"/>
          <w14:textFill>
            <w14:solidFill>
              <w14:schemeClr w14:val="tx1"/>
            </w14:solidFill>
          </w14:textFill>
        </w:rPr>
        <w:t>6连</w:t>
      </w:r>
      <w:r>
        <w:rPr>
          <w:rFonts w:hint="eastAsia" w:cs="Times New Roman"/>
          <w:color w:val="000000" w:themeColor="text1"/>
          <w:lang w:val="en-US" w:eastAsia="zh-CN"/>
          <w14:textFill>
            <w14:solidFill>
              <w14:schemeClr w14:val="tx1"/>
            </w14:solidFill>
          </w14:textFill>
        </w:rPr>
        <w:t>水井、项目区东南侧13连水井</w:t>
      </w:r>
      <w:r>
        <w:rPr>
          <w:rFonts w:ascii="Times New Roman" w:hAnsi="Times New Roman" w:cs="Times New Roman"/>
          <w:color w:val="000000" w:themeColor="text1"/>
          <w14:textFill>
            <w14:solidFill>
              <w14:schemeClr w14:val="tx1"/>
            </w14:solidFill>
          </w14:textFill>
        </w:rPr>
        <w:t>。具体位置详见表</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w:t>
      </w:r>
    </w:p>
    <w:p w14:paraId="0F1EFB53">
      <w:pPr>
        <w:ind w:firstLine="0" w:firstLineChars="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w:t>
      </w:r>
      <w:r>
        <w:rPr>
          <w:rFonts w:hint="eastAsia" w:cs="Times New Roman"/>
          <w:b/>
          <w:bCs/>
          <w:color w:val="000000" w:themeColor="text1"/>
          <w:lang w:val="en-US" w:eastAsia="zh-CN"/>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.2-</w:t>
      </w:r>
      <w:r>
        <w:rPr>
          <w:rFonts w:hint="eastAsia" w:cs="Times New Roman"/>
          <w:b/>
          <w:bCs/>
          <w:color w:val="000000" w:themeColor="text1"/>
          <w:lang w:val="en-US" w:eastAsia="zh-CN"/>
          <w14:textFill>
            <w14:solidFill>
              <w14:schemeClr w14:val="tx1"/>
            </w14:solidFill>
          </w14:textFill>
        </w:rPr>
        <w:t>9</w:t>
      </w:r>
      <w:r>
        <w:rPr>
          <w:rFonts w:ascii="Times New Roman" w:hAnsi="Times New Roman" w:cs="Times New Roman"/>
          <w:b/>
          <w:bCs/>
          <w:color w:val="000000" w:themeColor="text1"/>
          <w14:textFill>
            <w14:solidFill>
              <w14:schemeClr w14:val="tx1"/>
            </w14:solidFill>
          </w14:textFill>
        </w:rPr>
        <w:t xml:space="preserve">    地下水环境质量现状监测布点一览表</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52"/>
        <w:gridCol w:w="1155"/>
        <w:gridCol w:w="1725"/>
        <w:gridCol w:w="2276"/>
        <w:gridCol w:w="3131"/>
      </w:tblGrid>
      <w:tr w14:paraId="0A4B3A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449EF88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bookmarkStart w:id="152" w:name="_Toc12157"/>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点位编号</w:t>
            </w:r>
          </w:p>
        </w:tc>
        <w:tc>
          <w:tcPr>
            <w:tcW w:w="653" w:type="pct"/>
            <w:tcBorders>
              <w:tl2br w:val="nil"/>
              <w:tr2bl w:val="nil"/>
            </w:tcBorders>
            <w:vAlign w:val="center"/>
          </w:tcPr>
          <w:p w14:paraId="54ABE331">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监测点位置</w:t>
            </w:r>
          </w:p>
        </w:tc>
        <w:tc>
          <w:tcPr>
            <w:tcW w:w="975" w:type="pct"/>
            <w:tcBorders>
              <w:tl2br w:val="nil"/>
              <w:tr2bl w:val="nil"/>
            </w:tcBorders>
            <w:vAlign w:val="center"/>
          </w:tcPr>
          <w:p w14:paraId="0B60D2A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距离项目区</w:t>
            </w:r>
          </w:p>
        </w:tc>
        <w:tc>
          <w:tcPr>
            <w:tcW w:w="1287" w:type="pct"/>
            <w:tcBorders>
              <w:tl2br w:val="nil"/>
              <w:tr2bl w:val="nil"/>
            </w:tcBorders>
            <w:vAlign w:val="center"/>
          </w:tcPr>
          <w:p w14:paraId="66FADF7C">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监测因子</w:t>
            </w:r>
          </w:p>
        </w:tc>
        <w:tc>
          <w:tcPr>
            <w:tcW w:w="1770" w:type="pct"/>
            <w:tcBorders>
              <w:tl2br w:val="nil"/>
              <w:tr2bl w:val="nil"/>
            </w:tcBorders>
            <w:vAlign w:val="center"/>
          </w:tcPr>
          <w:p w14:paraId="642A6FED">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监测点坐标</w:t>
            </w:r>
          </w:p>
        </w:tc>
      </w:tr>
      <w:tr w14:paraId="3B3DEA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3DD57A33">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w:t>
            </w:r>
          </w:p>
        </w:tc>
        <w:tc>
          <w:tcPr>
            <w:tcW w:w="653" w:type="pct"/>
            <w:tcBorders>
              <w:tl2br w:val="nil"/>
              <w:tr2bl w:val="nil"/>
            </w:tcBorders>
            <w:vAlign w:val="center"/>
          </w:tcPr>
          <w:p w14:paraId="6EDFCA2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东侧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w:t>
            </w:r>
            <w:r>
              <w:rPr>
                <w:rFonts w:hint="eastAsia" w:cs="Times New Roman"/>
                <w:bCs/>
                <w:color w:val="000000" w:themeColor="text1"/>
                <w:kern w:val="2"/>
                <w:sz w:val="21"/>
                <w:szCs w:val="21"/>
                <w:highlight w:val="none"/>
                <w:lang w:val="en-US" w:eastAsia="zh-CN" w:bidi="ar-SA"/>
                <w14:textFill>
                  <w14:solidFill>
                    <w14:schemeClr w14:val="tx1"/>
                  </w14:solidFill>
                </w14:textFill>
              </w:rPr>
              <w:t>水井</w:t>
            </w:r>
          </w:p>
        </w:tc>
        <w:tc>
          <w:tcPr>
            <w:tcW w:w="975" w:type="pct"/>
            <w:tcBorders>
              <w:tl2br w:val="nil"/>
              <w:tr2bl w:val="nil"/>
            </w:tcBorders>
            <w:vAlign w:val="center"/>
          </w:tcPr>
          <w:p w14:paraId="58DE03B0">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2.9公里</w:t>
            </w:r>
          </w:p>
        </w:tc>
        <w:tc>
          <w:tcPr>
            <w:tcW w:w="1287" w:type="pct"/>
            <w:vMerge w:val="restart"/>
            <w:tcBorders>
              <w:tl2br w:val="nil"/>
              <w:tr2bl w:val="nil"/>
            </w:tcBorders>
            <w:vAlign w:val="center"/>
          </w:tcPr>
          <w:p w14:paraId="30387171">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pH值、</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水温、</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氨氮、硝酸盐氮、亚硝酸盐氮、挥发酚、氰化物、砷、汞、六价铬、总硬度、铅、氟、镉、铁、锰、溶解性总固体、高锰酸盐指数、硫酸盐、氯化物、总大肠菌群、细菌总数、</w:t>
            </w:r>
            <w:r>
              <w:rPr>
                <w:rFonts w:hint="eastAsia" w:ascii="Times New Roman" w:hAnsi="Times New Roman" w:cs="Times New Roman"/>
                <w:bCs/>
                <w:color w:val="auto"/>
                <w:kern w:val="2"/>
                <w:sz w:val="21"/>
                <w:szCs w:val="21"/>
                <w:highlight w:val="none"/>
                <w:lang w:val="en-US" w:eastAsia="zh-CN" w:bidi="ar-SA"/>
              </w:rPr>
              <w:t>重碳酸根、碳酸根</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-共2</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项</w:t>
            </w:r>
          </w:p>
        </w:tc>
        <w:tc>
          <w:tcPr>
            <w:tcW w:w="1770" w:type="pct"/>
            <w:tcBorders>
              <w:tl2br w:val="nil"/>
              <w:tr2bl w:val="nil"/>
            </w:tcBorders>
            <w:vAlign w:val="center"/>
          </w:tcPr>
          <w:p w14:paraId="3CBA50CA">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auto"/>
                <w:kern w:val="2"/>
                <w:sz w:val="21"/>
                <w:szCs w:val="21"/>
                <w:highlight w:val="none"/>
                <w:lang w:val="en-US" w:eastAsia="zh-CN" w:bidi="ar-SA"/>
              </w:rPr>
              <w:t>80</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34</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26</w:t>
            </w:r>
            <w:r>
              <w:rPr>
                <w:rFonts w:hint="default" w:ascii="Times New Roman" w:hAnsi="Times New Roman" w:cs="Times New Roman"/>
                <w:bCs/>
                <w:color w:val="auto"/>
                <w:kern w:val="2"/>
                <w:sz w:val="21"/>
                <w:szCs w:val="21"/>
                <w:highlight w:val="none"/>
                <w:lang w:val="en-US" w:eastAsia="zh-CN" w:bidi="ar-SA"/>
              </w:rPr>
              <w:t>″</w:t>
            </w:r>
            <w:r>
              <w:rPr>
                <w:rFonts w:hint="eastAsia"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43</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56</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4</w:t>
            </w:r>
            <w:r>
              <w:rPr>
                <w:rFonts w:hint="default" w:ascii="Times New Roman" w:hAnsi="Times New Roman" w:cs="Times New Roman"/>
                <w:bCs/>
                <w:color w:val="auto"/>
                <w:kern w:val="2"/>
                <w:sz w:val="21"/>
                <w:szCs w:val="21"/>
                <w:highlight w:val="none"/>
                <w:lang w:val="en-US" w:eastAsia="zh-CN" w:bidi="ar-SA"/>
              </w:rPr>
              <w:t>″</w:t>
            </w:r>
          </w:p>
        </w:tc>
      </w:tr>
      <w:tr w14:paraId="29E2B3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1BCB2ECB">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w:t>
            </w:r>
          </w:p>
        </w:tc>
        <w:tc>
          <w:tcPr>
            <w:tcW w:w="653" w:type="pct"/>
            <w:tcBorders>
              <w:tl2br w:val="nil"/>
              <w:tr2bl w:val="nil"/>
            </w:tcBorders>
            <w:vAlign w:val="center"/>
          </w:tcPr>
          <w:p w14:paraId="483CB794">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东北侧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w:t>
            </w:r>
            <w:r>
              <w:rPr>
                <w:rFonts w:hint="eastAsia" w:cs="Times New Roman"/>
                <w:bCs/>
                <w:color w:val="000000" w:themeColor="text1"/>
                <w:kern w:val="2"/>
                <w:sz w:val="21"/>
                <w:szCs w:val="21"/>
                <w:highlight w:val="none"/>
                <w:lang w:val="en-US" w:eastAsia="zh-CN" w:bidi="ar-SA"/>
                <w14:textFill>
                  <w14:solidFill>
                    <w14:schemeClr w14:val="tx1"/>
                  </w14:solidFill>
                </w14:textFill>
              </w:rPr>
              <w:t>水井</w:t>
            </w:r>
          </w:p>
        </w:tc>
        <w:tc>
          <w:tcPr>
            <w:tcW w:w="975" w:type="pct"/>
            <w:tcBorders>
              <w:tl2br w:val="nil"/>
              <w:tr2bl w:val="nil"/>
            </w:tcBorders>
            <w:vAlign w:val="center"/>
          </w:tcPr>
          <w:p w14:paraId="5A07ECA0">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2.9</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km（团场6连人饮4号井）</w:t>
            </w:r>
          </w:p>
        </w:tc>
        <w:tc>
          <w:tcPr>
            <w:tcW w:w="1287" w:type="pct"/>
            <w:vMerge w:val="continue"/>
            <w:tcBorders>
              <w:tl2br w:val="nil"/>
              <w:tr2bl w:val="nil"/>
            </w:tcBorders>
            <w:vAlign w:val="center"/>
          </w:tcPr>
          <w:p w14:paraId="19123A7F">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p>
        </w:tc>
        <w:tc>
          <w:tcPr>
            <w:tcW w:w="1770" w:type="pct"/>
            <w:tcBorders>
              <w:tl2br w:val="nil"/>
              <w:tr2bl w:val="nil"/>
            </w:tcBorders>
            <w:vAlign w:val="center"/>
          </w:tcPr>
          <w:p w14:paraId="6F594963">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80°3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43°5</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250DB2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312" w:type="pct"/>
            <w:tcBorders>
              <w:tl2br w:val="nil"/>
              <w:tr2bl w:val="nil"/>
            </w:tcBorders>
            <w:vAlign w:val="center"/>
          </w:tcPr>
          <w:p w14:paraId="06DFCAD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3</w:t>
            </w:r>
          </w:p>
        </w:tc>
        <w:tc>
          <w:tcPr>
            <w:tcW w:w="653" w:type="pct"/>
            <w:tcBorders>
              <w:tl2br w:val="nil"/>
              <w:tr2bl w:val="nil"/>
            </w:tcBorders>
            <w:vAlign w:val="center"/>
          </w:tcPr>
          <w:p w14:paraId="2DB5C1F1">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东南侧13连水井</w:t>
            </w:r>
          </w:p>
        </w:tc>
        <w:tc>
          <w:tcPr>
            <w:tcW w:w="975" w:type="pct"/>
            <w:tcBorders>
              <w:tl2br w:val="nil"/>
              <w:tr2bl w:val="nil"/>
            </w:tcBorders>
            <w:vAlign w:val="center"/>
          </w:tcPr>
          <w:p w14:paraId="2F5CDEB9">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2.8km（</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团场13连31号井）</w:t>
            </w:r>
          </w:p>
        </w:tc>
        <w:tc>
          <w:tcPr>
            <w:tcW w:w="1287" w:type="pct"/>
            <w:vMerge w:val="continue"/>
            <w:tcBorders>
              <w:tl2br w:val="nil"/>
              <w:tr2bl w:val="nil"/>
            </w:tcBorders>
            <w:vAlign w:val="center"/>
          </w:tcPr>
          <w:p w14:paraId="0B9F21E5">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p>
        </w:tc>
        <w:tc>
          <w:tcPr>
            <w:tcW w:w="1770" w:type="pct"/>
            <w:tcBorders>
              <w:tl2br w:val="nil"/>
              <w:tr2bl w:val="nil"/>
            </w:tcBorders>
            <w:vAlign w:val="center"/>
          </w:tcPr>
          <w:p w14:paraId="4A826B26">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auto"/>
                <w:kern w:val="2"/>
                <w:sz w:val="21"/>
                <w:szCs w:val="21"/>
                <w:highlight w:val="none"/>
                <w:lang w:val="en-US" w:eastAsia="zh-CN" w:bidi="ar-SA"/>
              </w:rPr>
              <w:t>80</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34</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34</w:t>
            </w:r>
            <w:r>
              <w:rPr>
                <w:rFonts w:hint="default" w:ascii="Times New Roman" w:hAnsi="Times New Roman" w:cs="Times New Roman"/>
                <w:bCs/>
                <w:color w:val="auto"/>
                <w:kern w:val="2"/>
                <w:sz w:val="21"/>
                <w:szCs w:val="21"/>
                <w:highlight w:val="none"/>
                <w:lang w:val="en-US" w:eastAsia="zh-CN" w:bidi="ar-SA"/>
              </w:rPr>
              <w:t>″</w:t>
            </w:r>
            <w:r>
              <w:rPr>
                <w:rFonts w:hint="eastAsia"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43</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54</w:t>
            </w:r>
            <w:r>
              <w:rPr>
                <w:rFonts w:hint="default" w:ascii="Times New Roman" w:hAnsi="Times New Roman" w:cs="Times New Roman"/>
                <w:bCs/>
                <w:color w:val="auto"/>
                <w:kern w:val="2"/>
                <w:sz w:val="21"/>
                <w:szCs w:val="21"/>
                <w:highlight w:val="none"/>
                <w:lang w:val="en-US" w:eastAsia="zh-CN" w:bidi="ar-SA"/>
              </w:rPr>
              <w:t>′</w:t>
            </w:r>
            <w:r>
              <w:rPr>
                <w:rFonts w:hint="eastAsia" w:ascii="Times New Roman" w:hAnsi="Times New Roman" w:cs="Times New Roman"/>
                <w:bCs/>
                <w:color w:val="auto"/>
                <w:kern w:val="2"/>
                <w:sz w:val="21"/>
                <w:szCs w:val="21"/>
                <w:highlight w:val="none"/>
                <w:lang w:val="en-US" w:eastAsia="zh-CN" w:bidi="ar-SA"/>
              </w:rPr>
              <w:t>54</w:t>
            </w:r>
            <w:r>
              <w:rPr>
                <w:rFonts w:hint="default" w:ascii="Times New Roman" w:hAnsi="Times New Roman" w:cs="Times New Roman"/>
                <w:bCs/>
                <w:color w:val="auto"/>
                <w:kern w:val="2"/>
                <w:sz w:val="21"/>
                <w:szCs w:val="21"/>
                <w:highlight w:val="none"/>
                <w:lang w:val="en-US" w:eastAsia="zh-CN" w:bidi="ar-SA"/>
              </w:rPr>
              <w:t>″</w:t>
            </w:r>
          </w:p>
        </w:tc>
      </w:tr>
    </w:tbl>
    <w:p w14:paraId="03CCCB8F">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监测项目</w:t>
      </w:r>
      <w:bookmarkEnd w:id="152"/>
    </w:p>
    <w:p w14:paraId="1F728B38">
      <w:pPr>
        <w:ind w:firstLine="480"/>
        <w:rPr>
          <w:rFonts w:ascii="Times New Roman" w:hAnsi="Times New Roman" w:cs="Times New Roman"/>
          <w:color w:val="auto"/>
        </w:rPr>
      </w:pPr>
      <w:r>
        <w:rPr>
          <w:rFonts w:hint="default" w:ascii="Times New Roman" w:hAnsi="Times New Roman" w:cs="Times New Roman"/>
          <w:color w:val="auto"/>
          <w:lang w:val="en-US" w:eastAsia="zh-CN"/>
        </w:rPr>
        <w:t>pH值、</w:t>
      </w:r>
      <w:r>
        <w:rPr>
          <w:rFonts w:hint="eastAsia" w:ascii="Times New Roman" w:hAnsi="Times New Roman" w:cs="Times New Roman"/>
          <w:color w:val="auto"/>
          <w:lang w:val="en-US" w:eastAsia="zh-CN"/>
        </w:rPr>
        <w:t>水温、</w:t>
      </w:r>
      <w:r>
        <w:rPr>
          <w:rFonts w:hint="default" w:ascii="Times New Roman" w:hAnsi="Times New Roman" w:cs="Times New Roman"/>
          <w:color w:val="auto"/>
          <w:lang w:val="en-US" w:eastAsia="zh-CN"/>
        </w:rPr>
        <w:t>氨氮、硝酸盐氮、亚硝酸盐氮、挥发酚、氰化物、砷、汞、六价铬、总硬度、铅、氟、镉、铁、锰、溶解性总固体、高锰酸盐指数、硫酸盐、氯化物、总大肠菌群、细菌总数、</w:t>
      </w:r>
      <w:r>
        <w:rPr>
          <w:rFonts w:hint="eastAsia" w:ascii="Times New Roman" w:hAnsi="Times New Roman" w:cs="Times New Roman"/>
          <w:color w:val="auto"/>
          <w:lang w:val="en-US" w:eastAsia="zh-CN"/>
        </w:rPr>
        <w:t>重碳酸根、碳酸根</w:t>
      </w:r>
      <w:r>
        <w:rPr>
          <w:rFonts w:hint="default" w:ascii="Times New Roman" w:hAnsi="Times New Roman" w:cs="Times New Roman"/>
          <w:color w:val="auto"/>
          <w:lang w:val="en-US" w:eastAsia="zh-CN"/>
        </w:rPr>
        <w:t>共2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项</w:t>
      </w:r>
      <w:r>
        <w:rPr>
          <w:rFonts w:ascii="Times New Roman" w:hAnsi="Times New Roman" w:cs="Times New Roman"/>
          <w:color w:val="auto"/>
        </w:rPr>
        <w:t>。</w:t>
      </w:r>
    </w:p>
    <w:p w14:paraId="613BE196">
      <w:pPr>
        <w:ind w:firstLine="480"/>
        <w:rPr>
          <w:rFonts w:ascii="Times New Roman" w:hAnsi="Times New Roman" w:cs="Times New Roman"/>
          <w:color w:val="auto"/>
        </w:rPr>
      </w:pPr>
      <w:bookmarkStart w:id="153" w:name="_Toc29876"/>
      <w:r>
        <w:rPr>
          <w:rFonts w:hint="eastAsia" w:cs="Times New Roman"/>
          <w:color w:val="auto"/>
          <w:lang w:eastAsia="zh-CN"/>
        </w:rPr>
        <w:t>3.</w:t>
      </w:r>
      <w:r>
        <w:rPr>
          <w:rFonts w:ascii="Times New Roman" w:hAnsi="Times New Roman" w:cs="Times New Roman"/>
          <w:color w:val="auto"/>
        </w:rPr>
        <w:t>监测时间及频率</w:t>
      </w:r>
      <w:bookmarkEnd w:id="153"/>
    </w:p>
    <w:p w14:paraId="768DDD28">
      <w:pPr>
        <w:ind w:firstLine="480"/>
        <w:rPr>
          <w:rFonts w:ascii="Times New Roman" w:hAnsi="Times New Roman" w:cs="Times New Roman"/>
          <w:color w:val="auto"/>
        </w:rPr>
      </w:pPr>
      <w:r>
        <w:rPr>
          <w:rFonts w:ascii="Times New Roman" w:hAnsi="Times New Roman" w:cs="Times New Roman"/>
          <w:color w:val="auto"/>
        </w:rPr>
        <w:t>监测时间为202</w:t>
      </w:r>
      <w:r>
        <w:rPr>
          <w:rFonts w:hint="eastAsia" w:ascii="Times New Roman" w:hAnsi="Times New Roman" w:cs="Times New Roman"/>
          <w:color w:val="auto"/>
          <w:lang w:val="en-US" w:eastAsia="zh-CN"/>
        </w:rPr>
        <w:t>4</w:t>
      </w:r>
      <w:r>
        <w:rPr>
          <w:rFonts w:ascii="Times New Roman" w:hAnsi="Times New Roman" w:cs="Times New Roman"/>
          <w:color w:val="auto"/>
        </w:rPr>
        <w:t>年</w:t>
      </w:r>
      <w:r>
        <w:rPr>
          <w:rFonts w:hint="eastAsia" w:ascii="Times New Roman" w:hAnsi="Times New Roman" w:cs="Times New Roman"/>
          <w:color w:val="auto"/>
          <w:lang w:val="en-US" w:eastAsia="zh-CN"/>
        </w:rPr>
        <w:t>10</w:t>
      </w:r>
      <w:r>
        <w:rPr>
          <w:rFonts w:ascii="Times New Roman" w:hAnsi="Times New Roman" w:cs="Times New Roman"/>
          <w:color w:val="auto"/>
        </w:rPr>
        <w:t>月</w:t>
      </w:r>
      <w:r>
        <w:rPr>
          <w:rFonts w:hint="eastAsia" w:ascii="Times New Roman" w:hAnsi="Times New Roman" w:cs="Times New Roman"/>
          <w:color w:val="auto"/>
          <w:lang w:val="en-US" w:eastAsia="zh-CN"/>
        </w:rPr>
        <w:t>21</w:t>
      </w:r>
      <w:r>
        <w:rPr>
          <w:rFonts w:ascii="Times New Roman" w:hAnsi="Times New Roman" w:cs="Times New Roman"/>
          <w:color w:val="auto"/>
        </w:rPr>
        <w:t>日，监测一天，取样一次。</w:t>
      </w:r>
    </w:p>
    <w:p w14:paraId="6BE2C3B3">
      <w:pPr>
        <w:ind w:firstLine="480"/>
        <w:rPr>
          <w:rFonts w:ascii="Times New Roman" w:hAnsi="Times New Roman" w:cs="Times New Roman"/>
          <w:color w:val="auto"/>
        </w:rPr>
      </w:pPr>
      <w:bookmarkStart w:id="154" w:name="_Toc24361"/>
      <w:r>
        <w:rPr>
          <w:rFonts w:hint="eastAsia" w:cs="Times New Roman"/>
          <w:color w:val="auto"/>
          <w:lang w:eastAsia="zh-CN"/>
        </w:rPr>
        <w:t>4.</w:t>
      </w:r>
      <w:r>
        <w:rPr>
          <w:rFonts w:ascii="Times New Roman" w:hAnsi="Times New Roman" w:cs="Times New Roman"/>
          <w:color w:val="auto"/>
        </w:rPr>
        <w:t>监测分析方法</w:t>
      </w:r>
      <w:bookmarkEnd w:id="154"/>
    </w:p>
    <w:p w14:paraId="7CC36BA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本次环评水质现状监测项目及分析方法依照国家环保局颁布的《环境水质监测质量保证手册》与《水和废水监测分析方法》的规定进行。</w:t>
      </w:r>
    </w:p>
    <w:p w14:paraId="2F0AEE8C">
      <w:pPr>
        <w:ind w:firstLine="480"/>
        <w:rPr>
          <w:rFonts w:ascii="Times New Roman" w:hAnsi="Times New Roman" w:cs="Times New Roman"/>
          <w:bCs/>
          <w:color w:val="000000" w:themeColor="text1"/>
          <w14:textFill>
            <w14:solidFill>
              <w14:schemeClr w14:val="tx1"/>
            </w14:solidFill>
          </w14:textFill>
        </w:rPr>
      </w:pPr>
      <w:bookmarkStart w:id="155" w:name="_Toc15535"/>
      <w:r>
        <w:rPr>
          <w:rFonts w:hint="eastAsia" w:cs="Times New Roman"/>
          <w:color w:val="000000" w:themeColor="text1"/>
          <w:lang w:eastAsia="zh-CN"/>
          <w14:textFill>
            <w14:solidFill>
              <w14:schemeClr w14:val="tx1"/>
            </w14:solidFill>
          </w14:textFill>
        </w:rPr>
        <w:t>5.</w:t>
      </w:r>
      <w:r>
        <w:rPr>
          <w:rFonts w:ascii="Times New Roman" w:hAnsi="Times New Roman" w:cs="Times New Roman"/>
          <w:bCs/>
          <w:color w:val="000000" w:themeColor="text1"/>
          <w14:textFill>
            <w14:solidFill>
              <w14:schemeClr w14:val="tx1"/>
            </w14:solidFill>
          </w14:textFill>
        </w:rPr>
        <w:t>评价方法</w:t>
      </w:r>
      <w:bookmarkEnd w:id="155"/>
    </w:p>
    <w:p w14:paraId="6986D6EF">
      <w:pPr>
        <w:spacing w:line="520" w:lineRule="exact"/>
        <w:ind w:firstLine="480"/>
        <w:rPr>
          <w:rFonts w:ascii="Times New Roman" w:hAnsi="Times New Roman" w:cs="Times New Roman"/>
          <w:color w:val="000000" w:themeColor="text1"/>
          <w:kern w:val="24"/>
          <w:szCs w:val="24"/>
          <w14:textFill>
            <w14:solidFill>
              <w14:schemeClr w14:val="tx1"/>
            </w14:solidFill>
          </w14:textFill>
        </w:rPr>
      </w:pPr>
      <w:r>
        <w:rPr>
          <w:rFonts w:ascii="Times New Roman" w:hAnsi="Times New Roman" w:eastAsia="宋体" w:cs="Times New Roman"/>
          <w:color w:val="000000" w:themeColor="text1"/>
          <w:kern w:val="24"/>
          <w:szCs w:val="24"/>
          <w14:textFill>
            <w14:solidFill>
              <w14:schemeClr w14:val="tx1"/>
            </w14:solidFill>
          </w14:textFill>
        </w:rPr>
        <w:t>采用单项水质参数评价方法的标准指数法：</w:t>
      </w:r>
    </w:p>
    <w:p w14:paraId="7BF5028D">
      <w:pPr>
        <w:spacing w:line="520" w:lineRule="exact"/>
        <w:ind w:firstLine="480"/>
        <w:jc w:val="center"/>
        <w:rPr>
          <w:rFonts w:ascii="Times New Roman" w:hAnsi="Times New Roman" w:cs="Times New Roman"/>
          <w:color w:val="000000" w:themeColor="text1"/>
          <w:kern w:val="24"/>
          <w:szCs w:val="24"/>
          <w14:textFill>
            <w14:solidFill>
              <w14:schemeClr w14:val="tx1"/>
            </w14:solidFill>
          </w14:textFill>
        </w:rPr>
      </w:pPr>
      <w:r>
        <w:rPr>
          <w:rFonts w:ascii="Times New Roman" w:hAnsi="Times New Roman" w:eastAsia="宋体" w:cs="Times New Roman"/>
          <w:color w:val="000000" w:themeColor="text1"/>
          <w:kern w:val="24"/>
          <w:szCs w:val="24"/>
          <w14:textFill>
            <w14:solidFill>
              <w14:schemeClr w14:val="tx1"/>
            </w14:solidFill>
          </w14:textFill>
        </w:rPr>
        <w:t>S</w:t>
      </w:r>
      <w:r>
        <w:rPr>
          <w:rFonts w:ascii="Times New Roman" w:hAnsi="Times New Roman" w:eastAsia="宋体" w:cs="Times New Roman"/>
          <w:color w:val="000000" w:themeColor="text1"/>
          <w:kern w:val="24"/>
          <w:szCs w:val="24"/>
          <w:vertAlign w:val="subscript"/>
          <w14:textFill>
            <w14:solidFill>
              <w14:schemeClr w14:val="tx1"/>
            </w14:solidFill>
          </w14:textFill>
        </w:rPr>
        <w:t>i,j</w:t>
      </w:r>
      <w:r>
        <w:rPr>
          <w:rFonts w:ascii="Times New Roman" w:hAnsi="Times New Roman" w:eastAsia="宋体" w:cs="Times New Roman"/>
          <w:color w:val="000000" w:themeColor="text1"/>
          <w:kern w:val="24"/>
          <w:szCs w:val="24"/>
          <w14:textFill>
            <w14:solidFill>
              <w14:schemeClr w14:val="tx1"/>
            </w14:solidFill>
          </w14:textFill>
        </w:rPr>
        <w:t>=C</w:t>
      </w:r>
      <w:r>
        <w:rPr>
          <w:rFonts w:ascii="Times New Roman" w:hAnsi="Times New Roman" w:eastAsia="宋体" w:cs="Times New Roman"/>
          <w:color w:val="000000" w:themeColor="text1"/>
          <w:kern w:val="24"/>
          <w:szCs w:val="24"/>
          <w:vertAlign w:val="subscript"/>
          <w14:textFill>
            <w14:solidFill>
              <w14:schemeClr w14:val="tx1"/>
            </w14:solidFill>
          </w14:textFill>
        </w:rPr>
        <w:t>i,j</w:t>
      </w:r>
      <w:r>
        <w:rPr>
          <w:rFonts w:ascii="Times New Roman" w:hAnsi="Times New Roman" w:eastAsia="宋体" w:cs="Times New Roman"/>
          <w:color w:val="000000" w:themeColor="text1"/>
          <w:kern w:val="24"/>
          <w:szCs w:val="24"/>
          <w14:textFill>
            <w14:solidFill>
              <w14:schemeClr w14:val="tx1"/>
            </w14:solidFill>
          </w14:textFill>
        </w:rPr>
        <w:t>/C</w:t>
      </w:r>
      <w:r>
        <w:rPr>
          <w:rFonts w:ascii="Times New Roman" w:hAnsi="Times New Roman" w:eastAsia="宋体" w:cs="Times New Roman"/>
          <w:color w:val="000000" w:themeColor="text1"/>
          <w:kern w:val="24"/>
          <w:szCs w:val="24"/>
          <w:vertAlign w:val="subscript"/>
          <w14:textFill>
            <w14:solidFill>
              <w14:schemeClr w14:val="tx1"/>
            </w14:solidFill>
          </w14:textFill>
        </w:rPr>
        <w:t>si</w:t>
      </w:r>
    </w:p>
    <w:p w14:paraId="3D229F18">
      <w:pPr>
        <w:spacing w:line="520" w:lineRule="exact"/>
        <w:ind w:left="480" w:leftChars="200" w:firstLine="0" w:firstLineChars="0"/>
        <w:rPr>
          <w:rFonts w:ascii="Times New Roman" w:hAnsi="Times New Roman" w:cs="Times New Roman"/>
          <w:color w:val="000000" w:themeColor="text1"/>
          <w:kern w:val="24"/>
          <w14:textFill>
            <w14:solidFill>
              <w14:schemeClr w14:val="tx1"/>
            </w14:solidFill>
          </w14:textFill>
        </w:rPr>
      </w:pPr>
      <w:r>
        <w:rPr>
          <w:rFonts w:ascii="Times New Roman" w:hAnsi="Times New Roman" w:eastAsia="宋体" w:cs="Times New Roman"/>
          <w:color w:val="000000" w:themeColor="text1"/>
          <w:kern w:val="24"/>
          <w:sz w:val="22"/>
          <w14:textFill>
            <w14:solidFill>
              <w14:schemeClr w14:val="tx1"/>
            </w14:solidFill>
          </w14:textFill>
        </w:rPr>
        <w:t>式中：S</w:t>
      </w:r>
      <w:r>
        <w:rPr>
          <w:rFonts w:ascii="Times New Roman" w:hAnsi="Times New Roman" w:eastAsia="宋体" w:cs="Times New Roman"/>
          <w:color w:val="000000" w:themeColor="text1"/>
          <w:kern w:val="24"/>
          <w:sz w:val="22"/>
          <w:vertAlign w:val="subscript"/>
          <w14:textFill>
            <w14:solidFill>
              <w14:schemeClr w14:val="tx1"/>
            </w14:solidFill>
          </w14:textFill>
        </w:rPr>
        <w:t>i,j</w:t>
      </w:r>
      <w:r>
        <w:rPr>
          <w:rFonts w:ascii="Times New Roman" w:hAnsi="Times New Roman" w:eastAsia="宋体" w:cs="Times New Roman"/>
          <w:color w:val="000000" w:themeColor="text1"/>
          <w:kern w:val="24"/>
          <w:sz w:val="22"/>
          <w14:textFill>
            <w14:solidFill>
              <w14:schemeClr w14:val="tx1"/>
            </w14:solidFill>
          </w14:textFill>
        </w:rPr>
        <w:t xml:space="preserve"> </w:t>
      </w:r>
      <w:r>
        <w:rPr>
          <w:rFonts w:ascii="Times New Roman" w:hAnsi="Times New Roman" w:eastAsia="宋体" w:cs="Times New Roman"/>
          <w:color w:val="000000" w:themeColor="text1"/>
          <w:szCs w:val="24"/>
          <w14:textFill>
            <w14:solidFill>
              <w14:schemeClr w14:val="tx1"/>
            </w14:solidFill>
          </w14:textFill>
        </w:rPr>
        <w:t>—单项水质参数I在第j点的标准指数；</w:t>
      </w:r>
    </w:p>
    <w:p w14:paraId="25A03A7F">
      <w:pPr>
        <w:spacing w:line="520" w:lineRule="exact"/>
        <w:ind w:left="1200" w:leftChars="500" w:firstLine="0" w:firstLineChars="0"/>
        <w:rPr>
          <w:rFonts w:ascii="Times New Roman" w:hAnsi="Times New Roman" w:cs="Times New Roman"/>
          <w:color w:val="000000" w:themeColor="text1"/>
          <w:kern w:val="24"/>
          <w14:textFill>
            <w14:solidFill>
              <w14:schemeClr w14:val="tx1"/>
            </w14:solidFill>
          </w14:textFill>
        </w:rPr>
      </w:pPr>
      <w:r>
        <w:rPr>
          <w:rFonts w:ascii="Times New Roman" w:hAnsi="Times New Roman" w:eastAsia="宋体" w:cs="Times New Roman"/>
          <w:color w:val="000000" w:themeColor="text1"/>
          <w:kern w:val="24"/>
          <w:sz w:val="22"/>
          <w14:textFill>
            <w14:solidFill>
              <w14:schemeClr w14:val="tx1"/>
            </w14:solidFill>
          </w14:textFill>
        </w:rPr>
        <w:t>C</w:t>
      </w:r>
      <w:r>
        <w:rPr>
          <w:rFonts w:ascii="Times New Roman" w:hAnsi="Times New Roman" w:eastAsia="宋体" w:cs="Times New Roman"/>
          <w:color w:val="000000" w:themeColor="text1"/>
          <w:kern w:val="24"/>
          <w:sz w:val="22"/>
          <w:vertAlign w:val="subscript"/>
          <w14:textFill>
            <w14:solidFill>
              <w14:schemeClr w14:val="tx1"/>
            </w14:solidFill>
          </w14:textFill>
        </w:rPr>
        <w:t>i,j</w:t>
      </w:r>
      <w:r>
        <w:rPr>
          <w:rFonts w:ascii="Times New Roman" w:hAnsi="Times New Roman" w:eastAsia="宋体" w:cs="Times New Roman"/>
          <w:color w:val="000000" w:themeColor="text1"/>
          <w:kern w:val="24"/>
          <w:sz w:val="22"/>
          <w14:textFill>
            <w14:solidFill>
              <w14:schemeClr w14:val="tx1"/>
            </w14:solidFill>
          </w14:textFill>
        </w:rPr>
        <w:t xml:space="preserve"> </w:t>
      </w:r>
      <w:r>
        <w:rPr>
          <w:rFonts w:ascii="Times New Roman" w:hAnsi="Times New Roman" w:eastAsia="宋体" w:cs="Times New Roman"/>
          <w:color w:val="000000" w:themeColor="text1"/>
          <w:szCs w:val="24"/>
          <w14:textFill>
            <w14:solidFill>
              <w14:schemeClr w14:val="tx1"/>
            </w14:solidFill>
          </w14:textFill>
        </w:rPr>
        <w:t>—单项水质参数I在第j点的实测浓度，单位mg/l；</w:t>
      </w:r>
    </w:p>
    <w:p w14:paraId="195DE0FC">
      <w:pPr>
        <w:spacing w:line="520" w:lineRule="exact"/>
        <w:ind w:left="1200" w:leftChars="5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24"/>
          <w:sz w:val="22"/>
          <w14:textFill>
            <w14:solidFill>
              <w14:schemeClr w14:val="tx1"/>
            </w14:solidFill>
          </w14:textFill>
        </w:rPr>
        <w:t>C</w:t>
      </w:r>
      <w:r>
        <w:rPr>
          <w:rFonts w:ascii="Times New Roman" w:hAnsi="Times New Roman" w:eastAsia="宋体" w:cs="Times New Roman"/>
          <w:color w:val="000000" w:themeColor="text1"/>
          <w:kern w:val="24"/>
          <w:sz w:val="22"/>
          <w:vertAlign w:val="subscript"/>
          <w14:textFill>
            <w14:solidFill>
              <w14:schemeClr w14:val="tx1"/>
            </w14:solidFill>
          </w14:textFill>
        </w:rPr>
        <w:t>si</w:t>
      </w:r>
      <w:r>
        <w:rPr>
          <w:rFonts w:ascii="Times New Roman" w:hAnsi="Times New Roman" w:eastAsia="宋体" w:cs="Times New Roman"/>
          <w:color w:val="000000" w:themeColor="text1"/>
          <w:kern w:val="24"/>
          <w:sz w:val="22"/>
          <w14:textFill>
            <w14:solidFill>
              <w14:schemeClr w14:val="tx1"/>
            </w14:solidFill>
          </w14:textFill>
        </w:rPr>
        <w:t xml:space="preserve"> </w:t>
      </w:r>
      <w:r>
        <w:rPr>
          <w:rFonts w:ascii="Times New Roman" w:hAnsi="Times New Roman" w:eastAsia="宋体" w:cs="Times New Roman"/>
          <w:color w:val="000000" w:themeColor="text1"/>
          <w:szCs w:val="24"/>
          <w14:textFill>
            <w14:solidFill>
              <w14:schemeClr w14:val="tx1"/>
            </w14:solidFill>
          </w14:textFill>
        </w:rPr>
        <w:t>—单项水质参数I的评价标准，单位mg/l；</w:t>
      </w:r>
    </w:p>
    <w:p w14:paraId="1304498D">
      <w:pPr>
        <w:spacing w:line="520" w:lineRule="exact"/>
        <w:ind w:firstLine="480"/>
        <w:rPr>
          <w:rFonts w:ascii="Times New Roman" w:hAnsi="Times New Roman"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对pH值单项指数计算式为：</w:t>
      </w:r>
    </w:p>
    <w:p w14:paraId="6AD31F13">
      <w:pPr>
        <w:ind w:firstLine="48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drawing>
          <wp:inline distT="0" distB="0" distL="114300" distR="114300">
            <wp:extent cx="1929130" cy="452120"/>
            <wp:effectExtent l="0" t="0" r="0" b="44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3"/>
                    <a:stretch>
                      <a:fillRect/>
                    </a:stretch>
                  </pic:blipFill>
                  <pic:spPr>
                    <a:xfrm>
                      <a:off x="0" y="0"/>
                      <a:ext cx="1929130" cy="452120"/>
                    </a:xfrm>
                    <a:prstGeom prst="rect">
                      <a:avLst/>
                    </a:prstGeom>
                    <a:noFill/>
                    <a:ln>
                      <a:noFill/>
                    </a:ln>
                  </pic:spPr>
                </pic:pic>
              </a:graphicData>
            </a:graphic>
          </wp:inline>
        </w:drawing>
      </w:r>
    </w:p>
    <w:p w14:paraId="3AE9CF0E">
      <w:pPr>
        <w:ind w:firstLine="199" w:firstLineChars="83"/>
        <w:jc w:val="center"/>
        <w:rPr>
          <w:rFonts w:ascii="Times New Roman" w:hAnsi="Times New Roman" w:cs="Times New Roman"/>
          <w:color w:val="FF0000"/>
          <w:szCs w:val="24"/>
        </w:rPr>
      </w:pPr>
      <w:r>
        <w:rPr>
          <w:rFonts w:ascii="Times New Roman" w:hAnsi="Times New Roman" w:cs="Times New Roman"/>
          <w:color w:val="FF0000"/>
          <w:szCs w:val="24"/>
        </w:rPr>
        <w:drawing>
          <wp:inline distT="0" distB="0" distL="114300" distR="114300">
            <wp:extent cx="1929130" cy="452120"/>
            <wp:effectExtent l="0" t="0" r="0" b="444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4"/>
                    <a:stretch>
                      <a:fillRect/>
                    </a:stretch>
                  </pic:blipFill>
                  <pic:spPr>
                    <a:xfrm>
                      <a:off x="0" y="0"/>
                      <a:ext cx="1929130" cy="452120"/>
                    </a:xfrm>
                    <a:prstGeom prst="rect">
                      <a:avLst/>
                    </a:prstGeom>
                    <a:noFill/>
                    <a:ln>
                      <a:noFill/>
                    </a:ln>
                  </pic:spPr>
                </pic:pic>
              </a:graphicData>
            </a:graphic>
          </wp:inline>
        </w:drawing>
      </w:r>
    </w:p>
    <w:p w14:paraId="42D7F930">
      <w:pPr>
        <w:spacing w:line="520" w:lineRule="exact"/>
        <w:ind w:left="480" w:leftChars="2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式中：S</w:t>
      </w:r>
      <w:r>
        <w:rPr>
          <w:rFonts w:ascii="Times New Roman" w:hAnsi="Times New Roman" w:eastAsia="宋体" w:cs="Times New Roman"/>
          <w:color w:val="000000" w:themeColor="text1"/>
          <w:sz w:val="22"/>
          <w:vertAlign w:val="subscript"/>
          <w14:textFill>
            <w14:solidFill>
              <w14:schemeClr w14:val="tx1"/>
            </w14:solidFill>
          </w14:textFill>
        </w:rPr>
        <w:t>pH,j</w:t>
      </w:r>
      <w:r>
        <w:rPr>
          <w:rFonts w:ascii="Times New Roman" w:hAnsi="Times New Roman" w:eastAsia="宋体" w:cs="Times New Roman"/>
          <w:color w:val="000000" w:themeColor="text1"/>
          <w:sz w:val="22"/>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pH的标准值</w:t>
      </w:r>
    </w:p>
    <w:p w14:paraId="46CEE161">
      <w:pPr>
        <w:spacing w:line="520" w:lineRule="exact"/>
        <w:ind w:left="1200" w:leftChars="500"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t>pH</w:t>
      </w:r>
      <w:r>
        <w:rPr>
          <w:rFonts w:ascii="Times New Roman" w:hAnsi="Times New Roman" w:eastAsia="宋体" w:cs="Times New Roman"/>
          <w:color w:val="000000" w:themeColor="text1"/>
          <w:sz w:val="22"/>
          <w:vertAlign w:val="subscript"/>
          <w14:textFill>
            <w14:solidFill>
              <w14:schemeClr w14:val="tx1"/>
            </w14:solidFill>
          </w14:textFill>
        </w:rPr>
        <w:t>j</w:t>
      </w:r>
      <w:r>
        <w:rPr>
          <w:rFonts w:ascii="Times New Roman" w:hAnsi="Times New Roman" w:eastAsia="宋体" w:cs="Times New Roman"/>
          <w:color w:val="000000" w:themeColor="text1"/>
          <w:sz w:val="22"/>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pH的实测值</w:t>
      </w:r>
    </w:p>
    <w:p w14:paraId="3A6564A7">
      <w:pPr>
        <w:spacing w:line="520" w:lineRule="exact"/>
        <w:ind w:left="1200" w:leftChars="500" w:firstLine="0" w:firstLineChars="0"/>
        <w:rPr>
          <w:rFonts w:ascii="Times New Roman" w:hAnsi="Times New Roman"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pH</w:t>
      </w:r>
      <w:r>
        <w:rPr>
          <w:rFonts w:ascii="Times New Roman" w:hAnsi="Times New Roman" w:eastAsia="宋体" w:cs="Times New Roman"/>
          <w:color w:val="000000" w:themeColor="text1"/>
          <w:szCs w:val="24"/>
          <w:vertAlign w:val="subscript"/>
          <w14:textFill>
            <w14:solidFill>
              <w14:schemeClr w14:val="tx1"/>
            </w14:solidFill>
          </w14:textFill>
        </w:rPr>
        <w:t>sd</w:t>
      </w:r>
      <w:r>
        <w:rPr>
          <w:rFonts w:ascii="Times New Roman" w:hAnsi="Times New Roman" w:eastAsia="宋体" w:cs="Times New Roman"/>
          <w:color w:val="000000" w:themeColor="text1"/>
          <w:szCs w:val="24"/>
          <w14:textFill>
            <w14:solidFill>
              <w14:schemeClr w14:val="tx1"/>
            </w14:solidFill>
          </w14:textFill>
        </w:rPr>
        <w:t>—评价标准中pH值的下限值；</w:t>
      </w:r>
    </w:p>
    <w:p w14:paraId="4A236910">
      <w:pPr>
        <w:spacing w:line="520" w:lineRule="exact"/>
        <w:ind w:left="1200" w:leftChars="500" w:firstLine="0" w:firstLineChars="0"/>
        <w:rPr>
          <w:rFonts w:ascii="Times New Roman" w:hAnsi="Times New Roman"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 xml:space="preserve">pH </w:t>
      </w:r>
      <w:r>
        <w:rPr>
          <w:rFonts w:ascii="Times New Roman" w:hAnsi="Times New Roman" w:eastAsia="宋体" w:cs="Times New Roman"/>
          <w:color w:val="000000" w:themeColor="text1"/>
          <w:szCs w:val="24"/>
          <w:vertAlign w:val="subscript"/>
          <w14:textFill>
            <w14:solidFill>
              <w14:schemeClr w14:val="tx1"/>
            </w14:solidFill>
          </w14:textFill>
        </w:rPr>
        <w:t>su</w:t>
      </w:r>
      <w:r>
        <w:rPr>
          <w:rFonts w:ascii="Times New Roman" w:hAnsi="Times New Roman" w:eastAsia="宋体" w:cs="Times New Roman"/>
          <w:color w:val="000000" w:themeColor="text1"/>
          <w:szCs w:val="24"/>
          <w14:textFill>
            <w14:solidFill>
              <w14:schemeClr w14:val="tx1"/>
            </w14:solidFill>
          </w14:textFill>
        </w:rPr>
        <w:t>—评价标准中pH值的上限值</w:t>
      </w:r>
    </w:p>
    <w:p w14:paraId="1257AD2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当标准指数&gt;1，表明该水质因子已超过了规定的水质标准，指数值越大，超标越严重；反之，则满足标准要求。地下水水质监测结果见表</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.2-1</w:t>
      </w:r>
      <w:r>
        <w:rPr>
          <w:rFonts w:hint="eastAsia" w:ascii="Times New Roman" w:hAnsi="Times New Roman" w:cs="Times New Roman"/>
          <w:color w:val="000000" w:themeColor="text1"/>
          <w:lang w:val="en-US" w:eastAsia="zh-CN"/>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w:t>
      </w:r>
    </w:p>
    <w:p w14:paraId="60A6C79D">
      <w:pPr>
        <w:ind w:firstLine="480"/>
        <w:rPr>
          <w:rFonts w:ascii="Times New Roman" w:hAnsi="Times New Roman" w:cs="Times New Roman"/>
          <w:color w:val="000000" w:themeColor="text1"/>
          <w14:textFill>
            <w14:solidFill>
              <w14:schemeClr w14:val="tx1"/>
            </w14:solidFill>
          </w14:textFill>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6409E43C">
      <w:pPr>
        <w:ind w:firstLine="0" w:firstLineChars="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4</w:t>
      </w:r>
      <w:r>
        <w:rPr>
          <w:rFonts w:ascii="Times New Roman" w:hAnsi="Times New Roman" w:eastAsia="宋体" w:cs="Times New Roman"/>
          <w:b/>
          <w:bCs/>
          <w:color w:val="000000" w:themeColor="text1"/>
          <w14:textFill>
            <w14:solidFill>
              <w14:schemeClr w14:val="tx1"/>
            </w14:solidFill>
          </w14:textFill>
        </w:rPr>
        <w:t>.2-1</w:t>
      </w:r>
      <w:r>
        <w:rPr>
          <w:rFonts w:hint="eastAsia" w:eastAsia="宋体" w:cs="Times New Roman"/>
          <w:b/>
          <w:bCs/>
          <w:color w:val="000000" w:themeColor="text1"/>
          <w:lang w:val="en-US" w:eastAsia="zh-CN"/>
          <w14:textFill>
            <w14:solidFill>
              <w14:schemeClr w14:val="tx1"/>
            </w14:solidFill>
          </w14:textFill>
        </w:rPr>
        <w:t>0</w:t>
      </w:r>
      <w:r>
        <w:rPr>
          <w:rFonts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14:textFill>
            <w14:solidFill>
              <w14:schemeClr w14:val="tx1"/>
            </w14:solidFill>
          </w14:textFill>
        </w:rPr>
        <w:t xml:space="preserve"> 地下水水质监测结果表</w:t>
      </w:r>
      <w:r>
        <w:rPr>
          <w:rFonts w:ascii="Times New Roman" w:hAnsi="Times New Roman" w:eastAsia="宋体" w:cs="Times New Roman"/>
          <w:b/>
          <w:bCs/>
          <w:color w:val="000000" w:themeColor="text1"/>
          <w14:textFill>
            <w14:solidFill>
              <w14:schemeClr w14:val="tx1"/>
            </w14:solidFill>
          </w14:textFill>
        </w:rPr>
        <w:tab/>
      </w:r>
      <w:r>
        <w:rPr>
          <w:rFonts w:ascii="Times New Roman" w:hAnsi="Times New Roman" w:eastAsia="宋体" w:cs="Times New Roman"/>
          <w:b/>
          <w:bCs/>
          <w:color w:val="000000" w:themeColor="text1"/>
          <w14:textFill>
            <w14:solidFill>
              <w14:schemeClr w14:val="tx1"/>
            </w14:solidFill>
          </w14:textFill>
        </w:rPr>
        <w:t>（单位：mg/L，pH为无量纲</w:t>
      </w:r>
      <w:r>
        <w:rPr>
          <w:rFonts w:hint="eastAsia" w:ascii="Times New Roman" w:hAnsi="Times New Roman" w:eastAsia="宋体" w:cs="Times New Roman"/>
          <w:b/>
          <w:bCs/>
          <w:color w:val="000000" w:themeColor="text1"/>
          <w:lang w:eastAsia="zh-CN"/>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水温：</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p>
    <w:tbl>
      <w:tblPr>
        <w:tblStyle w:val="35"/>
        <w:tblW w:w="503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9"/>
        <w:gridCol w:w="1110"/>
        <w:gridCol w:w="1065"/>
        <w:gridCol w:w="1964"/>
        <w:gridCol w:w="2043"/>
        <w:gridCol w:w="1974"/>
        <w:gridCol w:w="1926"/>
        <w:gridCol w:w="1661"/>
        <w:gridCol w:w="1653"/>
      </w:tblGrid>
      <w:tr w14:paraId="16ED50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8" w:hRule="atLeast"/>
          <w:jc w:val="center"/>
        </w:trPr>
        <w:tc>
          <w:tcPr>
            <w:tcW w:w="176" w:type="pct"/>
            <w:vMerge w:val="restart"/>
            <w:tcBorders>
              <w:tl2br w:val="nil"/>
              <w:tr2bl w:val="nil"/>
            </w:tcBorders>
            <w:vAlign w:val="center"/>
          </w:tcPr>
          <w:p w14:paraId="3D9DBDB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399" w:type="pct"/>
            <w:vMerge w:val="restart"/>
            <w:tcBorders>
              <w:tl2br w:val="nil"/>
              <w:tr2bl w:val="nil"/>
            </w:tcBorders>
            <w:vAlign w:val="center"/>
          </w:tcPr>
          <w:p w14:paraId="5E9689F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tc>
          <w:tcPr>
            <w:tcW w:w="383" w:type="pct"/>
            <w:vMerge w:val="restart"/>
            <w:tcBorders>
              <w:tl2br w:val="nil"/>
              <w:tr2bl w:val="nil"/>
            </w:tcBorders>
            <w:vAlign w:val="center"/>
          </w:tcPr>
          <w:p w14:paraId="4AC3933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标准限值</w:t>
            </w:r>
          </w:p>
        </w:tc>
        <w:tc>
          <w:tcPr>
            <w:tcW w:w="2153" w:type="pct"/>
            <w:gridSpan w:val="3"/>
            <w:tcBorders>
              <w:right w:val="single" w:color="auto" w:sz="4" w:space="0"/>
              <w:tl2br w:val="nil"/>
              <w:tr2bl w:val="nil"/>
            </w:tcBorders>
            <w:vAlign w:val="center"/>
          </w:tcPr>
          <w:p w14:paraId="35F7FB7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监测值</w:t>
            </w:r>
          </w:p>
        </w:tc>
        <w:tc>
          <w:tcPr>
            <w:tcW w:w="1886" w:type="pct"/>
            <w:gridSpan w:val="3"/>
            <w:tcBorders>
              <w:right w:val="single" w:color="auto" w:sz="4" w:space="0"/>
              <w:tl2br w:val="nil"/>
              <w:tr2bl w:val="nil"/>
            </w:tcBorders>
            <w:vAlign w:val="center"/>
          </w:tcPr>
          <w:p w14:paraId="593F9E3E">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标准指数</w:t>
            </w:r>
          </w:p>
        </w:tc>
      </w:tr>
      <w:tr w14:paraId="2852F8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7" w:hRule="atLeast"/>
          <w:jc w:val="center"/>
        </w:trPr>
        <w:tc>
          <w:tcPr>
            <w:tcW w:w="176" w:type="pct"/>
            <w:vMerge w:val="continue"/>
            <w:tcBorders>
              <w:tl2br w:val="nil"/>
              <w:tr2bl w:val="nil"/>
            </w:tcBorders>
            <w:vAlign w:val="center"/>
          </w:tcPr>
          <w:p w14:paraId="122FC0D9">
            <w:pPr>
              <w:pStyle w:val="56"/>
              <w:rPr>
                <w:rFonts w:ascii="Times New Roman" w:hAnsi="Times New Roman"/>
                <w:color w:val="000000" w:themeColor="text1"/>
                <w:szCs w:val="21"/>
                <w14:textFill>
                  <w14:solidFill>
                    <w14:schemeClr w14:val="tx1"/>
                  </w14:solidFill>
                </w14:textFill>
              </w:rPr>
            </w:pPr>
          </w:p>
        </w:tc>
        <w:tc>
          <w:tcPr>
            <w:tcW w:w="399" w:type="pct"/>
            <w:vMerge w:val="continue"/>
            <w:tcBorders>
              <w:tl2br w:val="nil"/>
              <w:tr2bl w:val="nil"/>
            </w:tcBorders>
            <w:vAlign w:val="center"/>
          </w:tcPr>
          <w:p w14:paraId="5A068E0B">
            <w:pPr>
              <w:pStyle w:val="56"/>
              <w:rPr>
                <w:rFonts w:ascii="Times New Roman" w:hAnsi="Times New Roman"/>
                <w:color w:val="000000" w:themeColor="text1"/>
                <w:szCs w:val="21"/>
                <w14:textFill>
                  <w14:solidFill>
                    <w14:schemeClr w14:val="tx1"/>
                  </w14:solidFill>
                </w14:textFill>
              </w:rPr>
            </w:pPr>
          </w:p>
        </w:tc>
        <w:tc>
          <w:tcPr>
            <w:tcW w:w="383" w:type="pct"/>
            <w:vMerge w:val="continue"/>
            <w:tcBorders>
              <w:tl2br w:val="nil"/>
              <w:tr2bl w:val="nil"/>
            </w:tcBorders>
            <w:vAlign w:val="center"/>
          </w:tcPr>
          <w:p w14:paraId="5A287285">
            <w:pPr>
              <w:pStyle w:val="56"/>
              <w:rPr>
                <w:rFonts w:ascii="Times New Roman" w:hAnsi="Times New Roman"/>
                <w:color w:val="000000" w:themeColor="text1"/>
                <w:szCs w:val="21"/>
                <w14:textFill>
                  <w14:solidFill>
                    <w14:schemeClr w14:val="tx1"/>
                  </w14:solidFill>
                </w14:textFill>
              </w:rPr>
            </w:pPr>
          </w:p>
        </w:tc>
        <w:tc>
          <w:tcPr>
            <w:tcW w:w="707" w:type="pct"/>
            <w:tcBorders>
              <w:tl2br w:val="nil"/>
              <w:tr2bl w:val="nil"/>
            </w:tcBorders>
            <w:vAlign w:val="center"/>
          </w:tcPr>
          <w:p w14:paraId="02B64CDB">
            <w:pPr>
              <w:pStyle w:val="56"/>
              <w:rPr>
                <w:rFonts w:hint="default" w:ascii="Times New Roman" w:hAnsi="Times New Roman"/>
                <w:color w:val="000000" w:themeColor="text1"/>
                <w:szCs w:val="21"/>
                <w:lang w:val="en-US"/>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6连水</w:t>
            </w:r>
            <w:r>
              <w:rPr>
                <w:rFonts w:hint="eastAsia" w:cs="Times New Roman"/>
                <w:bCs/>
                <w:color w:val="000000" w:themeColor="text1"/>
                <w:kern w:val="2"/>
                <w:sz w:val="21"/>
                <w:szCs w:val="21"/>
                <w:highlight w:val="none"/>
                <w:lang w:val="en-US" w:eastAsia="zh-CN" w:bidi="ar-SA"/>
                <w14:textFill>
                  <w14:solidFill>
                    <w14:schemeClr w14:val="tx1"/>
                  </w14:solidFill>
                </w14:textFill>
              </w:rPr>
              <w:t>井</w:t>
            </w:r>
          </w:p>
        </w:tc>
        <w:tc>
          <w:tcPr>
            <w:tcW w:w="735" w:type="pct"/>
            <w:tcBorders>
              <w:tl2br w:val="nil"/>
              <w:tr2bl w:val="nil"/>
            </w:tcBorders>
            <w:vAlign w:val="center"/>
          </w:tcPr>
          <w:p w14:paraId="281E5090">
            <w:pPr>
              <w:pStyle w:val="56"/>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6连人饮4号井</w:t>
            </w:r>
          </w:p>
        </w:tc>
        <w:tc>
          <w:tcPr>
            <w:tcW w:w="710" w:type="pct"/>
            <w:tcBorders>
              <w:right w:val="single" w:color="auto" w:sz="4" w:space="0"/>
              <w:tl2br w:val="nil"/>
              <w:tr2bl w:val="nil"/>
            </w:tcBorders>
            <w:vAlign w:val="center"/>
          </w:tcPr>
          <w:p w14:paraId="366DC024">
            <w:pPr>
              <w:pStyle w:val="56"/>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13连31号井</w:t>
            </w:r>
          </w:p>
        </w:tc>
        <w:tc>
          <w:tcPr>
            <w:tcW w:w="693" w:type="pct"/>
            <w:tcBorders>
              <w:tl2br w:val="nil"/>
              <w:tr2bl w:val="nil"/>
            </w:tcBorders>
            <w:vAlign w:val="center"/>
          </w:tcPr>
          <w:p w14:paraId="17A333AB">
            <w:pPr>
              <w:pStyle w:val="56"/>
              <w:ind w:firstLine="0" w:firstLineChars="0"/>
              <w:rPr>
                <w:rFonts w:hint="default" w:ascii="Times New Roman" w:hAnsi="Times New Roman"/>
                <w:color w:val="000000" w:themeColor="text1"/>
                <w:szCs w:val="21"/>
                <w:lang w:val="en-US"/>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6连水</w:t>
            </w:r>
            <w:r>
              <w:rPr>
                <w:rFonts w:hint="eastAsia" w:cs="Times New Roman"/>
                <w:bCs/>
                <w:color w:val="000000" w:themeColor="text1"/>
                <w:kern w:val="2"/>
                <w:sz w:val="21"/>
                <w:szCs w:val="21"/>
                <w:highlight w:val="none"/>
                <w:lang w:val="en-US" w:eastAsia="zh-CN" w:bidi="ar-SA"/>
                <w14:textFill>
                  <w14:solidFill>
                    <w14:schemeClr w14:val="tx1"/>
                  </w14:solidFill>
                </w14:textFill>
              </w:rPr>
              <w:t>井</w:t>
            </w:r>
          </w:p>
        </w:tc>
        <w:tc>
          <w:tcPr>
            <w:tcW w:w="598" w:type="pct"/>
            <w:tcBorders>
              <w:tl2br w:val="nil"/>
              <w:tr2bl w:val="nil"/>
            </w:tcBorders>
            <w:vAlign w:val="center"/>
          </w:tcPr>
          <w:p w14:paraId="7FA7D01A">
            <w:pPr>
              <w:pStyle w:val="56"/>
              <w:ind w:firstLine="0" w:firstLineChars="0"/>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6连人饮4号井</w:t>
            </w:r>
          </w:p>
        </w:tc>
        <w:tc>
          <w:tcPr>
            <w:tcW w:w="595" w:type="pct"/>
            <w:tcBorders>
              <w:tl2br w:val="nil"/>
              <w:tr2bl w:val="nil"/>
            </w:tcBorders>
            <w:vAlign w:val="center"/>
          </w:tcPr>
          <w:p w14:paraId="3D388680">
            <w:pPr>
              <w:pStyle w:val="56"/>
              <w:ind w:firstLine="0" w:firstLineChars="0"/>
              <w:rPr>
                <w:rFonts w:ascii="Times New Roman" w:hAnsi="Times New Roman"/>
                <w:color w:val="000000" w:themeColor="text1"/>
                <w:szCs w:val="21"/>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项目东南侧</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13连31号井</w:t>
            </w:r>
          </w:p>
        </w:tc>
      </w:tr>
      <w:tr w14:paraId="58D627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1E73121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399" w:type="pct"/>
            <w:tcBorders>
              <w:tl2br w:val="nil"/>
              <w:tr2bl w:val="nil"/>
            </w:tcBorders>
            <w:vAlign w:val="center"/>
          </w:tcPr>
          <w:p w14:paraId="1168BB66">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pH值</w:t>
            </w:r>
          </w:p>
        </w:tc>
        <w:tc>
          <w:tcPr>
            <w:tcW w:w="383" w:type="pct"/>
            <w:tcBorders>
              <w:tl2br w:val="nil"/>
              <w:tr2bl w:val="nil"/>
            </w:tcBorders>
            <w:vAlign w:val="center"/>
          </w:tcPr>
          <w:p w14:paraId="0E3B265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6.5-8.5</w:t>
            </w:r>
          </w:p>
        </w:tc>
        <w:tc>
          <w:tcPr>
            <w:tcW w:w="707" w:type="pct"/>
            <w:tcBorders>
              <w:tl2br w:val="nil"/>
              <w:tr2bl w:val="nil"/>
            </w:tcBorders>
            <w:vAlign w:val="center"/>
          </w:tcPr>
          <w:p w14:paraId="1C2F049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7.0</w:t>
            </w:r>
          </w:p>
        </w:tc>
        <w:tc>
          <w:tcPr>
            <w:tcW w:w="735" w:type="pct"/>
            <w:tcBorders>
              <w:tl2br w:val="nil"/>
              <w:tr2bl w:val="nil"/>
            </w:tcBorders>
            <w:vAlign w:val="center"/>
          </w:tcPr>
          <w:p w14:paraId="3F74412B">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7.2</w:t>
            </w:r>
          </w:p>
        </w:tc>
        <w:tc>
          <w:tcPr>
            <w:tcW w:w="710" w:type="pct"/>
            <w:tcBorders>
              <w:tl2br w:val="nil"/>
              <w:tr2bl w:val="nil"/>
            </w:tcBorders>
            <w:vAlign w:val="center"/>
          </w:tcPr>
          <w:p w14:paraId="01892DC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7.3</w:t>
            </w:r>
          </w:p>
        </w:tc>
        <w:tc>
          <w:tcPr>
            <w:tcW w:w="693" w:type="pct"/>
            <w:tcBorders>
              <w:tl2br w:val="nil"/>
              <w:tr2bl w:val="nil"/>
            </w:tcBorders>
            <w:vAlign w:val="center"/>
          </w:tcPr>
          <w:p w14:paraId="1B3AC609">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39B763E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7EF70F6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57E8E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076A818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399" w:type="pct"/>
            <w:tcBorders>
              <w:tl2br w:val="nil"/>
              <w:tr2bl w:val="nil"/>
            </w:tcBorders>
            <w:vAlign w:val="center"/>
          </w:tcPr>
          <w:p w14:paraId="7FC6853D">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水温</w:t>
            </w:r>
          </w:p>
        </w:tc>
        <w:tc>
          <w:tcPr>
            <w:tcW w:w="383" w:type="pct"/>
            <w:tcBorders>
              <w:tl2br w:val="nil"/>
              <w:tr2bl w:val="nil"/>
            </w:tcBorders>
            <w:vAlign w:val="center"/>
          </w:tcPr>
          <w:p w14:paraId="4A5153E8">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07" w:type="pct"/>
            <w:tcBorders>
              <w:tl2br w:val="nil"/>
              <w:tr2bl w:val="nil"/>
            </w:tcBorders>
            <w:vAlign w:val="center"/>
          </w:tcPr>
          <w:p w14:paraId="78279A6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13.6</w:t>
            </w:r>
          </w:p>
        </w:tc>
        <w:tc>
          <w:tcPr>
            <w:tcW w:w="735" w:type="pct"/>
            <w:tcBorders>
              <w:tl2br w:val="nil"/>
              <w:tr2bl w:val="nil"/>
            </w:tcBorders>
            <w:vAlign w:val="center"/>
          </w:tcPr>
          <w:p w14:paraId="5D00091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14.1</w:t>
            </w:r>
          </w:p>
        </w:tc>
        <w:tc>
          <w:tcPr>
            <w:tcW w:w="710" w:type="pct"/>
            <w:tcBorders>
              <w:tl2br w:val="nil"/>
              <w:tr2bl w:val="nil"/>
            </w:tcBorders>
            <w:vAlign w:val="center"/>
          </w:tcPr>
          <w:p w14:paraId="402D565A">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13.5</w:t>
            </w:r>
          </w:p>
        </w:tc>
        <w:tc>
          <w:tcPr>
            <w:tcW w:w="693" w:type="pct"/>
            <w:tcBorders>
              <w:tl2br w:val="nil"/>
              <w:tr2bl w:val="nil"/>
            </w:tcBorders>
            <w:vAlign w:val="center"/>
          </w:tcPr>
          <w:p w14:paraId="250F7CE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17FA22D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032BA23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0D8DCA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C09FAB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399" w:type="pct"/>
            <w:tcBorders>
              <w:tl2br w:val="nil"/>
              <w:tr2bl w:val="nil"/>
            </w:tcBorders>
            <w:vAlign w:val="center"/>
          </w:tcPr>
          <w:p w14:paraId="7BD7B020">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砷</w:t>
            </w:r>
          </w:p>
        </w:tc>
        <w:tc>
          <w:tcPr>
            <w:tcW w:w="383" w:type="pct"/>
            <w:tcBorders>
              <w:tl2br w:val="nil"/>
              <w:tr2bl w:val="nil"/>
            </w:tcBorders>
            <w:vAlign w:val="center"/>
          </w:tcPr>
          <w:p w14:paraId="22928C6A">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0.01</w:t>
            </w:r>
          </w:p>
        </w:tc>
        <w:tc>
          <w:tcPr>
            <w:tcW w:w="707" w:type="pct"/>
            <w:tcBorders>
              <w:tl2br w:val="nil"/>
              <w:tr2bl w:val="nil"/>
            </w:tcBorders>
            <w:vAlign w:val="center"/>
          </w:tcPr>
          <w:p w14:paraId="45923723">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 w:val="0"/>
                <w:bCs/>
                <w:i w:val="0"/>
                <w:color w:val="000000" w:themeColor="text1"/>
                <w:kern w:val="0"/>
                <w:sz w:val="21"/>
                <w:szCs w:val="21"/>
                <w:highlight w:val="none"/>
                <w:u w:val="none"/>
                <w:lang w:val="en-US" w:eastAsia="zh-CN" w:bidi="ar"/>
                <w14:textFill>
                  <w14:solidFill>
                    <w14:schemeClr w14:val="tx1"/>
                  </w14:solidFill>
                </w14:textFill>
              </w:rPr>
              <w:t>3.0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p>
        </w:tc>
        <w:tc>
          <w:tcPr>
            <w:tcW w:w="735" w:type="pct"/>
            <w:tcBorders>
              <w:tl2br w:val="nil"/>
              <w:tr2bl w:val="nil"/>
            </w:tcBorders>
            <w:vAlign w:val="center"/>
          </w:tcPr>
          <w:p w14:paraId="4580ADA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w:t>
            </w:r>
            <w:r>
              <w:rPr>
                <w:rFonts w:hint="eastAsia" w:ascii="Times New Roman" w:hAnsi="Times New Roman" w:cs="Times New Roman"/>
                <w:b w:val="0"/>
                <w:bCs/>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p>
        </w:tc>
        <w:tc>
          <w:tcPr>
            <w:tcW w:w="710" w:type="pct"/>
            <w:tcBorders>
              <w:tl2br w:val="nil"/>
              <w:tr2bl w:val="nil"/>
            </w:tcBorders>
            <w:vAlign w:val="center"/>
          </w:tcPr>
          <w:p w14:paraId="4430544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w:t>
            </w:r>
            <w:r>
              <w:rPr>
                <w:rFonts w:hint="eastAsia" w:ascii="Times New Roman" w:hAnsi="Times New Roman" w:cs="Times New Roman"/>
                <w:b w:val="0"/>
                <w:bCs/>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p>
        </w:tc>
        <w:tc>
          <w:tcPr>
            <w:tcW w:w="693" w:type="pct"/>
            <w:tcBorders>
              <w:tl2br w:val="nil"/>
              <w:tr2bl w:val="nil"/>
            </w:tcBorders>
            <w:vAlign w:val="center"/>
          </w:tcPr>
          <w:p w14:paraId="5134E40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0.03 </w:t>
            </w:r>
          </w:p>
        </w:tc>
        <w:tc>
          <w:tcPr>
            <w:tcW w:w="598" w:type="pct"/>
            <w:tcBorders>
              <w:tl2br w:val="nil"/>
              <w:tr2bl w:val="nil"/>
            </w:tcBorders>
            <w:vAlign w:val="center"/>
          </w:tcPr>
          <w:p w14:paraId="692C03A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0.04 </w:t>
            </w:r>
          </w:p>
        </w:tc>
        <w:tc>
          <w:tcPr>
            <w:tcW w:w="595" w:type="pct"/>
            <w:tcBorders>
              <w:tl2br w:val="nil"/>
              <w:tr2bl w:val="nil"/>
            </w:tcBorders>
            <w:vAlign w:val="center"/>
          </w:tcPr>
          <w:p w14:paraId="1B2D7D3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0.06 </w:t>
            </w:r>
          </w:p>
        </w:tc>
      </w:tr>
      <w:tr w14:paraId="41084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7A2BD4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399" w:type="pct"/>
            <w:tcBorders>
              <w:tl2br w:val="nil"/>
              <w:tr2bl w:val="nil"/>
            </w:tcBorders>
            <w:vAlign w:val="center"/>
          </w:tcPr>
          <w:p w14:paraId="41F2A4E8">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汞</w:t>
            </w:r>
          </w:p>
        </w:tc>
        <w:tc>
          <w:tcPr>
            <w:tcW w:w="383" w:type="pct"/>
            <w:tcBorders>
              <w:tl2br w:val="nil"/>
              <w:tr2bl w:val="nil"/>
            </w:tcBorders>
            <w:vAlign w:val="center"/>
          </w:tcPr>
          <w:p w14:paraId="0EA7879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0.001</w:t>
            </w:r>
          </w:p>
        </w:tc>
        <w:tc>
          <w:tcPr>
            <w:tcW w:w="707" w:type="pct"/>
            <w:tcBorders>
              <w:tl2br w:val="nil"/>
              <w:tr2bl w:val="nil"/>
            </w:tcBorders>
            <w:vAlign w:val="center"/>
          </w:tcPr>
          <w:p w14:paraId="7AE2FAC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6.0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5</w:t>
            </w:r>
          </w:p>
        </w:tc>
        <w:tc>
          <w:tcPr>
            <w:tcW w:w="735" w:type="pct"/>
            <w:tcBorders>
              <w:tl2br w:val="nil"/>
              <w:tr2bl w:val="nil"/>
            </w:tcBorders>
            <w:vAlign w:val="center"/>
          </w:tcPr>
          <w:p w14:paraId="1EAC354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5</w:t>
            </w: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L</w:t>
            </w:r>
          </w:p>
        </w:tc>
        <w:tc>
          <w:tcPr>
            <w:tcW w:w="710" w:type="pct"/>
            <w:tcBorders>
              <w:tl2br w:val="nil"/>
              <w:tr2bl w:val="nil"/>
            </w:tcBorders>
            <w:vAlign w:val="center"/>
          </w:tcPr>
          <w:p w14:paraId="2C39F68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5</w:t>
            </w:r>
          </w:p>
        </w:tc>
        <w:tc>
          <w:tcPr>
            <w:tcW w:w="693" w:type="pct"/>
            <w:tcBorders>
              <w:tl2br w:val="nil"/>
              <w:tr2bl w:val="nil"/>
            </w:tcBorders>
            <w:vAlign w:val="center"/>
          </w:tcPr>
          <w:p w14:paraId="5565004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0.06 </w:t>
            </w:r>
          </w:p>
        </w:tc>
        <w:tc>
          <w:tcPr>
            <w:tcW w:w="598" w:type="pct"/>
            <w:tcBorders>
              <w:tl2br w:val="nil"/>
              <w:tr2bl w:val="nil"/>
            </w:tcBorders>
            <w:vAlign w:val="center"/>
          </w:tcPr>
          <w:p w14:paraId="08ED3BA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0.04 </w:t>
            </w:r>
          </w:p>
        </w:tc>
        <w:tc>
          <w:tcPr>
            <w:tcW w:w="595" w:type="pct"/>
            <w:tcBorders>
              <w:tl2br w:val="nil"/>
              <w:tr2bl w:val="nil"/>
            </w:tcBorders>
            <w:vAlign w:val="center"/>
          </w:tcPr>
          <w:p w14:paraId="0266957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0.05 </w:t>
            </w:r>
          </w:p>
        </w:tc>
      </w:tr>
      <w:tr w14:paraId="22500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86BF23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399" w:type="pct"/>
            <w:tcBorders>
              <w:tl2br w:val="nil"/>
              <w:tr2bl w:val="nil"/>
            </w:tcBorders>
            <w:vAlign w:val="center"/>
          </w:tcPr>
          <w:p w14:paraId="15BEA523">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氨氮</w:t>
            </w:r>
          </w:p>
        </w:tc>
        <w:tc>
          <w:tcPr>
            <w:tcW w:w="383" w:type="pct"/>
            <w:tcBorders>
              <w:tl2br w:val="nil"/>
              <w:tr2bl w:val="nil"/>
            </w:tcBorders>
            <w:vAlign w:val="center"/>
          </w:tcPr>
          <w:p w14:paraId="0393A3C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0.5</w:t>
            </w:r>
          </w:p>
        </w:tc>
        <w:tc>
          <w:tcPr>
            <w:tcW w:w="707" w:type="pct"/>
            <w:tcBorders>
              <w:tl2br w:val="nil"/>
              <w:tr2bl w:val="nil"/>
            </w:tcBorders>
            <w:vAlign w:val="center"/>
          </w:tcPr>
          <w:p w14:paraId="7E4A6EBB">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0.222</w:t>
            </w:r>
          </w:p>
        </w:tc>
        <w:tc>
          <w:tcPr>
            <w:tcW w:w="735" w:type="pct"/>
            <w:tcBorders>
              <w:tl2br w:val="nil"/>
              <w:tr2bl w:val="nil"/>
            </w:tcBorders>
            <w:vAlign w:val="center"/>
          </w:tcPr>
          <w:p w14:paraId="0654514A">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0.261</w:t>
            </w:r>
          </w:p>
        </w:tc>
        <w:tc>
          <w:tcPr>
            <w:tcW w:w="710" w:type="pct"/>
            <w:tcBorders>
              <w:tl2br w:val="nil"/>
              <w:tr2bl w:val="nil"/>
            </w:tcBorders>
            <w:vAlign w:val="center"/>
          </w:tcPr>
          <w:p w14:paraId="31AEB41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0.250</w:t>
            </w:r>
          </w:p>
        </w:tc>
        <w:tc>
          <w:tcPr>
            <w:tcW w:w="693" w:type="pct"/>
            <w:tcBorders>
              <w:tl2br w:val="nil"/>
              <w:tr2bl w:val="nil"/>
            </w:tcBorders>
            <w:vAlign w:val="center"/>
          </w:tcPr>
          <w:p w14:paraId="36AD651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0.44 </w:t>
            </w:r>
          </w:p>
        </w:tc>
        <w:tc>
          <w:tcPr>
            <w:tcW w:w="598" w:type="pct"/>
            <w:tcBorders>
              <w:tl2br w:val="nil"/>
              <w:tr2bl w:val="nil"/>
            </w:tcBorders>
            <w:vAlign w:val="center"/>
          </w:tcPr>
          <w:p w14:paraId="7A53F01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0.52 </w:t>
            </w:r>
          </w:p>
        </w:tc>
        <w:tc>
          <w:tcPr>
            <w:tcW w:w="595" w:type="pct"/>
            <w:tcBorders>
              <w:tl2br w:val="nil"/>
              <w:tr2bl w:val="nil"/>
            </w:tcBorders>
            <w:vAlign w:val="center"/>
          </w:tcPr>
          <w:p w14:paraId="1DB738A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r>
      <w:tr w14:paraId="26CDF3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AD22B7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399" w:type="pct"/>
            <w:tcBorders>
              <w:tl2br w:val="nil"/>
              <w:tr2bl w:val="nil"/>
            </w:tcBorders>
            <w:vAlign w:val="center"/>
          </w:tcPr>
          <w:p w14:paraId="6CD6B3EE">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挥发酚</w:t>
            </w:r>
          </w:p>
        </w:tc>
        <w:tc>
          <w:tcPr>
            <w:tcW w:w="383" w:type="pct"/>
            <w:tcBorders>
              <w:tl2br w:val="nil"/>
              <w:tr2bl w:val="nil"/>
            </w:tcBorders>
            <w:vAlign w:val="center"/>
          </w:tcPr>
          <w:p w14:paraId="035E623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0.002</w:t>
            </w:r>
          </w:p>
        </w:tc>
        <w:tc>
          <w:tcPr>
            <w:tcW w:w="707" w:type="pct"/>
            <w:tcBorders>
              <w:tl2br w:val="nil"/>
              <w:tr2bl w:val="nil"/>
            </w:tcBorders>
            <w:vAlign w:val="center"/>
          </w:tcPr>
          <w:p w14:paraId="6B564F6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0.0008</w:t>
            </w:r>
          </w:p>
        </w:tc>
        <w:tc>
          <w:tcPr>
            <w:tcW w:w="735" w:type="pct"/>
            <w:tcBorders>
              <w:tl2br w:val="nil"/>
              <w:tr2bl w:val="nil"/>
            </w:tcBorders>
            <w:vAlign w:val="center"/>
          </w:tcPr>
          <w:p w14:paraId="02C031B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0.0010</w:t>
            </w:r>
          </w:p>
        </w:tc>
        <w:tc>
          <w:tcPr>
            <w:tcW w:w="710" w:type="pct"/>
            <w:tcBorders>
              <w:tl2br w:val="nil"/>
              <w:tr2bl w:val="nil"/>
            </w:tcBorders>
            <w:vAlign w:val="center"/>
          </w:tcPr>
          <w:p w14:paraId="2659D047">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0.0010</w:t>
            </w:r>
          </w:p>
        </w:tc>
        <w:tc>
          <w:tcPr>
            <w:tcW w:w="693" w:type="pct"/>
            <w:tcBorders>
              <w:tl2br w:val="nil"/>
              <w:tr2bl w:val="nil"/>
            </w:tcBorders>
            <w:vAlign w:val="center"/>
          </w:tcPr>
          <w:p w14:paraId="18AFCFDC">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0.40 </w:t>
            </w:r>
          </w:p>
        </w:tc>
        <w:tc>
          <w:tcPr>
            <w:tcW w:w="598" w:type="pct"/>
            <w:tcBorders>
              <w:tl2br w:val="nil"/>
              <w:tr2bl w:val="nil"/>
            </w:tcBorders>
            <w:vAlign w:val="center"/>
          </w:tcPr>
          <w:p w14:paraId="2BC9504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c>
          <w:tcPr>
            <w:tcW w:w="595" w:type="pct"/>
            <w:tcBorders>
              <w:tl2br w:val="nil"/>
              <w:tr2bl w:val="nil"/>
            </w:tcBorders>
            <w:vAlign w:val="center"/>
          </w:tcPr>
          <w:p w14:paraId="282F816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r>
      <w:tr w14:paraId="49DC9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3FC149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399" w:type="pct"/>
            <w:tcBorders>
              <w:tl2br w:val="nil"/>
              <w:tr2bl w:val="nil"/>
            </w:tcBorders>
            <w:vAlign w:val="center"/>
          </w:tcPr>
          <w:p w14:paraId="23D37730">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铅</w:t>
            </w:r>
          </w:p>
        </w:tc>
        <w:tc>
          <w:tcPr>
            <w:tcW w:w="383" w:type="pct"/>
            <w:tcBorders>
              <w:tl2br w:val="nil"/>
              <w:tr2bl w:val="nil"/>
            </w:tcBorders>
            <w:vAlign w:val="center"/>
          </w:tcPr>
          <w:p w14:paraId="374E02B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0.01</w:t>
            </w:r>
          </w:p>
        </w:tc>
        <w:tc>
          <w:tcPr>
            <w:tcW w:w="707" w:type="pct"/>
            <w:tcBorders>
              <w:tl2br w:val="nil"/>
              <w:tr2bl w:val="nil"/>
            </w:tcBorders>
            <w:vAlign w:val="center"/>
          </w:tcPr>
          <w:p w14:paraId="1740710B">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2.5</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35" w:type="pct"/>
            <w:tcBorders>
              <w:tl2br w:val="nil"/>
              <w:tr2bl w:val="nil"/>
            </w:tcBorders>
            <w:vAlign w:val="center"/>
          </w:tcPr>
          <w:p w14:paraId="25F6CAA3">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2.5</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10" w:type="pct"/>
            <w:tcBorders>
              <w:tl2br w:val="nil"/>
              <w:tr2bl w:val="nil"/>
            </w:tcBorders>
            <w:vAlign w:val="center"/>
          </w:tcPr>
          <w:p w14:paraId="41DB7CE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2.5</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693" w:type="pct"/>
            <w:tcBorders>
              <w:tl2br w:val="nil"/>
              <w:tr2bl w:val="nil"/>
            </w:tcBorders>
            <w:vAlign w:val="center"/>
          </w:tcPr>
          <w:p w14:paraId="0C5A4A5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0.25 </w:t>
            </w:r>
          </w:p>
        </w:tc>
        <w:tc>
          <w:tcPr>
            <w:tcW w:w="598" w:type="pct"/>
            <w:tcBorders>
              <w:tl2br w:val="nil"/>
              <w:tr2bl w:val="nil"/>
            </w:tcBorders>
            <w:vAlign w:val="center"/>
          </w:tcPr>
          <w:p w14:paraId="428C4F2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0.25 </w:t>
            </w:r>
          </w:p>
        </w:tc>
        <w:tc>
          <w:tcPr>
            <w:tcW w:w="595" w:type="pct"/>
            <w:tcBorders>
              <w:tl2br w:val="nil"/>
              <w:tr2bl w:val="nil"/>
            </w:tcBorders>
            <w:vAlign w:val="center"/>
          </w:tcPr>
          <w:p w14:paraId="066E12F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0.25 </w:t>
            </w:r>
          </w:p>
        </w:tc>
      </w:tr>
      <w:tr w14:paraId="2660BB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40622F7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399" w:type="pct"/>
            <w:tcBorders>
              <w:tl2br w:val="nil"/>
              <w:tr2bl w:val="nil"/>
            </w:tcBorders>
            <w:vAlign w:val="center"/>
          </w:tcPr>
          <w:p w14:paraId="4D80B070">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总硬度</w:t>
            </w:r>
          </w:p>
        </w:tc>
        <w:tc>
          <w:tcPr>
            <w:tcW w:w="383" w:type="pct"/>
            <w:tcBorders>
              <w:tl2br w:val="nil"/>
              <w:tr2bl w:val="nil"/>
            </w:tcBorders>
            <w:vAlign w:val="center"/>
          </w:tcPr>
          <w:p w14:paraId="433D4FF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450</w:t>
            </w:r>
          </w:p>
        </w:tc>
        <w:tc>
          <w:tcPr>
            <w:tcW w:w="707" w:type="pct"/>
            <w:tcBorders>
              <w:tl2br w:val="nil"/>
              <w:tr2bl w:val="nil"/>
            </w:tcBorders>
            <w:vAlign w:val="center"/>
          </w:tcPr>
          <w:p w14:paraId="5FAA711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SA"/>
                <w14:textFill>
                  <w14:solidFill>
                    <w14:schemeClr w14:val="tx1"/>
                  </w14:solidFill>
                </w14:textFill>
              </w:rPr>
              <w:t>223</w:t>
            </w:r>
          </w:p>
        </w:tc>
        <w:tc>
          <w:tcPr>
            <w:tcW w:w="735" w:type="pct"/>
            <w:tcBorders>
              <w:tl2br w:val="nil"/>
              <w:tr2bl w:val="nil"/>
            </w:tcBorders>
            <w:vAlign w:val="center"/>
          </w:tcPr>
          <w:p w14:paraId="11D0C41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SA"/>
                <w14:textFill>
                  <w14:solidFill>
                    <w14:schemeClr w14:val="tx1"/>
                  </w14:solidFill>
                </w14:textFill>
              </w:rPr>
              <w:t>230</w:t>
            </w:r>
          </w:p>
        </w:tc>
        <w:tc>
          <w:tcPr>
            <w:tcW w:w="710" w:type="pct"/>
            <w:tcBorders>
              <w:tl2br w:val="nil"/>
              <w:tr2bl w:val="nil"/>
            </w:tcBorders>
            <w:vAlign w:val="center"/>
          </w:tcPr>
          <w:p w14:paraId="303CB7C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bidi="ar-SA"/>
                <w14:textFill>
                  <w14:solidFill>
                    <w14:schemeClr w14:val="tx1"/>
                  </w14:solidFill>
                </w14:textFill>
              </w:rPr>
              <w:t>260</w:t>
            </w:r>
          </w:p>
        </w:tc>
        <w:tc>
          <w:tcPr>
            <w:tcW w:w="693" w:type="pct"/>
            <w:tcBorders>
              <w:tl2br w:val="nil"/>
              <w:tr2bl w:val="nil"/>
            </w:tcBorders>
            <w:vAlign w:val="center"/>
          </w:tcPr>
          <w:p w14:paraId="6D06E6D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0.50 </w:t>
            </w:r>
          </w:p>
        </w:tc>
        <w:tc>
          <w:tcPr>
            <w:tcW w:w="598" w:type="pct"/>
            <w:tcBorders>
              <w:tl2br w:val="nil"/>
              <w:tr2bl w:val="nil"/>
            </w:tcBorders>
            <w:vAlign w:val="center"/>
          </w:tcPr>
          <w:p w14:paraId="0B507C6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0.51 </w:t>
            </w:r>
          </w:p>
        </w:tc>
        <w:tc>
          <w:tcPr>
            <w:tcW w:w="595" w:type="pct"/>
            <w:tcBorders>
              <w:tl2br w:val="nil"/>
              <w:tr2bl w:val="nil"/>
            </w:tcBorders>
            <w:vAlign w:val="center"/>
          </w:tcPr>
          <w:p w14:paraId="6576844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0.58 </w:t>
            </w:r>
          </w:p>
        </w:tc>
      </w:tr>
      <w:tr w14:paraId="484FF8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7104EBA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399" w:type="pct"/>
            <w:tcBorders>
              <w:tl2br w:val="nil"/>
              <w:tr2bl w:val="nil"/>
            </w:tcBorders>
            <w:vAlign w:val="center"/>
          </w:tcPr>
          <w:p w14:paraId="70C03706">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高锰酸盐指数</w:t>
            </w:r>
          </w:p>
        </w:tc>
        <w:tc>
          <w:tcPr>
            <w:tcW w:w="383" w:type="pct"/>
            <w:tcBorders>
              <w:tl2br w:val="nil"/>
              <w:tr2bl w:val="nil"/>
            </w:tcBorders>
            <w:vAlign w:val="center"/>
          </w:tcPr>
          <w:p w14:paraId="735590ED">
            <w:pPr>
              <w:pStyle w:val="56"/>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w:t>
            </w:r>
          </w:p>
        </w:tc>
        <w:tc>
          <w:tcPr>
            <w:tcW w:w="707" w:type="pct"/>
            <w:tcBorders>
              <w:tl2br w:val="nil"/>
              <w:tr2bl w:val="nil"/>
            </w:tcBorders>
            <w:vAlign w:val="center"/>
          </w:tcPr>
          <w:p w14:paraId="06E79A6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1.2</w:t>
            </w:r>
          </w:p>
        </w:tc>
        <w:tc>
          <w:tcPr>
            <w:tcW w:w="735" w:type="pct"/>
            <w:tcBorders>
              <w:tl2br w:val="nil"/>
              <w:tr2bl w:val="nil"/>
            </w:tcBorders>
            <w:vAlign w:val="center"/>
          </w:tcPr>
          <w:p w14:paraId="34D57713">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1.1</w:t>
            </w:r>
          </w:p>
        </w:tc>
        <w:tc>
          <w:tcPr>
            <w:tcW w:w="710" w:type="pct"/>
            <w:tcBorders>
              <w:tl2br w:val="nil"/>
              <w:tr2bl w:val="nil"/>
            </w:tcBorders>
            <w:vAlign w:val="center"/>
          </w:tcPr>
          <w:p w14:paraId="667D2B7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p>
        </w:tc>
        <w:tc>
          <w:tcPr>
            <w:tcW w:w="693" w:type="pct"/>
            <w:tcBorders>
              <w:tl2br w:val="nil"/>
              <w:tr2bl w:val="nil"/>
            </w:tcBorders>
            <w:vAlign w:val="center"/>
          </w:tcPr>
          <w:p w14:paraId="4AA2491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6F5AC72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668D28D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0F37C4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709CA66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399" w:type="pct"/>
            <w:tcBorders>
              <w:tl2br w:val="nil"/>
              <w:tr2bl w:val="nil"/>
            </w:tcBorders>
            <w:vAlign w:val="center"/>
          </w:tcPr>
          <w:p w14:paraId="67937F0D">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氟化物</w:t>
            </w:r>
          </w:p>
        </w:tc>
        <w:tc>
          <w:tcPr>
            <w:tcW w:w="383" w:type="pct"/>
            <w:tcBorders>
              <w:tl2br w:val="nil"/>
              <w:tr2bl w:val="nil"/>
            </w:tcBorders>
            <w:vAlign w:val="center"/>
          </w:tcPr>
          <w:p w14:paraId="1810032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w:t>
            </w:r>
          </w:p>
        </w:tc>
        <w:tc>
          <w:tcPr>
            <w:tcW w:w="707" w:type="pct"/>
            <w:tcBorders>
              <w:tl2br w:val="nil"/>
              <w:tr2bl w:val="nil"/>
            </w:tcBorders>
            <w:vAlign w:val="center"/>
          </w:tcPr>
          <w:p w14:paraId="65C1CB7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0.21</w:t>
            </w:r>
          </w:p>
        </w:tc>
        <w:tc>
          <w:tcPr>
            <w:tcW w:w="735" w:type="pct"/>
            <w:tcBorders>
              <w:tl2br w:val="nil"/>
              <w:tr2bl w:val="nil"/>
            </w:tcBorders>
            <w:vAlign w:val="center"/>
          </w:tcPr>
          <w:p w14:paraId="272D5DA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0.22</w:t>
            </w:r>
          </w:p>
        </w:tc>
        <w:tc>
          <w:tcPr>
            <w:tcW w:w="710" w:type="pct"/>
            <w:tcBorders>
              <w:tl2br w:val="nil"/>
              <w:tr2bl w:val="nil"/>
            </w:tcBorders>
            <w:vAlign w:val="center"/>
          </w:tcPr>
          <w:p w14:paraId="0D97E4B6">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0.20</w:t>
            </w:r>
          </w:p>
        </w:tc>
        <w:tc>
          <w:tcPr>
            <w:tcW w:w="693" w:type="pct"/>
            <w:tcBorders>
              <w:tl2br w:val="nil"/>
              <w:tr2bl w:val="nil"/>
            </w:tcBorders>
            <w:vAlign w:val="center"/>
          </w:tcPr>
          <w:p w14:paraId="3488120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0.21 </w:t>
            </w:r>
          </w:p>
        </w:tc>
        <w:tc>
          <w:tcPr>
            <w:tcW w:w="598" w:type="pct"/>
            <w:tcBorders>
              <w:tl2br w:val="nil"/>
              <w:tr2bl w:val="nil"/>
            </w:tcBorders>
            <w:vAlign w:val="center"/>
          </w:tcPr>
          <w:p w14:paraId="278EFA44">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0.22 </w:t>
            </w:r>
          </w:p>
        </w:tc>
        <w:tc>
          <w:tcPr>
            <w:tcW w:w="595" w:type="pct"/>
            <w:tcBorders>
              <w:tl2br w:val="nil"/>
              <w:tr2bl w:val="nil"/>
            </w:tcBorders>
            <w:vAlign w:val="center"/>
          </w:tcPr>
          <w:p w14:paraId="3EAF034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0.20 </w:t>
            </w:r>
          </w:p>
        </w:tc>
      </w:tr>
      <w:tr w14:paraId="07A3A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11E01C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w:t>
            </w:r>
          </w:p>
        </w:tc>
        <w:tc>
          <w:tcPr>
            <w:tcW w:w="399" w:type="pct"/>
            <w:tcBorders>
              <w:tl2br w:val="nil"/>
              <w:tr2bl w:val="nil"/>
            </w:tcBorders>
            <w:vAlign w:val="center"/>
          </w:tcPr>
          <w:p w14:paraId="4AD5BC08">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氰化物</w:t>
            </w:r>
          </w:p>
        </w:tc>
        <w:tc>
          <w:tcPr>
            <w:tcW w:w="383" w:type="pct"/>
            <w:tcBorders>
              <w:tl2br w:val="nil"/>
              <w:tr2bl w:val="nil"/>
            </w:tcBorders>
            <w:vAlign w:val="center"/>
          </w:tcPr>
          <w:p w14:paraId="45846FB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0.05</w:t>
            </w:r>
          </w:p>
        </w:tc>
        <w:tc>
          <w:tcPr>
            <w:tcW w:w="707" w:type="pct"/>
            <w:tcBorders>
              <w:tl2br w:val="nil"/>
              <w:tr2bl w:val="nil"/>
            </w:tcBorders>
            <w:vAlign w:val="center"/>
          </w:tcPr>
          <w:p w14:paraId="264A1C49">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0.004L</w:t>
            </w:r>
          </w:p>
        </w:tc>
        <w:tc>
          <w:tcPr>
            <w:tcW w:w="735" w:type="pct"/>
            <w:tcBorders>
              <w:tl2br w:val="nil"/>
              <w:tr2bl w:val="nil"/>
            </w:tcBorders>
            <w:vAlign w:val="center"/>
          </w:tcPr>
          <w:p w14:paraId="2B4147A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0.004L</w:t>
            </w:r>
          </w:p>
        </w:tc>
        <w:tc>
          <w:tcPr>
            <w:tcW w:w="710" w:type="pct"/>
            <w:tcBorders>
              <w:tl2br w:val="nil"/>
              <w:tr2bl w:val="nil"/>
            </w:tcBorders>
            <w:vAlign w:val="center"/>
          </w:tcPr>
          <w:p w14:paraId="214E63CE">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0.004L</w:t>
            </w:r>
          </w:p>
        </w:tc>
        <w:tc>
          <w:tcPr>
            <w:tcW w:w="693" w:type="pct"/>
            <w:tcBorders>
              <w:tl2br w:val="nil"/>
              <w:tr2bl w:val="nil"/>
            </w:tcBorders>
            <w:vAlign w:val="center"/>
          </w:tcPr>
          <w:p w14:paraId="71E3DCB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c>
          <w:tcPr>
            <w:tcW w:w="598" w:type="pct"/>
            <w:tcBorders>
              <w:tl2br w:val="nil"/>
              <w:tr2bl w:val="nil"/>
            </w:tcBorders>
            <w:vAlign w:val="center"/>
          </w:tcPr>
          <w:p w14:paraId="31E98CD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c>
          <w:tcPr>
            <w:tcW w:w="595" w:type="pct"/>
            <w:tcBorders>
              <w:tl2br w:val="nil"/>
              <w:tr2bl w:val="nil"/>
            </w:tcBorders>
            <w:vAlign w:val="center"/>
          </w:tcPr>
          <w:p w14:paraId="0D67292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r>
      <w:tr w14:paraId="341D31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52D201F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w:t>
            </w:r>
          </w:p>
        </w:tc>
        <w:tc>
          <w:tcPr>
            <w:tcW w:w="399" w:type="pct"/>
            <w:tcBorders>
              <w:tl2br w:val="nil"/>
              <w:tr2bl w:val="nil"/>
            </w:tcBorders>
            <w:vAlign w:val="center"/>
          </w:tcPr>
          <w:p w14:paraId="56573D77">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六价铬</w:t>
            </w:r>
          </w:p>
        </w:tc>
        <w:tc>
          <w:tcPr>
            <w:tcW w:w="383" w:type="pct"/>
            <w:tcBorders>
              <w:tl2br w:val="nil"/>
              <w:tr2bl w:val="nil"/>
            </w:tcBorders>
            <w:vAlign w:val="center"/>
          </w:tcPr>
          <w:p w14:paraId="7F44577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0.05</w:t>
            </w:r>
          </w:p>
        </w:tc>
        <w:tc>
          <w:tcPr>
            <w:tcW w:w="707" w:type="pct"/>
            <w:tcBorders>
              <w:tl2br w:val="nil"/>
              <w:tr2bl w:val="nil"/>
            </w:tcBorders>
            <w:vAlign w:val="center"/>
          </w:tcPr>
          <w:p w14:paraId="4A71F8E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0.006</w:t>
            </w:r>
          </w:p>
        </w:tc>
        <w:tc>
          <w:tcPr>
            <w:tcW w:w="735" w:type="pct"/>
            <w:tcBorders>
              <w:tl2br w:val="nil"/>
              <w:tr2bl w:val="nil"/>
            </w:tcBorders>
            <w:vAlign w:val="center"/>
          </w:tcPr>
          <w:p w14:paraId="6042FDD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0.004</w:t>
            </w:r>
          </w:p>
        </w:tc>
        <w:tc>
          <w:tcPr>
            <w:tcW w:w="710" w:type="pct"/>
            <w:tcBorders>
              <w:tl2br w:val="nil"/>
              <w:tr2bl w:val="nil"/>
            </w:tcBorders>
            <w:vAlign w:val="center"/>
          </w:tcPr>
          <w:p w14:paraId="646A255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0.004</w:t>
            </w:r>
          </w:p>
        </w:tc>
        <w:tc>
          <w:tcPr>
            <w:tcW w:w="693" w:type="pct"/>
            <w:tcBorders>
              <w:tl2br w:val="nil"/>
              <w:tr2bl w:val="nil"/>
            </w:tcBorders>
            <w:vAlign w:val="center"/>
          </w:tcPr>
          <w:p w14:paraId="66588D19">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0.12 </w:t>
            </w:r>
          </w:p>
        </w:tc>
        <w:tc>
          <w:tcPr>
            <w:tcW w:w="598" w:type="pct"/>
            <w:tcBorders>
              <w:tl2br w:val="nil"/>
              <w:tr2bl w:val="nil"/>
            </w:tcBorders>
            <w:vAlign w:val="center"/>
          </w:tcPr>
          <w:p w14:paraId="369CF6F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c>
          <w:tcPr>
            <w:tcW w:w="595" w:type="pct"/>
            <w:tcBorders>
              <w:tl2br w:val="nil"/>
              <w:tr2bl w:val="nil"/>
            </w:tcBorders>
            <w:vAlign w:val="center"/>
          </w:tcPr>
          <w:p w14:paraId="10318D5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0.08 </w:t>
            </w:r>
          </w:p>
        </w:tc>
      </w:tr>
      <w:tr w14:paraId="664D1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1E8221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13</w:t>
            </w:r>
          </w:p>
        </w:tc>
        <w:tc>
          <w:tcPr>
            <w:tcW w:w="399" w:type="pct"/>
            <w:tcBorders>
              <w:tl2br w:val="nil"/>
              <w:tr2bl w:val="nil"/>
            </w:tcBorders>
            <w:vAlign w:val="center"/>
          </w:tcPr>
          <w:p w14:paraId="549BCEE0">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溶解性总固体</w:t>
            </w:r>
          </w:p>
        </w:tc>
        <w:tc>
          <w:tcPr>
            <w:tcW w:w="383" w:type="pct"/>
            <w:tcBorders>
              <w:tl2br w:val="nil"/>
              <w:tr2bl w:val="nil"/>
            </w:tcBorders>
            <w:vAlign w:val="center"/>
          </w:tcPr>
          <w:p w14:paraId="6C4CECF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1000</w:t>
            </w:r>
          </w:p>
        </w:tc>
        <w:tc>
          <w:tcPr>
            <w:tcW w:w="707" w:type="pct"/>
            <w:tcBorders>
              <w:tl2br w:val="nil"/>
              <w:tr2bl w:val="nil"/>
            </w:tcBorders>
            <w:vAlign w:val="center"/>
          </w:tcPr>
          <w:p w14:paraId="33D4D59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470</w:t>
            </w:r>
          </w:p>
        </w:tc>
        <w:tc>
          <w:tcPr>
            <w:tcW w:w="735" w:type="pct"/>
            <w:tcBorders>
              <w:tl2br w:val="nil"/>
              <w:tr2bl w:val="nil"/>
            </w:tcBorders>
            <w:vAlign w:val="center"/>
          </w:tcPr>
          <w:p w14:paraId="21F1860E">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484</w:t>
            </w:r>
          </w:p>
        </w:tc>
        <w:tc>
          <w:tcPr>
            <w:tcW w:w="710" w:type="pct"/>
            <w:tcBorders>
              <w:tl2br w:val="nil"/>
              <w:tr2bl w:val="nil"/>
            </w:tcBorders>
            <w:vAlign w:val="center"/>
          </w:tcPr>
          <w:p w14:paraId="1F2DC12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552</w:t>
            </w:r>
          </w:p>
        </w:tc>
        <w:tc>
          <w:tcPr>
            <w:tcW w:w="693" w:type="pct"/>
            <w:tcBorders>
              <w:tl2br w:val="nil"/>
              <w:tr2bl w:val="nil"/>
            </w:tcBorders>
            <w:vAlign w:val="center"/>
          </w:tcPr>
          <w:p w14:paraId="04F83C5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0.47 </w:t>
            </w:r>
          </w:p>
        </w:tc>
        <w:tc>
          <w:tcPr>
            <w:tcW w:w="598" w:type="pct"/>
            <w:tcBorders>
              <w:tl2br w:val="nil"/>
              <w:tr2bl w:val="nil"/>
            </w:tcBorders>
            <w:vAlign w:val="center"/>
          </w:tcPr>
          <w:p w14:paraId="01576ED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0.48 </w:t>
            </w:r>
          </w:p>
        </w:tc>
        <w:tc>
          <w:tcPr>
            <w:tcW w:w="595" w:type="pct"/>
            <w:tcBorders>
              <w:tl2br w:val="nil"/>
              <w:tr2bl w:val="nil"/>
            </w:tcBorders>
            <w:vAlign w:val="center"/>
          </w:tcPr>
          <w:p w14:paraId="1495710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0.55 </w:t>
            </w:r>
          </w:p>
        </w:tc>
      </w:tr>
      <w:tr w14:paraId="2302C8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5C3C61C0">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14</w:t>
            </w:r>
          </w:p>
        </w:tc>
        <w:tc>
          <w:tcPr>
            <w:tcW w:w="399" w:type="pct"/>
            <w:tcBorders>
              <w:tl2br w:val="nil"/>
              <w:tr2bl w:val="nil"/>
            </w:tcBorders>
            <w:vAlign w:val="center"/>
          </w:tcPr>
          <w:p w14:paraId="038E43AD">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总大肠菌群</w:t>
            </w:r>
          </w:p>
        </w:tc>
        <w:tc>
          <w:tcPr>
            <w:tcW w:w="383" w:type="pct"/>
            <w:tcBorders>
              <w:tl2br w:val="nil"/>
              <w:tr2bl w:val="nil"/>
            </w:tcBorders>
            <w:vAlign w:val="center"/>
          </w:tcPr>
          <w:p w14:paraId="3DF220A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≤3.0MPN/100mL</w:t>
            </w:r>
          </w:p>
        </w:tc>
        <w:tc>
          <w:tcPr>
            <w:tcW w:w="707" w:type="pct"/>
            <w:tcBorders>
              <w:tl2br w:val="nil"/>
              <w:tr2bl w:val="nil"/>
            </w:tcBorders>
            <w:vAlign w:val="center"/>
          </w:tcPr>
          <w:p w14:paraId="6AA2673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未检出</w:t>
            </w:r>
          </w:p>
        </w:tc>
        <w:tc>
          <w:tcPr>
            <w:tcW w:w="735" w:type="pct"/>
            <w:tcBorders>
              <w:tl2br w:val="nil"/>
              <w:tr2bl w:val="nil"/>
            </w:tcBorders>
            <w:vAlign w:val="center"/>
          </w:tcPr>
          <w:p w14:paraId="022853D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未检出</w:t>
            </w:r>
          </w:p>
        </w:tc>
        <w:tc>
          <w:tcPr>
            <w:tcW w:w="710" w:type="pct"/>
            <w:tcBorders>
              <w:tl2br w:val="nil"/>
              <w:tr2bl w:val="nil"/>
            </w:tcBorders>
            <w:vAlign w:val="center"/>
          </w:tcPr>
          <w:p w14:paraId="7EA030B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未检出</w:t>
            </w:r>
          </w:p>
        </w:tc>
        <w:tc>
          <w:tcPr>
            <w:tcW w:w="693" w:type="pct"/>
            <w:tcBorders>
              <w:tl2br w:val="nil"/>
              <w:tr2bl w:val="nil"/>
            </w:tcBorders>
            <w:vAlign w:val="center"/>
          </w:tcPr>
          <w:p w14:paraId="3A4474F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1F3C30F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22A557E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4B359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49F35399">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399" w:type="pct"/>
            <w:tcBorders>
              <w:tl2br w:val="nil"/>
              <w:tr2bl w:val="nil"/>
            </w:tcBorders>
            <w:vAlign w:val="center"/>
          </w:tcPr>
          <w:p w14:paraId="7F553970">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氯化物</w:t>
            </w:r>
          </w:p>
        </w:tc>
        <w:tc>
          <w:tcPr>
            <w:tcW w:w="383" w:type="pct"/>
            <w:tcBorders>
              <w:tl2br w:val="nil"/>
              <w:tr2bl w:val="nil"/>
            </w:tcBorders>
            <w:vAlign w:val="center"/>
          </w:tcPr>
          <w:p w14:paraId="793ECED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250</w:t>
            </w:r>
          </w:p>
        </w:tc>
        <w:tc>
          <w:tcPr>
            <w:tcW w:w="707" w:type="pct"/>
            <w:tcBorders>
              <w:tl2br w:val="nil"/>
              <w:tr2bl w:val="nil"/>
            </w:tcBorders>
            <w:vAlign w:val="center"/>
          </w:tcPr>
          <w:p w14:paraId="140CF46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28.0</w:t>
            </w:r>
          </w:p>
        </w:tc>
        <w:tc>
          <w:tcPr>
            <w:tcW w:w="735" w:type="pct"/>
            <w:tcBorders>
              <w:tl2br w:val="nil"/>
              <w:tr2bl w:val="nil"/>
            </w:tcBorders>
            <w:vAlign w:val="center"/>
          </w:tcPr>
          <w:p w14:paraId="00CB249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43.8</w:t>
            </w:r>
          </w:p>
        </w:tc>
        <w:tc>
          <w:tcPr>
            <w:tcW w:w="710" w:type="pct"/>
            <w:tcBorders>
              <w:tl2br w:val="nil"/>
              <w:tr2bl w:val="nil"/>
            </w:tcBorders>
            <w:vAlign w:val="center"/>
          </w:tcPr>
          <w:p w14:paraId="35FB5C1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16.9</w:t>
            </w:r>
          </w:p>
        </w:tc>
        <w:tc>
          <w:tcPr>
            <w:tcW w:w="693" w:type="pct"/>
            <w:tcBorders>
              <w:tl2br w:val="nil"/>
              <w:tr2bl w:val="nil"/>
            </w:tcBorders>
            <w:vAlign w:val="center"/>
          </w:tcPr>
          <w:p w14:paraId="499FDE7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0.11 </w:t>
            </w:r>
          </w:p>
        </w:tc>
        <w:tc>
          <w:tcPr>
            <w:tcW w:w="598" w:type="pct"/>
            <w:tcBorders>
              <w:tl2br w:val="nil"/>
              <w:tr2bl w:val="nil"/>
            </w:tcBorders>
            <w:vAlign w:val="center"/>
          </w:tcPr>
          <w:p w14:paraId="34C74CB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0.18 </w:t>
            </w:r>
          </w:p>
        </w:tc>
        <w:tc>
          <w:tcPr>
            <w:tcW w:w="595" w:type="pct"/>
            <w:tcBorders>
              <w:tl2br w:val="nil"/>
              <w:tr2bl w:val="nil"/>
            </w:tcBorders>
            <w:vAlign w:val="center"/>
          </w:tcPr>
          <w:p w14:paraId="5ACFB08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0.07 </w:t>
            </w:r>
          </w:p>
        </w:tc>
      </w:tr>
      <w:tr w14:paraId="61A57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24FD1CA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w:t>
            </w:r>
          </w:p>
        </w:tc>
        <w:tc>
          <w:tcPr>
            <w:tcW w:w="399" w:type="pct"/>
            <w:tcBorders>
              <w:tl2br w:val="nil"/>
              <w:tr2bl w:val="nil"/>
            </w:tcBorders>
            <w:vAlign w:val="center"/>
          </w:tcPr>
          <w:p w14:paraId="73F57E39">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硝酸盐氮</w:t>
            </w:r>
          </w:p>
        </w:tc>
        <w:tc>
          <w:tcPr>
            <w:tcW w:w="383" w:type="pct"/>
            <w:tcBorders>
              <w:tl2br w:val="nil"/>
              <w:tr2bl w:val="nil"/>
            </w:tcBorders>
            <w:vAlign w:val="center"/>
          </w:tcPr>
          <w:p w14:paraId="6C5AF00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20</w:t>
            </w:r>
          </w:p>
        </w:tc>
        <w:tc>
          <w:tcPr>
            <w:tcW w:w="707" w:type="pct"/>
            <w:tcBorders>
              <w:tl2br w:val="nil"/>
              <w:tr2bl w:val="nil"/>
            </w:tcBorders>
            <w:vAlign w:val="center"/>
          </w:tcPr>
          <w:p w14:paraId="2CD3A52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0.832</w:t>
            </w:r>
          </w:p>
        </w:tc>
        <w:tc>
          <w:tcPr>
            <w:tcW w:w="735" w:type="pct"/>
            <w:tcBorders>
              <w:tl2br w:val="nil"/>
              <w:tr2bl w:val="nil"/>
            </w:tcBorders>
            <w:vAlign w:val="center"/>
          </w:tcPr>
          <w:p w14:paraId="512190AF">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0.237</w:t>
            </w:r>
          </w:p>
        </w:tc>
        <w:tc>
          <w:tcPr>
            <w:tcW w:w="710" w:type="pct"/>
            <w:tcBorders>
              <w:tl2br w:val="nil"/>
              <w:tr2bl w:val="nil"/>
            </w:tcBorders>
            <w:vAlign w:val="center"/>
          </w:tcPr>
          <w:p w14:paraId="36E2C52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0.184</w:t>
            </w:r>
          </w:p>
        </w:tc>
        <w:tc>
          <w:tcPr>
            <w:tcW w:w="693" w:type="pct"/>
            <w:tcBorders>
              <w:tl2br w:val="nil"/>
              <w:tr2bl w:val="nil"/>
            </w:tcBorders>
            <w:vAlign w:val="center"/>
          </w:tcPr>
          <w:p w14:paraId="0D950BF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0.04 </w:t>
            </w:r>
          </w:p>
        </w:tc>
        <w:tc>
          <w:tcPr>
            <w:tcW w:w="598" w:type="pct"/>
            <w:tcBorders>
              <w:tl2br w:val="nil"/>
              <w:tr2bl w:val="nil"/>
            </w:tcBorders>
            <w:vAlign w:val="center"/>
          </w:tcPr>
          <w:p w14:paraId="004E1420">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0.01 </w:t>
            </w:r>
          </w:p>
        </w:tc>
        <w:tc>
          <w:tcPr>
            <w:tcW w:w="595" w:type="pct"/>
            <w:tcBorders>
              <w:tl2br w:val="nil"/>
              <w:tr2bl w:val="nil"/>
            </w:tcBorders>
            <w:vAlign w:val="center"/>
          </w:tcPr>
          <w:p w14:paraId="08E3F29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0.01 </w:t>
            </w:r>
          </w:p>
        </w:tc>
      </w:tr>
      <w:tr w14:paraId="2BD5D4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47C1599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w:t>
            </w:r>
          </w:p>
        </w:tc>
        <w:tc>
          <w:tcPr>
            <w:tcW w:w="399" w:type="pct"/>
            <w:tcBorders>
              <w:tl2br w:val="nil"/>
              <w:tr2bl w:val="nil"/>
            </w:tcBorders>
            <w:vAlign w:val="center"/>
          </w:tcPr>
          <w:p w14:paraId="674C0551">
            <w:pPr>
              <w:pStyle w:val="56"/>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硫酸盐</w:t>
            </w:r>
          </w:p>
        </w:tc>
        <w:tc>
          <w:tcPr>
            <w:tcW w:w="383" w:type="pct"/>
            <w:tcBorders>
              <w:tl2br w:val="nil"/>
              <w:tr2bl w:val="nil"/>
            </w:tcBorders>
            <w:vAlign w:val="center"/>
          </w:tcPr>
          <w:p w14:paraId="1FED635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250</w:t>
            </w:r>
          </w:p>
        </w:tc>
        <w:tc>
          <w:tcPr>
            <w:tcW w:w="707" w:type="pct"/>
            <w:tcBorders>
              <w:tl2br w:val="nil"/>
              <w:tr2bl w:val="nil"/>
            </w:tcBorders>
            <w:vAlign w:val="center"/>
          </w:tcPr>
          <w:p w14:paraId="7F092AF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184</w:t>
            </w:r>
          </w:p>
        </w:tc>
        <w:tc>
          <w:tcPr>
            <w:tcW w:w="735" w:type="pct"/>
            <w:tcBorders>
              <w:tl2br w:val="nil"/>
              <w:tr2bl w:val="nil"/>
            </w:tcBorders>
            <w:vAlign w:val="center"/>
          </w:tcPr>
          <w:p w14:paraId="6EEDFC32">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174</w:t>
            </w:r>
          </w:p>
        </w:tc>
        <w:tc>
          <w:tcPr>
            <w:tcW w:w="710" w:type="pct"/>
            <w:tcBorders>
              <w:tl2br w:val="nil"/>
              <w:tr2bl w:val="nil"/>
            </w:tcBorders>
            <w:vAlign w:val="center"/>
          </w:tcPr>
          <w:p w14:paraId="1268094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232</w:t>
            </w:r>
          </w:p>
        </w:tc>
        <w:tc>
          <w:tcPr>
            <w:tcW w:w="693" w:type="pct"/>
            <w:tcBorders>
              <w:tl2br w:val="nil"/>
              <w:tr2bl w:val="nil"/>
            </w:tcBorders>
            <w:vAlign w:val="center"/>
          </w:tcPr>
          <w:p w14:paraId="1CA8E1B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0.74 </w:t>
            </w:r>
          </w:p>
        </w:tc>
        <w:tc>
          <w:tcPr>
            <w:tcW w:w="598" w:type="pct"/>
            <w:tcBorders>
              <w:tl2br w:val="nil"/>
              <w:tr2bl w:val="nil"/>
            </w:tcBorders>
            <w:vAlign w:val="center"/>
          </w:tcPr>
          <w:p w14:paraId="63CCBD7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0.70 </w:t>
            </w:r>
          </w:p>
        </w:tc>
        <w:tc>
          <w:tcPr>
            <w:tcW w:w="595" w:type="pct"/>
            <w:tcBorders>
              <w:tl2br w:val="nil"/>
              <w:tr2bl w:val="nil"/>
            </w:tcBorders>
            <w:vAlign w:val="center"/>
          </w:tcPr>
          <w:p w14:paraId="457073B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0.93 </w:t>
            </w:r>
          </w:p>
        </w:tc>
      </w:tr>
      <w:tr w14:paraId="25111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6964FDE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w:t>
            </w:r>
          </w:p>
        </w:tc>
        <w:tc>
          <w:tcPr>
            <w:tcW w:w="399" w:type="pct"/>
            <w:tcBorders>
              <w:tl2br w:val="nil"/>
              <w:tr2bl w:val="nil"/>
            </w:tcBorders>
            <w:vAlign w:val="center"/>
          </w:tcPr>
          <w:p w14:paraId="2559AB6D">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亚硝酸盐氮</w:t>
            </w:r>
          </w:p>
        </w:tc>
        <w:tc>
          <w:tcPr>
            <w:tcW w:w="383" w:type="pct"/>
            <w:tcBorders>
              <w:tl2br w:val="nil"/>
              <w:tr2bl w:val="nil"/>
            </w:tcBorders>
            <w:vAlign w:val="center"/>
          </w:tcPr>
          <w:p w14:paraId="428B6582">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w:t>
            </w:r>
          </w:p>
        </w:tc>
        <w:tc>
          <w:tcPr>
            <w:tcW w:w="707" w:type="pct"/>
            <w:tcBorders>
              <w:tl2br w:val="nil"/>
              <w:tr2bl w:val="nil"/>
            </w:tcBorders>
            <w:vAlign w:val="center"/>
          </w:tcPr>
          <w:p w14:paraId="60144BE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L</w:t>
            </w:r>
          </w:p>
        </w:tc>
        <w:tc>
          <w:tcPr>
            <w:tcW w:w="735" w:type="pct"/>
            <w:tcBorders>
              <w:tl2br w:val="nil"/>
              <w:tr2bl w:val="nil"/>
            </w:tcBorders>
            <w:vAlign w:val="center"/>
          </w:tcPr>
          <w:p w14:paraId="1A80930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L</w:t>
            </w:r>
          </w:p>
        </w:tc>
        <w:tc>
          <w:tcPr>
            <w:tcW w:w="710" w:type="pct"/>
            <w:tcBorders>
              <w:tl2br w:val="nil"/>
              <w:tr2bl w:val="nil"/>
            </w:tcBorders>
            <w:vAlign w:val="center"/>
          </w:tcPr>
          <w:p w14:paraId="2A3C818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14:textFill>
                  <w14:solidFill>
                    <w14:schemeClr w14:val="tx1"/>
                  </w14:solidFill>
                </w14:textFill>
              </w:rPr>
              <w:t>L</w:t>
            </w:r>
          </w:p>
        </w:tc>
        <w:tc>
          <w:tcPr>
            <w:tcW w:w="693" w:type="pct"/>
            <w:tcBorders>
              <w:tl2br w:val="nil"/>
              <w:tr2bl w:val="nil"/>
            </w:tcBorders>
            <w:vAlign w:val="center"/>
          </w:tcPr>
          <w:p w14:paraId="5E4CA9A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0.02 </w:t>
            </w:r>
          </w:p>
        </w:tc>
        <w:tc>
          <w:tcPr>
            <w:tcW w:w="598" w:type="pct"/>
            <w:tcBorders>
              <w:tl2br w:val="nil"/>
              <w:tr2bl w:val="nil"/>
            </w:tcBorders>
            <w:vAlign w:val="center"/>
          </w:tcPr>
          <w:p w14:paraId="1684A7B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0.02 </w:t>
            </w:r>
          </w:p>
        </w:tc>
        <w:tc>
          <w:tcPr>
            <w:tcW w:w="595" w:type="pct"/>
            <w:tcBorders>
              <w:tl2br w:val="nil"/>
              <w:tr2bl w:val="nil"/>
            </w:tcBorders>
            <w:vAlign w:val="center"/>
          </w:tcPr>
          <w:p w14:paraId="5772DE5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0.02 </w:t>
            </w:r>
          </w:p>
        </w:tc>
      </w:tr>
      <w:tr w14:paraId="7E4C9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3DB5504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w:t>
            </w:r>
          </w:p>
        </w:tc>
        <w:tc>
          <w:tcPr>
            <w:tcW w:w="399" w:type="pct"/>
            <w:tcBorders>
              <w:tl2br w:val="nil"/>
              <w:tr2bl w:val="nil"/>
            </w:tcBorders>
            <w:vAlign w:val="center"/>
          </w:tcPr>
          <w:p w14:paraId="121BDD21">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铁</w:t>
            </w:r>
          </w:p>
        </w:tc>
        <w:tc>
          <w:tcPr>
            <w:tcW w:w="383" w:type="pct"/>
            <w:tcBorders>
              <w:tl2br w:val="nil"/>
              <w:tr2bl w:val="nil"/>
            </w:tcBorders>
            <w:vAlign w:val="center"/>
          </w:tcPr>
          <w:p w14:paraId="03F84D08">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0.3</w:t>
            </w:r>
          </w:p>
        </w:tc>
        <w:tc>
          <w:tcPr>
            <w:tcW w:w="707" w:type="pct"/>
            <w:tcBorders>
              <w:tl2br w:val="nil"/>
              <w:tr2bl w:val="nil"/>
            </w:tcBorders>
            <w:vAlign w:val="center"/>
          </w:tcPr>
          <w:p w14:paraId="0B60008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0.03L</w:t>
            </w:r>
          </w:p>
        </w:tc>
        <w:tc>
          <w:tcPr>
            <w:tcW w:w="735" w:type="pct"/>
            <w:tcBorders>
              <w:tl2br w:val="nil"/>
              <w:tr2bl w:val="nil"/>
            </w:tcBorders>
            <w:vAlign w:val="center"/>
          </w:tcPr>
          <w:p w14:paraId="735F28D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0.03L</w:t>
            </w:r>
          </w:p>
        </w:tc>
        <w:tc>
          <w:tcPr>
            <w:tcW w:w="710" w:type="pct"/>
            <w:tcBorders>
              <w:tl2br w:val="nil"/>
              <w:tr2bl w:val="nil"/>
            </w:tcBorders>
            <w:vAlign w:val="center"/>
          </w:tcPr>
          <w:p w14:paraId="6A4B54E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0.03L</w:t>
            </w:r>
          </w:p>
        </w:tc>
        <w:tc>
          <w:tcPr>
            <w:tcW w:w="693" w:type="pct"/>
            <w:tcBorders>
              <w:tl2br w:val="nil"/>
              <w:tr2bl w:val="nil"/>
            </w:tcBorders>
            <w:vAlign w:val="center"/>
          </w:tcPr>
          <w:p w14:paraId="2678F706">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8" w:type="pct"/>
            <w:tcBorders>
              <w:tl2br w:val="nil"/>
              <w:tr2bl w:val="nil"/>
            </w:tcBorders>
            <w:vAlign w:val="center"/>
          </w:tcPr>
          <w:p w14:paraId="00E7DBF7">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5" w:type="pct"/>
            <w:tcBorders>
              <w:tl2br w:val="nil"/>
              <w:tr2bl w:val="nil"/>
            </w:tcBorders>
            <w:vAlign w:val="center"/>
          </w:tcPr>
          <w:p w14:paraId="0B02623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r>
      <w:tr w14:paraId="02B2C8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7A82779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p>
        </w:tc>
        <w:tc>
          <w:tcPr>
            <w:tcW w:w="399" w:type="pct"/>
            <w:tcBorders>
              <w:tl2br w:val="nil"/>
              <w:tr2bl w:val="nil"/>
            </w:tcBorders>
            <w:vAlign w:val="center"/>
          </w:tcPr>
          <w:p w14:paraId="07D2BB46">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锰</w:t>
            </w:r>
          </w:p>
        </w:tc>
        <w:tc>
          <w:tcPr>
            <w:tcW w:w="383" w:type="pct"/>
            <w:tcBorders>
              <w:tl2br w:val="nil"/>
              <w:tr2bl w:val="nil"/>
            </w:tcBorders>
            <w:vAlign w:val="center"/>
          </w:tcPr>
          <w:p w14:paraId="1AE03FA3">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0.1</w:t>
            </w:r>
          </w:p>
        </w:tc>
        <w:tc>
          <w:tcPr>
            <w:tcW w:w="707" w:type="pct"/>
            <w:tcBorders>
              <w:tl2br w:val="nil"/>
              <w:tr2bl w:val="nil"/>
            </w:tcBorders>
            <w:vAlign w:val="center"/>
          </w:tcPr>
          <w:p w14:paraId="29D264DC">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0.01L</w:t>
            </w:r>
          </w:p>
        </w:tc>
        <w:tc>
          <w:tcPr>
            <w:tcW w:w="735" w:type="pct"/>
            <w:tcBorders>
              <w:tl2br w:val="nil"/>
              <w:tr2bl w:val="nil"/>
            </w:tcBorders>
            <w:vAlign w:val="center"/>
          </w:tcPr>
          <w:p w14:paraId="512F777A">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0.01L</w:t>
            </w:r>
          </w:p>
        </w:tc>
        <w:tc>
          <w:tcPr>
            <w:tcW w:w="710" w:type="pct"/>
            <w:tcBorders>
              <w:tl2br w:val="nil"/>
              <w:tr2bl w:val="nil"/>
            </w:tcBorders>
            <w:vAlign w:val="center"/>
          </w:tcPr>
          <w:p w14:paraId="20611735">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0.01L</w:t>
            </w:r>
          </w:p>
        </w:tc>
        <w:tc>
          <w:tcPr>
            <w:tcW w:w="693" w:type="pct"/>
            <w:tcBorders>
              <w:tl2br w:val="nil"/>
              <w:tr2bl w:val="nil"/>
            </w:tcBorders>
            <w:vAlign w:val="center"/>
          </w:tcPr>
          <w:p w14:paraId="1BB6601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8" w:type="pct"/>
            <w:tcBorders>
              <w:tl2br w:val="nil"/>
              <w:tr2bl w:val="nil"/>
            </w:tcBorders>
            <w:vAlign w:val="center"/>
          </w:tcPr>
          <w:p w14:paraId="5C033524">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5" w:type="pct"/>
            <w:tcBorders>
              <w:tl2br w:val="nil"/>
              <w:tr2bl w:val="nil"/>
            </w:tcBorders>
            <w:vAlign w:val="center"/>
          </w:tcPr>
          <w:p w14:paraId="44BAF30E">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r>
      <w:tr w14:paraId="45A1E8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636A0B8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21</w:t>
            </w:r>
          </w:p>
        </w:tc>
        <w:tc>
          <w:tcPr>
            <w:tcW w:w="399" w:type="pct"/>
            <w:tcBorders>
              <w:tl2br w:val="nil"/>
              <w:tr2bl w:val="nil"/>
            </w:tcBorders>
            <w:vAlign w:val="center"/>
          </w:tcPr>
          <w:p w14:paraId="5FB98D7E">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镉</w:t>
            </w:r>
          </w:p>
        </w:tc>
        <w:tc>
          <w:tcPr>
            <w:tcW w:w="383" w:type="pct"/>
            <w:tcBorders>
              <w:tl2br w:val="nil"/>
              <w:tr2bl w:val="nil"/>
            </w:tcBorders>
            <w:vAlign w:val="center"/>
          </w:tcPr>
          <w:p w14:paraId="6F63D74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0.005</w:t>
            </w:r>
          </w:p>
        </w:tc>
        <w:tc>
          <w:tcPr>
            <w:tcW w:w="707" w:type="pct"/>
            <w:tcBorders>
              <w:tl2br w:val="nil"/>
              <w:tr2bl w:val="nil"/>
            </w:tcBorders>
            <w:vAlign w:val="center"/>
          </w:tcPr>
          <w:p w14:paraId="585486E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35" w:type="pct"/>
            <w:tcBorders>
              <w:tl2br w:val="nil"/>
              <w:tr2bl w:val="nil"/>
            </w:tcBorders>
            <w:vAlign w:val="center"/>
          </w:tcPr>
          <w:p w14:paraId="4C45BF9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710" w:type="pct"/>
            <w:tcBorders>
              <w:tl2br w:val="nil"/>
              <w:tr2bl w:val="nil"/>
            </w:tcBorders>
            <w:vAlign w:val="center"/>
          </w:tcPr>
          <w:p w14:paraId="1AE94041">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5.0</w:t>
            </w: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×10</w:t>
            </w:r>
            <w:r>
              <w:rPr>
                <w:rFonts w:hint="eastAsia" w:cs="Times New Roman"/>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L</w:t>
            </w:r>
          </w:p>
        </w:tc>
        <w:tc>
          <w:tcPr>
            <w:tcW w:w="693" w:type="pct"/>
            <w:tcBorders>
              <w:tl2br w:val="nil"/>
              <w:tr2bl w:val="nil"/>
            </w:tcBorders>
            <w:vAlign w:val="center"/>
          </w:tcPr>
          <w:p w14:paraId="731565A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8" w:type="pct"/>
            <w:tcBorders>
              <w:tl2br w:val="nil"/>
              <w:tr2bl w:val="nil"/>
            </w:tcBorders>
            <w:vAlign w:val="center"/>
          </w:tcPr>
          <w:p w14:paraId="023A727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c>
          <w:tcPr>
            <w:tcW w:w="595" w:type="pct"/>
            <w:tcBorders>
              <w:tl2br w:val="nil"/>
              <w:tr2bl w:val="nil"/>
            </w:tcBorders>
            <w:vAlign w:val="center"/>
          </w:tcPr>
          <w:p w14:paraId="2C1F6F0C">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0.10 </w:t>
            </w:r>
          </w:p>
        </w:tc>
      </w:tr>
      <w:tr w14:paraId="683C2B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1A924ED7">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22</w:t>
            </w:r>
          </w:p>
        </w:tc>
        <w:tc>
          <w:tcPr>
            <w:tcW w:w="399" w:type="pct"/>
            <w:tcBorders>
              <w:tl2br w:val="nil"/>
              <w:tr2bl w:val="nil"/>
            </w:tcBorders>
            <w:vAlign w:val="center"/>
          </w:tcPr>
          <w:p w14:paraId="67C158E9">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细菌总数</w:t>
            </w:r>
          </w:p>
        </w:tc>
        <w:tc>
          <w:tcPr>
            <w:tcW w:w="383" w:type="pct"/>
            <w:tcBorders>
              <w:tl2br w:val="nil"/>
              <w:tr2bl w:val="nil"/>
            </w:tcBorders>
            <w:vAlign w:val="center"/>
          </w:tcPr>
          <w:p w14:paraId="635899A0">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100</w:t>
            </w:r>
          </w:p>
        </w:tc>
        <w:tc>
          <w:tcPr>
            <w:tcW w:w="707" w:type="pct"/>
            <w:tcBorders>
              <w:tl2br w:val="nil"/>
              <w:tr2bl w:val="nil"/>
            </w:tcBorders>
            <w:vAlign w:val="center"/>
          </w:tcPr>
          <w:p w14:paraId="2ABB4D0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94</w:t>
            </w:r>
          </w:p>
        </w:tc>
        <w:tc>
          <w:tcPr>
            <w:tcW w:w="735" w:type="pct"/>
            <w:tcBorders>
              <w:tl2br w:val="nil"/>
              <w:tr2bl w:val="nil"/>
            </w:tcBorders>
            <w:vAlign w:val="center"/>
          </w:tcPr>
          <w:p w14:paraId="000965B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85</w:t>
            </w:r>
          </w:p>
        </w:tc>
        <w:tc>
          <w:tcPr>
            <w:tcW w:w="710" w:type="pct"/>
            <w:tcBorders>
              <w:tl2br w:val="nil"/>
              <w:tr2bl w:val="nil"/>
            </w:tcBorders>
            <w:vAlign w:val="center"/>
          </w:tcPr>
          <w:p w14:paraId="1702CAE0">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66</w:t>
            </w:r>
          </w:p>
        </w:tc>
        <w:tc>
          <w:tcPr>
            <w:tcW w:w="693" w:type="pct"/>
            <w:tcBorders>
              <w:tl2br w:val="nil"/>
              <w:tr2bl w:val="nil"/>
            </w:tcBorders>
            <w:vAlign w:val="center"/>
          </w:tcPr>
          <w:p w14:paraId="1E99701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0.94 </w:t>
            </w:r>
          </w:p>
        </w:tc>
        <w:tc>
          <w:tcPr>
            <w:tcW w:w="598" w:type="pct"/>
            <w:tcBorders>
              <w:tl2br w:val="nil"/>
              <w:tr2bl w:val="nil"/>
            </w:tcBorders>
            <w:vAlign w:val="center"/>
          </w:tcPr>
          <w:p w14:paraId="099B962C">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0.85 </w:t>
            </w:r>
          </w:p>
        </w:tc>
        <w:tc>
          <w:tcPr>
            <w:tcW w:w="595" w:type="pct"/>
            <w:tcBorders>
              <w:tl2br w:val="nil"/>
              <w:tr2bl w:val="nil"/>
            </w:tcBorders>
            <w:vAlign w:val="center"/>
          </w:tcPr>
          <w:p w14:paraId="2E1EB70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 xml:space="preserve">0.66 </w:t>
            </w:r>
          </w:p>
        </w:tc>
      </w:tr>
      <w:tr w14:paraId="7C5F4C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548BC82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23</w:t>
            </w:r>
          </w:p>
        </w:tc>
        <w:tc>
          <w:tcPr>
            <w:tcW w:w="399" w:type="pct"/>
            <w:tcBorders>
              <w:tl2br w:val="nil"/>
              <w:tr2bl w:val="nil"/>
            </w:tcBorders>
            <w:vAlign w:val="center"/>
          </w:tcPr>
          <w:p w14:paraId="2DAB8D4F">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重碳酸根</w:t>
            </w:r>
          </w:p>
        </w:tc>
        <w:tc>
          <w:tcPr>
            <w:tcW w:w="383" w:type="pct"/>
            <w:tcBorders>
              <w:tl2br w:val="nil"/>
              <w:tr2bl w:val="nil"/>
            </w:tcBorders>
            <w:vAlign w:val="center"/>
          </w:tcPr>
          <w:p w14:paraId="66C33F88">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07" w:type="pct"/>
            <w:tcBorders>
              <w:tl2br w:val="nil"/>
              <w:tr2bl w:val="nil"/>
            </w:tcBorders>
            <w:vAlign w:val="center"/>
          </w:tcPr>
          <w:p w14:paraId="6AF63269">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334</w:t>
            </w:r>
          </w:p>
        </w:tc>
        <w:tc>
          <w:tcPr>
            <w:tcW w:w="735" w:type="pct"/>
            <w:tcBorders>
              <w:tl2br w:val="nil"/>
              <w:tr2bl w:val="nil"/>
            </w:tcBorders>
            <w:vAlign w:val="center"/>
          </w:tcPr>
          <w:p w14:paraId="2B37F85D">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292</w:t>
            </w:r>
          </w:p>
        </w:tc>
        <w:tc>
          <w:tcPr>
            <w:tcW w:w="710" w:type="pct"/>
            <w:tcBorders>
              <w:tl2br w:val="nil"/>
              <w:tr2bl w:val="nil"/>
            </w:tcBorders>
            <w:vAlign w:val="center"/>
          </w:tcPr>
          <w:p w14:paraId="249B0968">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268</w:t>
            </w:r>
          </w:p>
        </w:tc>
        <w:tc>
          <w:tcPr>
            <w:tcW w:w="693" w:type="pct"/>
            <w:tcBorders>
              <w:tl2br w:val="nil"/>
              <w:tr2bl w:val="nil"/>
            </w:tcBorders>
            <w:vAlign w:val="center"/>
          </w:tcPr>
          <w:p w14:paraId="2054DD03">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4CF71D6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30457402">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r w14:paraId="1A881B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76" w:type="pct"/>
            <w:tcBorders>
              <w:tl2br w:val="nil"/>
              <w:tr2bl w:val="nil"/>
            </w:tcBorders>
            <w:vAlign w:val="center"/>
          </w:tcPr>
          <w:p w14:paraId="1FE1F28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w:t>
            </w:r>
          </w:p>
        </w:tc>
        <w:tc>
          <w:tcPr>
            <w:tcW w:w="399" w:type="pct"/>
            <w:tcBorders>
              <w:tl2br w:val="nil"/>
              <w:tr2bl w:val="nil"/>
            </w:tcBorders>
            <w:vAlign w:val="center"/>
          </w:tcPr>
          <w:p w14:paraId="7D893801">
            <w:pPr>
              <w:pStyle w:val="56"/>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碳酸根</w:t>
            </w:r>
          </w:p>
        </w:tc>
        <w:tc>
          <w:tcPr>
            <w:tcW w:w="383" w:type="pct"/>
            <w:tcBorders>
              <w:tl2br w:val="nil"/>
              <w:tr2bl w:val="nil"/>
            </w:tcBorders>
            <w:vAlign w:val="center"/>
          </w:tcPr>
          <w:p w14:paraId="2FFE22FD">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707" w:type="pct"/>
            <w:tcBorders>
              <w:tl2br w:val="nil"/>
              <w:tr2bl w:val="nil"/>
            </w:tcBorders>
            <w:vAlign w:val="center"/>
          </w:tcPr>
          <w:p w14:paraId="564F1FD4">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5L</w:t>
            </w:r>
          </w:p>
        </w:tc>
        <w:tc>
          <w:tcPr>
            <w:tcW w:w="735" w:type="pct"/>
            <w:tcBorders>
              <w:tl2br w:val="nil"/>
              <w:tr2bl w:val="nil"/>
            </w:tcBorders>
            <w:vAlign w:val="center"/>
          </w:tcPr>
          <w:p w14:paraId="436E315E">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5L</w:t>
            </w:r>
          </w:p>
        </w:tc>
        <w:tc>
          <w:tcPr>
            <w:tcW w:w="710" w:type="pct"/>
            <w:tcBorders>
              <w:tl2br w:val="nil"/>
              <w:tr2bl w:val="nil"/>
            </w:tcBorders>
            <w:vAlign w:val="center"/>
          </w:tcPr>
          <w:p w14:paraId="2446F1A6">
            <w:pPr>
              <w:keepNext w:val="0"/>
              <w:keepLines w:val="0"/>
              <w:pageBreakBefore w:val="0"/>
              <w:widowControl/>
              <w:suppressLineNumbers w:val="0"/>
              <w:kinsoku/>
              <w:wordWrap/>
              <w:overflowPunct/>
              <w:topLinePunct w:val="0"/>
              <w:autoSpaceDE/>
              <w:autoSpaceDN/>
              <w:bidi w:val="0"/>
              <w:adjustRightInd/>
              <w:snapToGrid/>
              <w:spacing w:line="20" w:lineRule="atLeast"/>
              <w:ind w:firstLine="0" w:firstLineChars="0"/>
              <w:jc w:val="center"/>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5L</w:t>
            </w:r>
          </w:p>
        </w:tc>
        <w:tc>
          <w:tcPr>
            <w:tcW w:w="693" w:type="pct"/>
            <w:tcBorders>
              <w:tl2br w:val="nil"/>
              <w:tr2bl w:val="nil"/>
            </w:tcBorders>
            <w:vAlign w:val="center"/>
          </w:tcPr>
          <w:p w14:paraId="7ECCE8B9">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8" w:type="pct"/>
            <w:tcBorders>
              <w:tl2br w:val="nil"/>
              <w:tr2bl w:val="nil"/>
            </w:tcBorders>
            <w:vAlign w:val="center"/>
          </w:tcPr>
          <w:p w14:paraId="7EAE3451">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c>
          <w:tcPr>
            <w:tcW w:w="595" w:type="pct"/>
            <w:tcBorders>
              <w:tl2br w:val="nil"/>
              <w:tr2bl w:val="nil"/>
            </w:tcBorders>
            <w:vAlign w:val="center"/>
          </w:tcPr>
          <w:p w14:paraId="0C1BE718">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SA"/>
                <w14:textFill>
                  <w14:solidFill>
                    <w14:schemeClr w14:val="tx1"/>
                  </w14:solidFill>
                </w14:textFill>
              </w:rPr>
              <w:t>/</w:t>
            </w:r>
          </w:p>
        </w:tc>
      </w:tr>
    </w:tbl>
    <w:p w14:paraId="601BF3C0">
      <w:pPr>
        <w:ind w:firstLine="480"/>
        <w:rPr>
          <w:rFonts w:ascii="Times New Roman" w:hAnsi="Times New Roman" w:cs="Times New Roman"/>
          <w:color w:val="FF0000"/>
        </w:rPr>
        <w:sectPr>
          <w:headerReference r:id="rId17" w:type="default"/>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p>
    <w:p w14:paraId="60421D8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由表4.2-1</w:t>
      </w:r>
      <w:r>
        <w:rPr>
          <w:rFonts w:hint="eastAsia" w:cs="Times New Roman"/>
          <w:color w:val="000000" w:themeColor="text1"/>
          <w:lang w:val="en-US" w:eastAsia="zh-CN"/>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可知，项目区地下水水质监测因子单项标准指数均小于1，说明各项监测值均低于标准值，水质符合《地下水质量标准》（GB/T14848-2017）Ⅲ类标准。表明项目区地下水水质状况良好。</w:t>
      </w:r>
    </w:p>
    <w:p w14:paraId="78240C7A">
      <w:pPr>
        <w:pStyle w:val="5"/>
        <w:numPr>
          <w:ilvl w:val="2"/>
          <w:numId w:val="1"/>
        </w:numPr>
        <w:ind w:left="120"/>
        <w:rPr>
          <w:rFonts w:ascii="Times New Roman" w:hAnsi="Times New Roman" w:cs="Times New Roman"/>
          <w:color w:val="auto"/>
        </w:rPr>
      </w:pPr>
      <w:bookmarkStart w:id="156" w:name="_Toc27582"/>
      <w:r>
        <w:rPr>
          <w:rFonts w:ascii="Times New Roman" w:hAnsi="Times New Roman" w:cs="Times New Roman"/>
          <w:color w:val="auto"/>
        </w:rPr>
        <w:t>声环境质量调查与评价</w:t>
      </w:r>
      <w:bookmarkEnd w:id="156"/>
    </w:p>
    <w:p w14:paraId="3467BA72">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本项目周边900m范围内无声环境敏感目标，根据声环境影响评价技术导则，可以采用类比监测方法。</w:t>
      </w:r>
      <w:r>
        <w:rPr>
          <w:rFonts w:ascii="Times New Roman" w:hAnsi="Times New Roman" w:cs="Times New Roman"/>
          <w:color w:val="000000" w:themeColor="text1"/>
          <w14:textFill>
            <w14:solidFill>
              <w14:schemeClr w14:val="tx1"/>
            </w14:solidFill>
          </w14:textFill>
        </w:rPr>
        <w:t>本次声环境质量现状评价</w:t>
      </w:r>
      <w:r>
        <w:rPr>
          <w:rFonts w:hint="eastAsia" w:cs="Times New Roman"/>
          <w:color w:val="000000" w:themeColor="text1"/>
          <w:lang w:val="en-US" w:eastAsia="zh-CN"/>
          <w14:textFill>
            <w14:solidFill>
              <w14:schemeClr w14:val="tx1"/>
            </w14:solidFill>
          </w14:textFill>
        </w:rPr>
        <w:t>类比</w:t>
      </w:r>
      <w:r>
        <w:rPr>
          <w:rFonts w:ascii="Times New Roman" w:hAnsi="Times New Roman" w:cs="Times New Roman"/>
          <w:color w:val="000000" w:themeColor="text1"/>
          <w14:textFill>
            <w14:solidFill>
              <w14:schemeClr w14:val="tx1"/>
            </w14:solidFill>
          </w14:textFill>
        </w:rPr>
        <w:t>新疆普京检测有限公司对</w:t>
      </w:r>
      <w:r>
        <w:rPr>
          <w:rFonts w:hint="eastAsia" w:cs="Times New Roman"/>
          <w:color w:val="000000" w:themeColor="text1"/>
          <w:lang w:val="en-US" w:eastAsia="zh-CN"/>
          <w14:textFill>
            <w14:solidFill>
              <w14:schemeClr w14:val="tx1"/>
            </w14:solidFill>
          </w14:textFill>
        </w:rPr>
        <w:t>*公司6连其他养殖项目建设前</w:t>
      </w:r>
      <w:r>
        <w:rPr>
          <w:rFonts w:ascii="Times New Roman" w:hAnsi="Times New Roman" w:cs="Times New Roman"/>
          <w:color w:val="000000" w:themeColor="text1"/>
          <w14:textFill>
            <w14:solidFill>
              <w14:schemeClr w14:val="tx1"/>
            </w14:solidFill>
          </w14:textFill>
        </w:rPr>
        <w:t>的监测资料</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本项目建设前周边声环境，与该项目类似，可以用于本次评价</w:t>
      </w:r>
      <w:r>
        <w:rPr>
          <w:rFonts w:ascii="Times New Roman" w:hAnsi="Times New Roman" w:cs="Times New Roman"/>
          <w:color w:val="000000" w:themeColor="text1"/>
          <w14:textFill>
            <w14:solidFill>
              <w14:schemeClr w14:val="tx1"/>
            </w14:solidFill>
          </w14:textFill>
        </w:rPr>
        <w:t>。</w:t>
      </w:r>
    </w:p>
    <w:p w14:paraId="12F8C9FC">
      <w:pPr>
        <w:pStyle w:val="13"/>
        <w:keepNext w:val="0"/>
        <w:keepLines w:val="0"/>
        <w:pageBreakBefore w:val="0"/>
        <w:widowControl w:val="0"/>
        <w:kinsoku/>
        <w:wordWrap/>
        <w:overflowPunct/>
        <w:topLinePunct w:val="0"/>
        <w:autoSpaceDE/>
        <w:autoSpaceDN/>
        <w:bidi w:val="0"/>
        <w:snapToGrid/>
        <w:spacing w:after="0"/>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（1）监测点位</w:t>
      </w:r>
    </w:p>
    <w:p w14:paraId="67AB676C">
      <w:pPr>
        <w:pStyle w:val="34"/>
        <w:keepNext w:val="0"/>
        <w:keepLines w:val="0"/>
        <w:pageBreakBefore w:val="0"/>
        <w:widowControl w:val="0"/>
        <w:kinsoku/>
        <w:wordWrap/>
        <w:overflowPunct/>
        <w:topLinePunct w:val="0"/>
        <w:autoSpaceDE/>
        <w:autoSpaceDN/>
        <w:bidi w:val="0"/>
        <w:snapToGrid/>
        <w:spacing w:after="0"/>
        <w:ind w:left="0" w:leftChars="0" w:firstLine="480"/>
        <w:textAlignment w:val="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项目区四周各布设一个监测点。</w:t>
      </w:r>
    </w:p>
    <w:p w14:paraId="5ACD2010">
      <w:pPr>
        <w:ind w:firstLine="0" w:firstLineChars="0"/>
        <w:jc w:val="center"/>
        <w:rPr>
          <w:rFonts w:hint="default" w:ascii="Times New Roman" w:hAnsi="Times New Roman" w:eastAsia="宋体" w:cs="Times New Roman"/>
          <w:b/>
          <w:bCs/>
          <w:color w:val="auto"/>
          <w:lang w:val="en-US" w:eastAsia="zh-CN"/>
        </w:rPr>
      </w:pPr>
      <w:r>
        <w:rPr>
          <w:rFonts w:ascii="Times New Roman" w:hAnsi="Times New Roman" w:eastAsia="宋体" w:cs="Times New Roman"/>
          <w:b/>
          <w:bCs/>
          <w:snapToGrid w:val="0"/>
          <w:color w:val="000000" w:themeColor="text1"/>
          <w:kern w:val="0"/>
          <w:lang w:val="en-GB"/>
          <w14:textFill>
            <w14:solidFill>
              <w14:schemeClr w14:val="tx1"/>
            </w14:solidFill>
          </w14:textFill>
        </w:rPr>
        <w:t>表</w:t>
      </w:r>
      <w:r>
        <w:rPr>
          <w:rFonts w:hint="eastAsia" w:eastAsia="宋体" w:cs="Times New Roman"/>
          <w:b/>
          <w:bCs/>
          <w:snapToGrid w:val="0"/>
          <w:color w:val="000000" w:themeColor="text1"/>
          <w:kern w:val="0"/>
          <w:lang w:val="en-US" w:eastAsia="zh-CN"/>
          <w14:textFill>
            <w14:solidFill>
              <w14:schemeClr w14:val="tx1"/>
            </w14:solidFill>
          </w14:textFill>
        </w:rPr>
        <w:t>4</w:t>
      </w:r>
      <w:r>
        <w:rPr>
          <w:rFonts w:ascii="Times New Roman" w:hAnsi="Times New Roman" w:eastAsia="宋体" w:cs="Times New Roman"/>
          <w:b/>
          <w:bCs/>
          <w:snapToGrid w:val="0"/>
          <w:color w:val="000000" w:themeColor="text1"/>
          <w:kern w:val="0"/>
          <w14:textFill>
            <w14:solidFill>
              <w14:schemeClr w14:val="tx1"/>
            </w14:solidFill>
          </w14:textFill>
        </w:rPr>
        <w:t>.2-1</w:t>
      </w:r>
      <w:r>
        <w:rPr>
          <w:rFonts w:hint="eastAsia" w:eastAsia="宋体" w:cs="Times New Roman"/>
          <w:b/>
          <w:bCs/>
          <w:snapToGrid w:val="0"/>
          <w:color w:val="000000" w:themeColor="text1"/>
          <w:kern w:val="0"/>
          <w:lang w:val="en-US" w:eastAsia="zh-CN"/>
          <w14:textFill>
            <w14:solidFill>
              <w14:schemeClr w14:val="tx1"/>
            </w14:solidFill>
          </w14:textFill>
        </w:rPr>
        <w:t>1</w:t>
      </w:r>
      <w:r>
        <w:rPr>
          <w:rFonts w:hint="eastAsia" w:ascii="Times New Roman" w:hAnsi="Times New Roman" w:eastAsia="宋体" w:cs="Times New Roman"/>
          <w:b/>
          <w:bCs/>
          <w:snapToGrid w:val="0"/>
          <w:color w:val="000000" w:themeColor="text1"/>
          <w:kern w:val="0"/>
          <w:lang w:val="en-US" w:eastAsia="zh-CN"/>
          <w14:textFill>
            <w14:solidFill>
              <w14:schemeClr w14:val="tx1"/>
            </w14:solidFill>
          </w14:textFill>
        </w:rPr>
        <w:t xml:space="preserve">         </w:t>
      </w:r>
      <w:r>
        <w:rPr>
          <w:rFonts w:hint="eastAsia" w:ascii="Times New Roman" w:hAnsi="Times New Roman" w:eastAsia="宋体" w:cs="Times New Roman"/>
          <w:b/>
          <w:bCs/>
          <w:color w:val="auto"/>
          <w:lang w:val="en-US" w:eastAsia="zh-CN"/>
        </w:rPr>
        <w:t>声环境</w:t>
      </w:r>
      <w:r>
        <w:rPr>
          <w:rFonts w:hint="default" w:ascii="Times New Roman" w:hAnsi="Times New Roman" w:eastAsia="宋体" w:cs="Times New Roman"/>
          <w:b/>
          <w:bCs/>
          <w:color w:val="auto"/>
          <w:lang w:val="en-US" w:eastAsia="zh-CN"/>
        </w:rPr>
        <w:t>现状监测点布置</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90"/>
        <w:gridCol w:w="2427"/>
        <w:gridCol w:w="1965"/>
        <w:gridCol w:w="2957"/>
      </w:tblGrid>
      <w:tr w14:paraId="029FF9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843" w:type="pct"/>
            <w:tcBorders>
              <w:tl2br w:val="nil"/>
              <w:tr2bl w:val="nil"/>
            </w:tcBorders>
            <w:vAlign w:val="center"/>
          </w:tcPr>
          <w:p w14:paraId="78BCEE6B">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点位编号</w:t>
            </w:r>
          </w:p>
        </w:tc>
        <w:tc>
          <w:tcPr>
            <w:tcW w:w="1372" w:type="pct"/>
            <w:tcBorders>
              <w:tl2br w:val="nil"/>
              <w:tr2bl w:val="nil"/>
            </w:tcBorders>
            <w:vAlign w:val="center"/>
          </w:tcPr>
          <w:p w14:paraId="38739A22">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监测点位置</w:t>
            </w:r>
          </w:p>
        </w:tc>
        <w:tc>
          <w:tcPr>
            <w:tcW w:w="1111" w:type="pct"/>
            <w:tcBorders>
              <w:tl2br w:val="nil"/>
              <w:tr2bl w:val="nil"/>
            </w:tcBorders>
            <w:vAlign w:val="center"/>
          </w:tcPr>
          <w:p w14:paraId="44F9B973">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距离</w:t>
            </w:r>
          </w:p>
        </w:tc>
        <w:tc>
          <w:tcPr>
            <w:tcW w:w="1672" w:type="pct"/>
            <w:tcBorders>
              <w:tl2br w:val="nil"/>
              <w:tr2bl w:val="nil"/>
            </w:tcBorders>
            <w:vAlign w:val="center"/>
          </w:tcPr>
          <w:p w14:paraId="3C6F2B54">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监测点坐标</w:t>
            </w:r>
          </w:p>
        </w:tc>
      </w:tr>
      <w:tr w14:paraId="5FD178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843" w:type="pct"/>
            <w:tcBorders>
              <w:tl2br w:val="nil"/>
              <w:tr2bl w:val="nil"/>
            </w:tcBorders>
            <w:vAlign w:val="center"/>
          </w:tcPr>
          <w:p w14:paraId="4D13B74A">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w:t>
            </w:r>
          </w:p>
        </w:tc>
        <w:tc>
          <w:tcPr>
            <w:tcW w:w="1372" w:type="pct"/>
            <w:tcBorders>
              <w:tl2br w:val="nil"/>
              <w:tr2bl w:val="nil"/>
            </w:tcBorders>
            <w:vAlign w:val="center"/>
          </w:tcPr>
          <w:p w14:paraId="7B8BCFF9">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类比</w:t>
            </w:r>
            <w:r>
              <w:rPr>
                <w:rFonts w:hint="eastAsia" w:ascii="Times New Roman" w:hAnsi="Times New Roman" w:eastAsia="宋体" w:cs="Times New Roman"/>
                <w:bCs/>
                <w:color w:val="000000" w:themeColor="text1"/>
                <w:szCs w:val="21"/>
                <w:lang w:val="en-US" w:eastAsia="zh-CN"/>
                <w14:textFill>
                  <w14:solidFill>
                    <w14:schemeClr w14:val="tx1"/>
                  </w14:solidFill>
                </w14:textFill>
              </w:rPr>
              <w:t>项目区北</w:t>
            </w:r>
          </w:p>
        </w:tc>
        <w:tc>
          <w:tcPr>
            <w:tcW w:w="1111" w:type="pct"/>
            <w:tcBorders>
              <w:tl2br w:val="nil"/>
              <w:tr2bl w:val="nil"/>
            </w:tcBorders>
            <w:vAlign w:val="center"/>
          </w:tcPr>
          <w:p w14:paraId="5166D2E5">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1m</w:t>
            </w:r>
          </w:p>
        </w:tc>
        <w:tc>
          <w:tcPr>
            <w:tcW w:w="1672" w:type="pct"/>
            <w:tcBorders>
              <w:tl2br w:val="nil"/>
              <w:tr2bl w:val="nil"/>
            </w:tcBorders>
            <w:vAlign w:val="center"/>
          </w:tcPr>
          <w:p w14:paraId="3CF81045">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80°34′26.511″E, 43°56′15.363″N</w:t>
            </w:r>
          </w:p>
        </w:tc>
      </w:tr>
      <w:tr w14:paraId="280073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843" w:type="pct"/>
            <w:tcBorders>
              <w:tl2br w:val="nil"/>
              <w:tr2bl w:val="nil"/>
            </w:tcBorders>
            <w:vAlign w:val="center"/>
          </w:tcPr>
          <w:p w14:paraId="6BDA1C43">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2</w:t>
            </w:r>
          </w:p>
        </w:tc>
        <w:tc>
          <w:tcPr>
            <w:tcW w:w="1372" w:type="pct"/>
            <w:tcBorders>
              <w:tl2br w:val="nil"/>
              <w:tr2bl w:val="nil"/>
            </w:tcBorders>
            <w:vAlign w:val="center"/>
          </w:tcPr>
          <w:p w14:paraId="057411CC">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类比</w:t>
            </w:r>
            <w:r>
              <w:rPr>
                <w:rFonts w:hint="eastAsia" w:ascii="Times New Roman" w:hAnsi="Times New Roman" w:eastAsia="宋体" w:cs="Times New Roman"/>
                <w:bCs/>
                <w:color w:val="000000" w:themeColor="text1"/>
                <w:szCs w:val="21"/>
                <w:lang w:val="en-US" w:eastAsia="zh-CN"/>
                <w14:textFill>
                  <w14:solidFill>
                    <w14:schemeClr w14:val="tx1"/>
                  </w14:solidFill>
                </w14:textFill>
              </w:rPr>
              <w:t>项目区南</w:t>
            </w:r>
          </w:p>
        </w:tc>
        <w:tc>
          <w:tcPr>
            <w:tcW w:w="1111" w:type="pct"/>
            <w:tcBorders>
              <w:tl2br w:val="nil"/>
              <w:tr2bl w:val="nil"/>
            </w:tcBorders>
            <w:vAlign w:val="center"/>
          </w:tcPr>
          <w:p w14:paraId="60BDCEB6">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1m</w:t>
            </w:r>
          </w:p>
        </w:tc>
        <w:tc>
          <w:tcPr>
            <w:tcW w:w="1672" w:type="pct"/>
            <w:tcBorders>
              <w:tl2br w:val="nil"/>
              <w:tr2bl w:val="nil"/>
            </w:tcBorders>
            <w:vAlign w:val="center"/>
          </w:tcPr>
          <w:p w14:paraId="7B8C56E4">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80°34′21.374″E, 43°56′2.235″N</w:t>
            </w:r>
          </w:p>
        </w:tc>
      </w:tr>
      <w:tr w14:paraId="284EAE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843" w:type="pct"/>
            <w:tcBorders>
              <w:tl2br w:val="nil"/>
              <w:tr2bl w:val="nil"/>
            </w:tcBorders>
            <w:vAlign w:val="center"/>
          </w:tcPr>
          <w:p w14:paraId="3DC5F457">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w:t>
            </w:r>
          </w:p>
        </w:tc>
        <w:tc>
          <w:tcPr>
            <w:tcW w:w="1372" w:type="pct"/>
            <w:tcBorders>
              <w:tl2br w:val="nil"/>
              <w:tr2bl w:val="nil"/>
            </w:tcBorders>
            <w:vAlign w:val="center"/>
          </w:tcPr>
          <w:p w14:paraId="2B949917">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类比</w:t>
            </w:r>
            <w:r>
              <w:rPr>
                <w:rFonts w:hint="eastAsia" w:ascii="Times New Roman" w:hAnsi="Times New Roman" w:eastAsia="宋体" w:cs="Times New Roman"/>
                <w:bCs/>
                <w:color w:val="000000" w:themeColor="text1"/>
                <w:szCs w:val="21"/>
                <w:lang w:val="en-US" w:eastAsia="zh-CN"/>
                <w14:textFill>
                  <w14:solidFill>
                    <w14:schemeClr w14:val="tx1"/>
                  </w14:solidFill>
                </w14:textFill>
              </w:rPr>
              <w:t>项目区西</w:t>
            </w:r>
          </w:p>
        </w:tc>
        <w:tc>
          <w:tcPr>
            <w:tcW w:w="1111" w:type="pct"/>
            <w:tcBorders>
              <w:tl2br w:val="nil"/>
              <w:tr2bl w:val="nil"/>
            </w:tcBorders>
            <w:vAlign w:val="center"/>
          </w:tcPr>
          <w:p w14:paraId="22609009">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1m</w:t>
            </w:r>
          </w:p>
        </w:tc>
        <w:tc>
          <w:tcPr>
            <w:tcW w:w="1672" w:type="pct"/>
            <w:tcBorders>
              <w:tl2br w:val="nil"/>
              <w:tr2bl w:val="nil"/>
            </w:tcBorders>
            <w:vAlign w:val="center"/>
          </w:tcPr>
          <w:p w14:paraId="065F8A37">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80°34′17.319″E, 43°56′7.853″N</w:t>
            </w:r>
          </w:p>
        </w:tc>
      </w:tr>
      <w:tr w14:paraId="3D4385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843" w:type="pct"/>
            <w:tcBorders>
              <w:tl2br w:val="nil"/>
              <w:tr2bl w:val="nil"/>
            </w:tcBorders>
            <w:vAlign w:val="center"/>
          </w:tcPr>
          <w:p w14:paraId="6152B7B4">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4</w:t>
            </w:r>
          </w:p>
        </w:tc>
        <w:tc>
          <w:tcPr>
            <w:tcW w:w="1372" w:type="pct"/>
            <w:tcBorders>
              <w:tl2br w:val="nil"/>
              <w:tr2bl w:val="nil"/>
            </w:tcBorders>
            <w:vAlign w:val="center"/>
          </w:tcPr>
          <w:p w14:paraId="2BC44115">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类比</w:t>
            </w:r>
            <w:r>
              <w:rPr>
                <w:rFonts w:hint="eastAsia" w:ascii="Times New Roman" w:hAnsi="Times New Roman" w:eastAsia="宋体" w:cs="Times New Roman"/>
                <w:bCs/>
                <w:color w:val="000000" w:themeColor="text1"/>
                <w:szCs w:val="21"/>
                <w:lang w:val="en-US" w:eastAsia="zh-CN"/>
                <w14:textFill>
                  <w14:solidFill>
                    <w14:schemeClr w14:val="tx1"/>
                  </w14:solidFill>
                </w14:textFill>
              </w:rPr>
              <w:t>项目区东</w:t>
            </w:r>
          </w:p>
        </w:tc>
        <w:tc>
          <w:tcPr>
            <w:tcW w:w="1111" w:type="pct"/>
            <w:tcBorders>
              <w:tl2br w:val="nil"/>
              <w:tr2bl w:val="nil"/>
            </w:tcBorders>
            <w:vAlign w:val="center"/>
          </w:tcPr>
          <w:p w14:paraId="68F0F1A8">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1m</w:t>
            </w:r>
          </w:p>
        </w:tc>
        <w:tc>
          <w:tcPr>
            <w:tcW w:w="1672" w:type="pct"/>
            <w:tcBorders>
              <w:tl2br w:val="nil"/>
              <w:tr2bl w:val="nil"/>
            </w:tcBorders>
            <w:vAlign w:val="center"/>
          </w:tcPr>
          <w:p w14:paraId="6D053BA7">
            <w:pPr>
              <w:pStyle w:val="56"/>
              <w:spacing w:before="6"/>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80°34′28.906″E, 43°56′5.656″N</w:t>
            </w:r>
          </w:p>
        </w:tc>
      </w:tr>
    </w:tbl>
    <w:p w14:paraId="4BA79640">
      <w:pPr>
        <w:pStyle w:val="13"/>
        <w:keepNext w:val="0"/>
        <w:keepLines w:val="0"/>
        <w:pageBreakBefore w:val="0"/>
        <w:widowControl w:val="0"/>
        <w:kinsoku/>
        <w:wordWrap/>
        <w:overflowPunct/>
        <w:topLinePunct w:val="0"/>
        <w:autoSpaceDE/>
        <w:autoSpaceDN/>
        <w:bidi w:val="0"/>
        <w:snapToGrid/>
        <w:spacing w:after="0"/>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（2）监测时间</w:t>
      </w:r>
    </w:p>
    <w:p w14:paraId="05DDFE54">
      <w:pPr>
        <w:pStyle w:val="34"/>
        <w:keepNext w:val="0"/>
        <w:keepLines w:val="0"/>
        <w:pageBreakBefore w:val="0"/>
        <w:widowControl w:val="0"/>
        <w:kinsoku/>
        <w:wordWrap/>
        <w:overflowPunct/>
        <w:topLinePunct w:val="0"/>
        <w:autoSpaceDE/>
        <w:autoSpaceDN/>
        <w:bidi w:val="0"/>
        <w:snapToGrid/>
        <w:spacing w:after="0"/>
        <w:ind w:left="0" w:leftChars="0" w:firstLine="480"/>
        <w:textAlignment w:val="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监测时间为202</w:t>
      </w:r>
      <w:r>
        <w:rPr>
          <w:rFonts w:hint="eastAsia" w:ascii="Times New Roman" w:hAnsi="Times New Roman" w:cs="Times New Roman" w:eastAsiaTheme="minorEastAsia"/>
          <w:color w:val="000000" w:themeColor="text1"/>
          <w:lang w:val="en-US" w:eastAsia="zh-CN"/>
          <w14:textFill>
            <w14:solidFill>
              <w14:schemeClr w14:val="tx1"/>
            </w14:solidFill>
          </w14:textFill>
        </w:rPr>
        <w:t>4</w:t>
      </w:r>
      <w:r>
        <w:rPr>
          <w:rFonts w:ascii="Times New Roman" w:hAnsi="Times New Roman" w:cs="Times New Roman" w:eastAsiaTheme="minorEastAsia"/>
          <w:color w:val="000000" w:themeColor="text1"/>
          <w14:textFill>
            <w14:solidFill>
              <w14:schemeClr w14:val="tx1"/>
            </w14:solidFill>
          </w14:textFill>
        </w:rPr>
        <w:t>年</w:t>
      </w:r>
      <w:r>
        <w:rPr>
          <w:rFonts w:hint="eastAsia" w:ascii="Times New Roman" w:hAnsi="Times New Roman" w:cs="Times New Roman" w:eastAsiaTheme="minorEastAsia"/>
          <w:color w:val="000000" w:themeColor="text1"/>
          <w:lang w:val="en-US" w:eastAsia="zh-CN"/>
          <w14:textFill>
            <w14:solidFill>
              <w14:schemeClr w14:val="tx1"/>
            </w14:solidFill>
          </w14:textFill>
        </w:rPr>
        <w:t>10</w:t>
      </w:r>
      <w:r>
        <w:rPr>
          <w:rFonts w:ascii="Times New Roman" w:hAnsi="Times New Roman" w:cs="Times New Roman" w:eastAsiaTheme="minorEastAsia"/>
          <w:color w:val="000000" w:themeColor="text1"/>
          <w14:textFill>
            <w14:solidFill>
              <w14:schemeClr w14:val="tx1"/>
            </w14:solidFill>
          </w14:textFill>
        </w:rPr>
        <w:t>月</w:t>
      </w:r>
      <w:r>
        <w:rPr>
          <w:rFonts w:hint="eastAsia" w:ascii="Times New Roman" w:hAnsi="Times New Roman" w:cs="Times New Roman" w:eastAsiaTheme="minorEastAsia"/>
          <w:color w:val="000000" w:themeColor="text1"/>
          <w:lang w:val="en-US" w:eastAsia="zh-CN"/>
          <w14:textFill>
            <w14:solidFill>
              <w14:schemeClr w14:val="tx1"/>
            </w14:solidFill>
          </w14:textFill>
        </w:rPr>
        <w:t>28</w:t>
      </w:r>
      <w:r>
        <w:rPr>
          <w:rFonts w:ascii="Times New Roman" w:hAnsi="Times New Roman" w:cs="Times New Roman" w:eastAsiaTheme="minorEastAsia"/>
          <w:color w:val="000000" w:themeColor="text1"/>
          <w14:textFill>
            <w14:solidFill>
              <w14:schemeClr w14:val="tx1"/>
            </w14:solidFill>
          </w14:textFill>
        </w:rPr>
        <w:t>日</w:t>
      </w:r>
      <w:r>
        <w:rPr>
          <w:rFonts w:hint="eastAsia" w:cs="Times New Roman" w:eastAsiaTheme="minorEastAsia"/>
          <w:color w:val="000000" w:themeColor="text1"/>
          <w:lang w:eastAsia="zh-CN"/>
          <w14:textFill>
            <w14:solidFill>
              <w14:schemeClr w14:val="tx1"/>
            </w14:solidFill>
          </w14:textFill>
        </w:rPr>
        <w:t>—</w:t>
      </w:r>
      <w:r>
        <w:rPr>
          <w:rFonts w:hint="eastAsia" w:ascii="Times New Roman" w:hAnsi="Times New Roman" w:cs="Times New Roman" w:eastAsiaTheme="minorEastAsia"/>
          <w:color w:val="000000" w:themeColor="text1"/>
          <w:lang w:val="en-US" w:eastAsia="zh-CN"/>
          <w14:textFill>
            <w14:solidFill>
              <w14:schemeClr w14:val="tx1"/>
            </w14:solidFill>
          </w14:textFill>
        </w:rPr>
        <w:t>10</w:t>
      </w:r>
      <w:r>
        <w:rPr>
          <w:rFonts w:ascii="Times New Roman" w:hAnsi="Times New Roman" w:cs="Times New Roman" w:eastAsiaTheme="minorEastAsia"/>
          <w:color w:val="000000" w:themeColor="text1"/>
          <w14:textFill>
            <w14:solidFill>
              <w14:schemeClr w14:val="tx1"/>
            </w14:solidFill>
          </w14:textFill>
        </w:rPr>
        <w:t>月</w:t>
      </w:r>
      <w:r>
        <w:rPr>
          <w:rFonts w:hint="eastAsia" w:ascii="Times New Roman" w:hAnsi="Times New Roman" w:cs="Times New Roman" w:eastAsiaTheme="minorEastAsia"/>
          <w:color w:val="000000" w:themeColor="text1"/>
          <w:lang w:val="en-US" w:eastAsia="zh-CN"/>
          <w14:textFill>
            <w14:solidFill>
              <w14:schemeClr w14:val="tx1"/>
            </w14:solidFill>
          </w14:textFill>
        </w:rPr>
        <w:t>29</w:t>
      </w:r>
      <w:r>
        <w:rPr>
          <w:rFonts w:ascii="Times New Roman" w:hAnsi="Times New Roman" w:cs="Times New Roman" w:eastAsiaTheme="minorEastAsia"/>
          <w:color w:val="000000" w:themeColor="text1"/>
          <w14:textFill>
            <w14:solidFill>
              <w14:schemeClr w14:val="tx1"/>
            </w14:solidFill>
          </w14:textFill>
        </w:rPr>
        <w:t>日。</w:t>
      </w:r>
    </w:p>
    <w:p w14:paraId="0C24D624">
      <w:pPr>
        <w:pStyle w:val="13"/>
        <w:keepNext w:val="0"/>
        <w:keepLines w:val="0"/>
        <w:pageBreakBefore w:val="0"/>
        <w:widowControl w:val="0"/>
        <w:kinsoku/>
        <w:wordWrap/>
        <w:overflowPunct/>
        <w:topLinePunct w:val="0"/>
        <w:autoSpaceDE/>
        <w:autoSpaceDN/>
        <w:bidi w:val="0"/>
        <w:snapToGrid/>
        <w:spacing w:after="0"/>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（3）监测频率</w:t>
      </w:r>
    </w:p>
    <w:p w14:paraId="335799F9">
      <w:pPr>
        <w:pStyle w:val="34"/>
        <w:keepNext w:val="0"/>
        <w:keepLines w:val="0"/>
        <w:pageBreakBefore w:val="0"/>
        <w:widowControl w:val="0"/>
        <w:kinsoku/>
        <w:wordWrap/>
        <w:overflowPunct/>
        <w:topLinePunct w:val="0"/>
        <w:autoSpaceDE/>
        <w:autoSpaceDN/>
        <w:bidi w:val="0"/>
        <w:snapToGrid/>
        <w:spacing w:after="0"/>
        <w:ind w:left="0" w:leftChars="0" w:firstLine="480"/>
        <w:textAlignment w:val="auto"/>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监测频率为每天昼、夜各监测一次。</w:t>
      </w:r>
    </w:p>
    <w:p w14:paraId="23A63B0E">
      <w:pPr>
        <w:pStyle w:val="13"/>
        <w:keepNext w:val="0"/>
        <w:keepLines w:val="0"/>
        <w:pageBreakBefore w:val="0"/>
        <w:widowControl w:val="0"/>
        <w:kinsoku/>
        <w:wordWrap/>
        <w:overflowPunct/>
        <w:topLinePunct w:val="0"/>
        <w:autoSpaceDE/>
        <w:autoSpaceDN/>
        <w:bidi w:val="0"/>
        <w:snapToGrid/>
        <w:spacing w:after="0"/>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（4）评价标准与方法</w:t>
      </w:r>
    </w:p>
    <w:p w14:paraId="29A8A534">
      <w:pPr>
        <w:keepNext w:val="0"/>
        <w:keepLines w:val="0"/>
        <w:pageBreakBefore w:val="0"/>
        <w:widowControl w:val="0"/>
        <w:kinsoku/>
        <w:wordWrap/>
        <w:overflowPunct/>
        <w:topLinePunct w:val="0"/>
        <w:autoSpaceDE/>
        <w:autoSpaceDN/>
        <w:bidi w:val="0"/>
        <w:snapToGrid/>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根据《声环境功能区划分技术规范》（GB15190—2014）及《声环境质量标准》（GB3096-2008）适用区域划分规定，项目选址所在区域为设施农业用地区属</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类标准适用区，本评价区域环境噪声质量标准执行《声环境质量标准》（GB 3096—2008）</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类标准。</w:t>
      </w:r>
    </w:p>
    <w:p w14:paraId="07BED480">
      <w:pPr>
        <w:pStyle w:val="13"/>
        <w:keepNext w:val="0"/>
        <w:keepLines w:val="0"/>
        <w:pageBreakBefore w:val="0"/>
        <w:widowControl w:val="0"/>
        <w:kinsoku/>
        <w:wordWrap/>
        <w:overflowPunct/>
        <w:topLinePunct w:val="0"/>
        <w:autoSpaceDE/>
        <w:autoSpaceDN/>
        <w:bidi w:val="0"/>
        <w:snapToGrid/>
        <w:spacing w:after="0"/>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（5）评价方法</w:t>
      </w:r>
    </w:p>
    <w:p w14:paraId="42524117">
      <w:pPr>
        <w:keepNext w:val="0"/>
        <w:keepLines w:val="0"/>
        <w:pageBreakBefore w:val="0"/>
        <w:widowControl w:val="0"/>
        <w:kinsoku/>
        <w:wordWrap/>
        <w:overflowPunct/>
        <w:topLinePunct w:val="0"/>
        <w:autoSpaceDE/>
        <w:autoSpaceDN/>
        <w:bidi w:val="0"/>
        <w:snapToGrid/>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根据各点的监测数据计算出各测点的等效A声级Leq。评价方法采用噪声标准对比法。</w:t>
      </w:r>
    </w:p>
    <w:p w14:paraId="674FC4DF">
      <w:pPr>
        <w:pStyle w:val="13"/>
        <w:keepNext w:val="0"/>
        <w:keepLines w:val="0"/>
        <w:pageBreakBefore w:val="0"/>
        <w:widowControl w:val="0"/>
        <w:kinsoku/>
        <w:wordWrap/>
        <w:overflowPunct/>
        <w:topLinePunct w:val="0"/>
        <w:autoSpaceDE/>
        <w:autoSpaceDN/>
        <w:bidi w:val="0"/>
        <w:snapToGrid/>
        <w:spacing w:after="0"/>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（6）监测结果与评价</w:t>
      </w:r>
    </w:p>
    <w:p w14:paraId="4CA207F8">
      <w:pPr>
        <w:keepNext w:val="0"/>
        <w:keepLines w:val="0"/>
        <w:pageBreakBefore w:val="0"/>
        <w:widowControl w:val="0"/>
        <w:kinsoku/>
        <w:wordWrap/>
        <w:overflowPunct/>
        <w:topLinePunct w:val="0"/>
        <w:autoSpaceDE/>
        <w:autoSpaceDN/>
        <w:bidi w:val="0"/>
        <w:snapToGrid/>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噪声现状监测及评价结果见表</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.2-1</w:t>
      </w:r>
      <w:r>
        <w:rPr>
          <w:rFonts w:hint="eastAsia"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p>
    <w:p w14:paraId="7E556DCC">
      <w:pPr>
        <w:tabs>
          <w:tab w:val="left" w:pos="4024"/>
        </w:tabs>
        <w:ind w:firstLine="0" w:firstLineChars="0"/>
        <w:jc w:val="center"/>
        <w:rPr>
          <w:rFonts w:ascii="Times New Roman" w:hAnsi="Times New Roman" w:eastAsia="宋体" w:cs="Times New Roman"/>
          <w:b/>
          <w:bCs/>
          <w:snapToGrid w:val="0"/>
          <w:color w:val="000000" w:themeColor="text1"/>
          <w:lang w:val="en-GB"/>
          <w14:textFill>
            <w14:solidFill>
              <w14:schemeClr w14:val="tx1"/>
            </w14:solidFill>
          </w14:textFill>
        </w:rPr>
      </w:pPr>
      <w:r>
        <w:rPr>
          <w:rFonts w:ascii="Times New Roman" w:hAnsi="Times New Roman" w:eastAsia="宋体" w:cs="Times New Roman"/>
          <w:b/>
          <w:bCs/>
          <w:snapToGrid w:val="0"/>
          <w:color w:val="000000" w:themeColor="text1"/>
          <w:kern w:val="0"/>
          <w:lang w:val="en-GB"/>
          <w14:textFill>
            <w14:solidFill>
              <w14:schemeClr w14:val="tx1"/>
            </w14:solidFill>
          </w14:textFill>
        </w:rPr>
        <w:t>表</w:t>
      </w:r>
      <w:r>
        <w:rPr>
          <w:rFonts w:hint="eastAsia" w:eastAsia="宋体" w:cs="Times New Roman"/>
          <w:b/>
          <w:bCs/>
          <w:snapToGrid w:val="0"/>
          <w:color w:val="000000" w:themeColor="text1"/>
          <w:kern w:val="0"/>
          <w:lang w:val="en-US" w:eastAsia="zh-CN"/>
          <w14:textFill>
            <w14:solidFill>
              <w14:schemeClr w14:val="tx1"/>
            </w14:solidFill>
          </w14:textFill>
        </w:rPr>
        <w:t>4</w:t>
      </w:r>
      <w:r>
        <w:rPr>
          <w:rFonts w:ascii="Times New Roman" w:hAnsi="Times New Roman" w:eastAsia="宋体" w:cs="Times New Roman"/>
          <w:b/>
          <w:bCs/>
          <w:snapToGrid w:val="0"/>
          <w:color w:val="000000" w:themeColor="text1"/>
          <w:kern w:val="0"/>
          <w14:textFill>
            <w14:solidFill>
              <w14:schemeClr w14:val="tx1"/>
            </w14:solidFill>
          </w14:textFill>
        </w:rPr>
        <w:t>.2-1</w:t>
      </w:r>
      <w:r>
        <w:rPr>
          <w:rFonts w:hint="eastAsia" w:eastAsia="宋体" w:cs="Times New Roman"/>
          <w:b/>
          <w:bCs/>
          <w:snapToGrid w:val="0"/>
          <w:color w:val="000000" w:themeColor="text1"/>
          <w:kern w:val="0"/>
          <w:lang w:val="en-US" w:eastAsia="zh-CN"/>
          <w14:textFill>
            <w14:solidFill>
              <w14:schemeClr w14:val="tx1"/>
            </w14:solidFill>
          </w14:textFill>
        </w:rPr>
        <w:t>2</w:t>
      </w:r>
      <w:r>
        <w:rPr>
          <w:rFonts w:ascii="Times New Roman" w:hAnsi="Times New Roman" w:eastAsia="宋体" w:cs="Times New Roman"/>
          <w:b/>
          <w:bCs/>
          <w:snapToGrid w:val="0"/>
          <w:color w:val="000000" w:themeColor="text1"/>
          <w:kern w:val="0"/>
          <w:lang w:val="en-GB"/>
          <w14:textFill>
            <w14:solidFill>
              <w14:schemeClr w14:val="tx1"/>
            </w14:solidFill>
          </w14:textFill>
        </w:rPr>
        <w:t xml:space="preserve">     噪声现状监测     单位：dB(A)</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161"/>
        <w:gridCol w:w="1933"/>
        <w:gridCol w:w="1112"/>
        <w:gridCol w:w="1112"/>
        <w:gridCol w:w="1234"/>
        <w:gridCol w:w="739"/>
        <w:gridCol w:w="635"/>
      </w:tblGrid>
      <w:tr w14:paraId="471DC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vAlign w:val="center"/>
          </w:tcPr>
          <w:p w14:paraId="507D9CB4">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区域</w:t>
            </w:r>
          </w:p>
        </w:tc>
        <w:tc>
          <w:tcPr>
            <w:tcW w:w="641" w:type="pct"/>
            <w:tcBorders>
              <w:tl2br w:val="nil"/>
              <w:tr2bl w:val="nil"/>
            </w:tcBorders>
            <w:vAlign w:val="center"/>
          </w:tcPr>
          <w:p w14:paraId="32987743">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监测日期</w:t>
            </w:r>
          </w:p>
        </w:tc>
        <w:tc>
          <w:tcPr>
            <w:tcW w:w="1067" w:type="pct"/>
            <w:tcBorders>
              <w:tl2br w:val="nil"/>
              <w:tr2bl w:val="nil"/>
            </w:tcBorders>
            <w:vAlign w:val="center"/>
          </w:tcPr>
          <w:p w14:paraId="6745E4D2">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监测点位</w:t>
            </w:r>
          </w:p>
        </w:tc>
        <w:tc>
          <w:tcPr>
            <w:tcW w:w="614" w:type="pct"/>
            <w:tcBorders>
              <w:tl2br w:val="nil"/>
              <w:tr2bl w:val="nil"/>
            </w:tcBorders>
            <w:vAlign w:val="center"/>
          </w:tcPr>
          <w:p w14:paraId="01A0C344">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监测时段</w:t>
            </w:r>
          </w:p>
        </w:tc>
        <w:tc>
          <w:tcPr>
            <w:tcW w:w="614" w:type="pct"/>
            <w:tcBorders>
              <w:tl2br w:val="nil"/>
              <w:tr2bl w:val="nil"/>
            </w:tcBorders>
            <w:vAlign w:val="center"/>
          </w:tcPr>
          <w:p w14:paraId="12BBCFF1">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监测时间</w:t>
            </w:r>
          </w:p>
        </w:tc>
        <w:tc>
          <w:tcPr>
            <w:tcW w:w="681" w:type="pct"/>
            <w:tcBorders>
              <w:tl2br w:val="nil"/>
              <w:tr2bl w:val="nil"/>
            </w:tcBorders>
            <w:vAlign w:val="center"/>
          </w:tcPr>
          <w:p w14:paraId="7786121C">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Leq</w:t>
            </w:r>
          </w:p>
        </w:tc>
        <w:tc>
          <w:tcPr>
            <w:tcW w:w="408" w:type="pct"/>
            <w:tcBorders>
              <w:tl2br w:val="nil"/>
              <w:tr2bl w:val="nil"/>
            </w:tcBorders>
            <w:vAlign w:val="center"/>
          </w:tcPr>
          <w:p w14:paraId="344A22D7">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限值</w:t>
            </w:r>
          </w:p>
        </w:tc>
        <w:tc>
          <w:tcPr>
            <w:tcW w:w="350" w:type="pct"/>
            <w:tcBorders>
              <w:tl2br w:val="nil"/>
              <w:tr2bl w:val="nil"/>
            </w:tcBorders>
            <w:vAlign w:val="center"/>
          </w:tcPr>
          <w:p w14:paraId="3E8DC539">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达标评价</w:t>
            </w:r>
          </w:p>
        </w:tc>
      </w:tr>
      <w:tr w14:paraId="5617B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restart"/>
            <w:tcBorders>
              <w:tl2br w:val="nil"/>
              <w:tr2bl w:val="nil"/>
            </w:tcBorders>
            <w:vAlign w:val="center"/>
          </w:tcPr>
          <w:p w14:paraId="285FC599">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6连项目区</w:t>
            </w:r>
          </w:p>
        </w:tc>
        <w:tc>
          <w:tcPr>
            <w:tcW w:w="641" w:type="pct"/>
            <w:vMerge w:val="restart"/>
            <w:tcBorders>
              <w:tl2br w:val="nil"/>
              <w:tr2bl w:val="nil"/>
            </w:tcBorders>
            <w:vAlign w:val="center"/>
          </w:tcPr>
          <w:p w14:paraId="5A5D4849">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202</w:t>
            </w:r>
            <w:r>
              <w:rPr>
                <w:rFonts w:hint="eastAsia" w:ascii="Times New Roman" w:hAnsi="Times New Roman"/>
                <w:bCs/>
                <w:color w:val="000000" w:themeColor="text1"/>
                <w:sz w:val="21"/>
                <w:szCs w:val="21"/>
                <w:lang w:val="en-US" w:eastAsia="zh-CN"/>
                <w14:textFill>
                  <w14:solidFill>
                    <w14:schemeClr w14:val="tx1"/>
                  </w14:solidFill>
                </w14:textFill>
              </w:rPr>
              <w:t>4</w:t>
            </w:r>
            <w:r>
              <w:rPr>
                <w:rFonts w:ascii="Times New Roman" w:hAnsi="Times New Roman"/>
                <w:bCs/>
                <w:color w:val="000000" w:themeColor="text1"/>
                <w:sz w:val="21"/>
                <w:szCs w:val="21"/>
                <w:lang w:val="en-US"/>
                <w14:textFill>
                  <w14:solidFill>
                    <w14:schemeClr w14:val="tx1"/>
                  </w14:solidFill>
                </w14:textFill>
              </w:rPr>
              <w:t>.</w:t>
            </w:r>
            <w:r>
              <w:rPr>
                <w:rFonts w:hint="eastAsia" w:ascii="Times New Roman" w:hAnsi="Times New Roman"/>
                <w:bCs/>
                <w:color w:val="000000" w:themeColor="text1"/>
                <w:sz w:val="21"/>
                <w:szCs w:val="21"/>
                <w:lang w:val="en-US" w:eastAsia="zh-CN"/>
                <w14:textFill>
                  <w14:solidFill>
                    <w14:schemeClr w14:val="tx1"/>
                  </w14:solidFill>
                </w14:textFill>
              </w:rPr>
              <w:t>10.28</w:t>
            </w:r>
          </w:p>
        </w:tc>
        <w:tc>
          <w:tcPr>
            <w:tcW w:w="1067" w:type="pct"/>
            <w:tcBorders>
              <w:tl2br w:val="nil"/>
              <w:tr2bl w:val="nil"/>
            </w:tcBorders>
            <w:vAlign w:val="center"/>
          </w:tcPr>
          <w:p w14:paraId="53ECCFA3">
            <w:pPr>
              <w:pStyle w:val="56"/>
              <w:spacing w:before="6"/>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类比项目区东</w:t>
            </w:r>
            <w:r>
              <w:rPr>
                <w:rFonts w:hint="default" w:ascii="Times New Roman" w:hAnsi="Times New Roman" w:eastAsia="宋体" w:cs="Times New Roman"/>
                <w:bCs/>
                <w:color w:val="000000" w:themeColor="text1"/>
                <w:szCs w:val="21"/>
                <w:lang w:val="en-US" w:eastAsia="zh-CN"/>
                <w14:textFill>
                  <w14:solidFill>
                    <w14:schemeClr w14:val="tx1"/>
                  </w14:solidFill>
                </w14:textFill>
              </w:rPr>
              <w:t>侧（1#）</w:t>
            </w:r>
          </w:p>
        </w:tc>
        <w:tc>
          <w:tcPr>
            <w:tcW w:w="614" w:type="pct"/>
            <w:vMerge w:val="restart"/>
            <w:tcBorders>
              <w:tl2br w:val="nil"/>
              <w:tr2bl w:val="nil"/>
            </w:tcBorders>
            <w:vAlign w:val="center"/>
          </w:tcPr>
          <w:p w14:paraId="23E6D8A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昼</w:t>
            </w:r>
          </w:p>
        </w:tc>
        <w:tc>
          <w:tcPr>
            <w:tcW w:w="614" w:type="pct"/>
            <w:tcBorders>
              <w:tl2br w:val="nil"/>
              <w:tr2bl w:val="nil"/>
            </w:tcBorders>
            <w:vAlign w:val="center"/>
          </w:tcPr>
          <w:p w14:paraId="7C17295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12:10</w:t>
            </w:r>
          </w:p>
        </w:tc>
        <w:tc>
          <w:tcPr>
            <w:tcW w:w="681" w:type="pct"/>
            <w:tcBorders>
              <w:tl2br w:val="nil"/>
              <w:tr2bl w:val="nil"/>
            </w:tcBorders>
            <w:vAlign w:val="center"/>
          </w:tcPr>
          <w:p w14:paraId="58BFF9A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53</w:t>
            </w:r>
          </w:p>
        </w:tc>
        <w:tc>
          <w:tcPr>
            <w:tcW w:w="408" w:type="pct"/>
            <w:vMerge w:val="restart"/>
            <w:tcBorders>
              <w:tl2br w:val="nil"/>
              <w:tr2bl w:val="nil"/>
            </w:tcBorders>
            <w:vAlign w:val="center"/>
          </w:tcPr>
          <w:p w14:paraId="0FE9302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6</w:t>
            </w:r>
            <w:r>
              <w:rPr>
                <w:rFonts w:hint="eastAsia" w:ascii="Times New Roman" w:hAnsi="Times New Roman" w:cs="Times New Roman"/>
                <w:bCs/>
                <w:color w:val="000000" w:themeColor="text1"/>
                <w:sz w:val="21"/>
                <w:szCs w:val="21"/>
                <w:lang w:val="en-US" w:eastAsia="zh-CN"/>
                <w14:textFill>
                  <w14:solidFill>
                    <w14:schemeClr w14:val="tx1"/>
                  </w14:solidFill>
                </w14:textFill>
              </w:rPr>
              <w:t>5</w:t>
            </w:r>
          </w:p>
        </w:tc>
        <w:tc>
          <w:tcPr>
            <w:tcW w:w="350" w:type="pct"/>
            <w:vMerge w:val="restart"/>
            <w:tcBorders>
              <w:tl2br w:val="nil"/>
              <w:tr2bl w:val="nil"/>
            </w:tcBorders>
            <w:vAlign w:val="center"/>
          </w:tcPr>
          <w:p w14:paraId="6A86E491">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达标</w:t>
            </w:r>
          </w:p>
        </w:tc>
      </w:tr>
      <w:tr w14:paraId="00691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7D66D34D">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19B32947">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24EA2704">
            <w:pPr>
              <w:pStyle w:val="56"/>
              <w:spacing w:before="6"/>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类比项目区南</w:t>
            </w:r>
            <w:r>
              <w:rPr>
                <w:rFonts w:hint="default" w:ascii="Times New Roman" w:hAnsi="Times New Roman" w:eastAsia="宋体" w:cs="Times New Roman"/>
                <w:bCs/>
                <w:color w:val="000000" w:themeColor="text1"/>
                <w:szCs w:val="21"/>
                <w:lang w:val="en-US" w:eastAsia="zh-CN"/>
                <w14:textFill>
                  <w14:solidFill>
                    <w14:schemeClr w14:val="tx1"/>
                  </w14:solidFill>
                </w14:textFill>
              </w:rPr>
              <w:t>侧（</w:t>
            </w:r>
            <w:r>
              <w:rPr>
                <w:rFonts w:hint="eastAsia" w:ascii="Times New Roman" w:hAnsi="Times New Roman" w:eastAsia="宋体" w:cs="Times New Roman"/>
                <w:bCs/>
                <w:color w:val="000000" w:themeColor="text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614" w:type="pct"/>
            <w:vMerge w:val="continue"/>
            <w:tcBorders>
              <w:tl2br w:val="nil"/>
              <w:tr2bl w:val="nil"/>
            </w:tcBorders>
            <w:vAlign w:val="center"/>
          </w:tcPr>
          <w:p w14:paraId="3442314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196F79D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12:25</w:t>
            </w:r>
          </w:p>
        </w:tc>
        <w:tc>
          <w:tcPr>
            <w:tcW w:w="681" w:type="pct"/>
            <w:tcBorders>
              <w:tl2br w:val="nil"/>
              <w:tr2bl w:val="nil"/>
            </w:tcBorders>
            <w:vAlign w:val="center"/>
          </w:tcPr>
          <w:p w14:paraId="2683306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52</w:t>
            </w:r>
          </w:p>
        </w:tc>
        <w:tc>
          <w:tcPr>
            <w:tcW w:w="408" w:type="pct"/>
            <w:vMerge w:val="continue"/>
            <w:tcBorders>
              <w:tl2br w:val="nil"/>
              <w:tr2bl w:val="nil"/>
            </w:tcBorders>
            <w:vAlign w:val="center"/>
          </w:tcPr>
          <w:p w14:paraId="1023B87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5BCE5ECD">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0B79D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1BF8E53F">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39E3DB9A">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0F4F83BF">
            <w:pPr>
              <w:pStyle w:val="56"/>
              <w:spacing w:before="6"/>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类比项目区西</w:t>
            </w:r>
            <w:r>
              <w:rPr>
                <w:rFonts w:hint="default" w:ascii="Times New Roman" w:hAnsi="Times New Roman" w:eastAsia="宋体" w:cs="Times New Roman"/>
                <w:bCs/>
                <w:color w:val="000000" w:themeColor="text1"/>
                <w:szCs w:val="21"/>
                <w:lang w:val="en-US" w:eastAsia="zh-CN"/>
                <w14:textFill>
                  <w14:solidFill>
                    <w14:schemeClr w14:val="tx1"/>
                  </w14:solidFill>
                </w14:textFill>
              </w:rPr>
              <w:t>侧（</w:t>
            </w:r>
            <w:r>
              <w:rPr>
                <w:rFonts w:hint="eastAsia" w:ascii="Times New Roman" w:hAnsi="Times New Roman" w:eastAsia="宋体" w:cs="Times New Roman"/>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614" w:type="pct"/>
            <w:vMerge w:val="continue"/>
            <w:tcBorders>
              <w:tl2br w:val="nil"/>
              <w:tr2bl w:val="nil"/>
            </w:tcBorders>
            <w:vAlign w:val="center"/>
          </w:tcPr>
          <w:p w14:paraId="334B3C7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5B029EB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12:40</w:t>
            </w:r>
          </w:p>
        </w:tc>
        <w:tc>
          <w:tcPr>
            <w:tcW w:w="681" w:type="pct"/>
            <w:tcBorders>
              <w:tl2br w:val="nil"/>
              <w:tr2bl w:val="nil"/>
            </w:tcBorders>
            <w:vAlign w:val="center"/>
          </w:tcPr>
          <w:p w14:paraId="2C54C9B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52</w:t>
            </w:r>
          </w:p>
        </w:tc>
        <w:tc>
          <w:tcPr>
            <w:tcW w:w="408" w:type="pct"/>
            <w:vMerge w:val="continue"/>
            <w:tcBorders>
              <w:tl2br w:val="nil"/>
              <w:tr2bl w:val="nil"/>
            </w:tcBorders>
            <w:vAlign w:val="center"/>
          </w:tcPr>
          <w:p w14:paraId="058C89A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4F190A36">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5F5BF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A448A23">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29813A15">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1CDF83EF">
            <w:pPr>
              <w:pStyle w:val="56"/>
              <w:spacing w:before="6"/>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类比项目区北</w:t>
            </w:r>
            <w:r>
              <w:rPr>
                <w:rFonts w:hint="default" w:ascii="Times New Roman" w:hAnsi="Times New Roman" w:eastAsia="宋体" w:cs="Times New Roman"/>
                <w:bCs/>
                <w:color w:val="000000" w:themeColor="text1"/>
                <w:szCs w:val="21"/>
                <w:lang w:val="en-US" w:eastAsia="zh-CN"/>
                <w14:textFill>
                  <w14:solidFill>
                    <w14:schemeClr w14:val="tx1"/>
                  </w14:solidFill>
                </w14:textFill>
              </w:rPr>
              <w:t>侧（</w:t>
            </w:r>
            <w:r>
              <w:rPr>
                <w:rFonts w:hint="eastAsia" w:ascii="Times New Roman" w:hAnsi="Times New Roman" w:eastAsia="宋体" w:cs="Times New Roman"/>
                <w:bCs/>
                <w:color w:val="000000" w:themeColor="text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614" w:type="pct"/>
            <w:vMerge w:val="continue"/>
            <w:tcBorders>
              <w:tl2br w:val="nil"/>
              <w:tr2bl w:val="nil"/>
            </w:tcBorders>
            <w:vAlign w:val="center"/>
          </w:tcPr>
          <w:p w14:paraId="5CFE1DF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6680144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12:55</w:t>
            </w:r>
          </w:p>
        </w:tc>
        <w:tc>
          <w:tcPr>
            <w:tcW w:w="681" w:type="pct"/>
            <w:tcBorders>
              <w:tl2br w:val="nil"/>
              <w:tr2bl w:val="nil"/>
            </w:tcBorders>
            <w:vAlign w:val="center"/>
          </w:tcPr>
          <w:p w14:paraId="53CF895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52</w:t>
            </w:r>
          </w:p>
        </w:tc>
        <w:tc>
          <w:tcPr>
            <w:tcW w:w="408" w:type="pct"/>
            <w:vMerge w:val="continue"/>
            <w:tcBorders>
              <w:tl2br w:val="nil"/>
              <w:tr2bl w:val="nil"/>
            </w:tcBorders>
            <w:vAlign w:val="center"/>
          </w:tcPr>
          <w:p w14:paraId="7D02D72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6A6C0B09">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0E14C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5DE7C50">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restart"/>
            <w:tcBorders>
              <w:tl2br w:val="nil"/>
              <w:tr2bl w:val="nil"/>
            </w:tcBorders>
            <w:vAlign w:val="center"/>
          </w:tcPr>
          <w:p w14:paraId="6657E24B">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202</w:t>
            </w:r>
            <w:r>
              <w:rPr>
                <w:rFonts w:hint="eastAsia" w:ascii="Times New Roman" w:hAnsi="Times New Roman"/>
                <w:bCs/>
                <w:color w:val="000000" w:themeColor="text1"/>
                <w:sz w:val="21"/>
                <w:szCs w:val="21"/>
                <w:lang w:val="en-US" w:eastAsia="zh-CN"/>
                <w14:textFill>
                  <w14:solidFill>
                    <w14:schemeClr w14:val="tx1"/>
                  </w14:solidFill>
                </w14:textFill>
              </w:rPr>
              <w:t>4</w:t>
            </w:r>
            <w:r>
              <w:rPr>
                <w:rFonts w:ascii="Times New Roman" w:hAnsi="Times New Roman"/>
                <w:bCs/>
                <w:color w:val="000000" w:themeColor="text1"/>
                <w:sz w:val="21"/>
                <w:szCs w:val="21"/>
                <w:lang w:val="en-US"/>
                <w14:textFill>
                  <w14:solidFill>
                    <w14:schemeClr w14:val="tx1"/>
                  </w14:solidFill>
                </w14:textFill>
              </w:rPr>
              <w:t>.</w:t>
            </w:r>
            <w:r>
              <w:rPr>
                <w:rFonts w:hint="eastAsia" w:ascii="Times New Roman" w:hAnsi="Times New Roman"/>
                <w:bCs/>
                <w:color w:val="000000" w:themeColor="text1"/>
                <w:sz w:val="21"/>
                <w:szCs w:val="21"/>
                <w:lang w:val="en-US" w:eastAsia="zh-CN"/>
                <w14:textFill>
                  <w14:solidFill>
                    <w14:schemeClr w14:val="tx1"/>
                  </w14:solidFill>
                </w14:textFill>
              </w:rPr>
              <w:t>10.28</w:t>
            </w:r>
          </w:p>
        </w:tc>
        <w:tc>
          <w:tcPr>
            <w:tcW w:w="1067" w:type="pct"/>
            <w:tcBorders>
              <w:tl2br w:val="nil"/>
              <w:tr2bl w:val="nil"/>
            </w:tcBorders>
            <w:vAlign w:val="center"/>
          </w:tcPr>
          <w:p w14:paraId="1EF29851">
            <w:pPr>
              <w:pStyle w:val="56"/>
              <w:spacing w:before="6"/>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类比项目区东</w:t>
            </w:r>
            <w:r>
              <w:rPr>
                <w:rFonts w:hint="default" w:ascii="Times New Roman" w:hAnsi="Times New Roman" w:eastAsia="宋体" w:cs="Times New Roman"/>
                <w:bCs/>
                <w:color w:val="000000" w:themeColor="text1"/>
                <w:szCs w:val="21"/>
                <w:lang w:val="en-US" w:eastAsia="zh-CN"/>
                <w14:textFill>
                  <w14:solidFill>
                    <w14:schemeClr w14:val="tx1"/>
                  </w14:solidFill>
                </w14:textFill>
              </w:rPr>
              <w:t>侧（1#）</w:t>
            </w:r>
          </w:p>
        </w:tc>
        <w:tc>
          <w:tcPr>
            <w:tcW w:w="614" w:type="pct"/>
            <w:vMerge w:val="restart"/>
            <w:tcBorders>
              <w:tl2br w:val="nil"/>
              <w:tr2bl w:val="nil"/>
            </w:tcBorders>
            <w:vAlign w:val="center"/>
          </w:tcPr>
          <w:p w14:paraId="29DD3BF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夜</w:t>
            </w:r>
          </w:p>
        </w:tc>
        <w:tc>
          <w:tcPr>
            <w:tcW w:w="614" w:type="pct"/>
            <w:tcBorders>
              <w:tl2br w:val="nil"/>
              <w:tr2bl w:val="nil"/>
            </w:tcBorders>
            <w:vAlign w:val="center"/>
          </w:tcPr>
          <w:p w14:paraId="2B45198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00:10</w:t>
            </w:r>
          </w:p>
        </w:tc>
        <w:tc>
          <w:tcPr>
            <w:tcW w:w="681" w:type="pct"/>
            <w:tcBorders>
              <w:tl2br w:val="nil"/>
              <w:tr2bl w:val="nil"/>
            </w:tcBorders>
            <w:vAlign w:val="center"/>
          </w:tcPr>
          <w:p w14:paraId="506CB0B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47</w:t>
            </w:r>
          </w:p>
        </w:tc>
        <w:tc>
          <w:tcPr>
            <w:tcW w:w="408" w:type="pct"/>
            <w:vMerge w:val="restart"/>
            <w:tcBorders>
              <w:tl2br w:val="nil"/>
              <w:tr2bl w:val="nil"/>
            </w:tcBorders>
            <w:vAlign w:val="center"/>
          </w:tcPr>
          <w:p w14:paraId="09538FC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w:t>
            </w:r>
            <w:r>
              <w:rPr>
                <w:rFonts w:hint="eastAsia" w:ascii="Times New Roman" w:hAnsi="Times New Roman" w:cs="Times New Roman"/>
                <w:bCs/>
                <w:color w:val="000000" w:themeColor="text1"/>
                <w:sz w:val="21"/>
                <w:szCs w:val="21"/>
                <w:lang w:val="en-US" w:eastAsia="zh-CN"/>
                <w14:textFill>
                  <w14:solidFill>
                    <w14:schemeClr w14:val="tx1"/>
                  </w14:solidFill>
                </w14:textFill>
              </w:rPr>
              <w:t>5</w:t>
            </w:r>
          </w:p>
        </w:tc>
        <w:tc>
          <w:tcPr>
            <w:tcW w:w="350" w:type="pct"/>
            <w:vMerge w:val="restart"/>
            <w:tcBorders>
              <w:tl2br w:val="nil"/>
              <w:tr2bl w:val="nil"/>
            </w:tcBorders>
            <w:vAlign w:val="center"/>
          </w:tcPr>
          <w:p w14:paraId="405716DE">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达标</w:t>
            </w:r>
          </w:p>
        </w:tc>
      </w:tr>
      <w:tr w14:paraId="57199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37FC81A0">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33CFFD66">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6C4FD4DF">
            <w:pPr>
              <w:pStyle w:val="56"/>
              <w:spacing w:before="6"/>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类比项目区南</w:t>
            </w:r>
            <w:r>
              <w:rPr>
                <w:rFonts w:hint="default" w:ascii="Times New Roman" w:hAnsi="Times New Roman" w:eastAsia="宋体" w:cs="Times New Roman"/>
                <w:bCs/>
                <w:color w:val="000000" w:themeColor="text1"/>
                <w:szCs w:val="21"/>
                <w:lang w:val="en-US" w:eastAsia="zh-CN"/>
                <w14:textFill>
                  <w14:solidFill>
                    <w14:schemeClr w14:val="tx1"/>
                  </w14:solidFill>
                </w14:textFill>
              </w:rPr>
              <w:t>侧（</w:t>
            </w:r>
            <w:r>
              <w:rPr>
                <w:rFonts w:hint="eastAsia" w:ascii="Times New Roman" w:hAnsi="Times New Roman" w:eastAsia="宋体" w:cs="Times New Roman"/>
                <w:bCs/>
                <w:color w:val="000000" w:themeColor="text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614" w:type="pct"/>
            <w:vMerge w:val="continue"/>
            <w:tcBorders>
              <w:tl2br w:val="nil"/>
              <w:tr2bl w:val="nil"/>
            </w:tcBorders>
            <w:vAlign w:val="center"/>
          </w:tcPr>
          <w:p w14:paraId="51F211D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7F3C6B0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00:25</w:t>
            </w:r>
          </w:p>
        </w:tc>
        <w:tc>
          <w:tcPr>
            <w:tcW w:w="681" w:type="pct"/>
            <w:tcBorders>
              <w:tl2br w:val="nil"/>
              <w:tr2bl w:val="nil"/>
            </w:tcBorders>
            <w:vAlign w:val="center"/>
          </w:tcPr>
          <w:p w14:paraId="301E141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42</w:t>
            </w:r>
          </w:p>
        </w:tc>
        <w:tc>
          <w:tcPr>
            <w:tcW w:w="408" w:type="pct"/>
            <w:vMerge w:val="continue"/>
            <w:tcBorders>
              <w:tl2br w:val="nil"/>
              <w:tr2bl w:val="nil"/>
            </w:tcBorders>
            <w:vAlign w:val="center"/>
          </w:tcPr>
          <w:p w14:paraId="55CA585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6A442B56">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4C4FB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126CBA2F">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512DF6C3">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3BA8FF59">
            <w:pPr>
              <w:pStyle w:val="56"/>
              <w:spacing w:before="6"/>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类比项目区西</w:t>
            </w:r>
            <w:r>
              <w:rPr>
                <w:rFonts w:hint="default" w:ascii="Times New Roman" w:hAnsi="Times New Roman" w:eastAsia="宋体" w:cs="Times New Roman"/>
                <w:bCs/>
                <w:color w:val="000000" w:themeColor="text1"/>
                <w:szCs w:val="21"/>
                <w:lang w:val="en-US" w:eastAsia="zh-CN"/>
                <w14:textFill>
                  <w14:solidFill>
                    <w14:schemeClr w14:val="tx1"/>
                  </w14:solidFill>
                </w14:textFill>
              </w:rPr>
              <w:t>侧（</w:t>
            </w:r>
            <w:r>
              <w:rPr>
                <w:rFonts w:hint="eastAsia" w:ascii="Times New Roman" w:hAnsi="Times New Roman" w:eastAsia="宋体" w:cs="Times New Roman"/>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c>
          <w:tcPr>
            <w:tcW w:w="614" w:type="pct"/>
            <w:vMerge w:val="continue"/>
            <w:tcBorders>
              <w:tl2br w:val="nil"/>
              <w:tr2bl w:val="nil"/>
            </w:tcBorders>
            <w:vAlign w:val="center"/>
          </w:tcPr>
          <w:p w14:paraId="0015D4A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393B28E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00:40</w:t>
            </w:r>
          </w:p>
        </w:tc>
        <w:tc>
          <w:tcPr>
            <w:tcW w:w="681" w:type="pct"/>
            <w:tcBorders>
              <w:tl2br w:val="nil"/>
              <w:tr2bl w:val="nil"/>
            </w:tcBorders>
            <w:vAlign w:val="center"/>
          </w:tcPr>
          <w:p w14:paraId="2F01A80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43</w:t>
            </w:r>
          </w:p>
        </w:tc>
        <w:tc>
          <w:tcPr>
            <w:tcW w:w="408" w:type="pct"/>
            <w:vMerge w:val="continue"/>
            <w:tcBorders>
              <w:tl2br w:val="nil"/>
              <w:tr2bl w:val="nil"/>
            </w:tcBorders>
            <w:vAlign w:val="center"/>
          </w:tcPr>
          <w:p w14:paraId="45ACC7B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3D7418C0">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16BD8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713439E0">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21BF160B">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75BDF34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项目区北</w:t>
            </w:r>
            <w:r>
              <w:rPr>
                <w:rFonts w:hint="default" w:ascii="Times New Roman" w:hAnsi="Times New Roman" w:cs="Times New Roman"/>
                <w:bCs/>
                <w:color w:val="000000" w:themeColor="text1"/>
                <w:sz w:val="21"/>
                <w:szCs w:val="21"/>
                <w:lang w:val="en-US" w:eastAsia="zh-CN"/>
                <w14:textFill>
                  <w14:solidFill>
                    <w14:schemeClr w14:val="tx1"/>
                  </w14:solidFill>
                </w14:textFill>
              </w:rPr>
              <w:t>侧（</w:t>
            </w:r>
            <w:r>
              <w:rPr>
                <w:rFonts w:hint="eastAsia" w:ascii="Times New Roman" w:hAnsi="Times New Roman" w:cs="Times New Roman"/>
                <w:bCs/>
                <w:color w:val="000000" w:themeColor="text1"/>
                <w:sz w:val="21"/>
                <w:szCs w:val="21"/>
                <w:lang w:val="en-US" w:eastAsia="zh-CN"/>
                <w14:textFill>
                  <w14:solidFill>
                    <w14:schemeClr w14:val="tx1"/>
                  </w14:solidFill>
                </w14:textFill>
              </w:rPr>
              <w:t>4</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14" w:type="pct"/>
            <w:vMerge w:val="continue"/>
            <w:tcBorders>
              <w:tl2br w:val="nil"/>
              <w:tr2bl w:val="nil"/>
            </w:tcBorders>
            <w:vAlign w:val="center"/>
          </w:tcPr>
          <w:p w14:paraId="7EDCC21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0A508F6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00:55</w:t>
            </w:r>
          </w:p>
        </w:tc>
        <w:tc>
          <w:tcPr>
            <w:tcW w:w="681" w:type="pct"/>
            <w:tcBorders>
              <w:tl2br w:val="nil"/>
              <w:tr2bl w:val="nil"/>
            </w:tcBorders>
            <w:vAlign w:val="center"/>
          </w:tcPr>
          <w:p w14:paraId="4B54932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43</w:t>
            </w:r>
          </w:p>
        </w:tc>
        <w:tc>
          <w:tcPr>
            <w:tcW w:w="408" w:type="pct"/>
            <w:vMerge w:val="continue"/>
            <w:tcBorders>
              <w:tl2br w:val="nil"/>
              <w:tr2bl w:val="nil"/>
            </w:tcBorders>
            <w:vAlign w:val="center"/>
          </w:tcPr>
          <w:p w14:paraId="64290C9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6C66FCC9">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643DE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1D16FBC9">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restart"/>
            <w:tcBorders>
              <w:tl2br w:val="nil"/>
              <w:tr2bl w:val="nil"/>
            </w:tcBorders>
            <w:vAlign w:val="center"/>
          </w:tcPr>
          <w:p w14:paraId="508319DF">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hint="default"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202</w:t>
            </w:r>
            <w:r>
              <w:rPr>
                <w:rFonts w:hint="eastAsia" w:ascii="Times New Roman" w:hAnsi="Times New Roman"/>
                <w:bCs/>
                <w:color w:val="000000" w:themeColor="text1"/>
                <w:sz w:val="21"/>
                <w:szCs w:val="21"/>
                <w:lang w:val="en-US" w:eastAsia="zh-CN"/>
                <w14:textFill>
                  <w14:solidFill>
                    <w14:schemeClr w14:val="tx1"/>
                  </w14:solidFill>
                </w14:textFill>
              </w:rPr>
              <w:t>4</w:t>
            </w:r>
            <w:r>
              <w:rPr>
                <w:rFonts w:ascii="Times New Roman" w:hAnsi="Times New Roman"/>
                <w:bCs/>
                <w:color w:val="000000" w:themeColor="text1"/>
                <w:sz w:val="21"/>
                <w:szCs w:val="21"/>
                <w:lang w:val="en-US"/>
                <w14:textFill>
                  <w14:solidFill>
                    <w14:schemeClr w14:val="tx1"/>
                  </w14:solidFill>
                </w14:textFill>
              </w:rPr>
              <w:t>.</w:t>
            </w:r>
            <w:r>
              <w:rPr>
                <w:rFonts w:hint="eastAsia" w:ascii="Times New Roman" w:hAnsi="Times New Roman"/>
                <w:bCs/>
                <w:color w:val="000000" w:themeColor="text1"/>
                <w:sz w:val="21"/>
                <w:szCs w:val="21"/>
                <w:lang w:val="en-US" w:eastAsia="zh-CN"/>
                <w14:textFill>
                  <w14:solidFill>
                    <w14:schemeClr w14:val="tx1"/>
                  </w14:solidFill>
                </w14:textFill>
              </w:rPr>
              <w:t>10.29</w:t>
            </w:r>
          </w:p>
        </w:tc>
        <w:tc>
          <w:tcPr>
            <w:tcW w:w="1067" w:type="pct"/>
            <w:tcBorders>
              <w:tl2br w:val="nil"/>
              <w:tr2bl w:val="nil"/>
            </w:tcBorders>
            <w:vAlign w:val="center"/>
          </w:tcPr>
          <w:p w14:paraId="1820BDD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项目区东</w:t>
            </w:r>
            <w:r>
              <w:rPr>
                <w:rFonts w:hint="default" w:ascii="Times New Roman" w:hAnsi="Times New Roman" w:cs="Times New Roman"/>
                <w:bCs/>
                <w:color w:val="000000" w:themeColor="text1"/>
                <w:sz w:val="21"/>
                <w:szCs w:val="21"/>
                <w:lang w:val="en-US" w:eastAsia="zh-CN"/>
                <w14:textFill>
                  <w14:solidFill>
                    <w14:schemeClr w14:val="tx1"/>
                  </w14:solidFill>
                </w14:textFill>
              </w:rPr>
              <w:t>侧（1#）</w:t>
            </w:r>
          </w:p>
        </w:tc>
        <w:tc>
          <w:tcPr>
            <w:tcW w:w="614" w:type="pct"/>
            <w:vMerge w:val="restart"/>
            <w:tcBorders>
              <w:tl2br w:val="nil"/>
              <w:tr2bl w:val="nil"/>
            </w:tcBorders>
            <w:vAlign w:val="center"/>
          </w:tcPr>
          <w:p w14:paraId="216B048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昼</w:t>
            </w:r>
          </w:p>
        </w:tc>
        <w:tc>
          <w:tcPr>
            <w:tcW w:w="614" w:type="pct"/>
            <w:tcBorders>
              <w:tl2br w:val="nil"/>
              <w:tr2bl w:val="nil"/>
            </w:tcBorders>
            <w:vAlign w:val="center"/>
          </w:tcPr>
          <w:p w14:paraId="69B5743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19:10</w:t>
            </w:r>
          </w:p>
        </w:tc>
        <w:tc>
          <w:tcPr>
            <w:tcW w:w="681" w:type="pct"/>
            <w:tcBorders>
              <w:tl2br w:val="nil"/>
              <w:tr2bl w:val="nil"/>
            </w:tcBorders>
            <w:vAlign w:val="center"/>
          </w:tcPr>
          <w:p w14:paraId="4691E0F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54</w:t>
            </w:r>
          </w:p>
        </w:tc>
        <w:tc>
          <w:tcPr>
            <w:tcW w:w="408" w:type="pct"/>
            <w:vMerge w:val="restart"/>
            <w:tcBorders>
              <w:tl2br w:val="nil"/>
              <w:tr2bl w:val="nil"/>
            </w:tcBorders>
            <w:vAlign w:val="center"/>
          </w:tcPr>
          <w:p w14:paraId="137CDE7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6</w:t>
            </w:r>
            <w:r>
              <w:rPr>
                <w:rFonts w:hint="eastAsia" w:ascii="Times New Roman" w:hAnsi="Times New Roman" w:cs="Times New Roman"/>
                <w:bCs/>
                <w:color w:val="000000" w:themeColor="text1"/>
                <w:sz w:val="21"/>
                <w:szCs w:val="21"/>
                <w:lang w:val="en-US" w:eastAsia="zh-CN"/>
                <w14:textFill>
                  <w14:solidFill>
                    <w14:schemeClr w14:val="tx1"/>
                  </w14:solidFill>
                </w14:textFill>
              </w:rPr>
              <w:t>5</w:t>
            </w:r>
          </w:p>
        </w:tc>
        <w:tc>
          <w:tcPr>
            <w:tcW w:w="350" w:type="pct"/>
            <w:vMerge w:val="restart"/>
            <w:tcBorders>
              <w:tl2br w:val="nil"/>
              <w:tr2bl w:val="nil"/>
            </w:tcBorders>
            <w:vAlign w:val="center"/>
          </w:tcPr>
          <w:p w14:paraId="0EB9D5CE">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达标</w:t>
            </w:r>
          </w:p>
        </w:tc>
      </w:tr>
      <w:tr w14:paraId="042AB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6ACA6C4">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4DE806EF">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5297AD8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项目区南</w:t>
            </w:r>
            <w:r>
              <w:rPr>
                <w:rFonts w:hint="default" w:ascii="Times New Roman" w:hAnsi="Times New Roman" w:cs="Times New Roman"/>
                <w:bCs/>
                <w:color w:val="000000" w:themeColor="text1"/>
                <w:sz w:val="21"/>
                <w:szCs w:val="21"/>
                <w:lang w:val="en-US" w:eastAsia="zh-CN"/>
                <w14:textFill>
                  <w14:solidFill>
                    <w14:schemeClr w14:val="tx1"/>
                  </w14:solidFill>
                </w14:textFill>
              </w:rPr>
              <w:t>侧（</w:t>
            </w: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14" w:type="pct"/>
            <w:vMerge w:val="continue"/>
            <w:tcBorders>
              <w:tl2br w:val="nil"/>
              <w:tr2bl w:val="nil"/>
            </w:tcBorders>
            <w:vAlign w:val="center"/>
          </w:tcPr>
          <w:p w14:paraId="37F557D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7B0B66D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19:25</w:t>
            </w:r>
          </w:p>
        </w:tc>
        <w:tc>
          <w:tcPr>
            <w:tcW w:w="681" w:type="pct"/>
            <w:tcBorders>
              <w:tl2br w:val="nil"/>
              <w:tr2bl w:val="nil"/>
            </w:tcBorders>
            <w:vAlign w:val="center"/>
          </w:tcPr>
          <w:p w14:paraId="24109E7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53</w:t>
            </w:r>
          </w:p>
        </w:tc>
        <w:tc>
          <w:tcPr>
            <w:tcW w:w="408" w:type="pct"/>
            <w:vMerge w:val="continue"/>
            <w:tcBorders>
              <w:tl2br w:val="nil"/>
              <w:tr2bl w:val="nil"/>
            </w:tcBorders>
            <w:vAlign w:val="center"/>
          </w:tcPr>
          <w:p w14:paraId="3676B21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2984D812">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60C8E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70E9C9EB">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0B545940">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0DC1643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项目区西</w:t>
            </w:r>
            <w:r>
              <w:rPr>
                <w:rFonts w:hint="default" w:ascii="Times New Roman" w:hAnsi="Times New Roman" w:cs="Times New Roman"/>
                <w:bCs/>
                <w:color w:val="000000" w:themeColor="text1"/>
                <w:sz w:val="21"/>
                <w:szCs w:val="21"/>
                <w:lang w:val="en-US" w:eastAsia="zh-CN"/>
                <w14:textFill>
                  <w14:solidFill>
                    <w14:schemeClr w14:val="tx1"/>
                  </w14:solidFill>
                </w14:textFill>
              </w:rPr>
              <w:t>侧（</w:t>
            </w:r>
            <w:r>
              <w:rPr>
                <w:rFonts w:hint="eastAsia" w:ascii="Times New Roman" w:hAnsi="Times New Roman" w:cs="Times New Roman"/>
                <w:bCs/>
                <w:color w:val="000000" w:themeColor="text1"/>
                <w:sz w:val="21"/>
                <w:szCs w:val="21"/>
                <w:lang w:val="en-US" w:eastAsia="zh-CN"/>
                <w14:textFill>
                  <w14:solidFill>
                    <w14:schemeClr w14:val="tx1"/>
                  </w14:solidFill>
                </w14:textFill>
              </w:rPr>
              <w:t>3</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14" w:type="pct"/>
            <w:vMerge w:val="continue"/>
            <w:tcBorders>
              <w:tl2br w:val="nil"/>
              <w:tr2bl w:val="nil"/>
            </w:tcBorders>
            <w:vAlign w:val="center"/>
          </w:tcPr>
          <w:p w14:paraId="5AFBB04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1D81A76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19:40</w:t>
            </w:r>
          </w:p>
        </w:tc>
        <w:tc>
          <w:tcPr>
            <w:tcW w:w="681" w:type="pct"/>
            <w:tcBorders>
              <w:tl2br w:val="nil"/>
              <w:tr2bl w:val="nil"/>
            </w:tcBorders>
            <w:vAlign w:val="center"/>
          </w:tcPr>
          <w:p w14:paraId="7493062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51</w:t>
            </w:r>
          </w:p>
        </w:tc>
        <w:tc>
          <w:tcPr>
            <w:tcW w:w="408" w:type="pct"/>
            <w:vMerge w:val="continue"/>
            <w:tcBorders>
              <w:tl2br w:val="nil"/>
              <w:tr2bl w:val="nil"/>
            </w:tcBorders>
            <w:vAlign w:val="center"/>
          </w:tcPr>
          <w:p w14:paraId="41AFB07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71578216">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1251C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313BE68B">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7FA23888">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52910A9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项目区北</w:t>
            </w:r>
            <w:r>
              <w:rPr>
                <w:rFonts w:hint="default" w:ascii="Times New Roman" w:hAnsi="Times New Roman" w:cs="Times New Roman"/>
                <w:bCs/>
                <w:color w:val="000000" w:themeColor="text1"/>
                <w:sz w:val="21"/>
                <w:szCs w:val="21"/>
                <w:lang w:val="en-US" w:eastAsia="zh-CN"/>
                <w14:textFill>
                  <w14:solidFill>
                    <w14:schemeClr w14:val="tx1"/>
                  </w14:solidFill>
                </w14:textFill>
              </w:rPr>
              <w:t>侧（</w:t>
            </w:r>
            <w:r>
              <w:rPr>
                <w:rFonts w:hint="eastAsia" w:ascii="Times New Roman" w:hAnsi="Times New Roman" w:cs="Times New Roman"/>
                <w:bCs/>
                <w:color w:val="000000" w:themeColor="text1"/>
                <w:sz w:val="21"/>
                <w:szCs w:val="21"/>
                <w:lang w:val="en-US" w:eastAsia="zh-CN"/>
                <w14:textFill>
                  <w14:solidFill>
                    <w14:schemeClr w14:val="tx1"/>
                  </w14:solidFill>
                </w14:textFill>
              </w:rPr>
              <w:t>4</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14" w:type="pct"/>
            <w:vMerge w:val="continue"/>
            <w:tcBorders>
              <w:tl2br w:val="nil"/>
              <w:tr2bl w:val="nil"/>
            </w:tcBorders>
            <w:vAlign w:val="center"/>
          </w:tcPr>
          <w:p w14:paraId="37ACBFF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3254347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19:55</w:t>
            </w:r>
          </w:p>
        </w:tc>
        <w:tc>
          <w:tcPr>
            <w:tcW w:w="681" w:type="pct"/>
            <w:tcBorders>
              <w:tl2br w:val="nil"/>
              <w:tr2bl w:val="nil"/>
            </w:tcBorders>
            <w:vAlign w:val="center"/>
          </w:tcPr>
          <w:p w14:paraId="756A9BC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51</w:t>
            </w:r>
          </w:p>
        </w:tc>
        <w:tc>
          <w:tcPr>
            <w:tcW w:w="408" w:type="pct"/>
            <w:vMerge w:val="continue"/>
            <w:tcBorders>
              <w:tl2br w:val="nil"/>
              <w:tr2bl w:val="nil"/>
            </w:tcBorders>
            <w:vAlign w:val="center"/>
          </w:tcPr>
          <w:p w14:paraId="3E16DFB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3CF11357">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5E5D7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4D42E34C">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restart"/>
            <w:tcBorders>
              <w:tl2br w:val="nil"/>
              <w:tr2bl w:val="nil"/>
            </w:tcBorders>
            <w:vAlign w:val="center"/>
          </w:tcPr>
          <w:p w14:paraId="7015BB7A">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hint="default"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202</w:t>
            </w:r>
            <w:r>
              <w:rPr>
                <w:rFonts w:hint="eastAsia" w:ascii="Times New Roman" w:hAnsi="Times New Roman"/>
                <w:bCs/>
                <w:color w:val="000000" w:themeColor="text1"/>
                <w:sz w:val="21"/>
                <w:szCs w:val="21"/>
                <w:lang w:val="en-US" w:eastAsia="zh-CN"/>
                <w14:textFill>
                  <w14:solidFill>
                    <w14:schemeClr w14:val="tx1"/>
                  </w14:solidFill>
                </w14:textFill>
              </w:rPr>
              <w:t>4</w:t>
            </w:r>
            <w:r>
              <w:rPr>
                <w:rFonts w:ascii="Times New Roman" w:hAnsi="Times New Roman"/>
                <w:bCs/>
                <w:color w:val="000000" w:themeColor="text1"/>
                <w:sz w:val="21"/>
                <w:szCs w:val="21"/>
                <w:lang w:val="en-US"/>
                <w14:textFill>
                  <w14:solidFill>
                    <w14:schemeClr w14:val="tx1"/>
                  </w14:solidFill>
                </w14:textFill>
              </w:rPr>
              <w:t>.</w:t>
            </w:r>
            <w:r>
              <w:rPr>
                <w:rFonts w:hint="eastAsia" w:ascii="Times New Roman" w:hAnsi="Times New Roman"/>
                <w:bCs/>
                <w:color w:val="000000" w:themeColor="text1"/>
                <w:sz w:val="21"/>
                <w:szCs w:val="21"/>
                <w:lang w:val="en-US" w:eastAsia="zh-CN"/>
                <w14:textFill>
                  <w14:solidFill>
                    <w14:schemeClr w14:val="tx1"/>
                  </w14:solidFill>
                </w14:textFill>
              </w:rPr>
              <w:t>10.29</w:t>
            </w:r>
          </w:p>
        </w:tc>
        <w:tc>
          <w:tcPr>
            <w:tcW w:w="1067" w:type="pct"/>
            <w:tcBorders>
              <w:tl2br w:val="nil"/>
              <w:tr2bl w:val="nil"/>
            </w:tcBorders>
            <w:vAlign w:val="center"/>
          </w:tcPr>
          <w:p w14:paraId="3E032A3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项目区东</w:t>
            </w:r>
            <w:r>
              <w:rPr>
                <w:rFonts w:hint="default" w:ascii="Times New Roman" w:hAnsi="Times New Roman" w:cs="Times New Roman"/>
                <w:bCs/>
                <w:color w:val="000000" w:themeColor="text1"/>
                <w:sz w:val="21"/>
                <w:szCs w:val="21"/>
                <w:lang w:val="en-US" w:eastAsia="zh-CN"/>
                <w14:textFill>
                  <w14:solidFill>
                    <w14:schemeClr w14:val="tx1"/>
                  </w14:solidFill>
                </w14:textFill>
              </w:rPr>
              <w:t>侧（1#）</w:t>
            </w:r>
          </w:p>
        </w:tc>
        <w:tc>
          <w:tcPr>
            <w:tcW w:w="614" w:type="pct"/>
            <w:vMerge w:val="restart"/>
            <w:tcBorders>
              <w:tl2br w:val="nil"/>
              <w:tr2bl w:val="nil"/>
            </w:tcBorders>
            <w:vAlign w:val="center"/>
          </w:tcPr>
          <w:p w14:paraId="3612504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夜</w:t>
            </w:r>
          </w:p>
        </w:tc>
        <w:tc>
          <w:tcPr>
            <w:tcW w:w="614" w:type="pct"/>
            <w:tcBorders>
              <w:tl2br w:val="nil"/>
              <w:tr2bl w:val="nil"/>
            </w:tcBorders>
            <w:vAlign w:val="center"/>
          </w:tcPr>
          <w:p w14:paraId="650BE17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00:15</w:t>
            </w:r>
          </w:p>
        </w:tc>
        <w:tc>
          <w:tcPr>
            <w:tcW w:w="681" w:type="pct"/>
            <w:tcBorders>
              <w:tl2br w:val="nil"/>
              <w:tr2bl w:val="nil"/>
            </w:tcBorders>
            <w:vAlign w:val="center"/>
          </w:tcPr>
          <w:p w14:paraId="3C122E1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46</w:t>
            </w:r>
          </w:p>
        </w:tc>
        <w:tc>
          <w:tcPr>
            <w:tcW w:w="408" w:type="pct"/>
            <w:vMerge w:val="restart"/>
            <w:tcBorders>
              <w:tl2br w:val="nil"/>
              <w:tr2bl w:val="nil"/>
            </w:tcBorders>
            <w:vAlign w:val="center"/>
          </w:tcPr>
          <w:p w14:paraId="3EDCDCC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w:t>
            </w:r>
            <w:r>
              <w:rPr>
                <w:rFonts w:hint="eastAsia" w:ascii="Times New Roman" w:hAnsi="Times New Roman" w:cs="Times New Roman"/>
                <w:bCs/>
                <w:color w:val="000000" w:themeColor="text1"/>
                <w:sz w:val="21"/>
                <w:szCs w:val="21"/>
                <w:lang w:val="en-US" w:eastAsia="zh-CN"/>
                <w14:textFill>
                  <w14:solidFill>
                    <w14:schemeClr w14:val="tx1"/>
                  </w14:solidFill>
                </w14:textFill>
              </w:rPr>
              <w:t>5</w:t>
            </w:r>
          </w:p>
        </w:tc>
        <w:tc>
          <w:tcPr>
            <w:tcW w:w="350" w:type="pct"/>
            <w:vMerge w:val="restart"/>
            <w:tcBorders>
              <w:tl2br w:val="nil"/>
              <w:tr2bl w:val="nil"/>
            </w:tcBorders>
            <w:vAlign w:val="center"/>
          </w:tcPr>
          <w:p w14:paraId="78A787C4">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r>
              <w:rPr>
                <w:rFonts w:ascii="Times New Roman" w:hAnsi="Times New Roman"/>
                <w:bCs/>
                <w:color w:val="000000" w:themeColor="text1"/>
                <w:sz w:val="21"/>
                <w:szCs w:val="21"/>
                <w:lang w:val="en-US"/>
                <w14:textFill>
                  <w14:solidFill>
                    <w14:schemeClr w14:val="tx1"/>
                  </w14:solidFill>
                </w14:textFill>
              </w:rPr>
              <w:t>达标</w:t>
            </w:r>
          </w:p>
        </w:tc>
      </w:tr>
      <w:tr w14:paraId="39298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41F02BDD">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50F33CC4">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47E5B93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项目区南</w:t>
            </w:r>
            <w:r>
              <w:rPr>
                <w:rFonts w:hint="default" w:ascii="Times New Roman" w:hAnsi="Times New Roman" w:cs="Times New Roman"/>
                <w:bCs/>
                <w:color w:val="000000" w:themeColor="text1"/>
                <w:sz w:val="21"/>
                <w:szCs w:val="21"/>
                <w:lang w:val="en-US" w:eastAsia="zh-CN"/>
                <w14:textFill>
                  <w14:solidFill>
                    <w14:schemeClr w14:val="tx1"/>
                  </w14:solidFill>
                </w14:textFill>
              </w:rPr>
              <w:t>侧（</w:t>
            </w:r>
            <w:r>
              <w:rPr>
                <w:rFonts w:hint="eastAsia"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14" w:type="pct"/>
            <w:vMerge w:val="continue"/>
            <w:tcBorders>
              <w:tl2br w:val="nil"/>
              <w:tr2bl w:val="nil"/>
            </w:tcBorders>
            <w:vAlign w:val="center"/>
          </w:tcPr>
          <w:p w14:paraId="4ED5FEB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3467772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00:30</w:t>
            </w:r>
          </w:p>
        </w:tc>
        <w:tc>
          <w:tcPr>
            <w:tcW w:w="681" w:type="pct"/>
            <w:tcBorders>
              <w:tl2br w:val="nil"/>
              <w:tr2bl w:val="nil"/>
            </w:tcBorders>
            <w:vAlign w:val="center"/>
          </w:tcPr>
          <w:p w14:paraId="71A1E1D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42</w:t>
            </w:r>
          </w:p>
        </w:tc>
        <w:tc>
          <w:tcPr>
            <w:tcW w:w="408" w:type="pct"/>
            <w:vMerge w:val="continue"/>
            <w:tcBorders>
              <w:tl2br w:val="nil"/>
              <w:tr2bl w:val="nil"/>
            </w:tcBorders>
            <w:vAlign w:val="center"/>
          </w:tcPr>
          <w:p w14:paraId="0259C7C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50A56EAC">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0F80E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4EC01DE">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4E3BA163">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6E1E828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项目区西</w:t>
            </w:r>
            <w:r>
              <w:rPr>
                <w:rFonts w:hint="default" w:ascii="Times New Roman" w:hAnsi="Times New Roman" w:cs="Times New Roman"/>
                <w:bCs/>
                <w:color w:val="000000" w:themeColor="text1"/>
                <w:sz w:val="21"/>
                <w:szCs w:val="21"/>
                <w:lang w:val="en-US" w:eastAsia="zh-CN"/>
                <w14:textFill>
                  <w14:solidFill>
                    <w14:schemeClr w14:val="tx1"/>
                  </w14:solidFill>
                </w14:textFill>
              </w:rPr>
              <w:t>侧（</w:t>
            </w:r>
            <w:r>
              <w:rPr>
                <w:rFonts w:hint="eastAsia" w:ascii="Times New Roman" w:hAnsi="Times New Roman" w:cs="Times New Roman"/>
                <w:bCs/>
                <w:color w:val="000000" w:themeColor="text1"/>
                <w:sz w:val="21"/>
                <w:szCs w:val="21"/>
                <w:lang w:val="en-US" w:eastAsia="zh-CN"/>
                <w14:textFill>
                  <w14:solidFill>
                    <w14:schemeClr w14:val="tx1"/>
                  </w14:solidFill>
                </w14:textFill>
              </w:rPr>
              <w:t>3</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14" w:type="pct"/>
            <w:vMerge w:val="continue"/>
            <w:tcBorders>
              <w:tl2br w:val="nil"/>
              <w:tr2bl w:val="nil"/>
            </w:tcBorders>
            <w:vAlign w:val="center"/>
          </w:tcPr>
          <w:p w14:paraId="281B3A7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535F93D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00:45</w:t>
            </w:r>
          </w:p>
        </w:tc>
        <w:tc>
          <w:tcPr>
            <w:tcW w:w="681" w:type="pct"/>
            <w:tcBorders>
              <w:tl2br w:val="nil"/>
              <w:tr2bl w:val="nil"/>
            </w:tcBorders>
            <w:vAlign w:val="center"/>
          </w:tcPr>
          <w:p w14:paraId="76DDCD6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43</w:t>
            </w:r>
          </w:p>
        </w:tc>
        <w:tc>
          <w:tcPr>
            <w:tcW w:w="408" w:type="pct"/>
            <w:vMerge w:val="continue"/>
            <w:tcBorders>
              <w:tl2br w:val="nil"/>
              <w:tr2bl w:val="nil"/>
            </w:tcBorders>
            <w:vAlign w:val="center"/>
          </w:tcPr>
          <w:p w14:paraId="71A89F1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3B02710F">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r w14:paraId="1B014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587AE77">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641" w:type="pct"/>
            <w:vMerge w:val="continue"/>
            <w:tcBorders>
              <w:tl2br w:val="nil"/>
              <w:tr2bl w:val="nil"/>
            </w:tcBorders>
            <w:vAlign w:val="center"/>
          </w:tcPr>
          <w:p w14:paraId="2B9F5C78">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c>
          <w:tcPr>
            <w:tcW w:w="1067" w:type="pct"/>
            <w:tcBorders>
              <w:tl2br w:val="nil"/>
              <w:tr2bl w:val="nil"/>
            </w:tcBorders>
            <w:vAlign w:val="center"/>
          </w:tcPr>
          <w:p w14:paraId="461AF83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类比</w:t>
            </w:r>
            <w:r>
              <w:rPr>
                <w:rFonts w:hint="eastAsia" w:ascii="Times New Roman" w:hAnsi="Times New Roman" w:cs="Times New Roman"/>
                <w:bCs/>
                <w:color w:val="000000" w:themeColor="text1"/>
                <w:sz w:val="21"/>
                <w:szCs w:val="21"/>
                <w:lang w:val="en-US" w:eastAsia="zh-CN"/>
                <w14:textFill>
                  <w14:solidFill>
                    <w14:schemeClr w14:val="tx1"/>
                  </w14:solidFill>
                </w14:textFill>
              </w:rPr>
              <w:t>项目区北</w:t>
            </w:r>
            <w:r>
              <w:rPr>
                <w:rFonts w:hint="default" w:ascii="Times New Roman" w:hAnsi="Times New Roman" w:cs="Times New Roman"/>
                <w:bCs/>
                <w:color w:val="000000" w:themeColor="text1"/>
                <w:sz w:val="21"/>
                <w:szCs w:val="21"/>
                <w:lang w:val="en-US" w:eastAsia="zh-CN"/>
                <w14:textFill>
                  <w14:solidFill>
                    <w14:schemeClr w14:val="tx1"/>
                  </w14:solidFill>
                </w14:textFill>
              </w:rPr>
              <w:t>侧（</w:t>
            </w:r>
            <w:r>
              <w:rPr>
                <w:rFonts w:hint="eastAsia" w:ascii="Times New Roman" w:hAnsi="Times New Roman" w:cs="Times New Roman"/>
                <w:bCs/>
                <w:color w:val="000000" w:themeColor="text1"/>
                <w:sz w:val="21"/>
                <w:szCs w:val="21"/>
                <w:lang w:val="en-US" w:eastAsia="zh-CN"/>
                <w14:textFill>
                  <w14:solidFill>
                    <w14:schemeClr w14:val="tx1"/>
                  </w14:solidFill>
                </w14:textFill>
              </w:rPr>
              <w:t>4</w:t>
            </w: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14" w:type="pct"/>
            <w:vMerge w:val="continue"/>
            <w:tcBorders>
              <w:tl2br w:val="nil"/>
              <w:tr2bl w:val="nil"/>
            </w:tcBorders>
            <w:vAlign w:val="center"/>
          </w:tcPr>
          <w:p w14:paraId="7F3EA50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614" w:type="pct"/>
            <w:tcBorders>
              <w:tl2br w:val="nil"/>
              <w:tr2bl w:val="nil"/>
            </w:tcBorders>
            <w:vAlign w:val="center"/>
          </w:tcPr>
          <w:p w14:paraId="497A8C5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01:00</w:t>
            </w:r>
          </w:p>
        </w:tc>
        <w:tc>
          <w:tcPr>
            <w:tcW w:w="681" w:type="pct"/>
            <w:tcBorders>
              <w:tl2br w:val="nil"/>
              <w:tr2bl w:val="nil"/>
            </w:tcBorders>
            <w:vAlign w:val="center"/>
          </w:tcPr>
          <w:p w14:paraId="72E5699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44</w:t>
            </w:r>
          </w:p>
        </w:tc>
        <w:tc>
          <w:tcPr>
            <w:tcW w:w="408" w:type="pct"/>
            <w:vMerge w:val="continue"/>
            <w:tcBorders>
              <w:tl2br w:val="nil"/>
              <w:tr2bl w:val="nil"/>
            </w:tcBorders>
            <w:vAlign w:val="center"/>
          </w:tcPr>
          <w:p w14:paraId="4B3A303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cs="Times New Roman"/>
                <w:bCs/>
                <w:color w:val="000000" w:themeColor="text1"/>
                <w:sz w:val="21"/>
                <w:szCs w:val="21"/>
                <w14:textFill>
                  <w14:solidFill>
                    <w14:schemeClr w14:val="tx1"/>
                  </w14:solidFill>
                </w14:textFill>
              </w:rPr>
            </w:pPr>
          </w:p>
        </w:tc>
        <w:tc>
          <w:tcPr>
            <w:tcW w:w="350" w:type="pct"/>
            <w:vMerge w:val="continue"/>
            <w:tcBorders>
              <w:tl2br w:val="nil"/>
              <w:tr2bl w:val="nil"/>
            </w:tcBorders>
            <w:vAlign w:val="center"/>
          </w:tcPr>
          <w:p w14:paraId="5E0FE553">
            <w:pPr>
              <w:pStyle w:val="56"/>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ascii="Times New Roman" w:hAnsi="Times New Roman"/>
                <w:bCs/>
                <w:color w:val="000000" w:themeColor="text1"/>
                <w:sz w:val="21"/>
                <w:szCs w:val="21"/>
                <w:lang w:val="en-US"/>
                <w14:textFill>
                  <w14:solidFill>
                    <w14:schemeClr w14:val="tx1"/>
                  </w14:solidFill>
                </w14:textFill>
              </w:rPr>
            </w:pPr>
          </w:p>
        </w:tc>
      </w:tr>
    </w:tbl>
    <w:p w14:paraId="3C78FEA6">
      <w:pPr>
        <w:ind w:firstLine="480"/>
        <w:rPr>
          <w:rFonts w:ascii="Times New Roman" w:hAnsi="Times New Roman" w:cs="Times New Roman"/>
          <w:color w:val="FF0000"/>
        </w:rPr>
      </w:pPr>
      <w:r>
        <w:rPr>
          <w:rFonts w:ascii="Times New Roman" w:hAnsi="Times New Roman" w:eastAsia="宋体" w:cs="Times New Roman"/>
          <w:color w:val="000000" w:themeColor="text1"/>
          <w:szCs w:val="24"/>
          <w14:textFill>
            <w14:solidFill>
              <w14:schemeClr w14:val="tx1"/>
            </w14:solidFill>
          </w14:textFill>
        </w:rPr>
        <w:t>从表4.</w:t>
      </w:r>
      <w:r>
        <w:rPr>
          <w:rFonts w:ascii="Times New Roman" w:hAnsi="Times New Roman" w:cs="Times New Roman"/>
          <w:color w:val="000000" w:themeColor="text1"/>
          <w:szCs w:val="24"/>
          <w14:textFill>
            <w14:solidFill>
              <w14:schemeClr w14:val="tx1"/>
            </w14:solidFill>
          </w14:textFill>
        </w:rPr>
        <w:t>2-1</w:t>
      </w:r>
      <w:r>
        <w:rPr>
          <w:rFonts w:hint="eastAsia" w:cs="Times New Roman"/>
          <w:color w:val="000000" w:themeColor="text1"/>
          <w:szCs w:val="24"/>
          <w:lang w:val="en-US" w:eastAsia="zh-CN"/>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可以看出，</w:t>
      </w:r>
      <w:r>
        <w:rPr>
          <w:rFonts w:hint="eastAsia" w:eastAsia="宋体" w:cs="Times New Roman"/>
          <w:color w:val="000000" w:themeColor="text1"/>
          <w:szCs w:val="24"/>
          <w:lang w:val="en-US" w:eastAsia="zh-CN"/>
          <w14:textFill>
            <w14:solidFill>
              <w14:schemeClr w14:val="tx1"/>
            </w14:solidFill>
          </w14:textFill>
        </w:rPr>
        <w:t>类比</w:t>
      </w:r>
      <w:r>
        <w:rPr>
          <w:rFonts w:ascii="Times New Roman" w:hAnsi="Times New Roman" w:eastAsia="宋体" w:cs="Times New Roman"/>
          <w:color w:val="000000" w:themeColor="text1"/>
          <w:szCs w:val="24"/>
          <w14:textFill>
            <w14:solidFill>
              <w14:schemeClr w14:val="tx1"/>
            </w14:solidFill>
          </w14:textFill>
        </w:rPr>
        <w:t>项目区东、西、南、北四个边界的环境噪声等效A声级均达到《声环境质量标准》（GB3096-2008）中</w:t>
      </w:r>
      <w:r>
        <w:rPr>
          <w:rFonts w:hint="eastAsia" w:ascii="Times New Roman" w:hAnsi="Times New Roman" w:eastAsia="宋体" w:cs="Times New Roman"/>
          <w:color w:val="000000" w:themeColor="text1"/>
          <w:szCs w:val="24"/>
          <w:lang w:val="en-US" w:eastAsia="zh-CN"/>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类昼间6</w:t>
      </w:r>
      <w:r>
        <w:rPr>
          <w:rFonts w:hint="eastAsia" w:ascii="Times New Roman" w:hAnsi="Times New Roman" w:eastAsia="宋体" w:cs="Times New Roman"/>
          <w:color w:val="000000" w:themeColor="text1"/>
          <w:szCs w:val="24"/>
          <w:lang w:val="en-US" w:eastAsia="zh-CN"/>
          <w14:textFill>
            <w14:solidFill>
              <w14:schemeClr w14:val="tx1"/>
            </w14:solidFill>
          </w14:textFill>
        </w:rPr>
        <w:t>5</w:t>
      </w:r>
      <w:r>
        <w:rPr>
          <w:rFonts w:ascii="Times New Roman" w:hAnsi="Times New Roman" w:eastAsia="宋体" w:cs="Times New Roman"/>
          <w:color w:val="000000" w:themeColor="text1"/>
          <w:szCs w:val="24"/>
          <w14:textFill>
            <w14:solidFill>
              <w14:schemeClr w14:val="tx1"/>
            </w14:solidFill>
          </w14:textFill>
        </w:rPr>
        <w:t>dB（A）标准值，夜间5</w:t>
      </w:r>
      <w:r>
        <w:rPr>
          <w:rFonts w:hint="eastAsia" w:ascii="Times New Roman" w:hAnsi="Times New Roman" w:eastAsia="宋体" w:cs="Times New Roman"/>
          <w:color w:val="000000" w:themeColor="text1"/>
          <w:szCs w:val="24"/>
          <w:lang w:val="en-US" w:eastAsia="zh-CN"/>
          <w14:textFill>
            <w14:solidFill>
              <w14:schemeClr w14:val="tx1"/>
            </w14:solidFill>
          </w14:textFill>
        </w:rPr>
        <w:t>5</w:t>
      </w:r>
      <w:r>
        <w:rPr>
          <w:rFonts w:ascii="Times New Roman" w:hAnsi="Times New Roman" w:eastAsia="宋体" w:cs="Times New Roman"/>
          <w:color w:val="000000" w:themeColor="text1"/>
          <w:szCs w:val="24"/>
          <w14:textFill>
            <w14:solidFill>
              <w14:schemeClr w14:val="tx1"/>
            </w14:solidFill>
          </w14:textFill>
        </w:rPr>
        <w:t>dB（A）标准，声环境质量较好</w:t>
      </w:r>
      <w:r>
        <w:rPr>
          <w:rFonts w:hint="eastAsia" w:eastAsia="宋体" w:cs="Times New Roman"/>
          <w:color w:val="000000" w:themeColor="text1"/>
          <w:szCs w:val="24"/>
          <w:lang w:eastAsia="zh-CN"/>
          <w14:textFill>
            <w14:solidFill>
              <w14:schemeClr w14:val="tx1"/>
            </w14:solidFill>
          </w14:textFill>
        </w:rPr>
        <w:t>；</w:t>
      </w:r>
      <w:r>
        <w:rPr>
          <w:rFonts w:hint="eastAsia" w:eastAsia="宋体" w:cs="Times New Roman"/>
          <w:color w:val="000000" w:themeColor="text1"/>
          <w:szCs w:val="24"/>
          <w:lang w:val="en-US" w:eastAsia="zh-CN"/>
          <w14:textFill>
            <w14:solidFill>
              <w14:schemeClr w14:val="tx1"/>
            </w14:solidFill>
          </w14:textFill>
        </w:rPr>
        <w:t>本项目与类比项目气候条件、地形地貌及其他声环境条件基本一致，类比分析认为，本项目区域声环境质量达标</w:t>
      </w:r>
      <w:r>
        <w:rPr>
          <w:rFonts w:ascii="Times New Roman" w:hAnsi="Times New Roman" w:eastAsia="宋体" w:cs="Times New Roman"/>
          <w:color w:val="000000" w:themeColor="text1"/>
          <w:szCs w:val="24"/>
          <w14:textFill>
            <w14:solidFill>
              <w14:schemeClr w14:val="tx1"/>
            </w14:solidFill>
          </w14:textFill>
        </w:rPr>
        <w:t>。</w:t>
      </w:r>
    </w:p>
    <w:p w14:paraId="6AD38C37">
      <w:pPr>
        <w:pStyle w:val="5"/>
        <w:numPr>
          <w:ilvl w:val="2"/>
          <w:numId w:val="1"/>
        </w:numPr>
        <w:ind w:left="120"/>
        <w:rPr>
          <w:rFonts w:ascii="Times New Roman" w:hAnsi="Times New Roman" w:cs="Times New Roman"/>
          <w:color w:val="auto"/>
        </w:rPr>
      </w:pPr>
      <w:bookmarkStart w:id="157" w:name="_Toc21962"/>
      <w:bookmarkStart w:id="158" w:name="_Toc490417107"/>
      <w:bookmarkStart w:id="159" w:name="_Toc483492032"/>
      <w:r>
        <w:rPr>
          <w:rFonts w:ascii="Times New Roman" w:hAnsi="Times New Roman" w:cs="Times New Roman"/>
          <w:color w:val="auto"/>
        </w:rPr>
        <w:t>土壤环境质量调查与评价</w:t>
      </w:r>
      <w:bookmarkEnd w:id="157"/>
      <w:bookmarkEnd w:id="158"/>
      <w:bookmarkEnd w:id="159"/>
    </w:p>
    <w:p w14:paraId="64B2F87E">
      <w:pPr>
        <w:ind w:firstLine="480"/>
        <w:rPr>
          <w:rFonts w:hint="default" w:ascii="Times New Roman" w:hAnsi="Times New Roman" w:cs="Times New Roman" w:eastAsiaTheme="minorEastAsia"/>
          <w:color w:val="FF0000"/>
          <w:lang w:val="en-US" w:eastAsia="zh-CN" w:bidi="zh-CN"/>
        </w:rPr>
      </w:pPr>
      <w:r>
        <w:rPr>
          <w:rFonts w:hint="eastAsia" w:cs="Times New Roman"/>
          <w:color w:val="000000" w:themeColor="text1"/>
          <w:lang w:val="en-US" w:eastAsia="zh-CN"/>
          <w14:textFill>
            <w14:solidFill>
              <w14:schemeClr w14:val="tx1"/>
            </w14:solidFill>
          </w14:textFill>
        </w:rPr>
        <w:t>本项目属于土壤环境</w:t>
      </w:r>
      <w:r>
        <w:rPr>
          <w:rFonts w:hint="eastAsia" w:ascii="Times New Roman" w:hAnsi="Times New Roman" w:cs="Times New Roman"/>
          <w:color w:val="000000" w:themeColor="text1"/>
          <w:lang w:val="en-US" w:eastAsia="zh-CN"/>
          <w14:textFill>
            <w14:solidFill>
              <w14:schemeClr w14:val="tx1"/>
            </w14:solidFill>
          </w14:textFill>
        </w:rPr>
        <w:t>影响Ⅲ类项目</w:t>
      </w:r>
      <w:r>
        <w:rPr>
          <w:rFonts w:hint="eastAsia" w:cs="Times New Roman"/>
          <w:color w:val="000000" w:themeColor="text1"/>
          <w:lang w:val="en-US" w:eastAsia="zh-CN"/>
          <w14:textFill>
            <w14:solidFill>
              <w14:schemeClr w14:val="tx1"/>
            </w14:solidFill>
          </w14:textFill>
        </w:rPr>
        <w:t>，评价范围内无土壤环境敏感目标，属于不敏感区，因此本项目不开展土壤环境影响评价。</w:t>
      </w:r>
    </w:p>
    <w:p w14:paraId="7C9C981C">
      <w:pPr>
        <w:pStyle w:val="11"/>
        <w:ind w:firstLine="0" w:firstLineChars="0"/>
        <w:rPr>
          <w:rFonts w:ascii="Times New Roman" w:hAnsi="Times New Roman" w:cs="Times New Roman"/>
          <w:color w:val="FF0000"/>
          <w:lang w:bidi="zh-CN"/>
        </w:rPr>
        <w:sectPr>
          <w:headerReference r:id="rId18"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7ED9B15D">
      <w:pPr>
        <w:pStyle w:val="5"/>
        <w:numPr>
          <w:ilvl w:val="2"/>
          <w:numId w:val="1"/>
        </w:numPr>
        <w:ind w:left="120"/>
        <w:rPr>
          <w:rFonts w:ascii="Times New Roman" w:hAnsi="Times New Roman" w:cs="Times New Roman"/>
          <w:color w:val="auto"/>
        </w:rPr>
      </w:pPr>
      <w:bookmarkStart w:id="160" w:name="_Toc490417108"/>
      <w:bookmarkStart w:id="161" w:name="_Toc483492033"/>
      <w:bookmarkStart w:id="162" w:name="_Toc25806"/>
      <w:r>
        <w:rPr>
          <w:rFonts w:ascii="Times New Roman" w:hAnsi="Times New Roman" w:cs="Times New Roman"/>
          <w:color w:val="auto"/>
        </w:rPr>
        <w:t>生态环境概况</w:t>
      </w:r>
      <w:bookmarkEnd w:id="160"/>
      <w:bookmarkEnd w:id="161"/>
      <w:bookmarkEnd w:id="162"/>
    </w:p>
    <w:p w14:paraId="6B86AE81">
      <w:pPr>
        <w:ind w:firstLine="480"/>
        <w:rPr>
          <w:rFonts w:ascii="Times New Roman" w:hAnsi="Times New Roman" w:cs="Times New Roman"/>
          <w:color w:val="auto"/>
        </w:rPr>
      </w:pPr>
      <w:r>
        <w:rPr>
          <w:rFonts w:ascii="Times New Roman" w:hAnsi="Times New Roman" w:cs="Times New Roman"/>
          <w:color w:val="auto"/>
        </w:rPr>
        <w:t>（1）生态功能区划</w:t>
      </w:r>
    </w:p>
    <w:p w14:paraId="09D34F11">
      <w:pPr>
        <w:ind w:firstLine="480"/>
        <w:rPr>
          <w:rFonts w:hint="eastAsia" w:ascii="Times New Roman" w:hAnsi="Times New Roman" w:cs="Times New Roman" w:eastAsiaTheme="minorEastAsia"/>
          <w:color w:val="auto"/>
          <w:lang w:val="en-US" w:eastAsia="zh-CN"/>
        </w:rPr>
      </w:pPr>
      <w:r>
        <w:rPr>
          <w:rFonts w:ascii="Times New Roman" w:hAnsi="Times New Roman" w:cs="Times New Roman"/>
          <w:color w:val="auto"/>
        </w:rPr>
        <w:t>根据《新疆生态功能区划》，项目区属于Ⅲ天山山地温性草原、森林生态区Ⅲ</w:t>
      </w:r>
      <w:r>
        <w:rPr>
          <w:rFonts w:ascii="Times New Roman" w:hAnsi="Times New Roman" w:cs="Times New Roman"/>
          <w:color w:val="auto"/>
          <w:vertAlign w:val="subscript"/>
        </w:rPr>
        <w:t>2</w:t>
      </w:r>
      <w:r>
        <w:rPr>
          <w:rFonts w:ascii="Times New Roman" w:hAnsi="Times New Roman" w:cs="Times New Roman"/>
          <w:color w:val="auto"/>
        </w:rPr>
        <w:t>西部天山草原牧业、针叶林水源涵养及河谷绿洲农业生态亚区</w:t>
      </w:r>
      <w:r>
        <w:rPr>
          <w:rFonts w:hint="eastAsia" w:ascii="Times New Roman" w:hAnsi="Times New Roman" w:cs="Times New Roman"/>
          <w:color w:val="auto"/>
          <w:lang w:val="en-US" w:eastAsia="zh-CN"/>
        </w:rPr>
        <w:t>36</w:t>
      </w:r>
      <w:r>
        <w:rPr>
          <w:rFonts w:ascii="Times New Roman" w:hAnsi="Times New Roman" w:cs="Times New Roman"/>
          <w:color w:val="auto"/>
        </w:rPr>
        <w:t>.</w:t>
      </w:r>
      <w:r>
        <w:rPr>
          <w:rFonts w:hint="eastAsia" w:ascii="Times New Roman" w:hAnsi="Times New Roman" w:cs="Times New Roman"/>
          <w:color w:val="auto"/>
          <w:lang w:val="en-US" w:eastAsia="zh-CN"/>
        </w:rPr>
        <w:t>伊犁河谷平原绿洲农业生态功能区</w:t>
      </w:r>
      <w:r>
        <w:rPr>
          <w:rFonts w:ascii="Times New Roman" w:hAnsi="Times New Roman" w:cs="Times New Roman"/>
          <w:color w:val="auto"/>
        </w:rPr>
        <w:t>。</w:t>
      </w:r>
    </w:p>
    <w:p w14:paraId="2E13C12F">
      <w:pPr>
        <w:ind w:firstLine="0" w:firstLineChars="0"/>
        <w:jc w:val="center"/>
        <w:rPr>
          <w:rFonts w:ascii="Times New Roman" w:hAnsi="Times New Roman" w:cs="Times New Roman"/>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5</w:t>
      </w:r>
      <w:r>
        <w:rPr>
          <w:rFonts w:ascii="Times New Roman" w:hAnsi="Times New Roman" w:eastAsia="宋体" w:cs="Times New Roman"/>
          <w:b/>
          <w:bCs/>
          <w:color w:val="auto"/>
        </w:rPr>
        <w:t>.2-1</w:t>
      </w:r>
      <w:r>
        <w:rPr>
          <w:rFonts w:hint="eastAsia" w:ascii="Times New Roman" w:hAnsi="Times New Roman" w:eastAsia="宋体" w:cs="Times New Roman"/>
          <w:b/>
          <w:bCs/>
          <w:color w:val="auto"/>
          <w:lang w:val="en-US" w:eastAsia="zh-CN"/>
        </w:rPr>
        <w:t>7</w:t>
      </w:r>
      <w:r>
        <w:rPr>
          <w:rFonts w:ascii="Times New Roman" w:hAnsi="Times New Roman" w:eastAsia="宋体" w:cs="Times New Roman"/>
          <w:b/>
          <w:bCs/>
          <w:color w:val="auto"/>
        </w:rPr>
        <w:t xml:space="preserve">    生态功能区划分</w:t>
      </w:r>
    </w:p>
    <w:tbl>
      <w:tblPr>
        <w:tblStyle w:val="35"/>
        <w:tblW w:w="83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7"/>
        <w:gridCol w:w="1392"/>
        <w:gridCol w:w="1202"/>
        <w:gridCol w:w="923"/>
        <w:gridCol w:w="1479"/>
        <w:gridCol w:w="1442"/>
        <w:gridCol w:w="956"/>
      </w:tblGrid>
      <w:tr w14:paraId="10D1C7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87" w:type="dxa"/>
            <w:tcBorders>
              <w:tl2br w:val="nil"/>
              <w:tr2bl w:val="nil"/>
            </w:tcBorders>
            <w:vAlign w:val="center"/>
          </w:tcPr>
          <w:p w14:paraId="0A4CCD28">
            <w:pPr>
              <w:pStyle w:val="56"/>
              <w:rPr>
                <w:rFonts w:ascii="Times New Roman" w:hAnsi="Times New Roman"/>
                <w:color w:val="auto"/>
                <w:szCs w:val="21"/>
              </w:rPr>
            </w:pPr>
            <w:r>
              <w:rPr>
                <w:rFonts w:ascii="Times New Roman" w:hAnsi="Times New Roman"/>
                <w:color w:val="auto"/>
                <w:szCs w:val="21"/>
              </w:rPr>
              <w:t>生态区</w:t>
            </w:r>
          </w:p>
        </w:tc>
        <w:tc>
          <w:tcPr>
            <w:tcW w:w="1392" w:type="dxa"/>
            <w:tcBorders>
              <w:tl2br w:val="nil"/>
              <w:tr2bl w:val="nil"/>
            </w:tcBorders>
            <w:vAlign w:val="center"/>
          </w:tcPr>
          <w:p w14:paraId="2511C0B1">
            <w:pPr>
              <w:pStyle w:val="56"/>
              <w:rPr>
                <w:rFonts w:ascii="Times New Roman" w:hAnsi="Times New Roman"/>
                <w:color w:val="auto"/>
                <w:szCs w:val="21"/>
              </w:rPr>
            </w:pPr>
            <w:r>
              <w:rPr>
                <w:rFonts w:ascii="Times New Roman" w:hAnsi="Times New Roman"/>
                <w:color w:val="auto"/>
                <w:szCs w:val="21"/>
              </w:rPr>
              <w:t>生态亚区</w:t>
            </w:r>
          </w:p>
        </w:tc>
        <w:tc>
          <w:tcPr>
            <w:tcW w:w="1202" w:type="dxa"/>
            <w:tcBorders>
              <w:tl2br w:val="nil"/>
              <w:tr2bl w:val="nil"/>
            </w:tcBorders>
            <w:vAlign w:val="center"/>
          </w:tcPr>
          <w:p w14:paraId="4F33EDD7">
            <w:pPr>
              <w:pStyle w:val="56"/>
              <w:rPr>
                <w:rFonts w:ascii="Times New Roman" w:hAnsi="Times New Roman"/>
                <w:color w:val="auto"/>
                <w:szCs w:val="21"/>
              </w:rPr>
            </w:pPr>
            <w:r>
              <w:rPr>
                <w:rFonts w:ascii="Times New Roman" w:hAnsi="Times New Roman"/>
                <w:color w:val="auto"/>
                <w:szCs w:val="21"/>
              </w:rPr>
              <w:t>生态功能区</w:t>
            </w:r>
          </w:p>
        </w:tc>
        <w:tc>
          <w:tcPr>
            <w:tcW w:w="923" w:type="dxa"/>
            <w:tcBorders>
              <w:tl2br w:val="nil"/>
              <w:tr2bl w:val="nil"/>
            </w:tcBorders>
            <w:vAlign w:val="center"/>
          </w:tcPr>
          <w:p w14:paraId="06A365BC">
            <w:pPr>
              <w:pStyle w:val="56"/>
              <w:rPr>
                <w:rFonts w:ascii="Times New Roman" w:hAnsi="Times New Roman"/>
                <w:color w:val="auto"/>
                <w:szCs w:val="21"/>
              </w:rPr>
            </w:pPr>
            <w:r>
              <w:rPr>
                <w:rFonts w:ascii="Times New Roman" w:hAnsi="Times New Roman"/>
                <w:color w:val="auto"/>
                <w:szCs w:val="21"/>
              </w:rPr>
              <w:t>主要生态服务功能</w:t>
            </w:r>
          </w:p>
        </w:tc>
        <w:tc>
          <w:tcPr>
            <w:tcW w:w="1479" w:type="dxa"/>
            <w:tcBorders>
              <w:tl2br w:val="nil"/>
              <w:tr2bl w:val="nil"/>
            </w:tcBorders>
            <w:vAlign w:val="center"/>
          </w:tcPr>
          <w:p w14:paraId="76A8BDA6">
            <w:pPr>
              <w:pStyle w:val="56"/>
              <w:rPr>
                <w:rFonts w:ascii="Times New Roman" w:hAnsi="Times New Roman"/>
                <w:color w:val="auto"/>
                <w:szCs w:val="21"/>
              </w:rPr>
            </w:pPr>
            <w:r>
              <w:rPr>
                <w:rFonts w:ascii="Times New Roman" w:hAnsi="Times New Roman"/>
                <w:color w:val="auto"/>
                <w:szCs w:val="21"/>
              </w:rPr>
              <w:t>主要生态环境问题</w:t>
            </w:r>
          </w:p>
        </w:tc>
        <w:tc>
          <w:tcPr>
            <w:tcW w:w="1442" w:type="dxa"/>
            <w:tcBorders>
              <w:tl2br w:val="nil"/>
              <w:tr2bl w:val="nil"/>
            </w:tcBorders>
            <w:vAlign w:val="center"/>
          </w:tcPr>
          <w:p w14:paraId="3A972DC5">
            <w:pPr>
              <w:pStyle w:val="56"/>
              <w:rPr>
                <w:rFonts w:ascii="Times New Roman" w:hAnsi="Times New Roman"/>
                <w:color w:val="auto"/>
                <w:szCs w:val="21"/>
              </w:rPr>
            </w:pPr>
            <w:r>
              <w:rPr>
                <w:rFonts w:ascii="Times New Roman" w:hAnsi="Times New Roman"/>
                <w:color w:val="auto"/>
                <w:szCs w:val="21"/>
              </w:rPr>
              <w:t>生态敏感因子敏感程度</w:t>
            </w:r>
          </w:p>
        </w:tc>
        <w:tc>
          <w:tcPr>
            <w:tcW w:w="956" w:type="dxa"/>
            <w:tcBorders>
              <w:tl2br w:val="nil"/>
              <w:tr2bl w:val="nil"/>
            </w:tcBorders>
            <w:vAlign w:val="center"/>
          </w:tcPr>
          <w:p w14:paraId="209A5A3D">
            <w:pPr>
              <w:pStyle w:val="56"/>
              <w:rPr>
                <w:rFonts w:ascii="Times New Roman" w:hAnsi="Times New Roman"/>
                <w:color w:val="auto"/>
                <w:szCs w:val="21"/>
              </w:rPr>
            </w:pPr>
            <w:r>
              <w:rPr>
                <w:rFonts w:ascii="Times New Roman" w:hAnsi="Times New Roman"/>
                <w:color w:val="auto"/>
                <w:szCs w:val="21"/>
              </w:rPr>
              <w:t>主要保护目标</w:t>
            </w:r>
          </w:p>
        </w:tc>
      </w:tr>
      <w:tr w14:paraId="52351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987" w:type="dxa"/>
            <w:tcBorders>
              <w:tl2br w:val="nil"/>
              <w:tr2bl w:val="nil"/>
            </w:tcBorders>
            <w:vAlign w:val="center"/>
          </w:tcPr>
          <w:p w14:paraId="3683B861">
            <w:pPr>
              <w:pStyle w:val="56"/>
              <w:rPr>
                <w:rFonts w:ascii="Times New Roman" w:hAnsi="Times New Roman"/>
                <w:color w:val="auto"/>
                <w:szCs w:val="21"/>
              </w:rPr>
            </w:pPr>
            <w:r>
              <w:rPr>
                <w:rFonts w:ascii="Times New Roman" w:hAnsi="Times New Roman"/>
                <w:color w:val="auto"/>
                <w:szCs w:val="21"/>
              </w:rPr>
              <w:t>Ⅲ天山 山地温 性草原、森林生 态区</w:t>
            </w:r>
          </w:p>
        </w:tc>
        <w:tc>
          <w:tcPr>
            <w:tcW w:w="1392" w:type="dxa"/>
            <w:tcBorders>
              <w:tl2br w:val="nil"/>
              <w:tr2bl w:val="nil"/>
            </w:tcBorders>
            <w:vAlign w:val="center"/>
          </w:tcPr>
          <w:p w14:paraId="4623B6C3">
            <w:pPr>
              <w:pStyle w:val="56"/>
              <w:rPr>
                <w:rFonts w:ascii="Times New Roman" w:hAnsi="Times New Roman"/>
                <w:color w:val="auto"/>
                <w:szCs w:val="21"/>
              </w:rPr>
            </w:pPr>
            <w:r>
              <w:rPr>
                <w:rFonts w:ascii="Times New Roman" w:hAnsi="Times New Roman"/>
                <w:color w:val="auto"/>
                <w:szCs w:val="21"/>
              </w:rPr>
              <w:t>Ⅲ2 西部天山草原牧业、针叶林水源涵养及河谷绿洲农业生态亚区</w:t>
            </w:r>
          </w:p>
        </w:tc>
        <w:tc>
          <w:tcPr>
            <w:tcW w:w="1202" w:type="dxa"/>
            <w:tcBorders>
              <w:tl2br w:val="nil"/>
              <w:tr2bl w:val="nil"/>
            </w:tcBorders>
            <w:vAlign w:val="center"/>
          </w:tcPr>
          <w:p w14:paraId="64A261DD">
            <w:pPr>
              <w:pStyle w:val="56"/>
              <w:rPr>
                <w:rFonts w:ascii="Times New Roman" w:hAnsi="Times New Roman"/>
                <w:color w:val="auto"/>
                <w:szCs w:val="21"/>
              </w:rPr>
            </w:pPr>
            <w:r>
              <w:rPr>
                <w:rFonts w:hint="eastAsia" w:ascii="Times New Roman" w:hAnsi="Times New Roman"/>
                <w:color w:val="auto"/>
                <w:szCs w:val="21"/>
                <w:lang w:val="en-US" w:eastAsia="zh-CN"/>
              </w:rPr>
              <w:t>36</w:t>
            </w:r>
            <w:r>
              <w:rPr>
                <w:rFonts w:ascii="Times New Roman" w:hAnsi="Times New Roman"/>
                <w:color w:val="auto"/>
                <w:szCs w:val="21"/>
              </w:rPr>
              <w:t>.</w:t>
            </w:r>
            <w:r>
              <w:rPr>
                <w:rFonts w:hint="eastAsia" w:ascii="Times New Roman" w:hAnsi="Times New Roman"/>
                <w:color w:val="auto"/>
                <w:szCs w:val="21"/>
                <w:lang w:val="en-US" w:eastAsia="zh-CN"/>
              </w:rPr>
              <w:t>伊犁河谷平原绿洲农业生态功能区</w:t>
            </w:r>
          </w:p>
        </w:tc>
        <w:tc>
          <w:tcPr>
            <w:tcW w:w="923" w:type="dxa"/>
            <w:tcBorders>
              <w:tl2br w:val="nil"/>
              <w:tr2bl w:val="nil"/>
            </w:tcBorders>
            <w:vAlign w:val="center"/>
          </w:tcPr>
          <w:p w14:paraId="0A8A94FE">
            <w:pPr>
              <w:pStyle w:val="56"/>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农牧产品生产、人居环境、土壤保持</w:t>
            </w:r>
          </w:p>
        </w:tc>
        <w:tc>
          <w:tcPr>
            <w:tcW w:w="1479" w:type="dxa"/>
            <w:tcBorders>
              <w:tl2br w:val="nil"/>
              <w:tr2bl w:val="nil"/>
            </w:tcBorders>
            <w:vAlign w:val="center"/>
          </w:tcPr>
          <w:p w14:paraId="0DC6196B">
            <w:pPr>
              <w:pStyle w:val="56"/>
              <w:rPr>
                <w:rFonts w:hint="default" w:ascii="Times New Roman" w:hAnsi="Times New Roman" w:eastAsia="宋体"/>
                <w:color w:val="auto"/>
                <w:szCs w:val="21"/>
                <w:lang w:val="en-US" w:eastAsia="zh-CN"/>
              </w:rPr>
            </w:pPr>
            <w:r>
              <w:rPr>
                <w:rFonts w:ascii="Times New Roman" w:hAnsi="Times New Roman"/>
                <w:color w:val="auto"/>
                <w:szCs w:val="21"/>
              </w:rPr>
              <w:t>水土流失、草</w:t>
            </w:r>
            <w:r>
              <w:rPr>
                <w:rFonts w:hint="eastAsia" w:ascii="Times New Roman" w:hAnsi="Times New Roman"/>
                <w:color w:val="auto"/>
                <w:szCs w:val="21"/>
                <w:lang w:val="en-US" w:eastAsia="zh-CN"/>
              </w:rPr>
              <w:t>地</w:t>
            </w:r>
            <w:r>
              <w:rPr>
                <w:rFonts w:ascii="Times New Roman" w:hAnsi="Times New Roman"/>
                <w:color w:val="auto"/>
                <w:szCs w:val="21"/>
              </w:rPr>
              <w:t>退化</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毁草开荒</w:t>
            </w:r>
          </w:p>
        </w:tc>
        <w:tc>
          <w:tcPr>
            <w:tcW w:w="1442" w:type="dxa"/>
            <w:tcBorders>
              <w:tl2br w:val="nil"/>
              <w:tr2bl w:val="nil"/>
            </w:tcBorders>
            <w:vAlign w:val="center"/>
          </w:tcPr>
          <w:p w14:paraId="3A4140EC">
            <w:pPr>
              <w:pStyle w:val="56"/>
              <w:rPr>
                <w:rFonts w:ascii="Times New Roman" w:hAnsi="Times New Roman"/>
                <w:color w:val="auto"/>
                <w:szCs w:val="21"/>
              </w:rPr>
            </w:pPr>
            <w:r>
              <w:rPr>
                <w:rFonts w:ascii="Times New Roman" w:hAnsi="Times New Roman"/>
                <w:color w:val="auto"/>
                <w:szCs w:val="21"/>
              </w:rPr>
              <w:t>生物多样性及 其生境</w:t>
            </w:r>
            <w:r>
              <w:rPr>
                <w:rFonts w:hint="eastAsia" w:ascii="Times New Roman" w:hAnsi="Times New Roman"/>
                <w:color w:val="auto"/>
                <w:szCs w:val="21"/>
                <w:lang w:val="en-US" w:eastAsia="zh-CN"/>
              </w:rPr>
              <w:t>中</w:t>
            </w:r>
            <w:r>
              <w:rPr>
                <w:rFonts w:ascii="Times New Roman" w:hAnsi="Times New Roman"/>
                <w:color w:val="auto"/>
                <w:szCs w:val="21"/>
              </w:rPr>
              <w:t>度敏 感，土壤侵蚀</w:t>
            </w:r>
            <w:r>
              <w:rPr>
                <w:rFonts w:hint="eastAsia" w:ascii="Times New Roman" w:hAnsi="Times New Roman"/>
                <w:color w:val="auto"/>
                <w:szCs w:val="21"/>
                <w:lang w:val="en-US" w:eastAsia="zh-CN"/>
              </w:rPr>
              <w:t>中度</w:t>
            </w:r>
            <w:r>
              <w:rPr>
                <w:rFonts w:ascii="Times New Roman" w:hAnsi="Times New Roman"/>
                <w:color w:val="auto"/>
                <w:szCs w:val="21"/>
              </w:rPr>
              <w:t>敏感</w:t>
            </w:r>
          </w:p>
        </w:tc>
        <w:tc>
          <w:tcPr>
            <w:tcW w:w="956" w:type="dxa"/>
            <w:tcBorders>
              <w:tl2br w:val="nil"/>
              <w:tr2bl w:val="nil"/>
            </w:tcBorders>
            <w:vAlign w:val="center"/>
          </w:tcPr>
          <w:p w14:paraId="3DD21C99">
            <w:pPr>
              <w:pStyle w:val="56"/>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保护基本农田和基本草场、保护河谷林、保护河水水质</w:t>
            </w:r>
          </w:p>
        </w:tc>
      </w:tr>
    </w:tbl>
    <w:p w14:paraId="3BEFC341">
      <w:pPr>
        <w:ind w:firstLine="480"/>
        <w:rPr>
          <w:rFonts w:ascii="Times New Roman" w:hAnsi="Times New Roman" w:cs="Times New Roman"/>
          <w:color w:val="auto"/>
        </w:rPr>
      </w:pPr>
      <w:r>
        <w:rPr>
          <w:rFonts w:ascii="Times New Roman" w:hAnsi="Times New Roman" w:cs="Times New Roman"/>
          <w:color w:val="auto"/>
        </w:rPr>
        <w:t>（2）生态现状调查</w:t>
      </w:r>
    </w:p>
    <w:p w14:paraId="3773C3D7">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土壤类型调查</w:t>
      </w:r>
    </w:p>
    <w:p w14:paraId="0BB3848D">
      <w:pPr>
        <w:ind w:firstLine="480"/>
        <w:rPr>
          <w:rFonts w:ascii="Times New Roman" w:hAnsi="Times New Roman" w:cs="Times New Roman"/>
          <w:color w:val="auto"/>
        </w:rPr>
      </w:pPr>
      <w:r>
        <w:rPr>
          <w:rFonts w:ascii="Times New Roman" w:hAnsi="Times New Roman" w:cs="Times New Roman"/>
          <w:color w:val="auto"/>
        </w:rPr>
        <w:t>本项目土壤类型为</w:t>
      </w:r>
      <w:r>
        <w:rPr>
          <w:rFonts w:hint="eastAsia" w:ascii="Times New Roman" w:hAnsi="Times New Roman" w:cs="Times New Roman"/>
          <w:color w:val="auto"/>
          <w:lang w:val="en-US" w:eastAsia="zh-CN"/>
        </w:rPr>
        <w:t>风积沙</w:t>
      </w:r>
      <w:r>
        <w:rPr>
          <w:rFonts w:ascii="Times New Roman" w:hAnsi="Times New Roman" w:cs="Times New Roman"/>
          <w:color w:val="auto"/>
        </w:rPr>
        <w:t>。</w:t>
      </w:r>
    </w:p>
    <w:p w14:paraId="553BC095">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土地利用现状调查</w:t>
      </w:r>
    </w:p>
    <w:p w14:paraId="0DACE7CD">
      <w:pPr>
        <w:ind w:firstLine="480"/>
        <w:rPr>
          <w:rFonts w:ascii="Times New Roman" w:hAnsi="Times New Roman" w:cs="Times New Roman"/>
          <w:color w:val="auto"/>
        </w:rPr>
      </w:pPr>
      <w:r>
        <w:rPr>
          <w:rFonts w:ascii="Times New Roman" w:hAnsi="Times New Roman" w:cs="Times New Roman"/>
          <w:color w:val="auto"/>
        </w:rPr>
        <w:t>养殖场土地利用类型为设施农用地。</w:t>
      </w:r>
    </w:p>
    <w:p w14:paraId="7DD85408">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植物现状调查</w:t>
      </w:r>
    </w:p>
    <w:p w14:paraId="35A9AAB3">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ascii="Times New Roman" w:hAnsi="Times New Roman" w:cs="Times New Roman"/>
          <w:color w:val="000000" w:themeColor="text1"/>
          <w14:textFill>
            <w14:solidFill>
              <w14:schemeClr w14:val="tx1"/>
            </w14:solidFill>
          </w14:textFill>
        </w:rPr>
        <w:t>据现场勘查，项目区域地表自然植被主要是</w:t>
      </w:r>
      <w:r>
        <w:rPr>
          <w:rFonts w:hint="eastAsia" w:ascii="Times New Roman" w:hAnsi="Times New Roman" w:eastAsia="宋体" w:cs="宋体"/>
          <w:color w:val="000000"/>
          <w:kern w:val="0"/>
          <w:sz w:val="24"/>
          <w:szCs w:val="24"/>
          <w:lang w:val="en-US" w:eastAsia="zh-CN" w:bidi="ar"/>
        </w:rPr>
        <w:t>多年生蒿类、红柳</w:t>
      </w:r>
      <w:r>
        <w:rPr>
          <w:rFonts w:ascii="Times New Roman" w:hAnsi="Times New Roman" w:cs="Times New Roman"/>
          <w:color w:val="000000" w:themeColor="text1"/>
          <w14:textFill>
            <w14:solidFill>
              <w14:schemeClr w14:val="tx1"/>
            </w14:solidFill>
          </w14:textFill>
        </w:rPr>
        <w:t>等耐旱、耐盐植被。</w:t>
      </w:r>
      <w:r>
        <w:rPr>
          <w:rFonts w:hint="eastAsia" w:ascii="Times New Roman" w:hAnsi="Times New Roman" w:eastAsia="宋体" w:cs="宋体"/>
          <w:color w:val="000000"/>
          <w:kern w:val="0"/>
          <w:sz w:val="24"/>
          <w:szCs w:val="24"/>
          <w:lang w:val="en-US" w:eastAsia="zh-CN" w:bidi="ar"/>
        </w:rPr>
        <w:t>根据《新疆国家重点保护野生植物名录》（</w:t>
      </w:r>
      <w:r>
        <w:rPr>
          <w:rFonts w:hint="default" w:ascii="Times New Roman" w:hAnsi="Times New Roman" w:eastAsia="宋体" w:cs="Times New Roman"/>
          <w:color w:val="000000"/>
          <w:kern w:val="0"/>
          <w:sz w:val="24"/>
          <w:szCs w:val="24"/>
          <w:lang w:val="en-US" w:eastAsia="zh-CN" w:bidi="ar"/>
        </w:rPr>
        <w:t>2022</w:t>
      </w:r>
      <w:r>
        <w:rPr>
          <w:rFonts w:hint="eastAsia" w:ascii="Times New Roman" w:hAnsi="Times New Roman" w:eastAsia="宋体" w:cs="宋体"/>
          <w:color w:val="000000"/>
          <w:kern w:val="0"/>
          <w:sz w:val="24"/>
          <w:szCs w:val="24"/>
          <w:lang w:val="en-US" w:eastAsia="zh-CN" w:bidi="ar"/>
        </w:rPr>
        <w:t>年）、《新疆维吾尔自治区重点保护野生植物名录》（第一批）（新政办发〔</w:t>
      </w:r>
      <w:r>
        <w:rPr>
          <w:rFonts w:hint="default" w:ascii="Times New Roman" w:hAnsi="Times New Roman" w:eastAsia="宋体" w:cs="Times New Roman"/>
          <w:color w:val="000000"/>
          <w:kern w:val="0"/>
          <w:sz w:val="24"/>
          <w:szCs w:val="24"/>
          <w:lang w:val="en-US" w:eastAsia="zh-CN" w:bidi="ar"/>
        </w:rPr>
        <w:t>2007</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175</w:t>
      </w:r>
      <w:r>
        <w:rPr>
          <w:rFonts w:hint="eastAsia" w:ascii="Times New Roman" w:hAnsi="Times New Roman" w:eastAsia="宋体" w:cs="宋体"/>
          <w:color w:val="000000"/>
          <w:kern w:val="0"/>
          <w:sz w:val="24"/>
          <w:szCs w:val="24"/>
          <w:lang w:val="en-US" w:eastAsia="zh-CN" w:bidi="ar"/>
        </w:rPr>
        <w:t>号）可知，项目区域无新疆维吾尔自治区级及国家级保护植被。</w:t>
      </w:r>
    </w:p>
    <w:p w14:paraId="1F13A504">
      <w:pPr>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rPr>
        <w:fldChar w:fldCharType="begin"/>
      </w:r>
      <w:r>
        <w:rPr>
          <w:rFonts w:hint="eastAsia" w:ascii="Times New Roman" w:hAnsi="Times New Roman" w:eastAsia="宋体" w:cs="宋体"/>
          <w:color w:val="auto"/>
        </w:rPr>
        <w:instrText xml:space="preserve"> = 4 \* GB3 \* MERGEFORMAT </w:instrText>
      </w:r>
      <w:r>
        <w:rPr>
          <w:rFonts w:hint="eastAsia" w:ascii="Times New Roman" w:hAnsi="Times New Roman" w:eastAsia="宋体" w:cs="宋体"/>
          <w:color w:val="auto"/>
        </w:rPr>
        <w:fldChar w:fldCharType="separate"/>
      </w:r>
      <w:r>
        <w:rPr>
          <w:rFonts w:hint="eastAsia" w:ascii="Times New Roman" w:hAnsi="Times New Roman" w:eastAsia="宋体" w:cs="宋体"/>
          <w:color w:val="auto"/>
        </w:rPr>
        <w:t>④</w:t>
      </w:r>
      <w:r>
        <w:rPr>
          <w:rFonts w:hint="eastAsia" w:ascii="Times New Roman" w:hAnsi="Times New Roman" w:eastAsia="宋体" w:cs="宋体"/>
          <w:color w:val="auto"/>
        </w:rPr>
        <w:fldChar w:fldCharType="end"/>
      </w:r>
      <w:r>
        <w:rPr>
          <w:rFonts w:hint="eastAsia" w:ascii="Times New Roman" w:hAnsi="Times New Roman" w:eastAsia="宋体" w:cs="宋体"/>
          <w:color w:val="auto"/>
          <w:lang w:val="en-US" w:eastAsia="zh-CN"/>
        </w:rPr>
        <w:t>动物现状调查</w:t>
      </w:r>
    </w:p>
    <w:p w14:paraId="265F016D">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根据《中国动物地理》和新疆动物地理区划，评价区属：古北界－蒙新区－西部荒漠亚区－温带荒漠、半荒漠动物群。</w:t>
      </w:r>
    </w:p>
    <w:p w14:paraId="338D2B2E">
      <w:pPr>
        <w:keepNext w:val="0"/>
        <w:keepLines w:val="0"/>
        <w:widowControl/>
        <w:suppressLineNumbers w:val="0"/>
        <w:jc w:val="left"/>
        <w:rPr>
          <w:rFonts w:hint="default" w:ascii="Times New Roman" w:hAnsi="Times New Roman"/>
          <w:lang w:val="en-US" w:eastAsia="zh-CN"/>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在项目区一带，由于人类活动干扰大，野生动物活动相对较少。无大型野生动物踪迹，偶见的野生动物多为一些小的动物和飞禽，如鼠、麻雀等动物。未见有重点保护野生动物。</w:t>
      </w:r>
    </w:p>
    <w:p w14:paraId="48FAA04C">
      <w:pPr>
        <w:ind w:firstLine="480"/>
        <w:rPr>
          <w:rFonts w:hint="eastAsia" w:ascii="Times New Roman" w:hAnsi="Times New Roman" w:eastAsia="宋体" w:cs="宋体"/>
          <w:color w:val="auto"/>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2FE77F6F">
      <w:pPr>
        <w:pStyle w:val="3"/>
        <w:numPr>
          <w:ilvl w:val="0"/>
          <w:numId w:val="1"/>
        </w:numPr>
        <w:rPr>
          <w:rFonts w:ascii="Times New Roman" w:hAnsi="Times New Roman" w:cs="Times New Roman"/>
          <w:color w:val="000000" w:themeColor="text1"/>
          <w14:textFill>
            <w14:solidFill>
              <w14:schemeClr w14:val="tx1"/>
            </w14:solidFill>
          </w14:textFill>
        </w:rPr>
      </w:pPr>
      <w:bookmarkStart w:id="163" w:name="_Toc490417110"/>
      <w:bookmarkStart w:id="164" w:name="_Toc3193"/>
      <w:bookmarkStart w:id="165" w:name="_Toc483492052"/>
      <w:r>
        <w:rPr>
          <w:rFonts w:ascii="Times New Roman" w:hAnsi="Times New Roman" w:cs="Times New Roman"/>
          <w:color w:val="000000" w:themeColor="text1"/>
          <w14:textFill>
            <w14:solidFill>
              <w14:schemeClr w14:val="tx1"/>
            </w14:solidFill>
          </w14:textFill>
        </w:rPr>
        <w:t>环境影响预测与评价</w:t>
      </w:r>
      <w:bookmarkEnd w:id="163"/>
      <w:bookmarkEnd w:id="164"/>
      <w:bookmarkEnd w:id="165"/>
    </w:p>
    <w:p w14:paraId="68F8AD45">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166" w:name="_Toc26872"/>
      <w:bookmarkStart w:id="167" w:name="_Toc490417111"/>
      <w:bookmarkStart w:id="168" w:name="_Toc483492053"/>
      <w:r>
        <w:rPr>
          <w:rFonts w:ascii="Times New Roman" w:hAnsi="Times New Roman" w:cs="Times New Roman"/>
          <w:color w:val="000000" w:themeColor="text1"/>
          <w:lang w:val="en-GB"/>
          <w14:textFill>
            <w14:solidFill>
              <w14:schemeClr w14:val="tx1"/>
            </w14:solidFill>
          </w14:textFill>
        </w:rPr>
        <w:t>施工期环境影响分析</w:t>
      </w:r>
      <w:bookmarkEnd w:id="166"/>
    </w:p>
    <w:p w14:paraId="5FBE5F12">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大气环境影响分析</w:t>
      </w:r>
    </w:p>
    <w:p w14:paraId="1E24E7A1">
      <w:pPr>
        <w:ind w:firstLine="480"/>
        <w:rPr>
          <w:rFonts w:ascii="Times New Roman" w:hAnsi="Times New Roman" w:cs="Times New Roman"/>
          <w:color w:val="000000" w:themeColor="text1"/>
          <w14:textFill>
            <w14:solidFill>
              <w14:schemeClr w14:val="tx1"/>
            </w14:solidFill>
          </w14:textFill>
        </w:rPr>
      </w:pPr>
      <w:bookmarkStart w:id="169" w:name="_Toc1767"/>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施工扬尘</w:t>
      </w:r>
      <w:bookmarkEnd w:id="169"/>
    </w:p>
    <w:p w14:paraId="5A80C5C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施工期对环境的污染主要为厂区地基处理、地面平整、运输车辆的行驶、装卸施工材料、材料临时堆</w:t>
      </w:r>
      <w:r>
        <w:rPr>
          <w:rFonts w:hint="eastAsia" w:ascii="Times New Roman" w:hAnsi="Times New Roman" w:cs="Times New Roman"/>
          <w:color w:val="000000" w:themeColor="text1"/>
          <w:lang w:val="en-US" w:eastAsia="zh-CN"/>
          <w14:textFill>
            <w14:solidFill>
              <w14:schemeClr w14:val="tx1"/>
            </w14:solidFill>
          </w14:textFill>
        </w:rPr>
        <w:t>放</w:t>
      </w:r>
      <w:r>
        <w:rPr>
          <w:rFonts w:ascii="Times New Roman" w:hAnsi="Times New Roman" w:cs="Times New Roman"/>
          <w:color w:val="000000" w:themeColor="text1"/>
          <w14:textFill>
            <w14:solidFill>
              <w14:schemeClr w14:val="tx1"/>
            </w14:solidFill>
          </w14:textFill>
        </w:rPr>
        <w:t>等带来的扬尘；施工机械和运输车辆产生的燃油废气，主要污染物为NOx、CO和烃类物。</w:t>
      </w:r>
    </w:p>
    <w:p w14:paraId="0865E50A">
      <w:pPr>
        <w:ind w:firstLine="480"/>
        <w:rPr>
          <w:rFonts w:ascii="Times New Roman" w:hAnsi="Times New Roman" w:cs="Times New Roman"/>
          <w:color w:val="000000" w:themeColor="text1"/>
          <w14:textFill>
            <w14:solidFill>
              <w14:schemeClr w14:val="tx1"/>
            </w14:solidFill>
          </w14:textFill>
        </w:rPr>
      </w:pPr>
      <w:bookmarkStart w:id="170" w:name="_Toc11161"/>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车辆行驶扬尘对环境的影响</w:t>
      </w:r>
      <w:bookmarkEnd w:id="170"/>
    </w:p>
    <w:p w14:paraId="41D58D3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根据有关文献资料，在施工过程中，车辆行驶产生的扬尘占总扬尘的60%以上。车辆行驶产生的扬尘，在完全干燥的情况下，可按下列经验公式进行计算：</w:t>
      </w:r>
    </w:p>
    <w:p w14:paraId="3877FBE5">
      <w:pPr>
        <w:ind w:firstLine="48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2194560" cy="478155"/>
            <wp:effectExtent l="0" t="0" r="0" b="0"/>
            <wp:docPr id="3" name="图片 3" descr="C:\Users\123\AppData\Local\Temp\16484416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23\AppData\Local\Temp\1648441672(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42560" cy="488951"/>
                    </a:xfrm>
                    <a:prstGeom prst="rect">
                      <a:avLst/>
                    </a:prstGeom>
                    <a:noFill/>
                    <a:ln>
                      <a:noFill/>
                    </a:ln>
                  </pic:spPr>
                </pic:pic>
              </a:graphicData>
            </a:graphic>
          </wp:inline>
        </w:drawing>
      </w:r>
    </w:p>
    <w:p w14:paraId="0C883C4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式中：Q——汽车行驶的扬尘，kg/km·辆；</w:t>
      </w:r>
    </w:p>
    <w:p w14:paraId="6645FCD9">
      <w:pPr>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V——汽车速度，km/hr；</w:t>
      </w:r>
    </w:p>
    <w:p w14:paraId="2B1239FC">
      <w:pPr>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W——汽车载重量，吨；</w:t>
      </w:r>
    </w:p>
    <w:p w14:paraId="5A01D951">
      <w:pPr>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P——道路表面粉尘量，kg/m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p>
    <w:p w14:paraId="77FB5E5E">
      <w:pPr>
        <w:ind w:firstLine="480"/>
        <w:rPr>
          <w:rFonts w:ascii="Times New Roman" w:hAnsi="Times New Roman" w:cs="Times New Roman"/>
          <w:color w:val="auto"/>
        </w:rPr>
      </w:pPr>
      <w:r>
        <w:rPr>
          <w:rFonts w:ascii="Times New Roman" w:hAnsi="Times New Roman" w:cs="Times New Roman"/>
          <w:color w:val="000000" w:themeColor="text1"/>
          <w14:textFill>
            <w14:solidFill>
              <w14:schemeClr w14:val="tx1"/>
            </w14:solidFill>
          </w14:textFill>
        </w:rPr>
        <w:t>一辆10吨重卡车，通过一段1km的路面时，不同路面清洁程度，不同行驶速度情况下的扬尘量。可见在同样路面清洁程度</w:t>
      </w:r>
      <w:r>
        <w:rPr>
          <w:rFonts w:ascii="Times New Roman" w:hAnsi="Times New Roman" w:cs="Times New Roman"/>
          <w:color w:val="auto"/>
        </w:rPr>
        <w:t>条件下，车速越快，扬尘量越大；而同样车速情况下，路面越脏，扬尘量越大，因此，限制车辆行驶速度及保持路面的清洁是减少汽车行驶道路扬尘的最有效手段。</w:t>
      </w:r>
    </w:p>
    <w:p w14:paraId="2E02F6F7">
      <w:pPr>
        <w:ind w:firstLine="480"/>
        <w:rPr>
          <w:rFonts w:ascii="Times New Roman" w:hAnsi="Times New Roman" w:cs="Times New Roman"/>
          <w:color w:val="auto"/>
        </w:rPr>
      </w:pPr>
      <w:r>
        <w:rPr>
          <w:rFonts w:ascii="Times New Roman" w:hAnsi="Times New Roman" w:cs="Times New Roman"/>
          <w:color w:val="auto"/>
        </w:rPr>
        <w:t>施工阶段通过对行驶路面进行洒水（每天4～5次），可以使得空气中粉尘量减少70%左右，洒水试验资料见表</w:t>
      </w:r>
      <w:r>
        <w:rPr>
          <w:rFonts w:hint="eastAsia" w:cs="Times New Roman"/>
          <w:color w:val="auto"/>
          <w:lang w:val="en-US" w:eastAsia="zh-CN"/>
        </w:rPr>
        <w:t>5</w:t>
      </w:r>
      <w:r>
        <w:rPr>
          <w:rFonts w:ascii="Times New Roman" w:hAnsi="Times New Roman" w:cs="Times New Roman"/>
          <w:color w:val="auto"/>
        </w:rPr>
        <w:t>.1-1，扬尘造成的粉尘污染距离可缩小到20～50m范围。</w:t>
      </w:r>
    </w:p>
    <w:p w14:paraId="1A328951">
      <w:pPr>
        <w:pStyle w:val="61"/>
        <w:spacing w:beforeLines="0" w:afterLines="0"/>
        <w:rPr>
          <w:rFonts w:ascii="Times New Roman" w:hAnsi="Times New Roman" w:cs="Times New Roman"/>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.1-1    施工场地洒水抑尘的试验结果</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76"/>
        <w:gridCol w:w="1032"/>
        <w:gridCol w:w="993"/>
        <w:gridCol w:w="1234"/>
        <w:gridCol w:w="1237"/>
        <w:gridCol w:w="1236"/>
        <w:gridCol w:w="1236"/>
      </w:tblGrid>
      <w:tr w14:paraId="07682A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08" w:type="dxa"/>
            <w:gridSpan w:val="2"/>
            <w:tcBorders>
              <w:tl2br w:val="nil"/>
              <w:tr2bl w:val="nil"/>
            </w:tcBorders>
            <w:vAlign w:val="center"/>
          </w:tcPr>
          <w:p w14:paraId="244A00E1">
            <w:pPr>
              <w:pStyle w:val="56"/>
              <w:rPr>
                <w:rFonts w:ascii="Times New Roman" w:hAnsi="Times New Roman"/>
                <w:color w:val="auto"/>
                <w:szCs w:val="21"/>
              </w:rPr>
            </w:pPr>
            <w:r>
              <w:rPr>
                <w:rFonts w:ascii="Times New Roman" w:hAnsi="Times New Roman"/>
                <w:color w:val="auto"/>
                <w:szCs w:val="21"/>
              </w:rPr>
              <w:t>距离（m）</w:t>
            </w:r>
          </w:p>
        </w:tc>
        <w:tc>
          <w:tcPr>
            <w:tcW w:w="993" w:type="dxa"/>
            <w:tcBorders>
              <w:tl2br w:val="nil"/>
              <w:tr2bl w:val="nil"/>
            </w:tcBorders>
            <w:vAlign w:val="center"/>
          </w:tcPr>
          <w:p w14:paraId="5E10F7BC">
            <w:pPr>
              <w:pStyle w:val="56"/>
              <w:rPr>
                <w:rFonts w:ascii="Times New Roman" w:hAnsi="Times New Roman"/>
                <w:color w:val="auto"/>
                <w:szCs w:val="21"/>
              </w:rPr>
            </w:pPr>
            <w:r>
              <w:rPr>
                <w:rFonts w:ascii="Times New Roman" w:hAnsi="Times New Roman"/>
                <w:color w:val="auto"/>
                <w:szCs w:val="21"/>
              </w:rPr>
              <w:t>5</w:t>
            </w:r>
          </w:p>
        </w:tc>
        <w:tc>
          <w:tcPr>
            <w:tcW w:w="1234" w:type="dxa"/>
            <w:tcBorders>
              <w:tl2br w:val="nil"/>
              <w:tr2bl w:val="nil"/>
            </w:tcBorders>
            <w:vAlign w:val="center"/>
          </w:tcPr>
          <w:p w14:paraId="08C21E59">
            <w:pPr>
              <w:pStyle w:val="56"/>
              <w:rPr>
                <w:rFonts w:ascii="Times New Roman" w:hAnsi="Times New Roman"/>
                <w:color w:val="auto"/>
                <w:szCs w:val="21"/>
              </w:rPr>
            </w:pPr>
            <w:r>
              <w:rPr>
                <w:rFonts w:ascii="Times New Roman" w:hAnsi="Times New Roman"/>
                <w:color w:val="auto"/>
                <w:szCs w:val="21"/>
              </w:rPr>
              <w:t>20</w:t>
            </w:r>
          </w:p>
        </w:tc>
        <w:tc>
          <w:tcPr>
            <w:tcW w:w="1237" w:type="dxa"/>
            <w:tcBorders>
              <w:tl2br w:val="nil"/>
              <w:tr2bl w:val="nil"/>
            </w:tcBorders>
            <w:vAlign w:val="center"/>
          </w:tcPr>
          <w:p w14:paraId="1CB3C184">
            <w:pPr>
              <w:pStyle w:val="56"/>
              <w:rPr>
                <w:rFonts w:ascii="Times New Roman" w:hAnsi="Times New Roman"/>
                <w:color w:val="auto"/>
                <w:szCs w:val="21"/>
              </w:rPr>
            </w:pPr>
            <w:r>
              <w:rPr>
                <w:rFonts w:ascii="Times New Roman" w:hAnsi="Times New Roman"/>
                <w:color w:val="auto"/>
                <w:szCs w:val="21"/>
              </w:rPr>
              <w:t>50</w:t>
            </w:r>
          </w:p>
        </w:tc>
        <w:tc>
          <w:tcPr>
            <w:tcW w:w="1236" w:type="dxa"/>
            <w:tcBorders>
              <w:tl2br w:val="nil"/>
              <w:tr2bl w:val="nil"/>
            </w:tcBorders>
            <w:vAlign w:val="center"/>
          </w:tcPr>
          <w:p w14:paraId="24EA0D6E">
            <w:pPr>
              <w:pStyle w:val="56"/>
              <w:rPr>
                <w:rFonts w:ascii="Times New Roman" w:hAnsi="Times New Roman"/>
                <w:color w:val="auto"/>
                <w:szCs w:val="21"/>
              </w:rPr>
            </w:pPr>
            <w:r>
              <w:rPr>
                <w:rFonts w:ascii="Times New Roman" w:hAnsi="Times New Roman"/>
                <w:color w:val="auto"/>
                <w:szCs w:val="21"/>
              </w:rPr>
              <w:t>100</w:t>
            </w:r>
          </w:p>
        </w:tc>
        <w:tc>
          <w:tcPr>
            <w:tcW w:w="1236" w:type="dxa"/>
            <w:tcBorders>
              <w:tl2br w:val="nil"/>
              <w:tr2bl w:val="nil"/>
            </w:tcBorders>
            <w:vAlign w:val="center"/>
          </w:tcPr>
          <w:p w14:paraId="035EB83C">
            <w:pPr>
              <w:pStyle w:val="56"/>
              <w:rPr>
                <w:rFonts w:ascii="Times New Roman" w:hAnsi="Times New Roman"/>
                <w:color w:val="auto"/>
                <w:szCs w:val="21"/>
              </w:rPr>
            </w:pPr>
            <w:r>
              <w:rPr>
                <w:rFonts w:ascii="Times New Roman" w:hAnsi="Times New Roman"/>
                <w:color w:val="auto"/>
                <w:szCs w:val="21"/>
              </w:rPr>
              <w:t>200</w:t>
            </w:r>
          </w:p>
        </w:tc>
      </w:tr>
      <w:tr w14:paraId="4F146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876" w:type="dxa"/>
            <w:vMerge w:val="restart"/>
            <w:tcBorders>
              <w:tl2br w:val="nil"/>
              <w:tr2bl w:val="nil"/>
            </w:tcBorders>
            <w:vAlign w:val="center"/>
          </w:tcPr>
          <w:p w14:paraId="6005D091">
            <w:pPr>
              <w:pStyle w:val="56"/>
              <w:rPr>
                <w:rFonts w:ascii="Times New Roman" w:hAnsi="Times New Roman"/>
                <w:color w:val="auto"/>
                <w:szCs w:val="21"/>
              </w:rPr>
            </w:pPr>
            <w:r>
              <w:rPr>
                <w:rFonts w:ascii="Times New Roman" w:hAnsi="Times New Roman"/>
                <w:color w:val="auto"/>
                <w:szCs w:val="21"/>
              </w:rPr>
              <w:t>TSP小时平均浓度（mg/Nm</w:t>
            </w:r>
            <w:r>
              <w:rPr>
                <w:rFonts w:ascii="Times New Roman" w:hAnsi="Times New Roman"/>
                <w:color w:val="auto"/>
                <w:szCs w:val="21"/>
                <w:vertAlign w:val="superscript"/>
              </w:rPr>
              <w:t>3</w:t>
            </w:r>
            <w:r>
              <w:rPr>
                <w:rFonts w:ascii="Times New Roman" w:hAnsi="Times New Roman"/>
                <w:color w:val="auto"/>
                <w:szCs w:val="21"/>
              </w:rPr>
              <w:t>）</w:t>
            </w:r>
          </w:p>
        </w:tc>
        <w:tc>
          <w:tcPr>
            <w:tcW w:w="1032" w:type="dxa"/>
            <w:tcBorders>
              <w:tl2br w:val="nil"/>
              <w:tr2bl w:val="nil"/>
            </w:tcBorders>
            <w:vAlign w:val="center"/>
          </w:tcPr>
          <w:p w14:paraId="6753F6AA">
            <w:pPr>
              <w:pStyle w:val="56"/>
              <w:rPr>
                <w:rFonts w:ascii="Times New Roman" w:hAnsi="Times New Roman"/>
                <w:color w:val="auto"/>
                <w:szCs w:val="21"/>
              </w:rPr>
            </w:pPr>
            <w:r>
              <w:rPr>
                <w:rFonts w:ascii="Times New Roman" w:hAnsi="Times New Roman"/>
                <w:color w:val="auto"/>
                <w:szCs w:val="21"/>
              </w:rPr>
              <w:t>不洒水</w:t>
            </w:r>
          </w:p>
        </w:tc>
        <w:tc>
          <w:tcPr>
            <w:tcW w:w="993" w:type="dxa"/>
            <w:tcBorders>
              <w:tl2br w:val="nil"/>
              <w:tr2bl w:val="nil"/>
            </w:tcBorders>
            <w:vAlign w:val="center"/>
          </w:tcPr>
          <w:p w14:paraId="6A2F530B">
            <w:pPr>
              <w:pStyle w:val="56"/>
              <w:rPr>
                <w:rFonts w:ascii="Times New Roman" w:hAnsi="Times New Roman"/>
                <w:color w:val="auto"/>
                <w:szCs w:val="21"/>
              </w:rPr>
            </w:pPr>
            <w:r>
              <w:rPr>
                <w:rFonts w:ascii="Times New Roman" w:hAnsi="Times New Roman"/>
                <w:color w:val="auto"/>
                <w:szCs w:val="21"/>
              </w:rPr>
              <w:t>11.03</w:t>
            </w:r>
          </w:p>
        </w:tc>
        <w:tc>
          <w:tcPr>
            <w:tcW w:w="1234" w:type="dxa"/>
            <w:tcBorders>
              <w:tl2br w:val="nil"/>
              <w:tr2bl w:val="nil"/>
            </w:tcBorders>
            <w:vAlign w:val="center"/>
          </w:tcPr>
          <w:p w14:paraId="3981773B">
            <w:pPr>
              <w:pStyle w:val="56"/>
              <w:rPr>
                <w:rFonts w:ascii="Times New Roman" w:hAnsi="Times New Roman"/>
                <w:color w:val="auto"/>
                <w:szCs w:val="21"/>
              </w:rPr>
            </w:pPr>
            <w:r>
              <w:rPr>
                <w:rFonts w:ascii="Times New Roman" w:hAnsi="Times New Roman"/>
                <w:color w:val="auto"/>
                <w:szCs w:val="21"/>
              </w:rPr>
              <w:t>2.89</w:t>
            </w:r>
          </w:p>
        </w:tc>
        <w:tc>
          <w:tcPr>
            <w:tcW w:w="1237" w:type="dxa"/>
            <w:tcBorders>
              <w:tl2br w:val="nil"/>
              <w:tr2bl w:val="nil"/>
            </w:tcBorders>
            <w:vAlign w:val="center"/>
          </w:tcPr>
          <w:p w14:paraId="55381048">
            <w:pPr>
              <w:pStyle w:val="56"/>
              <w:rPr>
                <w:rFonts w:ascii="Times New Roman" w:hAnsi="Times New Roman"/>
                <w:color w:val="auto"/>
                <w:szCs w:val="21"/>
              </w:rPr>
            </w:pPr>
            <w:r>
              <w:rPr>
                <w:rFonts w:ascii="Times New Roman" w:hAnsi="Times New Roman"/>
                <w:color w:val="auto"/>
                <w:szCs w:val="21"/>
              </w:rPr>
              <w:t>1.15</w:t>
            </w:r>
          </w:p>
        </w:tc>
        <w:tc>
          <w:tcPr>
            <w:tcW w:w="1236" w:type="dxa"/>
            <w:tcBorders>
              <w:tl2br w:val="nil"/>
              <w:tr2bl w:val="nil"/>
            </w:tcBorders>
            <w:vAlign w:val="center"/>
          </w:tcPr>
          <w:p w14:paraId="0170BA18">
            <w:pPr>
              <w:pStyle w:val="56"/>
              <w:rPr>
                <w:rFonts w:ascii="Times New Roman" w:hAnsi="Times New Roman"/>
                <w:color w:val="auto"/>
                <w:szCs w:val="21"/>
              </w:rPr>
            </w:pPr>
            <w:r>
              <w:rPr>
                <w:rFonts w:ascii="Times New Roman" w:hAnsi="Times New Roman"/>
                <w:color w:val="auto"/>
                <w:szCs w:val="21"/>
              </w:rPr>
              <w:t>0.86</w:t>
            </w:r>
          </w:p>
        </w:tc>
        <w:tc>
          <w:tcPr>
            <w:tcW w:w="1236" w:type="dxa"/>
            <w:tcBorders>
              <w:tl2br w:val="nil"/>
              <w:tr2bl w:val="nil"/>
            </w:tcBorders>
            <w:vAlign w:val="center"/>
          </w:tcPr>
          <w:p w14:paraId="0BA37AE0">
            <w:pPr>
              <w:pStyle w:val="56"/>
              <w:rPr>
                <w:rFonts w:ascii="Times New Roman" w:hAnsi="Times New Roman"/>
                <w:color w:val="auto"/>
                <w:szCs w:val="21"/>
              </w:rPr>
            </w:pPr>
            <w:r>
              <w:rPr>
                <w:rFonts w:ascii="Times New Roman" w:hAnsi="Times New Roman"/>
                <w:color w:val="auto"/>
                <w:szCs w:val="21"/>
              </w:rPr>
              <w:t>0.56</w:t>
            </w:r>
          </w:p>
        </w:tc>
      </w:tr>
      <w:tr w14:paraId="6E09C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876" w:type="dxa"/>
            <w:vMerge w:val="continue"/>
            <w:tcBorders>
              <w:tl2br w:val="nil"/>
              <w:tr2bl w:val="nil"/>
            </w:tcBorders>
            <w:vAlign w:val="center"/>
          </w:tcPr>
          <w:p w14:paraId="5BA9D182">
            <w:pPr>
              <w:pStyle w:val="56"/>
              <w:rPr>
                <w:rFonts w:ascii="Times New Roman" w:hAnsi="Times New Roman"/>
                <w:color w:val="auto"/>
                <w:szCs w:val="21"/>
              </w:rPr>
            </w:pPr>
          </w:p>
        </w:tc>
        <w:tc>
          <w:tcPr>
            <w:tcW w:w="1032" w:type="dxa"/>
            <w:tcBorders>
              <w:tl2br w:val="nil"/>
              <w:tr2bl w:val="nil"/>
            </w:tcBorders>
            <w:vAlign w:val="center"/>
          </w:tcPr>
          <w:p w14:paraId="07303EDB">
            <w:pPr>
              <w:pStyle w:val="56"/>
              <w:rPr>
                <w:rFonts w:ascii="Times New Roman" w:hAnsi="Times New Roman"/>
                <w:color w:val="auto"/>
                <w:szCs w:val="21"/>
              </w:rPr>
            </w:pPr>
            <w:r>
              <w:rPr>
                <w:rFonts w:ascii="Times New Roman" w:hAnsi="Times New Roman"/>
                <w:color w:val="auto"/>
                <w:szCs w:val="21"/>
              </w:rPr>
              <w:t>洒水</w:t>
            </w:r>
          </w:p>
        </w:tc>
        <w:tc>
          <w:tcPr>
            <w:tcW w:w="993" w:type="dxa"/>
            <w:tcBorders>
              <w:tl2br w:val="nil"/>
              <w:tr2bl w:val="nil"/>
            </w:tcBorders>
            <w:vAlign w:val="center"/>
          </w:tcPr>
          <w:p w14:paraId="2578EE5B">
            <w:pPr>
              <w:pStyle w:val="56"/>
              <w:rPr>
                <w:rFonts w:ascii="Times New Roman" w:hAnsi="Times New Roman"/>
                <w:color w:val="auto"/>
                <w:szCs w:val="21"/>
              </w:rPr>
            </w:pPr>
            <w:r>
              <w:rPr>
                <w:rFonts w:ascii="Times New Roman" w:hAnsi="Times New Roman"/>
                <w:color w:val="auto"/>
                <w:szCs w:val="21"/>
              </w:rPr>
              <w:t>2.11</w:t>
            </w:r>
          </w:p>
        </w:tc>
        <w:tc>
          <w:tcPr>
            <w:tcW w:w="1234" w:type="dxa"/>
            <w:tcBorders>
              <w:tl2br w:val="nil"/>
              <w:tr2bl w:val="nil"/>
            </w:tcBorders>
            <w:vAlign w:val="center"/>
          </w:tcPr>
          <w:p w14:paraId="026D13F3">
            <w:pPr>
              <w:pStyle w:val="56"/>
              <w:rPr>
                <w:rFonts w:ascii="Times New Roman" w:hAnsi="Times New Roman"/>
                <w:color w:val="auto"/>
                <w:szCs w:val="21"/>
              </w:rPr>
            </w:pPr>
            <w:r>
              <w:rPr>
                <w:rFonts w:ascii="Times New Roman" w:hAnsi="Times New Roman"/>
                <w:color w:val="auto"/>
                <w:szCs w:val="21"/>
              </w:rPr>
              <w:t>1.40</w:t>
            </w:r>
          </w:p>
        </w:tc>
        <w:tc>
          <w:tcPr>
            <w:tcW w:w="1237" w:type="dxa"/>
            <w:tcBorders>
              <w:tl2br w:val="nil"/>
              <w:tr2bl w:val="nil"/>
            </w:tcBorders>
            <w:vAlign w:val="center"/>
          </w:tcPr>
          <w:p w14:paraId="266800DB">
            <w:pPr>
              <w:pStyle w:val="56"/>
              <w:rPr>
                <w:rFonts w:ascii="Times New Roman" w:hAnsi="Times New Roman"/>
                <w:color w:val="auto"/>
                <w:szCs w:val="21"/>
              </w:rPr>
            </w:pPr>
            <w:r>
              <w:rPr>
                <w:rFonts w:ascii="Times New Roman" w:hAnsi="Times New Roman"/>
                <w:color w:val="auto"/>
                <w:szCs w:val="21"/>
              </w:rPr>
              <w:t>0.68</w:t>
            </w:r>
          </w:p>
        </w:tc>
        <w:tc>
          <w:tcPr>
            <w:tcW w:w="1236" w:type="dxa"/>
            <w:tcBorders>
              <w:tl2br w:val="nil"/>
              <w:tr2bl w:val="nil"/>
            </w:tcBorders>
            <w:vAlign w:val="center"/>
          </w:tcPr>
          <w:p w14:paraId="33731AFF">
            <w:pPr>
              <w:pStyle w:val="56"/>
              <w:rPr>
                <w:rFonts w:ascii="Times New Roman" w:hAnsi="Times New Roman"/>
                <w:color w:val="auto"/>
                <w:szCs w:val="21"/>
              </w:rPr>
            </w:pPr>
            <w:r>
              <w:rPr>
                <w:rFonts w:ascii="Times New Roman" w:hAnsi="Times New Roman"/>
                <w:color w:val="auto"/>
                <w:szCs w:val="21"/>
              </w:rPr>
              <w:t>0.60</w:t>
            </w:r>
          </w:p>
        </w:tc>
        <w:tc>
          <w:tcPr>
            <w:tcW w:w="1236" w:type="dxa"/>
            <w:tcBorders>
              <w:tl2br w:val="nil"/>
              <w:tr2bl w:val="nil"/>
            </w:tcBorders>
            <w:vAlign w:val="center"/>
          </w:tcPr>
          <w:p w14:paraId="60327185">
            <w:pPr>
              <w:pStyle w:val="56"/>
              <w:rPr>
                <w:rFonts w:ascii="Times New Roman" w:hAnsi="Times New Roman"/>
                <w:color w:val="auto"/>
                <w:szCs w:val="21"/>
              </w:rPr>
            </w:pPr>
            <w:r>
              <w:rPr>
                <w:rFonts w:ascii="Times New Roman" w:hAnsi="Times New Roman"/>
                <w:color w:val="auto"/>
                <w:szCs w:val="21"/>
              </w:rPr>
              <w:t>0.29</w:t>
            </w:r>
          </w:p>
        </w:tc>
      </w:tr>
      <w:tr w14:paraId="32EC66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08" w:type="dxa"/>
            <w:gridSpan w:val="2"/>
            <w:tcBorders>
              <w:tl2br w:val="nil"/>
              <w:tr2bl w:val="nil"/>
            </w:tcBorders>
            <w:vAlign w:val="center"/>
          </w:tcPr>
          <w:p w14:paraId="0488C38F">
            <w:pPr>
              <w:pStyle w:val="56"/>
              <w:rPr>
                <w:rFonts w:ascii="Times New Roman" w:hAnsi="Times New Roman"/>
                <w:color w:val="auto"/>
                <w:szCs w:val="21"/>
              </w:rPr>
            </w:pPr>
            <w:r>
              <w:rPr>
                <w:rFonts w:ascii="Times New Roman" w:hAnsi="Times New Roman"/>
                <w:color w:val="auto"/>
                <w:szCs w:val="21"/>
              </w:rPr>
              <w:t>除尘率（%）</w:t>
            </w:r>
          </w:p>
        </w:tc>
        <w:tc>
          <w:tcPr>
            <w:tcW w:w="993" w:type="dxa"/>
            <w:tcBorders>
              <w:tl2br w:val="nil"/>
              <w:tr2bl w:val="nil"/>
            </w:tcBorders>
            <w:vAlign w:val="center"/>
          </w:tcPr>
          <w:p w14:paraId="4AD6B12C">
            <w:pPr>
              <w:pStyle w:val="56"/>
              <w:rPr>
                <w:rFonts w:ascii="Times New Roman" w:hAnsi="Times New Roman"/>
                <w:color w:val="auto"/>
                <w:szCs w:val="21"/>
              </w:rPr>
            </w:pPr>
            <w:r>
              <w:rPr>
                <w:rFonts w:ascii="Times New Roman" w:hAnsi="Times New Roman"/>
                <w:color w:val="auto"/>
                <w:szCs w:val="21"/>
              </w:rPr>
              <w:t>81</w:t>
            </w:r>
          </w:p>
        </w:tc>
        <w:tc>
          <w:tcPr>
            <w:tcW w:w="1234" w:type="dxa"/>
            <w:tcBorders>
              <w:tl2br w:val="nil"/>
              <w:tr2bl w:val="nil"/>
            </w:tcBorders>
            <w:vAlign w:val="center"/>
          </w:tcPr>
          <w:p w14:paraId="4DED0F5C">
            <w:pPr>
              <w:pStyle w:val="56"/>
              <w:rPr>
                <w:rFonts w:ascii="Times New Roman" w:hAnsi="Times New Roman"/>
                <w:color w:val="auto"/>
                <w:szCs w:val="21"/>
              </w:rPr>
            </w:pPr>
            <w:r>
              <w:rPr>
                <w:rFonts w:ascii="Times New Roman" w:hAnsi="Times New Roman"/>
                <w:color w:val="auto"/>
                <w:szCs w:val="21"/>
              </w:rPr>
              <w:t>52</w:t>
            </w:r>
          </w:p>
        </w:tc>
        <w:tc>
          <w:tcPr>
            <w:tcW w:w="1237" w:type="dxa"/>
            <w:tcBorders>
              <w:tl2br w:val="nil"/>
              <w:tr2bl w:val="nil"/>
            </w:tcBorders>
            <w:vAlign w:val="center"/>
          </w:tcPr>
          <w:p w14:paraId="126E9F8F">
            <w:pPr>
              <w:pStyle w:val="56"/>
              <w:rPr>
                <w:rFonts w:ascii="Times New Roman" w:hAnsi="Times New Roman"/>
                <w:color w:val="auto"/>
                <w:szCs w:val="21"/>
              </w:rPr>
            </w:pPr>
            <w:r>
              <w:rPr>
                <w:rFonts w:ascii="Times New Roman" w:hAnsi="Times New Roman"/>
                <w:color w:val="auto"/>
                <w:szCs w:val="21"/>
              </w:rPr>
              <w:t>41</w:t>
            </w:r>
          </w:p>
        </w:tc>
        <w:tc>
          <w:tcPr>
            <w:tcW w:w="1236" w:type="dxa"/>
            <w:tcBorders>
              <w:tl2br w:val="nil"/>
              <w:tr2bl w:val="nil"/>
            </w:tcBorders>
            <w:vAlign w:val="center"/>
          </w:tcPr>
          <w:p w14:paraId="2437A205">
            <w:pPr>
              <w:pStyle w:val="56"/>
              <w:rPr>
                <w:rFonts w:ascii="Times New Roman" w:hAnsi="Times New Roman"/>
                <w:color w:val="auto"/>
                <w:szCs w:val="21"/>
              </w:rPr>
            </w:pPr>
            <w:r>
              <w:rPr>
                <w:rFonts w:ascii="Times New Roman" w:hAnsi="Times New Roman"/>
                <w:color w:val="auto"/>
                <w:szCs w:val="21"/>
              </w:rPr>
              <w:t>30</w:t>
            </w:r>
          </w:p>
        </w:tc>
        <w:tc>
          <w:tcPr>
            <w:tcW w:w="1236" w:type="dxa"/>
            <w:tcBorders>
              <w:tl2br w:val="nil"/>
              <w:tr2bl w:val="nil"/>
            </w:tcBorders>
            <w:vAlign w:val="center"/>
          </w:tcPr>
          <w:p w14:paraId="4F9FD5F6">
            <w:pPr>
              <w:pStyle w:val="56"/>
              <w:rPr>
                <w:rFonts w:ascii="Times New Roman" w:hAnsi="Times New Roman"/>
                <w:color w:val="auto"/>
                <w:szCs w:val="21"/>
              </w:rPr>
            </w:pPr>
            <w:r>
              <w:rPr>
                <w:rFonts w:ascii="Times New Roman" w:hAnsi="Times New Roman"/>
                <w:color w:val="auto"/>
                <w:szCs w:val="21"/>
              </w:rPr>
              <w:t>48</w:t>
            </w:r>
          </w:p>
        </w:tc>
      </w:tr>
    </w:tbl>
    <w:p w14:paraId="74D2EE88">
      <w:pPr>
        <w:ind w:firstLine="480"/>
        <w:rPr>
          <w:rFonts w:ascii="Times New Roman" w:hAnsi="Times New Roman" w:cs="Times New Roman"/>
          <w:color w:val="auto"/>
        </w:rPr>
      </w:pPr>
      <w:bookmarkStart w:id="171" w:name="_Toc9523"/>
      <w:r>
        <w:rPr>
          <w:rFonts w:ascii="Times New Roman" w:hAnsi="Times New Roman" w:cs="Times New Roman"/>
          <w:color w:val="auto"/>
        </w:rPr>
        <w:fldChar w:fldCharType="begin"/>
      </w:r>
      <w:r>
        <w:rPr>
          <w:rFonts w:ascii="Times New Roman" w:hAnsi="Times New Roman" w:cs="Times New Roman"/>
          <w:color w:val="auto"/>
        </w:rPr>
        <w:instrText xml:space="preserve"> = 2 \* GB3 \* MERGEFORMAT </w:instrText>
      </w:r>
      <w:r>
        <w:rPr>
          <w:rFonts w:ascii="Times New Roman" w:hAnsi="Times New Roman" w:cs="Times New Roman"/>
          <w:color w:val="auto"/>
        </w:rPr>
        <w:fldChar w:fldCharType="separate"/>
      </w:r>
      <w:r>
        <w:rPr>
          <w:rFonts w:ascii="Times New Roman" w:hAnsi="Times New Roman"/>
        </w:rPr>
        <w:t>②</w:t>
      </w:r>
      <w:r>
        <w:rPr>
          <w:rFonts w:ascii="Times New Roman" w:hAnsi="Times New Roman" w:cs="Times New Roman"/>
          <w:color w:val="auto"/>
        </w:rPr>
        <w:fldChar w:fldCharType="end"/>
      </w:r>
      <w:r>
        <w:rPr>
          <w:rFonts w:hint="eastAsia" w:ascii="Times New Roman" w:hAnsi="Times New Roman" w:cs="Times New Roman"/>
          <w:color w:val="auto"/>
          <w:lang w:val="en-US" w:eastAsia="zh-CN"/>
        </w:rPr>
        <w:t>临时</w:t>
      </w:r>
      <w:r>
        <w:rPr>
          <w:rFonts w:ascii="Times New Roman" w:hAnsi="Times New Roman" w:cs="Times New Roman"/>
          <w:color w:val="auto"/>
        </w:rPr>
        <w:t>堆</w:t>
      </w:r>
      <w:r>
        <w:rPr>
          <w:rFonts w:hint="eastAsia" w:ascii="Times New Roman" w:hAnsi="Times New Roman" w:cs="Times New Roman"/>
          <w:color w:val="auto"/>
          <w:lang w:val="en-US" w:eastAsia="zh-CN"/>
        </w:rPr>
        <w:t>土</w:t>
      </w:r>
      <w:r>
        <w:rPr>
          <w:rFonts w:ascii="Times New Roman" w:hAnsi="Times New Roman" w:cs="Times New Roman"/>
          <w:color w:val="auto"/>
        </w:rPr>
        <w:t>扬尘</w:t>
      </w:r>
      <w:bookmarkEnd w:id="171"/>
    </w:p>
    <w:p w14:paraId="639044A9">
      <w:pPr>
        <w:ind w:firstLine="480"/>
        <w:rPr>
          <w:rFonts w:ascii="Times New Roman" w:hAnsi="Times New Roman" w:cs="Times New Roman"/>
          <w:color w:val="auto"/>
        </w:rPr>
      </w:pPr>
      <w:r>
        <w:rPr>
          <w:rFonts w:ascii="Times New Roman" w:hAnsi="Times New Roman" w:cs="Times New Roman"/>
          <w:color w:val="auto"/>
        </w:rPr>
        <w:t>施工阶段扬尘的另一个主要来源是露天堆场和裸露场地的风力扬尘。由于施工需要，建筑材料需要露天堆放，部分施工作业点开挖</w:t>
      </w:r>
      <w:r>
        <w:rPr>
          <w:rFonts w:hint="eastAsia" w:ascii="Times New Roman" w:hAnsi="Times New Roman" w:cs="Times New Roman"/>
          <w:color w:val="auto"/>
          <w:lang w:val="en-US" w:eastAsia="zh-CN"/>
        </w:rPr>
        <w:t>土方需要</w:t>
      </w:r>
      <w:r>
        <w:rPr>
          <w:rFonts w:ascii="Times New Roman" w:hAnsi="Times New Roman" w:cs="Times New Roman"/>
          <w:color w:val="auto"/>
        </w:rPr>
        <w:t>临时堆放，在气候干燥又有风的情况下，会产生扬尘，其扬尘量可按堆场起尘的经验公式计算：</w:t>
      </w:r>
    </w:p>
    <w:p w14:paraId="6D0D0633">
      <w:pPr>
        <w:pStyle w:val="13"/>
        <w:spacing w:before="1" w:line="364" w:lineRule="auto"/>
        <w:ind w:right="517" w:firstLine="0" w:firstLineChars="0"/>
        <w:jc w:val="center"/>
        <w:rPr>
          <w:rFonts w:ascii="Times New Roman" w:hAnsi="Times New Roman" w:cs="Times New Roman"/>
          <w:color w:val="auto"/>
          <w:spacing w:val="-6"/>
        </w:rPr>
      </w:pPr>
      <w:r>
        <w:rPr>
          <w:rFonts w:ascii="Times New Roman" w:hAnsi="Times New Roman" w:cs="Times New Roman"/>
          <w:color w:val="auto"/>
          <w:spacing w:val="-6"/>
        </w:rPr>
        <w:drawing>
          <wp:inline distT="0" distB="0" distL="114300" distR="114300">
            <wp:extent cx="2170430" cy="445135"/>
            <wp:effectExtent l="0" t="0" r="1270" b="0"/>
            <wp:docPr id="42" name="图片 42" descr="QQ截图2022021513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220215131445"/>
                    <pic:cNvPicPr>
                      <a:picLocks noChangeAspect="1"/>
                    </pic:cNvPicPr>
                  </pic:nvPicPr>
                  <pic:blipFill>
                    <a:blip r:embed="rId36"/>
                    <a:stretch>
                      <a:fillRect/>
                    </a:stretch>
                  </pic:blipFill>
                  <pic:spPr>
                    <a:xfrm>
                      <a:off x="0" y="0"/>
                      <a:ext cx="2170148" cy="445353"/>
                    </a:xfrm>
                    <a:prstGeom prst="rect">
                      <a:avLst/>
                    </a:prstGeom>
                  </pic:spPr>
                </pic:pic>
              </a:graphicData>
            </a:graphic>
          </wp:inline>
        </w:drawing>
      </w:r>
    </w:p>
    <w:p w14:paraId="7F7EB2E4">
      <w:pPr>
        <w:ind w:firstLine="480"/>
        <w:rPr>
          <w:rFonts w:ascii="Times New Roman" w:hAnsi="Times New Roman" w:cs="Times New Roman"/>
          <w:color w:val="auto"/>
        </w:rPr>
      </w:pPr>
      <w:r>
        <w:rPr>
          <w:rFonts w:ascii="Times New Roman" w:hAnsi="Times New Roman" w:cs="Times New Roman"/>
          <w:color w:val="auto"/>
        </w:rPr>
        <w:t>其中：Q—起尘量，kg/t·a；</w:t>
      </w:r>
    </w:p>
    <w:p w14:paraId="31B98292">
      <w:pPr>
        <w:ind w:firstLine="1200" w:firstLineChars="500"/>
        <w:rPr>
          <w:rFonts w:ascii="Times New Roman" w:hAnsi="Times New Roman" w:cs="Times New Roman"/>
          <w:color w:val="auto"/>
        </w:rPr>
      </w:pPr>
      <w:r>
        <w:rPr>
          <w:rFonts w:ascii="Times New Roman" w:hAnsi="Times New Roman" w:cs="Times New Roman"/>
          <w:color w:val="auto"/>
        </w:rPr>
        <w:t>V</w:t>
      </w:r>
      <w:r>
        <w:rPr>
          <w:rFonts w:ascii="Times New Roman" w:hAnsi="Times New Roman" w:cs="Times New Roman"/>
          <w:color w:val="auto"/>
          <w:vertAlign w:val="subscript"/>
        </w:rPr>
        <w:t>50</w:t>
      </w:r>
      <w:r>
        <w:rPr>
          <w:rFonts w:ascii="Times New Roman" w:hAnsi="Times New Roman" w:cs="Times New Roman"/>
          <w:color w:val="auto"/>
        </w:rPr>
        <w:t>—距地面50m处风速，m/s；</w:t>
      </w:r>
    </w:p>
    <w:p w14:paraId="17B99460">
      <w:pPr>
        <w:ind w:firstLine="1200" w:firstLineChars="500"/>
        <w:rPr>
          <w:rFonts w:ascii="Times New Roman" w:hAnsi="Times New Roman" w:cs="Times New Roman"/>
          <w:color w:val="auto"/>
        </w:rPr>
      </w:pPr>
      <w:r>
        <w:rPr>
          <w:rFonts w:ascii="Times New Roman" w:hAnsi="Times New Roman" w:cs="Times New Roman"/>
          <w:color w:val="auto"/>
        </w:rPr>
        <w:t>V</w:t>
      </w:r>
      <w:r>
        <w:rPr>
          <w:rFonts w:ascii="Times New Roman" w:hAnsi="Times New Roman" w:cs="Times New Roman"/>
          <w:color w:val="auto"/>
          <w:vertAlign w:val="subscript"/>
        </w:rPr>
        <w:t>0</w:t>
      </w:r>
      <w:r>
        <w:rPr>
          <w:rFonts w:ascii="Times New Roman" w:hAnsi="Times New Roman" w:cs="Times New Roman"/>
          <w:color w:val="auto"/>
        </w:rPr>
        <w:t>—起尘风速，m/s；</w:t>
      </w:r>
    </w:p>
    <w:p w14:paraId="3C96C707">
      <w:pPr>
        <w:ind w:firstLine="1200" w:firstLineChars="500"/>
        <w:rPr>
          <w:rFonts w:ascii="Times New Roman" w:hAnsi="Times New Roman" w:cs="Times New Roman"/>
          <w:color w:val="auto"/>
        </w:rPr>
      </w:pPr>
      <w:r>
        <w:rPr>
          <w:rFonts w:ascii="Times New Roman" w:hAnsi="Times New Roman" w:cs="Times New Roman"/>
          <w:color w:val="auto"/>
        </w:rPr>
        <w:t>W—尘粒的含水量，%。</w:t>
      </w:r>
    </w:p>
    <w:p w14:paraId="3BA8E46F">
      <w:pPr>
        <w:ind w:firstLine="480"/>
        <w:rPr>
          <w:rFonts w:ascii="Times New Roman" w:hAnsi="Times New Roman" w:cs="Times New Roman"/>
          <w:color w:val="auto"/>
        </w:rPr>
      </w:pPr>
      <w:r>
        <w:rPr>
          <w:rFonts w:ascii="Times New Roman" w:hAnsi="Times New Roman" w:cs="Times New Roman"/>
          <w:color w:val="auto"/>
        </w:rPr>
        <w:t>起尘风速与粒径和含水率有关，因此，减少露天堆放和保证一定的含水率及减少裸露地面是减少风力起尘的有效手段。粉尘在空气中的扩散稀释与风速等气象条件也有关，与粉尘本身的沉降速度有关。根据北京市环境保护科研所等单位在市政施工现场的实测资料，在一般气象条件下，平均风速2～3m/s的情况下，建筑工地内TSP浓度为其上风向对照点的2.0～2.5倍，建筑施工扬尘的影响范围在其下风向可达150m，影响范围内TSP浓度平均值可达0.49mg/m³，是上风向对照点的1.5倍，相当于《环境空气质量标准》TSP日均浓度二级标准值的1.6倍。围栏对减少施工扬尘污染有一定作用，当有围栏时同等条件下其影响距离可缩短40%。</w:t>
      </w:r>
    </w:p>
    <w:p w14:paraId="72214593">
      <w:pPr>
        <w:ind w:firstLine="480"/>
        <w:rPr>
          <w:rFonts w:ascii="Times New Roman" w:hAnsi="Times New Roman" w:cs="Times New Roman"/>
          <w:color w:val="auto"/>
        </w:rPr>
      </w:pPr>
      <w:r>
        <w:rPr>
          <w:rFonts w:ascii="Times New Roman" w:hAnsi="Times New Roman" w:cs="Times New Roman"/>
          <w:color w:val="auto"/>
        </w:rPr>
        <w:t>综上所述，在正常工况下，施工作业的扬尘影响范围一般都在距离施工现场100m之内，根据对一些施工现场的监测结果，距离施工现场100m处，施工粉尘的浓度约在0.12</w:t>
      </w:r>
      <w:r>
        <w:rPr>
          <w:rFonts w:hint="eastAsia" w:cs="Times New Roman"/>
          <w:color w:val="auto"/>
          <w:lang w:eastAsia="zh-CN"/>
        </w:rPr>
        <w:t>—</w:t>
      </w:r>
      <w:r>
        <w:rPr>
          <w:rFonts w:ascii="Times New Roman" w:hAnsi="Times New Roman" w:cs="Times New Roman"/>
          <w:color w:val="auto"/>
        </w:rPr>
        <w:t>0.79mg/m³之间。浓度影响随风速的变化而变化，总的趋势是小风、静风天气作业时，影响范围小，大风天作业时污染较大，对500m</w:t>
      </w:r>
      <w:r>
        <w:rPr>
          <w:rFonts w:hint="eastAsia" w:cs="Times New Roman"/>
          <w:color w:val="auto"/>
          <w:lang w:val="en-US" w:eastAsia="zh-CN"/>
        </w:rPr>
        <w:t>内</w:t>
      </w:r>
      <w:r>
        <w:rPr>
          <w:rFonts w:ascii="Times New Roman" w:hAnsi="Times New Roman" w:cs="Times New Roman"/>
          <w:color w:val="auto"/>
        </w:rPr>
        <w:t>的环境空气影响</w:t>
      </w:r>
      <w:r>
        <w:rPr>
          <w:rFonts w:hint="eastAsia" w:cs="Times New Roman"/>
          <w:color w:val="auto"/>
          <w:lang w:val="en-US" w:eastAsia="zh-CN"/>
        </w:rPr>
        <w:t>较大</w:t>
      </w:r>
      <w:r>
        <w:rPr>
          <w:rFonts w:ascii="Times New Roman" w:hAnsi="Times New Roman" w:cs="Times New Roman"/>
          <w:color w:val="auto"/>
        </w:rPr>
        <w:t>。</w:t>
      </w:r>
    </w:p>
    <w:p w14:paraId="38429DD3">
      <w:pPr>
        <w:ind w:firstLine="480"/>
        <w:rPr>
          <w:rFonts w:ascii="Times New Roman" w:hAnsi="Times New Roman" w:cs="Times New Roman"/>
          <w:color w:val="auto"/>
        </w:rPr>
      </w:pPr>
      <w:r>
        <w:rPr>
          <w:rFonts w:ascii="Times New Roman" w:hAnsi="Times New Roman" w:cs="Times New Roman"/>
          <w:color w:val="auto"/>
        </w:rPr>
        <w:t>根据现状调查本项目2km内无集中居民居住区、自然保护区、风景名胜区等环境敏感点，施工期扬尘对外环境影响小，随着施工期的结束，施工扬尘影响将会消失。</w:t>
      </w:r>
    </w:p>
    <w:p w14:paraId="44697698">
      <w:pPr>
        <w:ind w:firstLine="480"/>
        <w:rPr>
          <w:rFonts w:hint="eastAsia" w:ascii="Times New Roman" w:hAnsi="Times New Roman" w:cs="Times New Roman"/>
          <w:color w:val="auto"/>
          <w:lang w:val="en-US" w:eastAsia="zh-CN"/>
        </w:rPr>
      </w:pPr>
      <w:r>
        <w:rPr>
          <w:rFonts w:ascii="Times New Roman" w:hAnsi="Times New Roman" w:cs="Times New Roman"/>
          <w:color w:val="auto"/>
        </w:rPr>
        <w:fldChar w:fldCharType="begin"/>
      </w:r>
      <w:r>
        <w:rPr>
          <w:rFonts w:ascii="Times New Roman" w:hAnsi="Times New Roman" w:cs="Times New Roman"/>
          <w:color w:val="auto"/>
        </w:rPr>
        <w:instrText xml:space="preserve"> = 3 \* GB3 \* MERGEFORMAT </w:instrText>
      </w:r>
      <w:r>
        <w:rPr>
          <w:rFonts w:ascii="Times New Roman" w:hAnsi="Times New Roman" w:cs="Times New Roman"/>
          <w:color w:val="auto"/>
        </w:rPr>
        <w:fldChar w:fldCharType="separate"/>
      </w:r>
      <w:r>
        <w:rPr>
          <w:rFonts w:ascii="Times New Roman" w:hAnsi="Times New Roman" w:cs="Times New Roman"/>
          <w:color w:val="auto"/>
        </w:rPr>
        <w:t>③</w:t>
      </w:r>
      <w:r>
        <w:rPr>
          <w:rFonts w:ascii="Times New Roman" w:hAnsi="Times New Roman" w:cs="Times New Roman"/>
          <w:color w:val="auto"/>
        </w:rPr>
        <w:fldChar w:fldCharType="end"/>
      </w:r>
      <w:r>
        <w:rPr>
          <w:rFonts w:hint="eastAsia" w:ascii="Times New Roman" w:hAnsi="Times New Roman" w:cs="Times New Roman"/>
          <w:color w:val="auto"/>
          <w:lang w:val="en-US" w:eastAsia="zh-CN"/>
        </w:rPr>
        <w:t>防治措施</w:t>
      </w:r>
    </w:p>
    <w:p w14:paraId="0BC053AC">
      <w:pPr>
        <w:keepNext w:val="0"/>
        <w:keepLines w:val="0"/>
        <w:widowControl/>
        <w:suppressLineNumbers w:val="0"/>
        <w:jc w:val="left"/>
        <w:rPr>
          <w:rFonts w:hint="default" w:ascii="Times New Roman" w:hAnsi="Times New Roman"/>
          <w:lang w:val="en-US"/>
        </w:rPr>
      </w:pPr>
      <w:r>
        <w:rPr>
          <w:rFonts w:hint="eastAsia" w:ascii="Times New Roman" w:hAnsi="Times New Roman" w:eastAsia="宋体" w:cs="宋体"/>
          <w:color w:val="000000"/>
          <w:kern w:val="0"/>
          <w:sz w:val="24"/>
          <w:szCs w:val="24"/>
          <w:lang w:val="en-US" w:eastAsia="zh-CN" w:bidi="ar"/>
        </w:rPr>
        <w:t>为最大限度地控制施工期间对周边环境空气质量的不良影响，结合《关于印发新疆维吾尔自治区大气污染防治行动计划实施方案的通知》（新政发〔</w:t>
      </w:r>
      <w:r>
        <w:rPr>
          <w:rFonts w:hint="default" w:ascii="Times New Roman" w:hAnsi="Times New Roman" w:eastAsia="宋体" w:cs="Times New Roman"/>
          <w:color w:val="000000"/>
          <w:kern w:val="0"/>
          <w:sz w:val="24"/>
          <w:szCs w:val="24"/>
          <w:lang w:val="en-US" w:eastAsia="zh-CN" w:bidi="ar"/>
        </w:rPr>
        <w:t>2014</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35</w:t>
      </w:r>
      <w:r>
        <w:rPr>
          <w:rFonts w:hint="eastAsia" w:ascii="Times New Roman" w:hAnsi="Times New Roman" w:eastAsia="宋体" w:cs="宋体"/>
          <w:color w:val="000000"/>
          <w:kern w:val="0"/>
          <w:sz w:val="24"/>
          <w:szCs w:val="24"/>
          <w:lang w:val="en-US" w:eastAsia="zh-CN" w:bidi="ar"/>
        </w:rPr>
        <w:t>号），建设单位应加大施工工地环境管理，大力提倡文明施工，积极推进绿色施工，严防人为扬尘污染。具体措施如下：</w:t>
      </w:r>
    </w:p>
    <w:p w14:paraId="2586419C">
      <w:pPr>
        <w:keepNext w:val="0"/>
        <w:keepLines w:val="0"/>
        <w:widowControl/>
        <w:suppressLineNumbers w:val="0"/>
        <w:jc w:val="left"/>
        <w:rPr>
          <w:rFonts w:ascii="Times New Roman" w:hAnsi="Times New Roman"/>
        </w:rPr>
      </w:pPr>
      <w:r>
        <w:rPr>
          <w:rFonts w:hint="eastAsia" w:ascii="Times New Roman" w:hAnsi="Times New Roman" w:eastAsia="宋体" w:cs="宋体"/>
          <w:color w:val="000000"/>
          <w:kern w:val="0"/>
          <w:sz w:val="24"/>
          <w:szCs w:val="24"/>
          <w:lang w:val="en-US" w:eastAsia="zh-CN" w:bidi="ar"/>
        </w:rPr>
        <w:t>在施工场地周围设彩钢板围挡，对堆料、临时堆土采取篷布覆盖，减少暴露面积，降低风动扬尘；规范车辆装载方式，运输过</w:t>
      </w:r>
      <w:r>
        <w:rPr>
          <w:rFonts w:hint="eastAsia" w:eastAsia="宋体" w:cs="宋体"/>
          <w:color w:val="000000"/>
          <w:kern w:val="0"/>
          <w:sz w:val="24"/>
          <w:szCs w:val="24"/>
          <w:lang w:val="en-US" w:eastAsia="zh-CN" w:bidi="ar"/>
        </w:rPr>
        <w:t>程中</w:t>
      </w:r>
      <w:r>
        <w:rPr>
          <w:rFonts w:hint="eastAsia" w:ascii="Times New Roman" w:hAnsi="Times New Roman" w:eastAsia="宋体" w:cs="宋体"/>
          <w:color w:val="000000"/>
          <w:kern w:val="0"/>
          <w:sz w:val="24"/>
          <w:szCs w:val="24"/>
          <w:lang w:val="en-US" w:eastAsia="zh-CN" w:bidi="ar"/>
        </w:rPr>
        <w:t>采取篷布遮盖措施，杜绝沿路洒漏现象。严禁超载，减少对外环境的影响；进出项目区的车辆造成的道路扬尘较多，主要采取减速慢行、定期对施工场地洒水降尘等措施减小道路扬尘的影响。</w:t>
      </w:r>
    </w:p>
    <w:p w14:paraId="2BD15215">
      <w:pPr>
        <w:ind w:firstLine="480"/>
        <w:rPr>
          <w:rFonts w:ascii="Times New Roman" w:hAnsi="Times New Roman" w:cs="Times New Roman"/>
          <w:color w:val="auto"/>
        </w:rPr>
      </w:pPr>
      <w:bookmarkStart w:id="172" w:name="_Toc17412"/>
      <w:r>
        <w:rPr>
          <w:rFonts w:hint="eastAsia" w:cs="Times New Roman"/>
          <w:color w:val="auto"/>
          <w:lang w:val="en-US" w:eastAsia="zh-CN"/>
        </w:rPr>
        <w:t>2.</w:t>
      </w:r>
      <w:r>
        <w:rPr>
          <w:rFonts w:ascii="Times New Roman" w:hAnsi="Times New Roman" w:cs="Times New Roman"/>
          <w:color w:val="auto"/>
        </w:rPr>
        <w:t>施工期汽车尾气</w:t>
      </w:r>
      <w:bookmarkEnd w:id="172"/>
    </w:p>
    <w:p w14:paraId="79DF8368">
      <w:pPr>
        <w:ind w:firstLine="480"/>
        <w:rPr>
          <w:rFonts w:ascii="Times New Roman" w:hAnsi="Times New Roman" w:cs="Times New Roman"/>
          <w:color w:val="auto"/>
        </w:rPr>
      </w:pPr>
      <w:r>
        <w:rPr>
          <w:rFonts w:ascii="Times New Roman" w:hAnsi="Times New Roman" w:cs="Times New Roman"/>
          <w:color w:val="auto"/>
        </w:rPr>
        <w:t>施工汽车尾气主要包括：各种燃油机械的废气排放、运输车辆产生的尾气。</w:t>
      </w:r>
    </w:p>
    <w:p w14:paraId="2872B929">
      <w:pPr>
        <w:ind w:firstLine="480"/>
        <w:rPr>
          <w:rFonts w:ascii="Times New Roman" w:hAnsi="Times New Roman" w:cs="Times New Roman"/>
          <w:color w:val="auto"/>
        </w:rPr>
      </w:pPr>
      <w:r>
        <w:rPr>
          <w:rFonts w:ascii="Times New Roman" w:hAnsi="Times New Roman" w:cs="Times New Roman"/>
          <w:color w:val="auto"/>
        </w:rPr>
        <w:t>主要污染物为NO</w:t>
      </w:r>
      <w:r>
        <w:rPr>
          <w:rFonts w:ascii="Times New Roman" w:hAnsi="Times New Roman" w:cs="Times New Roman"/>
          <w:color w:val="auto"/>
          <w:vertAlign w:val="subscript"/>
        </w:rPr>
        <w:t>x</w:t>
      </w:r>
      <w:r>
        <w:rPr>
          <w:rFonts w:ascii="Times New Roman" w:hAnsi="Times New Roman" w:cs="Times New Roman"/>
          <w:color w:val="auto"/>
        </w:rPr>
        <w:t>、CO和碳氢化合物（HC）等，中型车辆平均时速为30km/h，一氧化碳排放量为15.0g/km·辆，碳氢化合物排放量为1.67g/km·辆，二氧化氮为1.33g/km·辆。</w:t>
      </w:r>
    </w:p>
    <w:p w14:paraId="2B68844D">
      <w:pPr>
        <w:ind w:firstLine="480"/>
        <w:rPr>
          <w:rFonts w:ascii="Times New Roman" w:hAnsi="Times New Roman" w:cs="Times New Roman"/>
          <w:color w:val="auto"/>
        </w:rPr>
      </w:pPr>
      <w:r>
        <w:rPr>
          <w:rFonts w:hint="eastAsia" w:ascii="Times New Roman" w:hAnsi="Times New Roman" w:cs="Times New Roman"/>
          <w:color w:val="auto"/>
          <w:lang w:val="en-US" w:eastAsia="zh-CN"/>
        </w:rPr>
        <w:t>防治措施：</w:t>
      </w:r>
      <w:r>
        <w:rPr>
          <w:rFonts w:ascii="Times New Roman" w:hAnsi="Times New Roman" w:cs="Times New Roman"/>
          <w:color w:val="auto"/>
        </w:rPr>
        <w:t>工程在加强施工机械、车辆运行管理与维护保养的情况下，可减少尾气排放，对周围环境的影响较小。</w:t>
      </w:r>
    </w:p>
    <w:p w14:paraId="7E390232">
      <w:pPr>
        <w:pStyle w:val="5"/>
        <w:numPr>
          <w:ilvl w:val="2"/>
          <w:numId w:val="1"/>
        </w:numPr>
        <w:ind w:left="120"/>
        <w:rPr>
          <w:rFonts w:ascii="Times New Roman" w:hAnsi="Times New Roman" w:cs="Times New Roman"/>
          <w:color w:val="auto"/>
        </w:rPr>
      </w:pPr>
      <w:bookmarkStart w:id="173" w:name="_Toc15529"/>
      <w:r>
        <w:rPr>
          <w:rFonts w:ascii="Times New Roman" w:hAnsi="Times New Roman" w:cs="Times New Roman"/>
          <w:color w:val="auto"/>
        </w:rPr>
        <w:t>水环境影响分析</w:t>
      </w:r>
      <w:bookmarkEnd w:id="173"/>
    </w:p>
    <w:p w14:paraId="3B220EBE">
      <w:pPr>
        <w:ind w:firstLine="480"/>
        <w:rPr>
          <w:rFonts w:ascii="Times New Roman" w:hAnsi="Times New Roman" w:cs="Times New Roman"/>
          <w:color w:val="auto"/>
        </w:rPr>
      </w:pPr>
      <w:r>
        <w:rPr>
          <w:rFonts w:ascii="Times New Roman" w:hAnsi="Times New Roman" w:cs="Times New Roman"/>
          <w:color w:val="auto"/>
        </w:rPr>
        <w:t>根据项目工程分析，</w:t>
      </w:r>
      <w:r>
        <w:rPr>
          <w:rFonts w:hint="eastAsia" w:cs="Times New Roman"/>
          <w:color w:val="auto"/>
          <w:lang w:val="en-US" w:eastAsia="zh-CN"/>
        </w:rPr>
        <w:t>本项目距离所有地表水体距离均超过2.5公里，且本项目施工期人员安排在连队解决居住生活问题，施工过程中不向地表水体排放污染物，施工期现场仅设置环保厕所，施工完毕环保厕所化粪污水送污水处理厂处置。</w:t>
      </w:r>
      <w:r>
        <w:rPr>
          <w:rFonts w:hint="eastAsia" w:ascii="Times New Roman" w:hAnsi="Times New Roman" w:eastAsia="宋体" w:cs="宋体"/>
          <w:color w:val="000000"/>
          <w:kern w:val="0"/>
          <w:sz w:val="24"/>
          <w:szCs w:val="24"/>
          <w:lang w:val="en-US" w:eastAsia="zh-CN" w:bidi="ar"/>
        </w:rPr>
        <w:t>项目使用商品混凝土，无混凝土搅拌废水，</w:t>
      </w:r>
      <w:r>
        <w:rPr>
          <w:rFonts w:ascii="Times New Roman" w:hAnsi="Times New Roman" w:cs="Times New Roman"/>
          <w:color w:val="auto"/>
        </w:rPr>
        <w:t>禁止在项目区内清洗机械设备</w:t>
      </w:r>
      <w:r>
        <w:rPr>
          <w:rFonts w:hint="eastAsia" w:ascii="Times New Roman" w:hAnsi="Times New Roman" w:eastAsia="宋体" w:cs="宋体"/>
          <w:color w:val="000000"/>
          <w:kern w:val="0"/>
          <w:sz w:val="24"/>
          <w:szCs w:val="24"/>
          <w:lang w:val="en-US" w:eastAsia="zh-CN" w:bidi="ar"/>
        </w:rPr>
        <w:t>，因此无废水排放，</w:t>
      </w:r>
      <w:r>
        <w:rPr>
          <w:rFonts w:hint="eastAsia" w:cs="Times New Roman"/>
          <w:color w:val="auto"/>
          <w:lang w:val="en-US" w:eastAsia="zh-CN"/>
        </w:rPr>
        <w:t>仅简单分析</w:t>
      </w:r>
      <w:r>
        <w:rPr>
          <w:rFonts w:ascii="Times New Roman" w:hAnsi="Times New Roman" w:cs="Times New Roman"/>
          <w:color w:val="auto"/>
        </w:rPr>
        <w:t>。</w:t>
      </w:r>
    </w:p>
    <w:p w14:paraId="0214B168">
      <w:pPr>
        <w:pStyle w:val="5"/>
        <w:numPr>
          <w:ilvl w:val="2"/>
          <w:numId w:val="1"/>
        </w:numPr>
        <w:ind w:left="120"/>
        <w:rPr>
          <w:rFonts w:ascii="Times New Roman" w:hAnsi="Times New Roman" w:cs="Times New Roman"/>
          <w:color w:val="auto"/>
        </w:rPr>
      </w:pPr>
      <w:bookmarkStart w:id="174" w:name="_Toc11168"/>
      <w:r>
        <w:rPr>
          <w:rFonts w:ascii="Times New Roman" w:hAnsi="Times New Roman" w:cs="Times New Roman"/>
          <w:color w:val="auto"/>
        </w:rPr>
        <w:t>噪声影响分析</w:t>
      </w:r>
      <w:bookmarkEnd w:id="174"/>
    </w:p>
    <w:p w14:paraId="717D6981">
      <w:pPr>
        <w:ind w:firstLine="480"/>
        <w:rPr>
          <w:rFonts w:ascii="Times New Roman" w:hAnsi="Times New Roman" w:cs="Times New Roman"/>
          <w:color w:val="auto"/>
        </w:rPr>
      </w:pPr>
      <w:r>
        <w:rPr>
          <w:rFonts w:ascii="Times New Roman" w:hAnsi="Times New Roman" w:cs="Times New Roman"/>
          <w:color w:val="auto"/>
        </w:rPr>
        <w:t>由工程污染源分析可知，第一阶段即土方阶段，主要施工机械运输车辆、装载机、推土机、挖掘机的噪声值都很高，声功率叠加后约为</w:t>
      </w:r>
      <w:r>
        <w:rPr>
          <w:rFonts w:hint="eastAsia" w:ascii="Times New Roman" w:hAnsi="Times New Roman" w:cs="Times New Roman"/>
          <w:color w:val="auto"/>
          <w:lang w:val="en-US" w:eastAsia="zh-CN"/>
        </w:rPr>
        <w:t>117</w:t>
      </w:r>
      <w:r>
        <w:rPr>
          <w:rFonts w:ascii="Times New Roman" w:hAnsi="Times New Roman" w:cs="Times New Roman"/>
          <w:color w:val="auto"/>
        </w:rPr>
        <w:t>dB（A），其中以推土机的噪声最高。</w:t>
      </w:r>
    </w:p>
    <w:p w14:paraId="6091B873">
      <w:pPr>
        <w:ind w:firstLine="480"/>
        <w:rPr>
          <w:rFonts w:ascii="Times New Roman" w:hAnsi="Times New Roman" w:cs="Times New Roman"/>
          <w:color w:val="auto"/>
        </w:rPr>
      </w:pPr>
      <w:r>
        <w:rPr>
          <w:rFonts w:ascii="Times New Roman" w:hAnsi="Times New Roman" w:cs="Times New Roman"/>
          <w:color w:val="auto"/>
        </w:rPr>
        <w:t>第二阶段即结构阶段，振捣棒是施工阶段噪声源中工作时间最长，影响面较大，是应采取控制措施的主要噪声源，声功率叠加后约为</w:t>
      </w:r>
      <w:r>
        <w:rPr>
          <w:rFonts w:hint="eastAsia" w:ascii="Times New Roman" w:hAnsi="Times New Roman" w:cs="Times New Roman"/>
          <w:color w:val="auto"/>
          <w:lang w:val="en-US" w:eastAsia="zh-CN"/>
        </w:rPr>
        <w:t>112</w:t>
      </w:r>
      <w:r>
        <w:rPr>
          <w:rFonts w:ascii="Times New Roman" w:hAnsi="Times New Roman" w:cs="Times New Roman"/>
          <w:color w:val="auto"/>
        </w:rPr>
        <w:t>dB（A）。</w:t>
      </w:r>
    </w:p>
    <w:p w14:paraId="2DC5BE25">
      <w:pPr>
        <w:ind w:firstLine="480"/>
        <w:rPr>
          <w:rFonts w:ascii="Times New Roman" w:hAnsi="Times New Roman" w:cs="Times New Roman"/>
          <w:color w:val="auto"/>
        </w:rPr>
      </w:pPr>
      <w:r>
        <w:rPr>
          <w:rFonts w:ascii="Times New Roman" w:hAnsi="Times New Roman" w:cs="Times New Roman"/>
          <w:color w:val="auto"/>
        </w:rPr>
        <w:t>第三阶段为装修阶段，施工机械大多数声功率级较低，各类设备声功率叠加后约为</w:t>
      </w:r>
      <w:r>
        <w:rPr>
          <w:rFonts w:hint="eastAsia" w:ascii="Times New Roman" w:hAnsi="Times New Roman" w:cs="Times New Roman"/>
          <w:color w:val="auto"/>
          <w:lang w:val="en-US" w:eastAsia="zh-CN"/>
        </w:rPr>
        <w:t>104</w:t>
      </w:r>
      <w:r>
        <w:rPr>
          <w:rFonts w:ascii="Times New Roman" w:hAnsi="Times New Roman" w:cs="Times New Roman"/>
          <w:color w:val="auto"/>
        </w:rPr>
        <w:t>dB（A），个别声功率较高的机械使用时间短，部分主要在室内使用，对施工场界外的噪声影响相对较小。</w:t>
      </w:r>
    </w:p>
    <w:p w14:paraId="4D512020">
      <w:pPr>
        <w:ind w:firstLine="480"/>
        <w:rPr>
          <w:rFonts w:ascii="Times New Roman" w:hAnsi="Times New Roman" w:cs="Times New Roman"/>
          <w:color w:val="auto"/>
        </w:rPr>
      </w:pPr>
      <w:r>
        <w:rPr>
          <w:rFonts w:ascii="Times New Roman" w:hAnsi="Times New Roman" w:cs="Times New Roman"/>
          <w:color w:val="auto"/>
        </w:rPr>
        <w:t>由于施工场地内设备位置的不断变化，同一施工阶段不同时间设备运行数量也有波动，因此很难确切预测施工场地各场界噪声值。现取可能出现的最大情况进行分析，假设在各施工阶段内所有机械同时工作，考虑以上高噪声机械设备的噪声值叠加情况（其余噪声源产生噪声值较小，叠加后可忽略不计），查分贝和的增值表可得到叠加结果见表</w:t>
      </w:r>
      <w:r>
        <w:rPr>
          <w:rFonts w:hint="eastAsia" w:cs="Times New Roman"/>
          <w:color w:val="auto"/>
          <w:lang w:val="en-US" w:eastAsia="zh-CN"/>
        </w:rPr>
        <w:t>5</w:t>
      </w:r>
      <w:r>
        <w:rPr>
          <w:rFonts w:ascii="Times New Roman" w:hAnsi="Times New Roman" w:cs="Times New Roman"/>
          <w:color w:val="auto"/>
        </w:rPr>
        <w:t>.1-2。</w:t>
      </w:r>
    </w:p>
    <w:p w14:paraId="32BF076C">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.1-2    各施工阶段噪声叠加结果表</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847"/>
        <w:gridCol w:w="3997"/>
      </w:tblGrid>
      <w:tr w14:paraId="633CCE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2D4AB3B1">
            <w:pPr>
              <w:pStyle w:val="56"/>
              <w:rPr>
                <w:rFonts w:ascii="Times New Roman" w:hAnsi="Times New Roman"/>
                <w:color w:val="auto"/>
                <w:szCs w:val="21"/>
              </w:rPr>
            </w:pPr>
            <w:r>
              <w:rPr>
                <w:rFonts w:ascii="Times New Roman" w:hAnsi="Times New Roman"/>
                <w:color w:val="auto"/>
                <w:szCs w:val="21"/>
              </w:rPr>
              <w:t>施工阶段</w:t>
            </w:r>
          </w:p>
        </w:tc>
        <w:tc>
          <w:tcPr>
            <w:tcW w:w="3997" w:type="dxa"/>
            <w:tcBorders>
              <w:tl2br w:val="nil"/>
              <w:tr2bl w:val="nil"/>
            </w:tcBorders>
            <w:vAlign w:val="center"/>
          </w:tcPr>
          <w:p w14:paraId="2163B86E">
            <w:pPr>
              <w:pStyle w:val="60"/>
              <w:rPr>
                <w:rFonts w:ascii="Times New Roman" w:hAnsi="Times New Roman" w:eastAsia="宋体" w:cs="Times New Roman"/>
                <w:color w:val="auto"/>
              </w:rPr>
            </w:pPr>
            <w:r>
              <w:rPr>
                <w:rFonts w:ascii="Times New Roman" w:hAnsi="Times New Roman" w:eastAsia="宋体" w:cs="Times New Roman"/>
                <w:color w:val="auto"/>
              </w:rPr>
              <w:t>叠加结果 dB(A)</w:t>
            </w:r>
          </w:p>
        </w:tc>
      </w:tr>
      <w:tr w14:paraId="2EE662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174AFF17">
            <w:pPr>
              <w:pStyle w:val="60"/>
              <w:rPr>
                <w:rFonts w:ascii="Times New Roman" w:hAnsi="Times New Roman" w:eastAsia="宋体" w:cs="Times New Roman"/>
                <w:color w:val="auto"/>
              </w:rPr>
            </w:pPr>
            <w:r>
              <w:rPr>
                <w:rFonts w:ascii="Times New Roman" w:hAnsi="Times New Roman" w:eastAsia="宋体" w:cs="Times New Roman"/>
                <w:color w:val="auto"/>
              </w:rPr>
              <w:t>土石方阶段</w:t>
            </w:r>
          </w:p>
        </w:tc>
        <w:tc>
          <w:tcPr>
            <w:tcW w:w="3997" w:type="dxa"/>
            <w:tcBorders>
              <w:tl2br w:val="nil"/>
              <w:tr2bl w:val="nil"/>
            </w:tcBorders>
            <w:vAlign w:val="center"/>
          </w:tcPr>
          <w:p w14:paraId="54249196">
            <w:pPr>
              <w:pStyle w:val="6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117</w:t>
            </w:r>
          </w:p>
        </w:tc>
      </w:tr>
      <w:tr w14:paraId="4AAE4B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21CD54D8">
            <w:pPr>
              <w:pStyle w:val="60"/>
              <w:rPr>
                <w:rFonts w:ascii="Times New Roman" w:hAnsi="Times New Roman" w:eastAsia="宋体" w:cs="Times New Roman"/>
                <w:color w:val="auto"/>
              </w:rPr>
            </w:pPr>
            <w:r>
              <w:rPr>
                <w:rFonts w:ascii="Times New Roman" w:hAnsi="Times New Roman" w:eastAsia="宋体" w:cs="Times New Roman"/>
                <w:color w:val="auto"/>
              </w:rPr>
              <w:t>基础与结构阶段</w:t>
            </w:r>
          </w:p>
        </w:tc>
        <w:tc>
          <w:tcPr>
            <w:tcW w:w="3997" w:type="dxa"/>
            <w:tcBorders>
              <w:tl2br w:val="nil"/>
              <w:tr2bl w:val="nil"/>
            </w:tcBorders>
            <w:vAlign w:val="center"/>
          </w:tcPr>
          <w:p w14:paraId="793E6429">
            <w:pPr>
              <w:pStyle w:val="6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112</w:t>
            </w:r>
          </w:p>
        </w:tc>
      </w:tr>
      <w:tr w14:paraId="3163A9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847" w:type="dxa"/>
            <w:tcBorders>
              <w:tl2br w:val="nil"/>
              <w:tr2bl w:val="nil"/>
            </w:tcBorders>
            <w:vAlign w:val="center"/>
          </w:tcPr>
          <w:p w14:paraId="465209BC">
            <w:pPr>
              <w:pStyle w:val="60"/>
              <w:rPr>
                <w:rFonts w:ascii="Times New Roman" w:hAnsi="Times New Roman" w:eastAsia="宋体" w:cs="Times New Roman"/>
                <w:color w:val="auto"/>
              </w:rPr>
            </w:pPr>
            <w:r>
              <w:rPr>
                <w:rFonts w:ascii="Times New Roman" w:hAnsi="Times New Roman" w:eastAsia="宋体" w:cs="Times New Roman"/>
                <w:color w:val="auto"/>
              </w:rPr>
              <w:t>装修、安装阶段</w:t>
            </w:r>
          </w:p>
        </w:tc>
        <w:tc>
          <w:tcPr>
            <w:tcW w:w="3997" w:type="dxa"/>
            <w:tcBorders>
              <w:tl2br w:val="nil"/>
              <w:tr2bl w:val="nil"/>
            </w:tcBorders>
            <w:vAlign w:val="center"/>
          </w:tcPr>
          <w:p w14:paraId="153A45D6">
            <w:pPr>
              <w:pStyle w:val="6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104</w:t>
            </w:r>
          </w:p>
        </w:tc>
      </w:tr>
    </w:tbl>
    <w:p w14:paraId="4664BE7A">
      <w:pPr>
        <w:ind w:firstLine="480"/>
        <w:rPr>
          <w:rFonts w:ascii="Times New Roman" w:hAnsi="Times New Roman" w:cs="Times New Roman"/>
          <w:color w:val="auto"/>
        </w:rPr>
      </w:pPr>
      <w:r>
        <w:rPr>
          <w:rFonts w:ascii="Times New Roman" w:hAnsi="Times New Roman" w:cs="Times New Roman"/>
          <w:color w:val="auto"/>
        </w:rPr>
        <w:t>本项目工程施工土石方阶段、基础与结构阶段和装修安装阶段产生噪声均属于点声源，声源处于自由声场，随着传播距离的增加必将引起衰减，衰减值的计算公式为：</w:t>
      </w:r>
    </w:p>
    <w:p w14:paraId="186C7DED">
      <w:pPr>
        <w:ind w:firstLine="480"/>
        <w:jc w:val="center"/>
        <w:rPr>
          <w:rFonts w:hint="default" w:ascii="Times New Roman" w:hAnsi="Times New Roman" w:eastAsia="宋体" w:cs="Times New Roman"/>
          <w:i/>
          <w:iCs/>
          <w:color w:val="auto"/>
          <w:szCs w:val="24"/>
          <w:lang w:val="en-US" w:eastAsia="zh-CN"/>
        </w:rPr>
      </w:pPr>
      <w:r>
        <w:rPr>
          <w:rFonts w:ascii="Times New Roman" w:hAnsi="Times New Roman" w:eastAsia="宋体" w:cs="Times New Roman"/>
          <w:i/>
          <w:iCs/>
          <w:color w:val="auto"/>
          <w:szCs w:val="24"/>
        </w:rPr>
        <w:t>L</w:t>
      </w:r>
      <w:r>
        <w:rPr>
          <w:rFonts w:ascii="Times New Roman" w:hAnsi="Times New Roman" w:eastAsia="宋体" w:cs="Times New Roman"/>
          <w:i/>
          <w:iCs/>
          <w:color w:val="auto"/>
          <w:szCs w:val="24"/>
          <w:vertAlign w:val="subscript"/>
        </w:rPr>
        <w:t>A(r)</w:t>
      </w:r>
      <w:r>
        <w:rPr>
          <w:rFonts w:ascii="Times New Roman" w:hAnsi="Times New Roman" w:eastAsia="宋体" w:cs="Times New Roman"/>
          <w:i/>
          <w:iCs/>
          <w:color w:val="auto"/>
          <w:szCs w:val="24"/>
        </w:rPr>
        <w:t>=L</w:t>
      </w:r>
      <w:r>
        <w:rPr>
          <w:rFonts w:ascii="Times New Roman" w:hAnsi="Times New Roman" w:eastAsia="宋体" w:cs="Times New Roman"/>
          <w:i/>
          <w:iCs/>
          <w:color w:val="auto"/>
          <w:szCs w:val="24"/>
          <w:vertAlign w:val="subscript"/>
        </w:rPr>
        <w:t>WA</w:t>
      </w:r>
      <w:r>
        <w:rPr>
          <w:rFonts w:hint="eastAsia" w:eastAsia="宋体" w:cs="Times New Roman"/>
          <w:i/>
          <w:iCs/>
          <w:color w:val="auto"/>
          <w:szCs w:val="24"/>
          <w:vertAlign w:val="subscript"/>
          <w:lang w:eastAsia="zh-CN"/>
        </w:rPr>
        <w:t>-</w:t>
      </w:r>
      <w:r>
        <w:rPr>
          <w:rFonts w:ascii="Times New Roman" w:hAnsi="Times New Roman" w:eastAsia="宋体" w:cs="Times New Roman"/>
          <w:i/>
          <w:iCs/>
          <w:color w:val="auto"/>
          <w:szCs w:val="24"/>
        </w:rPr>
        <w:t>20lgr</w:t>
      </w:r>
      <w:r>
        <w:rPr>
          <w:rFonts w:hint="eastAsia" w:eastAsia="宋体" w:cs="Times New Roman"/>
          <w:i/>
          <w:iCs/>
          <w:color w:val="auto"/>
          <w:szCs w:val="24"/>
          <w:lang w:eastAsia="zh-CN"/>
        </w:rPr>
        <w:t>-</w:t>
      </w:r>
      <w:r>
        <w:rPr>
          <w:rFonts w:hint="eastAsia" w:eastAsia="宋体" w:cs="Times New Roman"/>
          <w:i/>
          <w:iCs/>
          <w:color w:val="auto"/>
          <w:szCs w:val="24"/>
          <w:lang w:val="en-US" w:eastAsia="zh-CN"/>
        </w:rPr>
        <w:t>11</w:t>
      </w:r>
    </w:p>
    <w:p w14:paraId="601D3182">
      <w:pPr>
        <w:ind w:firstLine="480"/>
        <w:rPr>
          <w:rFonts w:ascii="Times New Roman" w:hAnsi="Times New Roman" w:cs="Times New Roman"/>
          <w:color w:val="auto"/>
        </w:rPr>
      </w:pPr>
      <w:r>
        <w:rPr>
          <w:rFonts w:ascii="Times New Roman" w:hAnsi="Times New Roman" w:cs="Times New Roman"/>
          <w:color w:val="auto"/>
        </w:rPr>
        <w:t>式中，</w:t>
      </w:r>
      <w:r>
        <w:rPr>
          <w:rFonts w:ascii="Times New Roman" w:hAnsi="Times New Roman" w:cs="Times New Roman"/>
          <w:i/>
          <w:iCs/>
          <w:color w:val="auto"/>
        </w:rPr>
        <w:t>L</w:t>
      </w:r>
      <w:r>
        <w:rPr>
          <w:rFonts w:ascii="Times New Roman" w:hAnsi="Times New Roman" w:cs="Times New Roman"/>
          <w:i/>
          <w:iCs/>
          <w:color w:val="auto"/>
          <w:vertAlign w:val="subscript"/>
        </w:rPr>
        <w:t>A(r)</w:t>
      </w:r>
      <w:r>
        <w:rPr>
          <w:rFonts w:ascii="Times New Roman" w:hAnsi="Times New Roman" w:cs="Times New Roman"/>
          <w:color w:val="auto"/>
        </w:rPr>
        <w:t>—距噪声源r米处预测点的A声级，dB(A</w:t>
      </w:r>
      <w:r>
        <w:rPr>
          <w:rFonts w:hint="eastAsia" w:cs="Times New Roman"/>
          <w:color w:val="auto"/>
          <w:lang w:eastAsia="zh-CN"/>
        </w:rPr>
        <w:t>）</w:t>
      </w:r>
      <w:r>
        <w:rPr>
          <w:rFonts w:ascii="Times New Roman" w:hAnsi="Times New Roman" w:cs="Times New Roman"/>
          <w:color w:val="auto"/>
        </w:rPr>
        <w:t>；</w:t>
      </w:r>
    </w:p>
    <w:p w14:paraId="2E310448">
      <w:pPr>
        <w:ind w:firstLine="1200" w:firstLineChars="500"/>
        <w:rPr>
          <w:rFonts w:ascii="Times New Roman" w:hAnsi="Times New Roman" w:cs="Times New Roman"/>
          <w:color w:val="auto"/>
        </w:rPr>
      </w:pPr>
      <w:r>
        <w:rPr>
          <w:rFonts w:ascii="Times New Roman" w:hAnsi="Times New Roman" w:cs="Times New Roman"/>
          <w:i/>
          <w:iCs/>
          <w:color w:val="auto"/>
        </w:rPr>
        <w:t>L</w:t>
      </w:r>
      <w:r>
        <w:rPr>
          <w:rFonts w:ascii="Times New Roman" w:hAnsi="Times New Roman" w:cs="Times New Roman"/>
          <w:i/>
          <w:iCs/>
          <w:color w:val="auto"/>
          <w:vertAlign w:val="subscript"/>
        </w:rPr>
        <w:t>WA</w:t>
      </w:r>
      <w:r>
        <w:rPr>
          <w:rFonts w:ascii="Times New Roman" w:hAnsi="Times New Roman" w:cs="Times New Roman"/>
          <w:color w:val="auto"/>
        </w:rPr>
        <w:t>—点声源的A声功率级，dB(A</w:t>
      </w:r>
      <w:r>
        <w:rPr>
          <w:rFonts w:hint="eastAsia" w:cs="Times New Roman"/>
          <w:color w:val="auto"/>
          <w:lang w:eastAsia="zh-CN"/>
        </w:rPr>
        <w:t>）</w:t>
      </w:r>
      <w:r>
        <w:rPr>
          <w:rFonts w:ascii="Times New Roman" w:hAnsi="Times New Roman" w:cs="Times New Roman"/>
          <w:color w:val="auto"/>
        </w:rPr>
        <w:t>；</w:t>
      </w:r>
    </w:p>
    <w:p w14:paraId="3DA8F388">
      <w:pPr>
        <w:ind w:firstLine="1200" w:firstLineChars="500"/>
        <w:rPr>
          <w:rFonts w:ascii="Times New Roman" w:hAnsi="Times New Roman" w:cs="Times New Roman"/>
          <w:color w:val="auto"/>
        </w:rPr>
      </w:pPr>
      <w:r>
        <w:rPr>
          <w:rFonts w:ascii="Times New Roman" w:hAnsi="Times New Roman" w:cs="Times New Roman"/>
          <w:i/>
          <w:iCs/>
          <w:color w:val="auto"/>
        </w:rPr>
        <w:t>r</w:t>
      </w:r>
      <w:r>
        <w:rPr>
          <w:rFonts w:ascii="Times New Roman" w:hAnsi="Times New Roman" w:cs="Times New Roman"/>
          <w:color w:val="auto"/>
        </w:rPr>
        <w:t>—点声源到预测点的距离，m；</w:t>
      </w:r>
    </w:p>
    <w:p w14:paraId="2450253D">
      <w:pPr>
        <w:ind w:firstLine="480"/>
        <w:rPr>
          <w:rFonts w:ascii="Times New Roman" w:hAnsi="Times New Roman" w:cs="Times New Roman"/>
          <w:color w:val="auto"/>
        </w:rPr>
      </w:pPr>
      <w:r>
        <w:rPr>
          <w:rFonts w:ascii="Times New Roman" w:hAnsi="Times New Roman" w:cs="Times New Roman"/>
          <w:color w:val="auto"/>
        </w:rPr>
        <w:t>需要说明的是装修安装阶段的噪声源位于室内，房屋墙体具有一定的衰减功能，一般人工设计的声屏障可以达到5～12dB实际降噪效果，墙体为一般声屏障，此处墙体降噪取10dB，因此噪声值经房屋墙体衰减至室外后为94dB，室外随着一定距离的仍可衰减。</w:t>
      </w:r>
    </w:p>
    <w:p w14:paraId="16CAB69E">
      <w:pPr>
        <w:ind w:firstLine="480"/>
        <w:rPr>
          <w:rFonts w:ascii="Times New Roman" w:hAnsi="Times New Roman" w:cs="Times New Roman"/>
          <w:color w:val="auto"/>
        </w:rPr>
      </w:pPr>
      <w:r>
        <w:rPr>
          <w:rFonts w:ascii="Times New Roman" w:hAnsi="Times New Roman" w:cs="Times New Roman"/>
          <w:color w:val="auto"/>
        </w:rPr>
        <w:t>施工期噪声衰减、叠加后值计算见表</w:t>
      </w:r>
      <w:r>
        <w:rPr>
          <w:rFonts w:hint="eastAsia" w:cs="Times New Roman"/>
          <w:color w:val="auto"/>
          <w:lang w:val="en-US" w:eastAsia="zh-CN"/>
        </w:rPr>
        <w:t>5</w:t>
      </w:r>
      <w:r>
        <w:rPr>
          <w:rFonts w:ascii="Times New Roman" w:hAnsi="Times New Roman" w:cs="Times New Roman"/>
          <w:color w:val="auto"/>
        </w:rPr>
        <w:t>.1-3。</w:t>
      </w:r>
    </w:p>
    <w:p w14:paraId="353EC046">
      <w:pPr>
        <w:pStyle w:val="61"/>
        <w:spacing w:before="32" w:after="32"/>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.1-3    施工期噪声衰减值计算表</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25"/>
        <w:gridCol w:w="956"/>
        <w:gridCol w:w="957"/>
        <w:gridCol w:w="957"/>
        <w:gridCol w:w="957"/>
        <w:gridCol w:w="957"/>
        <w:gridCol w:w="957"/>
        <w:gridCol w:w="978"/>
      </w:tblGrid>
      <w:tr w14:paraId="683F77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vMerge w:val="restart"/>
            <w:tcBorders>
              <w:tl2br w:val="nil"/>
              <w:tr2bl w:val="nil"/>
            </w:tcBorders>
            <w:vAlign w:val="center"/>
          </w:tcPr>
          <w:p w14:paraId="040CACC6">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施工阶段</w:t>
            </w:r>
          </w:p>
        </w:tc>
        <w:tc>
          <w:tcPr>
            <w:tcW w:w="6719" w:type="dxa"/>
            <w:gridSpan w:val="7"/>
            <w:tcBorders>
              <w:tl2br w:val="nil"/>
              <w:tr2bl w:val="nil"/>
            </w:tcBorders>
            <w:vAlign w:val="center"/>
          </w:tcPr>
          <w:p w14:paraId="4008AE68">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X（m）处</w:t>
            </w:r>
            <w:r>
              <w:rPr>
                <w:rFonts w:hint="eastAsia"/>
                <w:color w:val="000000" w:themeColor="text1"/>
                <w:szCs w:val="21"/>
                <w:lang w:val="en-US" w:eastAsia="zh-CN"/>
                <w14:textFill>
                  <w14:solidFill>
                    <w14:schemeClr w14:val="tx1"/>
                  </w14:solidFill>
                </w14:textFill>
              </w:rPr>
              <w:t>A声</w:t>
            </w:r>
            <w:r>
              <w:rPr>
                <w:rFonts w:ascii="Times New Roman" w:hAnsi="Times New Roman"/>
                <w:color w:val="000000" w:themeColor="text1"/>
                <w:szCs w:val="21"/>
                <w14:textFill>
                  <w14:solidFill>
                    <w14:schemeClr w14:val="tx1"/>
                  </w14:solidFill>
                </w14:textFill>
              </w:rPr>
              <w:t>级 dB(A)</w:t>
            </w:r>
          </w:p>
        </w:tc>
      </w:tr>
      <w:tr w14:paraId="279ACD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vMerge w:val="continue"/>
            <w:tcBorders>
              <w:tl2br w:val="nil"/>
              <w:tr2bl w:val="nil"/>
            </w:tcBorders>
            <w:vAlign w:val="center"/>
          </w:tcPr>
          <w:p w14:paraId="4494F67D">
            <w:pPr>
              <w:pStyle w:val="56"/>
              <w:rPr>
                <w:rFonts w:ascii="Times New Roman" w:hAnsi="Times New Roman"/>
                <w:color w:val="000000" w:themeColor="text1"/>
                <w:szCs w:val="21"/>
                <w14:textFill>
                  <w14:solidFill>
                    <w14:schemeClr w14:val="tx1"/>
                  </w14:solidFill>
                </w14:textFill>
              </w:rPr>
            </w:pPr>
          </w:p>
        </w:tc>
        <w:tc>
          <w:tcPr>
            <w:tcW w:w="956" w:type="dxa"/>
            <w:tcBorders>
              <w:tl2br w:val="nil"/>
              <w:tr2bl w:val="nil"/>
            </w:tcBorders>
            <w:vAlign w:val="center"/>
          </w:tcPr>
          <w:p w14:paraId="0805EBB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源强</w:t>
            </w:r>
          </w:p>
        </w:tc>
        <w:tc>
          <w:tcPr>
            <w:tcW w:w="957" w:type="dxa"/>
            <w:tcBorders>
              <w:tl2br w:val="nil"/>
              <w:tr2bl w:val="nil"/>
            </w:tcBorders>
            <w:vAlign w:val="center"/>
          </w:tcPr>
          <w:p w14:paraId="2F3432F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957" w:type="dxa"/>
            <w:tcBorders>
              <w:tl2br w:val="nil"/>
              <w:tr2bl w:val="nil"/>
            </w:tcBorders>
            <w:vAlign w:val="center"/>
          </w:tcPr>
          <w:p w14:paraId="3DCB3388">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w:t>
            </w:r>
          </w:p>
        </w:tc>
        <w:tc>
          <w:tcPr>
            <w:tcW w:w="957" w:type="dxa"/>
            <w:tcBorders>
              <w:tl2br w:val="nil"/>
              <w:tr2bl w:val="nil"/>
            </w:tcBorders>
            <w:vAlign w:val="center"/>
          </w:tcPr>
          <w:p w14:paraId="32AF8C4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p>
        </w:tc>
        <w:tc>
          <w:tcPr>
            <w:tcW w:w="957" w:type="dxa"/>
            <w:tcBorders>
              <w:tl2br w:val="nil"/>
              <w:tr2bl w:val="nil"/>
            </w:tcBorders>
            <w:vAlign w:val="center"/>
          </w:tcPr>
          <w:p w14:paraId="58EEA66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957" w:type="dxa"/>
            <w:tcBorders>
              <w:tl2br w:val="nil"/>
              <w:tr2bl w:val="nil"/>
            </w:tcBorders>
            <w:vAlign w:val="center"/>
          </w:tcPr>
          <w:p w14:paraId="1D05F1E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150</w:t>
            </w:r>
          </w:p>
        </w:tc>
        <w:tc>
          <w:tcPr>
            <w:tcW w:w="978" w:type="dxa"/>
            <w:tcBorders>
              <w:tl2br w:val="nil"/>
              <w:tr2bl w:val="nil"/>
            </w:tcBorders>
            <w:vAlign w:val="center"/>
          </w:tcPr>
          <w:p w14:paraId="09774FE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r>
      <w:tr w14:paraId="400042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tcBorders>
              <w:tl2br w:val="nil"/>
              <w:tr2bl w:val="nil"/>
            </w:tcBorders>
            <w:vAlign w:val="center"/>
          </w:tcPr>
          <w:p w14:paraId="27AD0F0A">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土石方阶段</w:t>
            </w:r>
          </w:p>
        </w:tc>
        <w:tc>
          <w:tcPr>
            <w:tcW w:w="956" w:type="dxa"/>
            <w:tcBorders>
              <w:tl2br w:val="nil"/>
              <w:tr2bl w:val="nil"/>
            </w:tcBorders>
            <w:vAlign w:val="center"/>
          </w:tcPr>
          <w:p w14:paraId="6841A9E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117</w:t>
            </w:r>
          </w:p>
        </w:tc>
        <w:tc>
          <w:tcPr>
            <w:tcW w:w="957" w:type="dxa"/>
            <w:tcBorders>
              <w:tl2br w:val="nil"/>
              <w:tr2bl w:val="nil"/>
            </w:tcBorders>
            <w:vAlign w:val="center"/>
          </w:tcPr>
          <w:p w14:paraId="0966FD2C">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p>
        </w:tc>
        <w:tc>
          <w:tcPr>
            <w:tcW w:w="957" w:type="dxa"/>
            <w:tcBorders>
              <w:tl2br w:val="nil"/>
              <w:tr2bl w:val="nil"/>
            </w:tcBorders>
            <w:vAlign w:val="center"/>
          </w:tcPr>
          <w:p w14:paraId="664387F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74</w:t>
            </w:r>
          </w:p>
        </w:tc>
        <w:tc>
          <w:tcPr>
            <w:tcW w:w="957" w:type="dxa"/>
            <w:tcBorders>
              <w:tl2br w:val="nil"/>
              <w:tr2bl w:val="nil"/>
            </w:tcBorders>
            <w:vAlign w:val="center"/>
          </w:tcPr>
          <w:p w14:paraId="67ECBC77">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68</w:t>
            </w:r>
          </w:p>
        </w:tc>
        <w:tc>
          <w:tcPr>
            <w:tcW w:w="957" w:type="dxa"/>
            <w:tcBorders>
              <w:tl2br w:val="nil"/>
              <w:tr2bl w:val="nil"/>
            </w:tcBorders>
            <w:vAlign w:val="center"/>
          </w:tcPr>
          <w:p w14:paraId="64924811">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66</w:t>
            </w:r>
          </w:p>
        </w:tc>
        <w:tc>
          <w:tcPr>
            <w:tcW w:w="957" w:type="dxa"/>
            <w:tcBorders>
              <w:tl2br w:val="nil"/>
              <w:tr2bl w:val="nil"/>
            </w:tcBorders>
            <w:vAlign w:val="center"/>
          </w:tcPr>
          <w:p w14:paraId="26EC519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62</w:t>
            </w:r>
          </w:p>
        </w:tc>
        <w:tc>
          <w:tcPr>
            <w:tcW w:w="978" w:type="dxa"/>
            <w:tcBorders>
              <w:tl2br w:val="nil"/>
              <w:tr2bl w:val="nil"/>
            </w:tcBorders>
            <w:vAlign w:val="center"/>
          </w:tcPr>
          <w:p w14:paraId="2D34244F">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59</w:t>
            </w:r>
          </w:p>
        </w:tc>
      </w:tr>
      <w:tr w14:paraId="7FF384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tcBorders>
              <w:tl2br w:val="nil"/>
              <w:tr2bl w:val="nil"/>
            </w:tcBorders>
            <w:vAlign w:val="center"/>
          </w:tcPr>
          <w:p w14:paraId="6F9D2023">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基础与结构阶段</w:t>
            </w:r>
          </w:p>
        </w:tc>
        <w:tc>
          <w:tcPr>
            <w:tcW w:w="956" w:type="dxa"/>
            <w:tcBorders>
              <w:tl2br w:val="nil"/>
              <w:tr2bl w:val="nil"/>
            </w:tcBorders>
            <w:vAlign w:val="center"/>
          </w:tcPr>
          <w:p w14:paraId="4F1520F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112</w:t>
            </w:r>
          </w:p>
        </w:tc>
        <w:tc>
          <w:tcPr>
            <w:tcW w:w="957" w:type="dxa"/>
            <w:tcBorders>
              <w:tl2br w:val="nil"/>
              <w:tr2bl w:val="nil"/>
            </w:tcBorders>
            <w:vAlign w:val="center"/>
          </w:tcPr>
          <w:p w14:paraId="7A6D188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w:t>
            </w:r>
          </w:p>
        </w:tc>
        <w:tc>
          <w:tcPr>
            <w:tcW w:w="957" w:type="dxa"/>
            <w:tcBorders>
              <w:tl2br w:val="nil"/>
              <w:tr2bl w:val="nil"/>
            </w:tcBorders>
            <w:vAlign w:val="center"/>
          </w:tcPr>
          <w:p w14:paraId="723DD749">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69</w:t>
            </w:r>
          </w:p>
        </w:tc>
        <w:tc>
          <w:tcPr>
            <w:tcW w:w="957" w:type="dxa"/>
            <w:tcBorders>
              <w:tl2br w:val="nil"/>
              <w:tr2bl w:val="nil"/>
            </w:tcBorders>
            <w:vAlign w:val="center"/>
          </w:tcPr>
          <w:p w14:paraId="3F95B19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63</w:t>
            </w:r>
          </w:p>
        </w:tc>
        <w:tc>
          <w:tcPr>
            <w:tcW w:w="957" w:type="dxa"/>
            <w:tcBorders>
              <w:tl2br w:val="nil"/>
              <w:tr2bl w:val="nil"/>
            </w:tcBorders>
            <w:vAlign w:val="center"/>
          </w:tcPr>
          <w:p w14:paraId="3BF27DD8">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61</w:t>
            </w:r>
          </w:p>
        </w:tc>
        <w:tc>
          <w:tcPr>
            <w:tcW w:w="957" w:type="dxa"/>
            <w:tcBorders>
              <w:tl2br w:val="nil"/>
              <w:tr2bl w:val="nil"/>
            </w:tcBorders>
            <w:vAlign w:val="center"/>
          </w:tcPr>
          <w:p w14:paraId="5D065DF4">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57</w:t>
            </w:r>
          </w:p>
        </w:tc>
        <w:tc>
          <w:tcPr>
            <w:tcW w:w="978" w:type="dxa"/>
            <w:tcBorders>
              <w:tl2br w:val="nil"/>
              <w:tr2bl w:val="nil"/>
            </w:tcBorders>
            <w:vAlign w:val="center"/>
          </w:tcPr>
          <w:p w14:paraId="429AD2AB">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54</w:t>
            </w:r>
          </w:p>
        </w:tc>
      </w:tr>
      <w:tr w14:paraId="78BE1F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125" w:type="dxa"/>
            <w:tcBorders>
              <w:tl2br w:val="nil"/>
              <w:tr2bl w:val="nil"/>
            </w:tcBorders>
            <w:vAlign w:val="center"/>
          </w:tcPr>
          <w:p w14:paraId="120D4F71">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装修、安装阶段</w:t>
            </w:r>
          </w:p>
        </w:tc>
        <w:tc>
          <w:tcPr>
            <w:tcW w:w="956" w:type="dxa"/>
            <w:tcBorders>
              <w:tl2br w:val="nil"/>
              <w:tr2bl w:val="nil"/>
            </w:tcBorders>
            <w:vAlign w:val="center"/>
          </w:tcPr>
          <w:p w14:paraId="63AAE047">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94</w:t>
            </w:r>
          </w:p>
        </w:tc>
        <w:tc>
          <w:tcPr>
            <w:tcW w:w="957" w:type="dxa"/>
            <w:tcBorders>
              <w:tl2br w:val="nil"/>
              <w:tr2bl w:val="nil"/>
            </w:tcBorders>
            <w:vAlign w:val="center"/>
          </w:tcPr>
          <w:p w14:paraId="6B475DDD">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57</w:t>
            </w:r>
          </w:p>
        </w:tc>
        <w:tc>
          <w:tcPr>
            <w:tcW w:w="957" w:type="dxa"/>
            <w:tcBorders>
              <w:tl2br w:val="nil"/>
              <w:tr2bl w:val="nil"/>
            </w:tcBorders>
            <w:vAlign w:val="center"/>
          </w:tcPr>
          <w:p w14:paraId="010616B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51</w:t>
            </w:r>
          </w:p>
        </w:tc>
        <w:tc>
          <w:tcPr>
            <w:tcW w:w="957" w:type="dxa"/>
            <w:tcBorders>
              <w:tl2br w:val="nil"/>
              <w:tr2bl w:val="nil"/>
            </w:tcBorders>
            <w:vAlign w:val="center"/>
          </w:tcPr>
          <w:p w14:paraId="28BB702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45</w:t>
            </w:r>
          </w:p>
        </w:tc>
        <w:tc>
          <w:tcPr>
            <w:tcW w:w="957" w:type="dxa"/>
            <w:tcBorders>
              <w:tl2br w:val="nil"/>
              <w:tr2bl w:val="nil"/>
            </w:tcBorders>
            <w:vAlign w:val="center"/>
          </w:tcPr>
          <w:p w14:paraId="646AA90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43</w:t>
            </w:r>
          </w:p>
        </w:tc>
        <w:tc>
          <w:tcPr>
            <w:tcW w:w="957" w:type="dxa"/>
            <w:tcBorders>
              <w:tl2br w:val="nil"/>
              <w:tr2bl w:val="nil"/>
            </w:tcBorders>
            <w:vAlign w:val="center"/>
          </w:tcPr>
          <w:p w14:paraId="2F6935C7">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39</w:t>
            </w:r>
          </w:p>
        </w:tc>
        <w:tc>
          <w:tcPr>
            <w:tcW w:w="978" w:type="dxa"/>
            <w:tcBorders>
              <w:tl2br w:val="nil"/>
              <w:tr2bl w:val="nil"/>
            </w:tcBorders>
            <w:vAlign w:val="center"/>
          </w:tcPr>
          <w:p w14:paraId="3A643C8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36</w:t>
            </w:r>
          </w:p>
        </w:tc>
      </w:tr>
    </w:tbl>
    <w:p w14:paraId="384314D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施工噪声是暂时的，但它对环境影响很大，为了控制施工噪声污染，国家对建筑施工期间，不同施工阶段都提出控制限值，即《建筑施工场界环境噪声排放标准》（GB12523—2011），见表</w:t>
      </w: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.1-4。</w:t>
      </w:r>
    </w:p>
    <w:p w14:paraId="2B878E15">
      <w:pPr>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.1-4    建筑施工场界环境噪声排放标准   单位：dB（A）</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213"/>
        <w:gridCol w:w="4631"/>
      </w:tblGrid>
      <w:tr w14:paraId="6BA4E6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6" w:hRule="atLeast"/>
          <w:jc w:val="center"/>
        </w:trPr>
        <w:tc>
          <w:tcPr>
            <w:tcW w:w="4213" w:type="dxa"/>
            <w:tcBorders>
              <w:tl2br w:val="nil"/>
              <w:tr2bl w:val="nil"/>
            </w:tcBorders>
            <w:vAlign w:val="center"/>
          </w:tcPr>
          <w:p w14:paraId="646C4FC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昼间</w:t>
            </w:r>
          </w:p>
        </w:tc>
        <w:tc>
          <w:tcPr>
            <w:tcW w:w="4631" w:type="dxa"/>
            <w:tcBorders>
              <w:tl2br w:val="nil"/>
              <w:tr2bl w:val="nil"/>
            </w:tcBorders>
            <w:vAlign w:val="center"/>
          </w:tcPr>
          <w:p w14:paraId="3638B63B">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夜间</w:t>
            </w:r>
          </w:p>
        </w:tc>
      </w:tr>
      <w:tr w14:paraId="1F9E6E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4213" w:type="dxa"/>
            <w:tcBorders>
              <w:tl2br w:val="nil"/>
              <w:tr2bl w:val="nil"/>
            </w:tcBorders>
            <w:vAlign w:val="center"/>
          </w:tcPr>
          <w:p w14:paraId="35BDFEAF">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70</w:t>
            </w:r>
          </w:p>
        </w:tc>
        <w:tc>
          <w:tcPr>
            <w:tcW w:w="4631" w:type="dxa"/>
            <w:tcBorders>
              <w:tl2br w:val="nil"/>
              <w:tr2bl w:val="nil"/>
            </w:tcBorders>
            <w:vAlign w:val="center"/>
          </w:tcPr>
          <w:p w14:paraId="526EC005">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55</w:t>
            </w:r>
          </w:p>
        </w:tc>
      </w:tr>
    </w:tbl>
    <w:p w14:paraId="0FDA4F6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注：</w:t>
      </w: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夜间噪声最大声级超过限值的幅度不得高于15dB(A</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当</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距噪声敏感建筑物较近，其室外不满足测量条件时，可在噪声敏感建筑物室内测量，将相应的限值减10dB(A</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作为评价依据。</w:t>
      </w:r>
    </w:p>
    <w:p w14:paraId="0939E0D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施工机械噪声级通常较高，对空旷地带声传播距离较远，昼间施工机械影响范围主要集中在施工区中心100m范围内，夜间若施工影响范围则较远，最远可达470m，其中以2</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0m范围内噪声影响较集中。根据现场踏勘，项目区</w:t>
      </w:r>
      <w:r>
        <w:rPr>
          <w:rFonts w:hint="eastAsia"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00m范围内无居民等环境敏感点，项目噪声对环境影响不大。</w:t>
      </w:r>
    </w:p>
    <w:p w14:paraId="3A3D584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另外，施工期间运输建筑物料车辆增多，将会增加进站道路车流量及沿线交通噪声污染。类比同类噪声监测，该类运输车辆噪声级一般在75～85dB(A</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，属间断运行。施工期间运输车辆产生噪声污染是暂时的，一般不会对周边声环境质量造成较大影响。</w:t>
      </w:r>
    </w:p>
    <w:p w14:paraId="43C6EE20">
      <w:pPr>
        <w:keepNext w:val="0"/>
        <w:keepLines w:val="0"/>
        <w:widowControl/>
        <w:suppressLineNumbers w:val="0"/>
        <w:jc w:val="left"/>
        <w:rPr>
          <w:rFonts w:ascii="Times New Roman" w:hAnsi="Times New Roman"/>
        </w:rPr>
      </w:pPr>
      <w:r>
        <w:rPr>
          <w:rFonts w:hint="eastAsia" w:ascii="Times New Roman" w:hAnsi="Times New Roman" w:eastAsia="宋体" w:cs="宋体"/>
          <w:color w:val="000000"/>
          <w:kern w:val="0"/>
          <w:sz w:val="24"/>
          <w:szCs w:val="24"/>
          <w:lang w:val="en-US" w:eastAsia="zh-CN" w:bidi="ar"/>
        </w:rPr>
        <w:t>措施：建议加强施工期间的施工组织和管理，合理安排施工进度和时间，环保施工、文明施工，通过降低运输车辆车速来降低车辆噪声，禁止夜间施工，将施工期间的噪声影响降低到最低程度。</w:t>
      </w:r>
    </w:p>
    <w:p w14:paraId="106BAFD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产生的这些影响是局部的，短期的，随着施工的结束这些影响也将消失。施工噪声对环境影响必须采取噪声污染控制措施，建筑施工过程中场界环境噪声不得超过《建筑施工场界环境噪声排放标准》（GB12523-2011）中规定的排放限值。</w:t>
      </w:r>
    </w:p>
    <w:p w14:paraId="425F8170">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75" w:name="5.1.4固体废物环境影响分析"/>
      <w:bookmarkEnd w:id="175"/>
      <w:bookmarkStart w:id="176" w:name="_Toc2934"/>
      <w:r>
        <w:rPr>
          <w:rFonts w:ascii="Times New Roman" w:hAnsi="Times New Roman" w:cs="Times New Roman"/>
          <w:color w:val="000000" w:themeColor="text1"/>
          <w14:textFill>
            <w14:solidFill>
              <w14:schemeClr w14:val="tx1"/>
            </w14:solidFill>
          </w14:textFill>
        </w:rPr>
        <w:t>固体废物环境影响分析</w:t>
      </w:r>
      <w:bookmarkEnd w:id="176"/>
    </w:p>
    <w:p w14:paraId="63F173E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本项目施工期固废主要包括基础开挖土方、建筑垃圾</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施工生活垃圾</w:t>
      </w:r>
      <w:r>
        <w:rPr>
          <w:rFonts w:ascii="Times New Roman" w:hAnsi="Times New Roman" w:cs="Times New Roman"/>
          <w:color w:val="000000" w:themeColor="text1"/>
          <w14:textFill>
            <w14:solidFill>
              <w14:schemeClr w14:val="tx1"/>
            </w14:solidFill>
          </w14:textFill>
        </w:rPr>
        <w:t>。</w:t>
      </w:r>
    </w:p>
    <w:p w14:paraId="6DFEAA5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（1）土石方</w:t>
      </w:r>
    </w:p>
    <w:p w14:paraId="3717697F">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本项目场地工程产生的</w:t>
      </w:r>
      <w:r>
        <w:rPr>
          <w:rFonts w:hint="eastAsia" w:ascii="Times New Roman" w:hAnsi="Times New Roman" w:cs="Times New Roman"/>
          <w:color w:val="000000" w:themeColor="text1"/>
          <w:lang w:val="en-US" w:eastAsia="zh-CN"/>
          <w14:textFill>
            <w14:solidFill>
              <w14:schemeClr w14:val="tx1"/>
            </w14:solidFill>
          </w14:textFill>
        </w:rPr>
        <w:t>开挖土石方将全部</w:t>
      </w:r>
      <w:r>
        <w:rPr>
          <w:rFonts w:ascii="Times New Roman" w:hAnsi="Times New Roman" w:cs="Times New Roman"/>
          <w:color w:val="000000" w:themeColor="text1"/>
          <w14:textFill>
            <w14:solidFill>
              <w14:schemeClr w14:val="tx1"/>
            </w14:solidFill>
          </w14:textFill>
        </w:rPr>
        <w:t>用于项目区土地平整、</w:t>
      </w:r>
      <w:r>
        <w:rPr>
          <w:rFonts w:hint="eastAsia" w:ascii="Times New Roman" w:hAnsi="Times New Roman" w:cs="Times New Roman"/>
          <w:color w:val="000000" w:themeColor="text1"/>
          <w:lang w:val="en-US" w:eastAsia="zh-CN"/>
          <w14:textFill>
            <w14:solidFill>
              <w14:schemeClr w14:val="tx1"/>
            </w14:solidFill>
          </w14:textFill>
        </w:rPr>
        <w:t>基础回填</w:t>
      </w:r>
      <w:r>
        <w:rPr>
          <w:rFonts w:ascii="Times New Roman" w:hAnsi="Times New Roman" w:cs="Times New Roman"/>
          <w:color w:val="000000" w:themeColor="text1"/>
          <w14:textFill>
            <w14:solidFill>
              <w14:schemeClr w14:val="tx1"/>
            </w14:solidFill>
          </w14:textFill>
        </w:rPr>
        <w:t>等。</w:t>
      </w:r>
      <w:r>
        <w:rPr>
          <w:rFonts w:hint="eastAsia" w:ascii="Times New Roman" w:hAnsi="Times New Roman" w:cs="Times New Roman"/>
          <w:color w:val="000000" w:themeColor="text1"/>
          <w:lang w:val="en-US" w:eastAsia="zh-CN"/>
          <w14:textFill>
            <w14:solidFill>
              <w14:schemeClr w14:val="tx1"/>
            </w14:solidFill>
          </w14:textFill>
        </w:rPr>
        <w:t>本项目施工期没有永久弃土。</w:t>
      </w:r>
    </w:p>
    <w:p w14:paraId="1B95138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（2）建筑施工废料</w:t>
      </w:r>
    </w:p>
    <w:p w14:paraId="099E1FD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在进行主体工程和装</w:t>
      </w:r>
      <w:r>
        <w:rPr>
          <w:rFonts w:hint="eastAsia" w:ascii="Times New Roman" w:hAnsi="Times New Roman" w:cs="Times New Roman"/>
          <w:color w:val="000000" w:themeColor="text1"/>
          <w:lang w:val="en-US" w:eastAsia="zh-CN"/>
          <w14:textFill>
            <w14:solidFill>
              <w14:schemeClr w14:val="tx1"/>
            </w14:solidFill>
          </w14:textFill>
        </w:rPr>
        <w:t>修</w:t>
      </w:r>
      <w:r>
        <w:rPr>
          <w:rFonts w:ascii="Times New Roman" w:hAnsi="Times New Roman" w:cs="Times New Roman"/>
          <w:color w:val="000000" w:themeColor="text1"/>
          <w14:textFill>
            <w14:solidFill>
              <w14:schemeClr w14:val="tx1"/>
            </w14:solidFill>
          </w14:textFill>
        </w:rPr>
        <w:t>工程时会产生</w:t>
      </w:r>
      <w:r>
        <w:rPr>
          <w:rFonts w:hint="eastAsia" w:ascii="Times New Roman" w:hAnsi="Times New Roman" w:cs="Times New Roman"/>
          <w:color w:val="000000" w:themeColor="text1"/>
          <w:lang w:val="en-US" w:eastAsia="zh-CN"/>
          <w14:textFill>
            <w14:solidFill>
              <w14:schemeClr w14:val="tx1"/>
            </w14:solidFill>
          </w14:textFill>
        </w:rPr>
        <w:t>少量</w:t>
      </w:r>
      <w:r>
        <w:rPr>
          <w:rFonts w:ascii="Times New Roman" w:hAnsi="Times New Roman" w:cs="Times New Roman"/>
          <w:color w:val="auto"/>
        </w:rPr>
        <w:t>废钢筋、废铁丝和各种废钢配件、金属管线废料、木屑、刨花、各种装饰材料的包装箱等。废钢筋、废铁丝和各种废钢配件、金属管线废料</w:t>
      </w:r>
      <w:r>
        <w:rPr>
          <w:rFonts w:hint="eastAsia" w:ascii="Times New Roman" w:hAnsi="Times New Roman" w:cs="Times New Roman"/>
          <w:color w:val="auto"/>
          <w:lang w:val="en-US" w:eastAsia="zh-CN"/>
        </w:rPr>
        <w:t>均交由第三方单位回收利用，</w:t>
      </w:r>
      <w:r>
        <w:rPr>
          <w:rFonts w:ascii="Times New Roman" w:hAnsi="Times New Roman" w:cs="Times New Roman"/>
          <w:color w:val="auto"/>
        </w:rPr>
        <w:t>木屑、刨花、各种装饰材料的包装箱</w:t>
      </w:r>
      <w:r>
        <w:rPr>
          <w:rFonts w:hint="eastAsia" w:ascii="Times New Roman" w:hAnsi="Times New Roman" w:cs="Times New Roman"/>
          <w:color w:val="auto"/>
          <w:lang w:val="en-US" w:eastAsia="zh-CN"/>
        </w:rPr>
        <w:t>等拉运至可克达拉市建筑垃圾填埋场</w:t>
      </w:r>
      <w:r>
        <w:rPr>
          <w:rFonts w:ascii="Times New Roman" w:hAnsi="Times New Roman" w:cs="Times New Roman"/>
          <w:color w:val="000000" w:themeColor="text1"/>
          <w14:textFill>
            <w14:solidFill>
              <w14:schemeClr w14:val="tx1"/>
            </w14:solidFill>
          </w14:textFill>
        </w:rPr>
        <w:t>。</w:t>
      </w:r>
    </w:p>
    <w:p w14:paraId="05137B96">
      <w:pPr>
        <w:pStyle w:val="11"/>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生活垃圾</w:t>
      </w:r>
    </w:p>
    <w:p w14:paraId="2DDDCBA3">
      <w:pPr>
        <w:pStyle w:val="11"/>
        <w:rPr>
          <w:rFonts w:hint="eastAsia" w:ascii="Times New Roman" w:hAnsi="Times New Roman" w:eastAsia="宋体"/>
          <w:lang w:eastAsia="zh-CN"/>
        </w:rPr>
      </w:pPr>
      <w:r>
        <w:rPr>
          <w:rFonts w:hint="eastAsia" w:ascii="Times New Roman" w:hAnsi="Times New Roman" w:eastAsia="宋体" w:cs="宋体"/>
          <w:color w:val="000000"/>
          <w:kern w:val="0"/>
          <w:sz w:val="24"/>
          <w:szCs w:val="24"/>
          <w:lang w:val="en-US" w:eastAsia="zh-CN" w:bidi="ar"/>
        </w:rPr>
        <w:t>施工人员所产生的生活垃圾量以施工期</w:t>
      </w:r>
      <w:r>
        <w:rPr>
          <w:rFonts w:hint="eastAsia" w:ascii="Times New Roman" w:hAnsi="Times New Roman" w:eastAsia="宋体" w:cs="Times New Roman"/>
          <w:color w:val="000000"/>
          <w:kern w:val="0"/>
          <w:sz w:val="24"/>
          <w:szCs w:val="24"/>
          <w:lang w:val="en-US" w:eastAsia="zh-CN" w:bidi="ar"/>
        </w:rPr>
        <w:t>92</w:t>
      </w:r>
      <w:r>
        <w:rPr>
          <w:rFonts w:hint="eastAsia" w:ascii="Times New Roman" w:hAnsi="Times New Roman" w:eastAsia="宋体" w:cs="宋体"/>
          <w:color w:val="000000"/>
          <w:kern w:val="0"/>
          <w:sz w:val="24"/>
          <w:szCs w:val="24"/>
          <w:lang w:val="en-US" w:eastAsia="zh-CN" w:bidi="ar"/>
        </w:rPr>
        <w:t>天计，施工人员进场高峰期约</w:t>
      </w:r>
      <w:r>
        <w:rPr>
          <w:rFonts w:hint="eastAsia" w:ascii="Times New Roman" w:hAnsi="Times New Roman" w:eastAsia="宋体" w:cs="Times New Roman"/>
          <w:color w:val="000000"/>
          <w:kern w:val="0"/>
          <w:sz w:val="24"/>
          <w:szCs w:val="24"/>
          <w:lang w:val="en-US" w:eastAsia="zh-CN" w:bidi="ar"/>
        </w:rPr>
        <w:t>20</w:t>
      </w:r>
      <w:r>
        <w:rPr>
          <w:rFonts w:hint="eastAsia" w:ascii="Times New Roman" w:hAnsi="Times New Roman" w:eastAsia="宋体" w:cs="宋体"/>
          <w:color w:val="000000"/>
          <w:kern w:val="0"/>
          <w:sz w:val="24"/>
          <w:szCs w:val="24"/>
          <w:lang w:val="en-US" w:eastAsia="zh-CN" w:bidi="ar"/>
        </w:rPr>
        <w:t>人，排放系数取</w:t>
      </w:r>
      <w:r>
        <w:rPr>
          <w:rFonts w:hint="default" w:ascii="Times New Roman" w:hAnsi="Times New Roman" w:eastAsia="宋体" w:cs="Times New Roman"/>
          <w:color w:val="000000"/>
          <w:kern w:val="0"/>
          <w:sz w:val="24"/>
          <w:szCs w:val="24"/>
          <w:lang w:val="en-US" w:eastAsia="zh-CN" w:bidi="ar"/>
        </w:rPr>
        <w:t>0.5kg/</w:t>
      </w:r>
      <w:r>
        <w:rPr>
          <w:rFonts w:hint="eastAsia" w:ascii="Times New Roman" w:hAnsi="Times New Roman" w:eastAsia="宋体" w:cs="宋体"/>
          <w:color w:val="000000"/>
          <w:kern w:val="0"/>
          <w:sz w:val="24"/>
          <w:szCs w:val="24"/>
          <w:lang w:val="en-US" w:eastAsia="zh-CN" w:bidi="ar"/>
        </w:rPr>
        <w:t>人</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宋体"/>
          <w:color w:val="000000"/>
          <w:kern w:val="0"/>
          <w:sz w:val="24"/>
          <w:szCs w:val="24"/>
          <w:lang w:val="en-US" w:eastAsia="zh-CN" w:bidi="ar"/>
        </w:rPr>
        <w:t>计，则施工期间生活垃圾产生量约为</w:t>
      </w:r>
      <w:r>
        <w:rPr>
          <w:rFonts w:hint="eastAsia" w:ascii="Times New Roman" w:hAnsi="Times New Roman" w:eastAsia="宋体" w:cs="Times New Roman"/>
          <w:color w:val="000000"/>
          <w:kern w:val="0"/>
          <w:sz w:val="24"/>
          <w:szCs w:val="24"/>
          <w:lang w:val="en-US" w:eastAsia="zh-CN" w:bidi="ar"/>
        </w:rPr>
        <w:t>0.92</w:t>
      </w:r>
      <w:r>
        <w:rPr>
          <w:rFonts w:hint="default" w:ascii="Times New Roman" w:hAnsi="Times New Roman" w:eastAsia="宋体" w:cs="Times New Roman"/>
          <w:color w:val="000000"/>
          <w:kern w:val="0"/>
          <w:sz w:val="24"/>
          <w:szCs w:val="24"/>
          <w:lang w:val="en-US" w:eastAsia="zh-CN" w:bidi="ar"/>
        </w:rPr>
        <w:t>t</w:t>
      </w:r>
      <w:r>
        <w:rPr>
          <w:rFonts w:hint="eastAsia" w:ascii="Times New Roman" w:hAnsi="Times New Roman" w:eastAsia="宋体" w:cs="宋体"/>
          <w:color w:val="000000"/>
          <w:kern w:val="0"/>
          <w:sz w:val="24"/>
          <w:szCs w:val="24"/>
          <w:lang w:val="en-US" w:eastAsia="zh-CN" w:bidi="ar"/>
        </w:rPr>
        <w:t>，施工人员生活垃圾由施工区域垃圾桶收集，并设专人定时进行卫生清理工作，由63团环卫部门定期收运集中处置</w:t>
      </w:r>
      <w:r>
        <w:rPr>
          <w:rFonts w:hint="eastAsia" w:ascii="Times New Roman" w:hAnsi="Times New Roman" w:cs="宋体"/>
          <w:color w:val="000000"/>
          <w:kern w:val="0"/>
          <w:sz w:val="24"/>
          <w:szCs w:val="24"/>
          <w:lang w:val="en-US" w:eastAsia="zh-CN" w:bidi="ar"/>
        </w:rPr>
        <w:t>。</w:t>
      </w:r>
    </w:p>
    <w:p w14:paraId="4B3ED2B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针对项目施工期固体废弃物种类及特点，提出如下防治措施：</w:t>
      </w:r>
    </w:p>
    <w:p w14:paraId="7430D56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（1）临时土石方于施工区就近堆放，采取覆盖围护措施，防止大风和大雨时造成的水土流失。堆放后覆盖防尘布，抑制扬尘产生。</w:t>
      </w:r>
    </w:p>
    <w:p w14:paraId="2B10F5F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对施工中产生的不能再利用的建筑垃圾，应进行分类收集、分类管理，能够回收利用的尽量回收再利用，以节约资源；对于不能回收利用的要进行收集并于施工区内固定地点集中暂存，施工完成后及时处理，拉运至</w:t>
      </w:r>
      <w:r>
        <w:rPr>
          <w:rFonts w:hint="eastAsia" w:ascii="Times New Roman" w:hAnsi="Times New Roman" w:cs="Times New Roman"/>
          <w:color w:val="000000" w:themeColor="text1"/>
          <w:lang w:val="en-US" w:eastAsia="zh-CN"/>
          <w14:textFill>
            <w14:solidFill>
              <w14:schemeClr w14:val="tx1"/>
            </w14:solidFill>
          </w14:textFill>
        </w:rPr>
        <w:t>当地建筑</w:t>
      </w:r>
      <w:r>
        <w:rPr>
          <w:rFonts w:ascii="Times New Roman" w:hAnsi="Times New Roman" w:cs="Times New Roman"/>
          <w:color w:val="000000" w:themeColor="text1"/>
          <w14:textFill>
            <w14:solidFill>
              <w14:schemeClr w14:val="tx1"/>
            </w14:solidFill>
          </w14:textFill>
        </w:rPr>
        <w:t>垃圾填埋场填埋处置。</w:t>
      </w:r>
    </w:p>
    <w:p w14:paraId="2CB4EB6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（3）车辆运输建筑垃圾时，须采取覆盖措施，不得沿途漏撒。</w:t>
      </w:r>
    </w:p>
    <w:p w14:paraId="19461E4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（4）工程完工后1个月内，应当将施工场地的剩余建筑垃圾处置干净，不得占用道路或其他类型土地来堆放建筑垃圾。</w:t>
      </w:r>
    </w:p>
    <w:p w14:paraId="7D2F598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施工期固体废弃物产生较少，影响范围主要在施工区，随着施工期的结束，施工期固体废弃物的影响随之消失。只要加强施工管理，并采取相应措施，施工期固体废弃物对环境的不利影响是可以减缓或消除的。</w:t>
      </w:r>
    </w:p>
    <w:p w14:paraId="469A9214">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77" w:name="5.1.5施工期生态环境影响分析"/>
      <w:bookmarkEnd w:id="177"/>
      <w:bookmarkStart w:id="178" w:name="_Toc32627"/>
      <w:r>
        <w:rPr>
          <w:rFonts w:ascii="Times New Roman" w:hAnsi="Times New Roman" w:cs="Times New Roman"/>
          <w:color w:val="000000" w:themeColor="text1"/>
          <w14:textFill>
            <w14:solidFill>
              <w14:schemeClr w14:val="tx1"/>
            </w14:solidFill>
          </w14:textFill>
        </w:rPr>
        <w:t>施工期生态环境影响分析</w:t>
      </w:r>
      <w:bookmarkEnd w:id="178"/>
    </w:p>
    <w:p w14:paraId="4B6B12A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项目施工期对生态环境的影响主要是场地平整时破坏了项目区原有土壤理化性质，对自然景观产生影响以及可能产生水土流失影响。</w:t>
      </w:r>
    </w:p>
    <w:p w14:paraId="125AF6C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（1）施工占地影响</w:t>
      </w:r>
    </w:p>
    <w:p w14:paraId="4931D4A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auto"/>
        </w:rPr>
        <w:t>本项目永久占地属于设施农用地，土地利用状况不属于林地、耕地，</w:t>
      </w:r>
      <w:r>
        <w:rPr>
          <w:rFonts w:hint="eastAsia" w:ascii="Times New Roman" w:hAnsi="Times New Roman" w:cs="Times New Roman"/>
          <w:color w:val="auto"/>
          <w:lang w:val="en-US" w:eastAsia="zh-CN"/>
        </w:rPr>
        <w:t>占地现状为荒草地，植被覆盖率较低</w:t>
      </w:r>
      <w:r>
        <w:rPr>
          <w:rFonts w:ascii="Times New Roman" w:hAnsi="Times New Roman" w:cs="Times New Roman"/>
          <w:color w:val="000000" w:themeColor="text1"/>
          <w14:textFill>
            <w14:solidFill>
              <w14:schemeClr w14:val="tx1"/>
            </w14:solidFill>
          </w14:textFill>
        </w:rPr>
        <w:t>，永久性占地改变了原有土地使用功能，原有植被大部分不复存在</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严重影响了原有的地表形态、土壤结构和理化性质，在项目结束后也难以恢复原有形态及生产力。施工期地表土层遭到不同程度的破坏，如不及时</w:t>
      </w:r>
      <w:r>
        <w:rPr>
          <w:rFonts w:hint="eastAsia" w:ascii="Times New Roman" w:hAnsi="Times New Roman" w:cs="Times New Roman"/>
          <w:color w:val="000000" w:themeColor="text1"/>
          <w:lang w:val="en-US" w:eastAsia="zh-CN"/>
          <w14:textFill>
            <w14:solidFill>
              <w14:schemeClr w14:val="tx1"/>
            </w14:solidFill>
          </w14:textFill>
        </w:rPr>
        <w:t>治理</w:t>
      </w:r>
      <w:r>
        <w:rPr>
          <w:rFonts w:ascii="Times New Roman" w:hAnsi="Times New Roman" w:cs="Times New Roman"/>
          <w:color w:val="000000" w:themeColor="text1"/>
          <w14:textFill>
            <w14:solidFill>
              <w14:schemeClr w14:val="tx1"/>
            </w14:solidFill>
          </w14:textFill>
        </w:rPr>
        <w:t>，易引起土壤沙化。</w:t>
      </w:r>
    </w:p>
    <w:p w14:paraId="0857179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施工方在施工前先做好了施工组织，做出了详细的规划，划定施工活动范围，包括材料的堆存范围、人员食宿及</w:t>
      </w:r>
      <w:r>
        <w:rPr>
          <w:rFonts w:hint="eastAsia" w:ascii="Times New Roman" w:hAnsi="Times New Roman" w:cs="Times New Roman"/>
          <w:color w:val="000000" w:themeColor="text1"/>
          <w:lang w:eastAsia="zh-CN"/>
          <w14:textFill>
            <w14:solidFill>
              <w14:schemeClr w14:val="tx1"/>
            </w14:solidFill>
          </w14:textFill>
        </w:rPr>
        <w:t>活动范围</w:t>
      </w:r>
      <w:r>
        <w:rPr>
          <w:rFonts w:ascii="Times New Roman" w:hAnsi="Times New Roman" w:cs="Times New Roman"/>
          <w:color w:val="000000" w:themeColor="text1"/>
          <w14:textFill>
            <w14:solidFill>
              <w14:schemeClr w14:val="tx1"/>
            </w14:solidFill>
          </w14:textFill>
        </w:rPr>
        <w:t>，尽量</w:t>
      </w:r>
      <w:r>
        <w:rPr>
          <w:rFonts w:hint="eastAsia" w:ascii="Times New Roman" w:hAnsi="Times New Roman" w:cs="Times New Roman"/>
          <w:color w:val="000000" w:themeColor="text1"/>
          <w:lang w:val="en-US" w:eastAsia="zh-CN"/>
          <w14:textFill>
            <w14:solidFill>
              <w14:schemeClr w14:val="tx1"/>
            </w14:solidFill>
          </w14:textFill>
        </w:rPr>
        <w:t>使临建设施全部规划在永久占地范围内</w:t>
      </w:r>
      <w:r>
        <w:rPr>
          <w:rFonts w:ascii="Times New Roman" w:hAnsi="Times New Roman" w:cs="Times New Roman"/>
          <w:color w:val="000000" w:themeColor="text1"/>
          <w14:textFill>
            <w14:solidFill>
              <w14:schemeClr w14:val="tx1"/>
            </w14:solidFill>
          </w14:textFill>
        </w:rPr>
        <w:t>。在施工过程中需加强管理，严禁不按操作规程野蛮施工。</w:t>
      </w:r>
    </w:p>
    <w:p w14:paraId="5F9955B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（2）施工对植被的影响</w:t>
      </w:r>
    </w:p>
    <w:p w14:paraId="167DE26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项目的建设将不可避免</w:t>
      </w:r>
      <w:r>
        <w:rPr>
          <w:rFonts w:hint="eastAsia" w:cs="Times New Roman"/>
          <w:color w:val="000000" w:themeColor="text1"/>
          <w:lang w:eastAsia="zh-CN"/>
          <w14:textFill>
            <w14:solidFill>
              <w14:schemeClr w14:val="tx1"/>
            </w14:solidFill>
          </w14:textFill>
        </w:rPr>
        <w:t>地</w:t>
      </w:r>
      <w:r>
        <w:rPr>
          <w:rFonts w:ascii="Times New Roman" w:hAnsi="Times New Roman" w:cs="Times New Roman"/>
          <w:color w:val="000000" w:themeColor="text1"/>
          <w14:textFill>
            <w14:solidFill>
              <w14:schemeClr w14:val="tx1"/>
            </w14:solidFill>
          </w14:textFill>
        </w:rPr>
        <w:t>破坏、扰动原地形地貌和植被；建设占地对区域植被的破坏是永久性的，这部分植被将永远失去生产能力，从而降低该区域植被覆盖率和生物多样性，造成植被生物量的减少。</w:t>
      </w:r>
    </w:p>
    <w:p w14:paraId="224A5393">
      <w:pPr>
        <w:ind w:firstLine="480"/>
        <w:rPr>
          <w:rFonts w:ascii="Times New Roman" w:hAnsi="Times New Roman" w:cs="Times New Roman"/>
          <w:color w:val="auto"/>
        </w:rPr>
      </w:pPr>
      <w:r>
        <w:rPr>
          <w:rFonts w:ascii="Times New Roman" w:hAnsi="Times New Roman" w:cs="Times New Roman"/>
          <w:color w:val="000000" w:themeColor="text1"/>
          <w14:textFill>
            <w14:solidFill>
              <w14:schemeClr w14:val="tx1"/>
            </w14:solidFill>
          </w14:textFill>
        </w:rPr>
        <w:t>养殖区施工期将引起原有植被的破坏，受破坏的植被类型为评价区内的常见类型，也无国家重点保护的珍稀濒危植物和野生动物，</w:t>
      </w:r>
      <w:r>
        <w:rPr>
          <w:rFonts w:ascii="Times New Roman" w:hAnsi="Times New Roman" w:cs="Times New Roman"/>
          <w:color w:val="auto"/>
        </w:rPr>
        <w:t>因此相对于整个区域而言，本项目的建设对植物区系、植被类型的影响较小，不会导致区域内现有种类和植被类型的消失灭绝。</w:t>
      </w:r>
    </w:p>
    <w:p w14:paraId="5D29A799">
      <w:pPr>
        <w:ind w:firstLine="480"/>
        <w:rPr>
          <w:rFonts w:ascii="Times New Roman" w:hAnsi="Times New Roman" w:cs="Times New Roman"/>
          <w:color w:val="auto"/>
        </w:rPr>
      </w:pPr>
      <w:r>
        <w:rPr>
          <w:rFonts w:ascii="Times New Roman" w:hAnsi="Times New Roman" w:cs="Times New Roman"/>
          <w:color w:val="auto"/>
        </w:rPr>
        <w:t>（3）对动物的影响分析</w:t>
      </w:r>
    </w:p>
    <w:p w14:paraId="17D1D31F">
      <w:pPr>
        <w:ind w:firstLine="480"/>
        <w:rPr>
          <w:rFonts w:ascii="Times New Roman" w:hAnsi="Times New Roman" w:cs="Times New Roman"/>
          <w:color w:val="auto"/>
        </w:rPr>
      </w:pPr>
      <w:r>
        <w:rPr>
          <w:rFonts w:ascii="Times New Roman" w:hAnsi="Times New Roman" w:cs="Times New Roman"/>
          <w:color w:val="auto"/>
        </w:rPr>
        <w:t>施工期对陆生动物的直接影响是施工人员集中活动和工程施工过</w:t>
      </w:r>
      <w:r>
        <w:rPr>
          <w:rFonts w:hint="eastAsia" w:cs="Times New Roman"/>
          <w:color w:val="auto"/>
          <w:lang w:eastAsia="zh-CN"/>
        </w:rPr>
        <w:t>程中</w:t>
      </w:r>
      <w:r>
        <w:rPr>
          <w:rFonts w:ascii="Times New Roman" w:hAnsi="Times New Roman" w:cs="Times New Roman"/>
          <w:color w:val="auto"/>
        </w:rPr>
        <w:t>对动物的惊扰；间接影响主要是项目建设破坏植被和土壤，造成部分陆生动物栖息地的丧失。施工区的主要动物是小型常见鸟类和鼠类，且数量不多，具有较强的迁移能力，因此，施工期对这些动物的生存影响较小。</w:t>
      </w:r>
    </w:p>
    <w:p w14:paraId="229781AF">
      <w:pPr>
        <w:ind w:firstLine="480"/>
        <w:rPr>
          <w:rFonts w:ascii="Times New Roman" w:hAnsi="Times New Roman" w:cs="Times New Roman"/>
          <w:color w:val="auto"/>
        </w:rPr>
      </w:pPr>
      <w:r>
        <w:rPr>
          <w:rFonts w:ascii="Times New Roman" w:hAnsi="Times New Roman" w:cs="Times New Roman"/>
          <w:color w:val="auto"/>
        </w:rPr>
        <w:t>（4）施工期水土流失影响</w:t>
      </w:r>
    </w:p>
    <w:p w14:paraId="50EF8D8D">
      <w:pPr>
        <w:ind w:firstLine="480"/>
        <w:rPr>
          <w:rFonts w:ascii="Times New Roman" w:hAnsi="Times New Roman" w:cs="Times New Roman"/>
          <w:color w:val="auto"/>
        </w:rPr>
      </w:pPr>
      <w:r>
        <w:rPr>
          <w:rFonts w:ascii="Times New Roman" w:hAnsi="Times New Roman" w:cs="Times New Roman"/>
          <w:color w:val="auto"/>
        </w:rPr>
        <w:t>随着施工场地开挖、填方、平整，地表植被铲除，土壤松动，致使地表大面积裸露，施工过程中挖方及填方过程中形成的土堆如果不能及时清理，遇到较大降雨冲刷或大风吹蚀，易发生水土流失。施工过程中造成的植被破坏在一段时间内难以恢复，使项目选址区内的土壤失去了天然的保护伞，增大了水土流失的可能性。</w:t>
      </w:r>
    </w:p>
    <w:p w14:paraId="7DBA2493">
      <w:pPr>
        <w:ind w:firstLine="480"/>
        <w:rPr>
          <w:rFonts w:ascii="Times New Roman" w:hAnsi="Times New Roman" w:cs="Times New Roman"/>
          <w:color w:val="auto"/>
        </w:rPr>
      </w:pPr>
      <w:r>
        <w:rPr>
          <w:rFonts w:ascii="Times New Roman" w:hAnsi="Times New Roman" w:cs="Times New Roman"/>
          <w:color w:val="auto"/>
        </w:rPr>
        <w:t>1）工程扰动原地貌、损坏植被面积</w:t>
      </w:r>
    </w:p>
    <w:p w14:paraId="0202F96C">
      <w:pPr>
        <w:ind w:firstLine="480"/>
        <w:rPr>
          <w:rFonts w:ascii="Times New Roman" w:hAnsi="Times New Roman" w:cs="Times New Roman"/>
          <w:color w:val="auto"/>
        </w:rPr>
      </w:pPr>
      <w:r>
        <w:rPr>
          <w:rFonts w:ascii="Times New Roman" w:hAnsi="Times New Roman" w:cs="Times New Roman"/>
          <w:color w:val="auto"/>
        </w:rPr>
        <w:t>项目区占地类型主</w:t>
      </w:r>
      <w:r>
        <w:rPr>
          <w:rFonts w:hint="eastAsia" w:cs="Times New Roman"/>
          <w:color w:val="auto"/>
          <w:lang w:eastAsia="zh-CN"/>
        </w:rPr>
        <w:t>要是</w:t>
      </w:r>
      <w:r>
        <w:rPr>
          <w:rFonts w:ascii="Times New Roman" w:hAnsi="Times New Roman" w:cs="Times New Roman"/>
          <w:color w:val="auto"/>
        </w:rPr>
        <w:t>设施农用地。工程建设中因各类挖掘、占压、堆土用地将不可避免地损坏原地貌、植被等，主要包括圈舍、</w:t>
      </w:r>
      <w:r>
        <w:rPr>
          <w:rFonts w:hint="eastAsia" w:ascii="Times New Roman" w:hAnsi="Times New Roman" w:cs="Times New Roman"/>
          <w:color w:val="auto"/>
          <w:lang w:val="en-US" w:eastAsia="zh-CN"/>
        </w:rPr>
        <w:t>蛋库</w:t>
      </w:r>
      <w:r>
        <w:rPr>
          <w:rFonts w:ascii="Times New Roman" w:hAnsi="Times New Roman" w:cs="Times New Roman"/>
          <w:color w:val="auto"/>
        </w:rPr>
        <w:t>、厂内道路等修建过程中的占压扰动等，扰动类型主要为挖填、占压。</w:t>
      </w:r>
    </w:p>
    <w:p w14:paraId="75EA9632">
      <w:pPr>
        <w:ind w:firstLine="480"/>
        <w:rPr>
          <w:rFonts w:ascii="Times New Roman" w:hAnsi="Times New Roman" w:cs="Times New Roman"/>
          <w:color w:val="auto"/>
        </w:rPr>
      </w:pPr>
      <w:r>
        <w:rPr>
          <w:rFonts w:ascii="Times New Roman" w:hAnsi="Times New Roman" w:cs="Times New Roman"/>
          <w:color w:val="auto"/>
        </w:rPr>
        <w:t>2）可能造成的水土流失危害</w:t>
      </w:r>
    </w:p>
    <w:p w14:paraId="17D1D96D">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对土地资源的破坏和影响。工程建设开挖、扰动地表植被，破坏原地貌形态、土壤结构和地表植被，使原本就少的植被附着层被严重破坏或不复存在，地表土壤抗蚀能力将会急剧下降，单位面积的土壤侵蚀量直线上升。</w:t>
      </w:r>
    </w:p>
    <w:p w14:paraId="06E2C5AA">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项目施工期临时堆土的倒运和堆置，将会对原有的地表和植被产生破坏，加剧当地水土流失和环境效益衰减的规模。</w:t>
      </w:r>
    </w:p>
    <w:p w14:paraId="1332D059">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该工程扰动和破坏原地表状况、植被，降低了原地貌的水土保持功能，削弱了其抗蚀能力。若不及时恢复，必将为水土流失提供新的物质来源。</w:t>
      </w:r>
    </w:p>
    <w:p w14:paraId="7FD9AD73">
      <w:pPr>
        <w:ind w:firstLine="480"/>
        <w:rPr>
          <w:rFonts w:ascii="Times New Roman" w:hAnsi="Times New Roman" w:cs="Times New Roman"/>
          <w:color w:val="auto"/>
        </w:rPr>
      </w:pPr>
      <w:r>
        <w:rPr>
          <w:rFonts w:ascii="Times New Roman" w:hAnsi="Times New Roman" w:cs="Times New Roman"/>
          <w:color w:val="auto"/>
        </w:rPr>
        <w:t>由此可见，本工程在建设过程中必须采取一定的水土流失防治措施，否则项目的建设不仅造成严重的水土流失，而且将会对主体工程的安全运行产生一定的负面影响。建设单位必须按照要求编制水土保持实施方案，严格执行方案中提出的水土保持措施，将工程建设造成的水土流失降至最低，以利于施工结束后区域生态环境的恢复与保护。</w:t>
      </w:r>
    </w:p>
    <w:p w14:paraId="7AE51059">
      <w:pPr>
        <w:pStyle w:val="4"/>
        <w:numPr>
          <w:ilvl w:val="1"/>
          <w:numId w:val="1"/>
        </w:numPr>
        <w:ind w:left="120"/>
        <w:rPr>
          <w:rFonts w:ascii="Times New Roman" w:hAnsi="Times New Roman" w:cs="Times New Roman"/>
          <w:color w:val="auto"/>
          <w:lang w:val="en-GB"/>
        </w:rPr>
      </w:pPr>
      <w:bookmarkStart w:id="179" w:name="_Toc2504"/>
      <w:r>
        <w:rPr>
          <w:rFonts w:ascii="Times New Roman" w:hAnsi="Times New Roman" w:cs="Times New Roman"/>
          <w:color w:val="auto"/>
          <w:lang w:val="en-GB"/>
        </w:rPr>
        <w:t>运营期环境影响分析</w:t>
      </w:r>
      <w:bookmarkEnd w:id="179"/>
    </w:p>
    <w:p w14:paraId="790928F3">
      <w:pPr>
        <w:pStyle w:val="5"/>
        <w:numPr>
          <w:ilvl w:val="2"/>
          <w:numId w:val="1"/>
        </w:numPr>
        <w:ind w:left="120"/>
        <w:rPr>
          <w:rFonts w:ascii="Times New Roman" w:hAnsi="Times New Roman" w:cs="Times New Roman"/>
          <w:color w:val="auto"/>
        </w:rPr>
      </w:pPr>
      <w:bookmarkStart w:id="180" w:name="_Toc1117"/>
      <w:r>
        <w:rPr>
          <w:rFonts w:ascii="Times New Roman" w:hAnsi="Times New Roman" w:cs="Times New Roman"/>
          <w:color w:val="auto"/>
        </w:rPr>
        <w:t>大气环境影响预测与评价</w:t>
      </w:r>
      <w:bookmarkEnd w:id="180"/>
    </w:p>
    <w:p w14:paraId="2EF9427B">
      <w:pPr>
        <w:pStyle w:val="6"/>
        <w:ind w:left="240"/>
        <w:rPr>
          <w:rFonts w:ascii="Times New Roman" w:hAnsi="Times New Roman" w:cs="Times New Roman"/>
          <w:color w:val="auto"/>
        </w:rPr>
      </w:pPr>
      <w:bookmarkStart w:id="181" w:name="5.2.1.1源强分析"/>
      <w:bookmarkEnd w:id="181"/>
      <w:r>
        <w:rPr>
          <w:rFonts w:hint="eastAsia" w:cs="Times New Roman"/>
          <w:color w:val="auto"/>
          <w:lang w:val="en-US" w:eastAsia="zh-CN"/>
        </w:rPr>
        <w:t>5</w:t>
      </w:r>
      <w:r>
        <w:rPr>
          <w:rFonts w:ascii="Times New Roman" w:hAnsi="Times New Roman" w:cs="Times New Roman"/>
          <w:color w:val="auto"/>
        </w:rPr>
        <w:t>.2.1.1源强分析</w:t>
      </w:r>
    </w:p>
    <w:p w14:paraId="3178943F">
      <w:pPr>
        <w:ind w:left="480" w:leftChars="200" w:firstLine="0" w:firstLineChars="0"/>
        <w:rPr>
          <w:rFonts w:ascii="Times New Roman" w:hAnsi="Times New Roman" w:cs="Times New Roman"/>
          <w:color w:val="auto"/>
        </w:rPr>
      </w:pPr>
      <w:r>
        <w:rPr>
          <w:rFonts w:ascii="Times New Roman" w:hAnsi="Times New Roman" w:cs="Times New Roman"/>
          <w:color w:val="auto"/>
        </w:rPr>
        <w:t>（1）预测因子</w:t>
      </w:r>
    </w:p>
    <w:p w14:paraId="1B01E757">
      <w:pPr>
        <w:ind w:firstLine="480"/>
        <w:rPr>
          <w:rFonts w:hint="eastAsia" w:ascii="Times New Roman" w:hAnsi="Times New Roman" w:cs="Times New Roman"/>
          <w:color w:val="auto"/>
          <w:lang w:val="en-US" w:eastAsia="zh-CN"/>
        </w:rPr>
      </w:pPr>
      <w:r>
        <w:rPr>
          <w:rFonts w:ascii="Times New Roman" w:hAnsi="Times New Roman" w:cs="Times New Roman"/>
          <w:color w:val="auto"/>
        </w:rPr>
        <w:t>根据污染源分析，本项目大气污染源主要为</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恶臭无组织排放</w:t>
      </w:r>
      <w:r>
        <w:rPr>
          <w:rFonts w:hint="eastAsia" w:cs="Times New Roman"/>
          <w:color w:val="000000" w:themeColor="text1"/>
          <w:lang w:val="en-US" w:eastAsia="zh-CN"/>
          <w14:textFill>
            <w14:solidFill>
              <w14:schemeClr w14:val="tx1"/>
            </w14:solidFill>
          </w14:textFill>
        </w:rPr>
        <w:t>和供热锅炉房的有组织排放，因本项目主要在冬季供热，因此本次环评对锅炉烟气污染预测按照冬季供热季开展</w:t>
      </w:r>
      <w:r>
        <w:rPr>
          <w:rFonts w:ascii="Times New Roman" w:hAnsi="Times New Roman" w:cs="Times New Roman"/>
          <w:color w:val="auto"/>
        </w:rPr>
        <w:t>。选取NH</w:t>
      </w:r>
      <w:r>
        <w:rPr>
          <w:rFonts w:ascii="Times New Roman" w:hAnsi="Times New Roman" w:cs="Times New Roman"/>
          <w:color w:val="auto"/>
          <w:vertAlign w:val="subscript"/>
        </w:rPr>
        <w:t>3</w:t>
      </w:r>
      <w:r>
        <w:rPr>
          <w:rFonts w:ascii="Times New Roman" w:hAnsi="Times New Roman" w:cs="Times New Roman"/>
          <w:color w:val="auto"/>
        </w:rPr>
        <w:t>、H</w:t>
      </w:r>
      <w:r>
        <w:rPr>
          <w:rFonts w:ascii="Times New Roman" w:hAnsi="Times New Roman" w:cs="Times New Roman"/>
          <w:color w:val="auto"/>
          <w:vertAlign w:val="subscript"/>
        </w:rPr>
        <w:t>2</w:t>
      </w:r>
      <w:r>
        <w:rPr>
          <w:rFonts w:ascii="Times New Roman" w:hAnsi="Times New Roman" w:cs="Times New Roman"/>
          <w:color w:val="auto"/>
        </w:rPr>
        <w:t>S</w:t>
      </w:r>
      <w:r>
        <w:rPr>
          <w:rFonts w:hint="eastAsia" w:cs="Times New Roman"/>
          <w:color w:val="auto"/>
          <w:lang w:eastAsia="zh-CN"/>
        </w:rPr>
        <w:t>、</w:t>
      </w:r>
      <w:r>
        <w:rPr>
          <w:rFonts w:hint="eastAsia" w:cs="Times New Roman"/>
          <w:color w:val="auto"/>
          <w:lang w:val="en-US" w:eastAsia="zh-CN"/>
        </w:rPr>
        <w:t>颗粒物、SO</w:t>
      </w:r>
      <w:r>
        <w:rPr>
          <w:rFonts w:hint="eastAsia" w:cs="Times New Roman"/>
          <w:color w:val="auto"/>
          <w:vertAlign w:val="subscript"/>
          <w:lang w:val="en-US" w:eastAsia="zh-CN"/>
        </w:rPr>
        <w:t>2</w:t>
      </w:r>
      <w:r>
        <w:rPr>
          <w:rFonts w:hint="eastAsia" w:cs="Times New Roman"/>
          <w:color w:val="auto"/>
          <w:lang w:val="en-US" w:eastAsia="zh-CN"/>
        </w:rPr>
        <w:t>、NO</w:t>
      </w:r>
      <w:r>
        <w:rPr>
          <w:rFonts w:hint="eastAsia" w:cs="Times New Roman"/>
          <w:color w:val="auto"/>
          <w:vertAlign w:val="subscript"/>
          <w:lang w:val="en-US" w:eastAsia="zh-CN"/>
        </w:rPr>
        <w:t>2</w:t>
      </w:r>
      <w:r>
        <w:rPr>
          <w:rFonts w:ascii="Times New Roman" w:hAnsi="Times New Roman" w:cs="Times New Roman"/>
          <w:color w:val="auto"/>
        </w:rPr>
        <w:t>作为环境空气影响预测和评价因子。</w:t>
      </w:r>
      <w:r>
        <w:rPr>
          <w:rFonts w:hint="eastAsia" w:ascii="Times New Roman" w:hAnsi="Times New Roman" w:cs="Times New Roman"/>
          <w:color w:val="auto"/>
          <w:lang w:val="en-US" w:eastAsia="zh-CN"/>
        </w:rPr>
        <w:t>根据第二章源强核算，本项目鸭舍恶臭源强详见下表。</w:t>
      </w:r>
    </w:p>
    <w:p w14:paraId="5CDE6B24">
      <w:pPr>
        <w:pStyle w:val="61"/>
        <w:spacing w:before="32" w:after="32" w:line="240" w:lineRule="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5</w:t>
      </w:r>
      <w:r>
        <w:rPr>
          <w:rFonts w:hint="eastAsia" w:ascii="Times New Roman" w:hAnsi="Times New Roman" w:eastAsia="宋体" w:cs="Times New Roman"/>
          <w:b/>
          <w:bCs/>
          <w:color w:val="000000" w:themeColor="text1"/>
          <w:lang w:val="en-US" w:eastAsia="zh-CN"/>
          <w14:textFill>
            <w14:solidFill>
              <w14:schemeClr w14:val="tx1"/>
            </w14:solidFill>
          </w14:textFill>
        </w:rPr>
        <w:t>.2-1   本项目鸭舍恶臭源强一览表</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3"/>
        <w:gridCol w:w="1050"/>
        <w:gridCol w:w="1005"/>
        <w:gridCol w:w="1275"/>
        <w:gridCol w:w="1125"/>
        <w:gridCol w:w="1035"/>
        <w:gridCol w:w="1260"/>
        <w:gridCol w:w="1236"/>
      </w:tblGrid>
      <w:tr w14:paraId="4519B3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tcBorders>
              <w:tl2br w:val="nil"/>
              <w:tr2bl w:val="nil"/>
            </w:tcBorders>
            <w:vAlign w:val="center"/>
          </w:tcPr>
          <w:p w14:paraId="5C13371C">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污染源</w:t>
            </w:r>
          </w:p>
        </w:tc>
        <w:tc>
          <w:tcPr>
            <w:tcW w:w="593" w:type="pct"/>
            <w:tcBorders>
              <w:tl2br w:val="nil"/>
              <w:tr2bl w:val="nil"/>
            </w:tcBorders>
            <w:vAlign w:val="center"/>
          </w:tcPr>
          <w:p w14:paraId="6C1DEA83">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污染物</w:t>
            </w:r>
          </w:p>
        </w:tc>
        <w:tc>
          <w:tcPr>
            <w:tcW w:w="568" w:type="pct"/>
            <w:tcBorders>
              <w:tl2br w:val="nil"/>
              <w:tr2bl w:val="nil"/>
            </w:tcBorders>
            <w:vAlign w:val="center"/>
          </w:tcPr>
          <w:p w14:paraId="5C3179F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产生量（</w:t>
            </w:r>
            <w:r>
              <w:rPr>
                <w:rFonts w:ascii="Times New Roman" w:hAnsi="Times New Roman" w:cs="Times New Roman"/>
                <w:color w:val="000000" w:themeColor="text1"/>
                <w14:textFill>
                  <w14:solidFill>
                    <w14:schemeClr w14:val="tx1"/>
                  </w14:solidFill>
                </w14:textFill>
              </w:rPr>
              <w:t>t/a</w:t>
            </w:r>
            <w:r>
              <w:rPr>
                <w:rFonts w:hint="eastAsia" w:ascii="Times New Roman" w:hAnsi="Times New Roman"/>
                <w:color w:val="000000" w:themeColor="text1"/>
                <w:szCs w:val="21"/>
                <w:lang w:val="en-US" w:eastAsia="zh-CN"/>
                <w14:textFill>
                  <w14:solidFill>
                    <w14:schemeClr w14:val="tx1"/>
                  </w14:solidFill>
                </w14:textFill>
              </w:rPr>
              <w:t>）</w:t>
            </w:r>
          </w:p>
        </w:tc>
        <w:tc>
          <w:tcPr>
            <w:tcW w:w="721" w:type="pct"/>
            <w:tcBorders>
              <w:tl2br w:val="nil"/>
              <w:tr2bl w:val="nil"/>
            </w:tcBorders>
            <w:vAlign w:val="center"/>
          </w:tcPr>
          <w:p w14:paraId="2890F8A0">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产生速率（</w:t>
            </w:r>
            <w:r>
              <w:rPr>
                <w:rFonts w:ascii="Times New Roman" w:hAnsi="Times New Roman" w:cs="Times New Roman"/>
                <w:color w:val="000000" w:themeColor="text1"/>
                <w14:textFill>
                  <w14:solidFill>
                    <w14:schemeClr w14:val="tx1"/>
                  </w14:solidFill>
                </w14:textFill>
              </w:rPr>
              <w:t>kg/h</w:t>
            </w:r>
            <w:r>
              <w:rPr>
                <w:rFonts w:hint="eastAsia" w:ascii="Times New Roman" w:hAnsi="Times New Roman"/>
                <w:color w:val="000000" w:themeColor="text1"/>
                <w:szCs w:val="21"/>
                <w:lang w:val="en-US" w:eastAsia="zh-CN"/>
                <w14:textFill>
                  <w14:solidFill>
                    <w14:schemeClr w14:val="tx1"/>
                  </w14:solidFill>
                </w14:textFill>
              </w:rPr>
              <w:t>）</w:t>
            </w:r>
          </w:p>
        </w:tc>
        <w:tc>
          <w:tcPr>
            <w:tcW w:w="636" w:type="pct"/>
            <w:tcBorders>
              <w:tl2br w:val="nil"/>
              <w:tr2bl w:val="nil"/>
            </w:tcBorders>
            <w:vAlign w:val="center"/>
          </w:tcPr>
          <w:p w14:paraId="7B0CC8FA">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去除效率</w:t>
            </w:r>
          </w:p>
        </w:tc>
        <w:tc>
          <w:tcPr>
            <w:tcW w:w="585" w:type="pct"/>
            <w:tcBorders>
              <w:tl2br w:val="nil"/>
              <w:tr2bl w:val="nil"/>
            </w:tcBorders>
            <w:vAlign w:val="center"/>
          </w:tcPr>
          <w:p w14:paraId="1885C433">
            <w:pPr>
              <w:pStyle w:val="56"/>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排放量</w:t>
            </w:r>
            <w:r>
              <w:rPr>
                <w:rFonts w:hint="eastAsia" w:ascii="Times New Roman" w:hAnsi="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t/a</w:t>
            </w:r>
            <w:r>
              <w:rPr>
                <w:rFonts w:hint="eastAsia" w:ascii="Times New Roman" w:hAnsi="Times New Roman"/>
                <w:color w:val="000000" w:themeColor="text1"/>
                <w:szCs w:val="21"/>
                <w:lang w:val="en-US" w:eastAsia="zh-CN"/>
                <w14:textFill>
                  <w14:solidFill>
                    <w14:schemeClr w14:val="tx1"/>
                  </w14:solidFill>
                </w14:textFill>
              </w:rPr>
              <w:t>）</w:t>
            </w:r>
          </w:p>
        </w:tc>
        <w:tc>
          <w:tcPr>
            <w:tcW w:w="712" w:type="pct"/>
            <w:tcBorders>
              <w:tl2br w:val="nil"/>
              <w:tr2bl w:val="nil"/>
            </w:tcBorders>
            <w:vAlign w:val="center"/>
          </w:tcPr>
          <w:p w14:paraId="589038BE">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排放速率</w:t>
            </w:r>
            <w:r>
              <w:rPr>
                <w:rFonts w:hint="eastAsia" w:ascii="Times New Roman" w:hAnsi="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kg/h</w:t>
            </w:r>
            <w:r>
              <w:rPr>
                <w:rFonts w:hint="eastAsia" w:ascii="Times New Roman" w:hAnsi="Times New Roman"/>
                <w:color w:val="000000" w:themeColor="text1"/>
                <w:szCs w:val="21"/>
                <w:lang w:val="en-US" w:eastAsia="zh-CN"/>
                <w14:textFill>
                  <w14:solidFill>
                    <w14:schemeClr w14:val="tx1"/>
                  </w14:solidFill>
                </w14:textFill>
              </w:rPr>
              <w:t>）</w:t>
            </w:r>
          </w:p>
        </w:tc>
        <w:tc>
          <w:tcPr>
            <w:tcW w:w="699" w:type="pct"/>
            <w:tcBorders>
              <w:tl2br w:val="nil"/>
              <w:tr2bl w:val="nil"/>
            </w:tcBorders>
            <w:vAlign w:val="center"/>
          </w:tcPr>
          <w:p w14:paraId="0F920E8A">
            <w:pPr>
              <w:pStyle w:val="56"/>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排放形式</w:t>
            </w:r>
          </w:p>
        </w:tc>
      </w:tr>
      <w:tr w14:paraId="075DB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11C21AD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鸭舍</w:t>
            </w:r>
          </w:p>
        </w:tc>
        <w:tc>
          <w:tcPr>
            <w:tcW w:w="593" w:type="pct"/>
            <w:tcBorders>
              <w:tl2br w:val="nil"/>
              <w:tr2bl w:val="nil"/>
            </w:tcBorders>
            <w:vAlign w:val="center"/>
          </w:tcPr>
          <w:p w14:paraId="3035999E">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p>
        </w:tc>
        <w:tc>
          <w:tcPr>
            <w:tcW w:w="1005" w:type="dxa"/>
            <w:tcBorders>
              <w:tl2br w:val="nil"/>
              <w:tr2bl w:val="nil"/>
            </w:tcBorders>
            <w:vAlign w:val="center"/>
          </w:tcPr>
          <w:p w14:paraId="03BD05D2">
            <w:pPr>
              <w:pStyle w:val="56"/>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1.97</w:t>
            </w:r>
          </w:p>
        </w:tc>
        <w:tc>
          <w:tcPr>
            <w:tcW w:w="1275" w:type="dxa"/>
            <w:tcBorders>
              <w:tl2br w:val="nil"/>
              <w:tr2bl w:val="nil"/>
            </w:tcBorders>
            <w:vAlign w:val="center"/>
          </w:tcPr>
          <w:p w14:paraId="47435B96">
            <w:pPr>
              <w:pStyle w:val="56"/>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0.2</w:t>
            </w:r>
            <w:r>
              <w:rPr>
                <w:rFonts w:hint="eastAsia"/>
                <w:color w:val="000000" w:themeColor="text1"/>
                <w:szCs w:val="21"/>
                <w:lang w:val="en-US" w:eastAsia="zh-CN"/>
                <w14:textFill>
                  <w14:solidFill>
                    <w14:schemeClr w14:val="tx1"/>
                  </w14:solidFill>
                </w14:textFill>
              </w:rPr>
              <w:t>25</w:t>
            </w:r>
            <w:r>
              <w:rPr>
                <w:rFonts w:hint="default" w:ascii="Times New Roman" w:hAnsi="Times New Roman"/>
                <w:color w:val="000000" w:themeColor="text1"/>
                <w:szCs w:val="21"/>
                <w:lang w:val="en-US" w:eastAsia="zh-CN"/>
                <w14:textFill>
                  <w14:solidFill>
                    <w14:schemeClr w14:val="tx1"/>
                  </w14:solidFill>
                </w14:textFill>
              </w:rPr>
              <w:t xml:space="preserve"> </w:t>
            </w:r>
          </w:p>
        </w:tc>
        <w:tc>
          <w:tcPr>
            <w:tcW w:w="1125" w:type="dxa"/>
            <w:vMerge w:val="restart"/>
            <w:tcBorders>
              <w:tl2br w:val="nil"/>
              <w:tr2bl w:val="nil"/>
            </w:tcBorders>
            <w:vAlign w:val="center"/>
          </w:tcPr>
          <w:p w14:paraId="65F48DDE">
            <w:pPr>
              <w:pStyle w:val="56"/>
              <w:ind w:firstLine="0" w:firstLineChars="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w:t>
            </w:r>
          </w:p>
        </w:tc>
        <w:tc>
          <w:tcPr>
            <w:tcW w:w="1035" w:type="dxa"/>
            <w:tcBorders>
              <w:tl2br w:val="nil"/>
              <w:tr2bl w:val="nil"/>
            </w:tcBorders>
            <w:vAlign w:val="center"/>
          </w:tcPr>
          <w:p w14:paraId="26E123BD">
            <w:pPr>
              <w:pStyle w:val="56"/>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394</w:t>
            </w:r>
          </w:p>
        </w:tc>
        <w:tc>
          <w:tcPr>
            <w:tcW w:w="1260" w:type="dxa"/>
            <w:tcBorders>
              <w:tl2br w:val="nil"/>
              <w:tr2bl w:val="nil"/>
            </w:tcBorders>
            <w:vAlign w:val="center"/>
          </w:tcPr>
          <w:p w14:paraId="0A6743AA">
            <w:pPr>
              <w:pStyle w:val="56"/>
              <w:ind w:firstLine="0" w:firstLineChars="0"/>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0.0</w:t>
            </w:r>
            <w:r>
              <w:rPr>
                <w:rFonts w:hint="eastAsia"/>
                <w:color w:val="000000" w:themeColor="text1"/>
                <w:szCs w:val="21"/>
                <w:lang w:val="en-US" w:eastAsia="zh-CN"/>
                <w14:textFill>
                  <w14:solidFill>
                    <w14:schemeClr w14:val="tx1"/>
                  </w14:solidFill>
                </w14:textFill>
              </w:rPr>
              <w:t>45</w:t>
            </w:r>
          </w:p>
        </w:tc>
        <w:tc>
          <w:tcPr>
            <w:tcW w:w="699" w:type="pct"/>
            <w:vMerge w:val="restart"/>
            <w:tcBorders>
              <w:tl2br w:val="nil"/>
              <w:tr2bl w:val="nil"/>
            </w:tcBorders>
            <w:vAlign w:val="center"/>
          </w:tcPr>
          <w:p w14:paraId="58015619">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无组织排放</w:t>
            </w:r>
          </w:p>
        </w:tc>
      </w:tr>
      <w:tr w14:paraId="6A1384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0C1DD0DB">
            <w:pPr>
              <w:pStyle w:val="56"/>
              <w:rPr>
                <w:rFonts w:hint="eastAsia" w:ascii="Times New Roman" w:hAnsi="Times New Roman"/>
                <w:color w:val="000000" w:themeColor="text1"/>
                <w:szCs w:val="21"/>
                <w:lang w:val="en-US" w:eastAsia="zh-CN"/>
                <w14:textFill>
                  <w14:solidFill>
                    <w14:schemeClr w14:val="tx1"/>
                  </w14:solidFill>
                </w14:textFill>
              </w:rPr>
            </w:pPr>
          </w:p>
        </w:tc>
        <w:tc>
          <w:tcPr>
            <w:tcW w:w="593" w:type="pct"/>
            <w:tcBorders>
              <w:tl2br w:val="nil"/>
              <w:tr2bl w:val="nil"/>
            </w:tcBorders>
            <w:vAlign w:val="center"/>
          </w:tcPr>
          <w:p w14:paraId="014A49CA">
            <w:pPr>
              <w:pStyle w:val="56"/>
              <w:rPr>
                <w:rFonts w:hint="default" w:ascii="Times New Roman" w:hAnsi="Times New Roman"/>
                <w:color w:val="000000" w:themeColor="text1"/>
                <w:szCs w:val="21"/>
                <w:vertAlign w:val="baseline"/>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p>
        </w:tc>
        <w:tc>
          <w:tcPr>
            <w:tcW w:w="1005" w:type="dxa"/>
            <w:tcBorders>
              <w:tl2br w:val="nil"/>
              <w:tr2bl w:val="nil"/>
            </w:tcBorders>
            <w:vAlign w:val="center"/>
          </w:tcPr>
          <w:p w14:paraId="671EA4AB">
            <w:pPr>
              <w:pStyle w:val="56"/>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c>
          <w:tcPr>
            <w:tcW w:w="1275" w:type="dxa"/>
            <w:tcBorders>
              <w:tl2br w:val="nil"/>
              <w:tr2bl w:val="nil"/>
            </w:tcBorders>
            <w:vAlign w:val="center"/>
          </w:tcPr>
          <w:p w14:paraId="15E65A24">
            <w:pPr>
              <w:pStyle w:val="56"/>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0.02</w:t>
            </w:r>
            <w:r>
              <w:rPr>
                <w:rFonts w:hint="eastAsia"/>
                <w:color w:val="000000" w:themeColor="text1"/>
                <w:szCs w:val="21"/>
                <w:lang w:val="en-US" w:eastAsia="zh-CN"/>
                <w14:textFill>
                  <w14:solidFill>
                    <w14:schemeClr w14:val="tx1"/>
                  </w14:solidFill>
                </w14:textFill>
              </w:rPr>
              <w:t>3</w:t>
            </w:r>
            <w:r>
              <w:rPr>
                <w:rFonts w:hint="default" w:ascii="Times New Roman" w:hAnsi="Times New Roman"/>
                <w:color w:val="000000" w:themeColor="text1"/>
                <w:szCs w:val="21"/>
                <w:lang w:val="en-US" w:eastAsia="zh-CN"/>
                <w14:textFill>
                  <w14:solidFill>
                    <w14:schemeClr w14:val="tx1"/>
                  </w14:solidFill>
                </w14:textFill>
              </w:rPr>
              <w:t xml:space="preserve"> </w:t>
            </w:r>
          </w:p>
        </w:tc>
        <w:tc>
          <w:tcPr>
            <w:tcW w:w="1125" w:type="dxa"/>
            <w:vMerge w:val="continue"/>
            <w:tcBorders>
              <w:bottom w:val="single" w:color="auto" w:sz="4" w:space="0"/>
              <w:tl2br w:val="nil"/>
              <w:tr2bl w:val="nil"/>
            </w:tcBorders>
            <w:vAlign w:val="center"/>
          </w:tcPr>
          <w:p w14:paraId="146B9FE2">
            <w:pPr>
              <w:pStyle w:val="56"/>
              <w:ind w:firstLine="0" w:firstLineChars="0"/>
              <w:rPr>
                <w:rFonts w:hint="default" w:ascii="Times New Roman" w:hAnsi="Times New Roman"/>
                <w:color w:val="000000" w:themeColor="text1"/>
                <w:szCs w:val="21"/>
                <w:lang w:val="en-US" w:eastAsia="zh-CN"/>
                <w14:textFill>
                  <w14:solidFill>
                    <w14:schemeClr w14:val="tx1"/>
                  </w14:solidFill>
                </w14:textFill>
              </w:rPr>
            </w:pPr>
          </w:p>
        </w:tc>
        <w:tc>
          <w:tcPr>
            <w:tcW w:w="1035" w:type="dxa"/>
            <w:tcBorders>
              <w:tl2br w:val="nil"/>
              <w:tr2bl w:val="nil"/>
            </w:tcBorders>
            <w:vAlign w:val="center"/>
          </w:tcPr>
          <w:p w14:paraId="794FE42D">
            <w:pPr>
              <w:pStyle w:val="56"/>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04</w:t>
            </w:r>
          </w:p>
        </w:tc>
        <w:tc>
          <w:tcPr>
            <w:tcW w:w="1260" w:type="dxa"/>
            <w:tcBorders>
              <w:bottom w:val="single" w:color="auto" w:sz="4" w:space="0"/>
              <w:tl2br w:val="nil"/>
              <w:tr2bl w:val="nil"/>
            </w:tcBorders>
            <w:vAlign w:val="center"/>
          </w:tcPr>
          <w:p w14:paraId="07CAD545">
            <w:pPr>
              <w:pStyle w:val="56"/>
              <w:ind w:firstLine="0" w:firstLineChars="0"/>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0.00</w:t>
            </w:r>
            <w:r>
              <w:rPr>
                <w:rFonts w:hint="eastAsia"/>
                <w:color w:val="000000" w:themeColor="text1"/>
                <w:szCs w:val="21"/>
                <w:lang w:val="en-US" w:eastAsia="zh-CN"/>
                <w14:textFill>
                  <w14:solidFill>
                    <w14:schemeClr w14:val="tx1"/>
                  </w14:solidFill>
                </w14:textFill>
              </w:rPr>
              <w:t>45</w:t>
            </w:r>
          </w:p>
        </w:tc>
        <w:tc>
          <w:tcPr>
            <w:tcW w:w="699" w:type="pct"/>
            <w:vMerge w:val="continue"/>
            <w:tcBorders>
              <w:bottom w:val="single" w:color="auto" w:sz="4" w:space="0"/>
              <w:tl2br w:val="nil"/>
              <w:tr2bl w:val="nil"/>
            </w:tcBorders>
            <w:vAlign w:val="center"/>
          </w:tcPr>
          <w:p w14:paraId="792986E1">
            <w:pPr>
              <w:pStyle w:val="56"/>
              <w:rPr>
                <w:rFonts w:hint="eastAsia" w:ascii="Times New Roman" w:hAnsi="Times New Roman"/>
                <w:color w:val="000000" w:themeColor="text1"/>
                <w:szCs w:val="21"/>
                <w:lang w:val="en-US" w:eastAsia="zh-CN"/>
                <w14:textFill>
                  <w14:solidFill>
                    <w14:schemeClr w14:val="tx1"/>
                  </w14:solidFill>
                </w14:textFill>
              </w:rPr>
            </w:pPr>
          </w:p>
        </w:tc>
      </w:tr>
      <w:tr w14:paraId="092F8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590D22F3">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锅炉</w:t>
            </w:r>
          </w:p>
        </w:tc>
        <w:tc>
          <w:tcPr>
            <w:tcW w:w="593" w:type="pct"/>
            <w:tcBorders>
              <w:tl2br w:val="nil"/>
              <w:tr2bl w:val="nil"/>
            </w:tcBorders>
            <w:vAlign w:val="center"/>
          </w:tcPr>
          <w:p w14:paraId="2A91391E">
            <w:pPr>
              <w:pStyle w:val="56"/>
              <w:ind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1005" w:type="dxa"/>
            <w:tcBorders>
              <w:tl2br w:val="nil"/>
              <w:tr2bl w:val="nil"/>
            </w:tcBorders>
            <w:vAlign w:val="center"/>
          </w:tcPr>
          <w:p w14:paraId="3759B201">
            <w:pPr>
              <w:pStyle w:val="56"/>
              <w:ind w:firstLine="0" w:firstLineChars="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1275" w:type="dxa"/>
            <w:tcBorders>
              <w:tl2br w:val="nil"/>
              <w:tr2bl w:val="nil"/>
            </w:tcBorders>
            <w:vAlign w:val="center"/>
          </w:tcPr>
          <w:p w14:paraId="1CC23358">
            <w:pPr>
              <w:pStyle w:val="56"/>
              <w:ind w:firstLine="0" w:firstLineChars="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0.116</w:t>
            </w:r>
          </w:p>
        </w:tc>
        <w:tc>
          <w:tcPr>
            <w:tcW w:w="636" w:type="pct"/>
            <w:tcBorders>
              <w:top w:val="single" w:color="auto" w:sz="4" w:space="0"/>
              <w:bottom w:val="single" w:color="auto" w:sz="4" w:space="0"/>
              <w:tl2br w:val="nil"/>
              <w:tr2bl w:val="nil"/>
            </w:tcBorders>
            <w:vAlign w:val="center"/>
          </w:tcPr>
          <w:p w14:paraId="7F95D111">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87%</w:t>
            </w:r>
          </w:p>
        </w:tc>
        <w:tc>
          <w:tcPr>
            <w:tcW w:w="1035" w:type="dxa"/>
            <w:tcBorders>
              <w:tl2br w:val="nil"/>
              <w:tr2bl w:val="nil"/>
            </w:tcBorders>
            <w:vAlign w:val="center"/>
          </w:tcPr>
          <w:p w14:paraId="3510429D">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0.065</w:t>
            </w:r>
          </w:p>
        </w:tc>
        <w:tc>
          <w:tcPr>
            <w:tcW w:w="712" w:type="pct"/>
            <w:tcBorders>
              <w:top w:val="single" w:color="auto" w:sz="4" w:space="0"/>
              <w:tl2br w:val="nil"/>
              <w:tr2bl w:val="nil"/>
            </w:tcBorders>
            <w:vAlign w:val="center"/>
          </w:tcPr>
          <w:p w14:paraId="66C582E8">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0.015</w:t>
            </w:r>
          </w:p>
        </w:tc>
        <w:tc>
          <w:tcPr>
            <w:tcW w:w="699" w:type="pct"/>
            <w:vMerge w:val="restart"/>
            <w:tcBorders>
              <w:top w:val="single" w:color="auto" w:sz="4" w:space="0"/>
              <w:tl2br w:val="nil"/>
              <w:tr2bl w:val="nil"/>
            </w:tcBorders>
            <w:vAlign w:val="center"/>
          </w:tcPr>
          <w:p w14:paraId="321CD12F">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有组织排放</w:t>
            </w:r>
          </w:p>
        </w:tc>
      </w:tr>
      <w:tr w14:paraId="2D7974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04109EF3">
            <w:pPr>
              <w:pStyle w:val="56"/>
              <w:rPr>
                <w:rFonts w:hint="eastAsia" w:ascii="Times New Roman" w:hAnsi="Times New Roman"/>
                <w:color w:val="000000" w:themeColor="text1"/>
                <w:szCs w:val="21"/>
                <w:lang w:val="en-US" w:eastAsia="zh-CN"/>
                <w14:textFill>
                  <w14:solidFill>
                    <w14:schemeClr w14:val="tx1"/>
                  </w14:solidFill>
                </w14:textFill>
              </w:rPr>
            </w:pPr>
          </w:p>
        </w:tc>
        <w:tc>
          <w:tcPr>
            <w:tcW w:w="593" w:type="pct"/>
            <w:tcBorders>
              <w:tl2br w:val="nil"/>
              <w:tr2bl w:val="nil"/>
            </w:tcBorders>
            <w:vAlign w:val="center"/>
          </w:tcPr>
          <w:p w14:paraId="52886F4D">
            <w:pPr>
              <w:pStyle w:val="56"/>
              <w:ind w:firstLine="0" w:firstLineChars="0"/>
              <w:rPr>
                <w:rFonts w:ascii="Times New Roman" w:hAnsi="Times New Roman" w:cs="Times New Roman"/>
                <w:color w:val="000000" w:themeColor="text1"/>
                <w14:textFill>
                  <w14:solidFill>
                    <w14:schemeClr w14:val="tx1"/>
                  </w14:solidFill>
                </w14:textFill>
              </w:rPr>
            </w:pPr>
            <w:r>
              <w:rPr>
                <w:rFonts w:hint="eastAsia" w:cs="Times New Roman"/>
                <w:color w:val="auto"/>
                <w:lang w:val="en-US" w:eastAsia="zh-CN"/>
              </w:rPr>
              <w:t>SO</w:t>
            </w:r>
            <w:r>
              <w:rPr>
                <w:rFonts w:hint="eastAsia" w:cs="Times New Roman"/>
                <w:color w:val="auto"/>
                <w:vertAlign w:val="subscript"/>
                <w:lang w:val="en-US" w:eastAsia="zh-CN"/>
              </w:rPr>
              <w:t>2</w:t>
            </w:r>
          </w:p>
        </w:tc>
        <w:tc>
          <w:tcPr>
            <w:tcW w:w="1005" w:type="dxa"/>
            <w:tcBorders>
              <w:tl2br w:val="nil"/>
              <w:tr2bl w:val="nil"/>
            </w:tcBorders>
            <w:vAlign w:val="center"/>
          </w:tcPr>
          <w:p w14:paraId="7EF0FE39">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0.442</w:t>
            </w:r>
          </w:p>
        </w:tc>
        <w:tc>
          <w:tcPr>
            <w:tcW w:w="1275" w:type="dxa"/>
            <w:tcBorders>
              <w:tl2br w:val="nil"/>
              <w:tr2bl w:val="nil"/>
            </w:tcBorders>
            <w:vAlign w:val="center"/>
          </w:tcPr>
          <w:p w14:paraId="305B331C">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0.102</w:t>
            </w:r>
          </w:p>
        </w:tc>
        <w:tc>
          <w:tcPr>
            <w:tcW w:w="636" w:type="pct"/>
            <w:tcBorders>
              <w:top w:val="single" w:color="auto" w:sz="4" w:space="0"/>
              <w:bottom w:val="single" w:color="auto" w:sz="4" w:space="0"/>
              <w:tl2br w:val="nil"/>
              <w:tr2bl w:val="nil"/>
            </w:tcBorders>
            <w:vAlign w:val="center"/>
          </w:tcPr>
          <w:p w14:paraId="5BA88CD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81.5%</w:t>
            </w:r>
          </w:p>
        </w:tc>
        <w:tc>
          <w:tcPr>
            <w:tcW w:w="1035" w:type="dxa"/>
            <w:tcBorders>
              <w:tl2br w:val="nil"/>
              <w:tr2bl w:val="nil"/>
            </w:tcBorders>
            <w:vAlign w:val="center"/>
          </w:tcPr>
          <w:p w14:paraId="50C22CAA">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0.0818</w:t>
            </w:r>
          </w:p>
        </w:tc>
        <w:tc>
          <w:tcPr>
            <w:tcW w:w="712" w:type="pct"/>
            <w:tcBorders>
              <w:tl2br w:val="nil"/>
              <w:tr2bl w:val="nil"/>
            </w:tcBorders>
            <w:vAlign w:val="center"/>
          </w:tcPr>
          <w:p w14:paraId="64166D9D">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0.019</w:t>
            </w:r>
          </w:p>
        </w:tc>
        <w:tc>
          <w:tcPr>
            <w:tcW w:w="699" w:type="pct"/>
            <w:vMerge w:val="continue"/>
            <w:tcBorders>
              <w:tl2br w:val="nil"/>
              <w:tr2bl w:val="nil"/>
            </w:tcBorders>
            <w:vAlign w:val="center"/>
          </w:tcPr>
          <w:p w14:paraId="55E9978E">
            <w:pPr>
              <w:pStyle w:val="56"/>
              <w:rPr>
                <w:rFonts w:hint="eastAsia" w:ascii="Times New Roman" w:hAnsi="Times New Roman"/>
                <w:color w:val="000000" w:themeColor="text1"/>
                <w:szCs w:val="21"/>
                <w:lang w:val="en-US" w:eastAsia="zh-CN"/>
                <w14:textFill>
                  <w14:solidFill>
                    <w14:schemeClr w14:val="tx1"/>
                  </w14:solidFill>
                </w14:textFill>
              </w:rPr>
            </w:pPr>
          </w:p>
        </w:tc>
      </w:tr>
      <w:tr w14:paraId="052773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588BDB4E">
            <w:pPr>
              <w:pStyle w:val="56"/>
              <w:rPr>
                <w:rFonts w:hint="eastAsia" w:ascii="Times New Roman" w:hAnsi="Times New Roman"/>
                <w:color w:val="000000" w:themeColor="text1"/>
                <w:szCs w:val="21"/>
                <w:lang w:val="en-US" w:eastAsia="zh-CN"/>
                <w14:textFill>
                  <w14:solidFill>
                    <w14:schemeClr w14:val="tx1"/>
                  </w14:solidFill>
                </w14:textFill>
              </w:rPr>
            </w:pPr>
          </w:p>
        </w:tc>
        <w:tc>
          <w:tcPr>
            <w:tcW w:w="593" w:type="pct"/>
            <w:tcBorders>
              <w:tl2br w:val="nil"/>
              <w:tr2bl w:val="nil"/>
            </w:tcBorders>
            <w:vAlign w:val="center"/>
          </w:tcPr>
          <w:p w14:paraId="77FDB484">
            <w:pPr>
              <w:pStyle w:val="56"/>
              <w:ind w:firstLine="0" w:firstLineChars="0"/>
              <w:rPr>
                <w:rFonts w:ascii="Times New Roman" w:hAnsi="Times New Roman" w:cs="Times New Roman"/>
                <w:color w:val="000000" w:themeColor="text1"/>
                <w14:textFill>
                  <w14:solidFill>
                    <w14:schemeClr w14:val="tx1"/>
                  </w14:solidFill>
                </w14:textFill>
              </w:rPr>
            </w:pPr>
            <w:r>
              <w:rPr>
                <w:rFonts w:hint="eastAsia" w:cs="Times New Roman"/>
                <w:color w:val="auto"/>
                <w:lang w:val="en-US" w:eastAsia="zh-CN"/>
              </w:rPr>
              <w:t>NO</w:t>
            </w:r>
            <w:r>
              <w:rPr>
                <w:rFonts w:hint="eastAsia" w:cs="Times New Roman"/>
                <w:color w:val="auto"/>
                <w:vertAlign w:val="subscript"/>
                <w:lang w:val="en-US" w:eastAsia="zh-CN"/>
              </w:rPr>
              <w:t>2</w:t>
            </w:r>
          </w:p>
        </w:tc>
        <w:tc>
          <w:tcPr>
            <w:tcW w:w="1005" w:type="dxa"/>
            <w:tcBorders>
              <w:tl2br w:val="nil"/>
              <w:tr2bl w:val="nil"/>
            </w:tcBorders>
            <w:vAlign w:val="center"/>
          </w:tcPr>
          <w:p w14:paraId="58FD3486">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1.02</w:t>
            </w:r>
          </w:p>
        </w:tc>
        <w:tc>
          <w:tcPr>
            <w:tcW w:w="1275" w:type="dxa"/>
            <w:tcBorders>
              <w:tl2br w:val="nil"/>
              <w:tr2bl w:val="nil"/>
            </w:tcBorders>
            <w:vAlign w:val="center"/>
          </w:tcPr>
          <w:p w14:paraId="33B6A804">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0.236</w:t>
            </w:r>
          </w:p>
        </w:tc>
        <w:tc>
          <w:tcPr>
            <w:tcW w:w="636" w:type="pct"/>
            <w:tcBorders>
              <w:top w:val="single" w:color="auto" w:sz="4" w:space="0"/>
              <w:tl2br w:val="nil"/>
              <w:tr2bl w:val="nil"/>
            </w:tcBorders>
            <w:vAlign w:val="center"/>
          </w:tcPr>
          <w:p w14:paraId="4B5A7A94">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w:t>
            </w:r>
          </w:p>
        </w:tc>
        <w:tc>
          <w:tcPr>
            <w:tcW w:w="1035" w:type="dxa"/>
            <w:tcBorders>
              <w:tl2br w:val="nil"/>
              <w:tr2bl w:val="nil"/>
            </w:tcBorders>
            <w:vAlign w:val="center"/>
          </w:tcPr>
          <w:p w14:paraId="77F5A052">
            <w:pPr>
              <w:pStyle w:val="5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0.306</w:t>
            </w:r>
          </w:p>
        </w:tc>
        <w:tc>
          <w:tcPr>
            <w:tcW w:w="712" w:type="pct"/>
            <w:tcBorders>
              <w:tl2br w:val="nil"/>
              <w:tr2bl w:val="nil"/>
            </w:tcBorders>
            <w:vAlign w:val="center"/>
          </w:tcPr>
          <w:p w14:paraId="05CE29F5">
            <w:pPr>
              <w:pStyle w:val="56"/>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0.071</w:t>
            </w:r>
          </w:p>
        </w:tc>
        <w:tc>
          <w:tcPr>
            <w:tcW w:w="699" w:type="pct"/>
            <w:vMerge w:val="continue"/>
            <w:tcBorders>
              <w:tl2br w:val="nil"/>
              <w:tr2bl w:val="nil"/>
            </w:tcBorders>
            <w:vAlign w:val="center"/>
          </w:tcPr>
          <w:p w14:paraId="0CD0C19A">
            <w:pPr>
              <w:pStyle w:val="56"/>
              <w:rPr>
                <w:rFonts w:hint="eastAsia" w:ascii="Times New Roman" w:hAnsi="Times New Roman"/>
                <w:color w:val="000000" w:themeColor="text1"/>
                <w:szCs w:val="21"/>
                <w:lang w:val="en-US" w:eastAsia="zh-CN"/>
                <w14:textFill>
                  <w14:solidFill>
                    <w14:schemeClr w14:val="tx1"/>
                  </w14:solidFill>
                </w14:textFill>
              </w:rPr>
            </w:pPr>
          </w:p>
        </w:tc>
      </w:tr>
    </w:tbl>
    <w:p w14:paraId="33CA8BA1">
      <w:pPr>
        <w:ind w:left="480" w:leftChars="200" w:firstLine="0" w:firstLineChars="0"/>
        <w:rPr>
          <w:rFonts w:ascii="Times New Roman" w:hAnsi="Times New Roman" w:cs="Times New Roman"/>
          <w:color w:val="auto"/>
        </w:rPr>
      </w:pPr>
      <w:r>
        <w:rPr>
          <w:rFonts w:ascii="Times New Roman" w:hAnsi="Times New Roman" w:cs="Times New Roman"/>
          <w:color w:val="auto"/>
        </w:rPr>
        <w:t>（2）预测模式、评价标准及预测源强</w:t>
      </w:r>
    </w:p>
    <w:p w14:paraId="4B27B98D">
      <w:pPr>
        <w:ind w:firstLine="480"/>
        <w:rPr>
          <w:rFonts w:ascii="Times New Roman" w:hAnsi="Times New Roman" w:cs="Times New Roman"/>
          <w:color w:val="auto"/>
        </w:rPr>
      </w:pPr>
      <w:r>
        <w:rPr>
          <w:rFonts w:ascii="Times New Roman" w:hAnsi="Times New Roman" w:cs="Times New Roman"/>
          <w:color w:val="auto"/>
        </w:rPr>
        <w:t>采用AERSCREEN估算模式，对建设项目NH</w:t>
      </w:r>
      <w:r>
        <w:rPr>
          <w:rFonts w:ascii="Times New Roman" w:hAnsi="Times New Roman" w:cs="Times New Roman"/>
          <w:color w:val="auto"/>
          <w:vertAlign w:val="subscript"/>
        </w:rPr>
        <w:t>3</w:t>
      </w:r>
      <w:r>
        <w:rPr>
          <w:rFonts w:ascii="Times New Roman" w:hAnsi="Times New Roman" w:cs="Times New Roman"/>
          <w:color w:val="auto"/>
        </w:rPr>
        <w:t>、H</w:t>
      </w:r>
      <w:r>
        <w:rPr>
          <w:rFonts w:ascii="Times New Roman" w:hAnsi="Times New Roman" w:cs="Times New Roman"/>
          <w:color w:val="auto"/>
          <w:vertAlign w:val="subscript"/>
        </w:rPr>
        <w:t>2</w:t>
      </w:r>
      <w:r>
        <w:rPr>
          <w:rFonts w:ascii="Times New Roman" w:hAnsi="Times New Roman" w:cs="Times New Roman"/>
          <w:color w:val="auto"/>
        </w:rPr>
        <w:t>S</w:t>
      </w:r>
      <w:r>
        <w:rPr>
          <w:rFonts w:hint="eastAsia" w:cs="Times New Roman"/>
          <w:color w:val="auto"/>
          <w:lang w:eastAsia="zh-CN"/>
        </w:rPr>
        <w:t>、</w:t>
      </w:r>
      <w:r>
        <w:rPr>
          <w:rFonts w:hint="eastAsia" w:cs="Times New Roman"/>
          <w:color w:val="auto"/>
          <w:lang w:val="en-US" w:eastAsia="zh-CN"/>
        </w:rPr>
        <w:t>颗粒物（PM</w:t>
      </w:r>
      <w:r>
        <w:rPr>
          <w:rFonts w:hint="eastAsia" w:cs="Times New Roman"/>
          <w:color w:val="auto"/>
          <w:vertAlign w:val="subscript"/>
          <w:lang w:val="en-US" w:eastAsia="zh-CN"/>
        </w:rPr>
        <w:t>10</w:t>
      </w:r>
      <w:r>
        <w:rPr>
          <w:rFonts w:hint="eastAsia" w:cs="Times New Roman"/>
          <w:color w:val="auto"/>
          <w:lang w:val="en-US" w:eastAsia="zh-CN"/>
        </w:rPr>
        <w:t>）、SO</w:t>
      </w:r>
      <w:r>
        <w:rPr>
          <w:rFonts w:hint="eastAsia" w:cs="Times New Roman"/>
          <w:color w:val="auto"/>
          <w:vertAlign w:val="subscript"/>
          <w:lang w:val="en-US" w:eastAsia="zh-CN"/>
        </w:rPr>
        <w:t>2</w:t>
      </w:r>
      <w:r>
        <w:rPr>
          <w:rFonts w:hint="eastAsia" w:cs="Times New Roman"/>
          <w:color w:val="auto"/>
          <w:lang w:val="en-US" w:eastAsia="zh-CN"/>
        </w:rPr>
        <w:t>、NO</w:t>
      </w:r>
      <w:r>
        <w:rPr>
          <w:rFonts w:hint="eastAsia" w:cs="Times New Roman"/>
          <w:color w:val="auto"/>
          <w:vertAlign w:val="subscript"/>
          <w:lang w:val="en-US" w:eastAsia="zh-CN"/>
        </w:rPr>
        <w:t>2</w:t>
      </w:r>
      <w:r>
        <w:rPr>
          <w:rFonts w:ascii="Times New Roman" w:hAnsi="Times New Roman" w:cs="Times New Roman"/>
          <w:color w:val="auto"/>
        </w:rPr>
        <w:t>进行预测，各评价因子的评价标准见下表</w:t>
      </w:r>
      <w:r>
        <w:rPr>
          <w:rFonts w:hint="eastAsia" w:cs="Times New Roman"/>
          <w:color w:val="auto"/>
          <w:lang w:val="en-US" w:eastAsia="zh-CN"/>
        </w:rPr>
        <w:t>5</w:t>
      </w:r>
      <w:r>
        <w:rPr>
          <w:rFonts w:ascii="Times New Roman" w:hAnsi="Times New Roman" w:cs="Times New Roman"/>
          <w:color w:val="auto"/>
        </w:rPr>
        <w:t>.2-1。大气污染源面源清单见表</w:t>
      </w:r>
      <w:r>
        <w:rPr>
          <w:rFonts w:hint="eastAsia" w:cs="Times New Roman"/>
          <w:color w:val="auto"/>
          <w:lang w:val="en-US" w:eastAsia="zh-CN"/>
        </w:rPr>
        <w:t>5</w:t>
      </w:r>
      <w:r>
        <w:rPr>
          <w:rFonts w:ascii="Times New Roman" w:hAnsi="Times New Roman" w:cs="Times New Roman"/>
          <w:color w:val="auto"/>
        </w:rPr>
        <w:t>.2-2，估算模式参数选取见表</w:t>
      </w:r>
      <w:r>
        <w:rPr>
          <w:rFonts w:hint="eastAsia" w:cs="Times New Roman"/>
          <w:color w:val="auto"/>
          <w:lang w:val="en-US" w:eastAsia="zh-CN"/>
        </w:rPr>
        <w:t>5</w:t>
      </w:r>
      <w:r>
        <w:rPr>
          <w:rFonts w:ascii="Times New Roman" w:hAnsi="Times New Roman" w:cs="Times New Roman"/>
          <w:color w:val="auto"/>
        </w:rPr>
        <w:t>.2-3。</w:t>
      </w:r>
    </w:p>
    <w:p w14:paraId="298A5EF0">
      <w:pPr>
        <w:pStyle w:val="6"/>
        <w:ind w:left="240"/>
        <w:rPr>
          <w:rFonts w:ascii="Times New Roman" w:hAnsi="Times New Roman" w:cs="Times New Roman"/>
          <w:color w:val="auto"/>
        </w:rPr>
      </w:pPr>
      <w:r>
        <w:rPr>
          <w:rFonts w:hint="eastAsia" w:cs="Times New Roman"/>
          <w:color w:val="auto"/>
          <w:lang w:val="en-US" w:eastAsia="zh-CN"/>
        </w:rPr>
        <w:t>5</w:t>
      </w:r>
      <w:r>
        <w:rPr>
          <w:rFonts w:ascii="Times New Roman" w:hAnsi="Times New Roman" w:cs="Times New Roman"/>
          <w:color w:val="auto"/>
        </w:rPr>
        <w:t>.2.1.2预测结果</w:t>
      </w:r>
    </w:p>
    <w:p w14:paraId="389C2141">
      <w:pPr>
        <w:ind w:firstLine="480"/>
        <w:rPr>
          <w:rFonts w:ascii="Times New Roman" w:hAnsi="Times New Roman" w:cs="Times New Roman"/>
          <w:color w:val="auto"/>
        </w:rPr>
      </w:pPr>
      <w:r>
        <w:rPr>
          <w:rFonts w:ascii="Times New Roman" w:hAnsi="Times New Roman" w:cs="Times New Roman"/>
          <w:color w:val="auto"/>
        </w:rPr>
        <w:t>采用AERSCREEN估算模式对项目无组织废气进行预测，废气无组织排放预测结果，见</w:t>
      </w:r>
      <w:r>
        <w:rPr>
          <w:rFonts w:hint="eastAsia" w:ascii="Times New Roman" w:hAnsi="Times New Roman" w:cs="Times New Roman"/>
          <w:color w:val="auto"/>
          <w:lang w:val="en-US" w:eastAsia="zh-CN"/>
        </w:rPr>
        <w:t>下表</w:t>
      </w:r>
      <w:r>
        <w:rPr>
          <w:rFonts w:ascii="Times New Roman" w:hAnsi="Times New Roman" w:cs="Times New Roman"/>
          <w:color w:val="auto"/>
        </w:rPr>
        <w:t>。</w:t>
      </w:r>
    </w:p>
    <w:p w14:paraId="1D184E82">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2</w:t>
      </w:r>
      <w:r>
        <w:rPr>
          <w:rFonts w:ascii="Times New Roman" w:hAnsi="Times New Roman" w:eastAsia="宋体" w:cs="Times New Roman"/>
          <w:b/>
          <w:bCs/>
          <w:color w:val="auto"/>
        </w:rPr>
        <w:t xml:space="preserve">    预测因子和评价标准表</w:t>
      </w:r>
    </w:p>
    <w:tbl>
      <w:tblPr>
        <w:tblStyle w:val="35"/>
        <w:tblW w:w="899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99"/>
        <w:gridCol w:w="1211"/>
        <w:gridCol w:w="1305"/>
        <w:gridCol w:w="1911"/>
        <w:gridCol w:w="3166"/>
      </w:tblGrid>
      <w:tr w14:paraId="642D64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399" w:type="dxa"/>
            <w:vAlign w:val="center"/>
          </w:tcPr>
          <w:p w14:paraId="5E9BC3C3">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污染物名称</w:t>
            </w:r>
          </w:p>
        </w:tc>
        <w:tc>
          <w:tcPr>
            <w:tcW w:w="1211" w:type="dxa"/>
            <w:vAlign w:val="center"/>
          </w:tcPr>
          <w:p w14:paraId="76C523F4">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功能区</w:t>
            </w:r>
          </w:p>
        </w:tc>
        <w:tc>
          <w:tcPr>
            <w:tcW w:w="1305" w:type="dxa"/>
            <w:vAlign w:val="center"/>
          </w:tcPr>
          <w:p w14:paraId="28CD1787">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取值时间</w:t>
            </w:r>
          </w:p>
        </w:tc>
        <w:tc>
          <w:tcPr>
            <w:tcW w:w="1911" w:type="dxa"/>
            <w:vAlign w:val="center"/>
          </w:tcPr>
          <w:p w14:paraId="2C395807">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标准值</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μg/m³</w:t>
            </w:r>
            <w:r>
              <w:rPr>
                <w:rFonts w:hint="eastAsia" w:cs="Times New Roman"/>
                <w:color w:val="auto"/>
                <w:szCs w:val="21"/>
                <w:lang w:val="en-US" w:eastAsia="zh-CN"/>
              </w:rPr>
              <w:t>）</w:t>
            </w:r>
          </w:p>
        </w:tc>
        <w:tc>
          <w:tcPr>
            <w:tcW w:w="3166" w:type="dxa"/>
            <w:vAlign w:val="center"/>
          </w:tcPr>
          <w:p w14:paraId="71F420DE">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标准来源</w:t>
            </w:r>
          </w:p>
        </w:tc>
      </w:tr>
      <w:tr w14:paraId="552F41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399" w:type="dxa"/>
            <w:vAlign w:val="center"/>
          </w:tcPr>
          <w:p w14:paraId="17AD8073">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SO</w:t>
            </w:r>
            <w:r>
              <w:rPr>
                <w:rFonts w:hint="eastAsia" w:ascii="Times New Roman" w:hAnsi="Times New Roman" w:eastAsia="宋体" w:cs="Times New Roman"/>
                <w:color w:val="auto"/>
                <w:szCs w:val="21"/>
                <w:vertAlign w:val="subscript"/>
                <w:lang w:val="en-US" w:eastAsia="zh-CN"/>
              </w:rPr>
              <w:t>2</w:t>
            </w:r>
          </w:p>
        </w:tc>
        <w:tc>
          <w:tcPr>
            <w:tcW w:w="1211" w:type="dxa"/>
            <w:vAlign w:val="center"/>
          </w:tcPr>
          <w:p w14:paraId="7588B943">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二类限区</w:t>
            </w:r>
          </w:p>
        </w:tc>
        <w:tc>
          <w:tcPr>
            <w:tcW w:w="1305" w:type="dxa"/>
            <w:vAlign w:val="center"/>
          </w:tcPr>
          <w:p w14:paraId="418EE476">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一小时</w:t>
            </w:r>
          </w:p>
        </w:tc>
        <w:tc>
          <w:tcPr>
            <w:tcW w:w="1911" w:type="dxa"/>
            <w:vAlign w:val="center"/>
          </w:tcPr>
          <w:p w14:paraId="6090D03C">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500.0</w:t>
            </w:r>
          </w:p>
        </w:tc>
        <w:tc>
          <w:tcPr>
            <w:tcW w:w="3166" w:type="dxa"/>
            <w:vAlign w:val="center"/>
          </w:tcPr>
          <w:p w14:paraId="23018A34">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环境空气质量标准</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GB 3095-2026</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过渡期</w:t>
            </w:r>
          </w:p>
        </w:tc>
      </w:tr>
      <w:tr w14:paraId="39FAA1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399" w:type="dxa"/>
            <w:vAlign w:val="center"/>
          </w:tcPr>
          <w:p w14:paraId="276BB85E">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NO</w:t>
            </w:r>
            <w:r>
              <w:rPr>
                <w:rFonts w:hint="eastAsia" w:ascii="Times New Roman" w:hAnsi="Times New Roman" w:eastAsia="宋体" w:cs="Times New Roman"/>
                <w:color w:val="auto"/>
                <w:szCs w:val="21"/>
                <w:vertAlign w:val="subscript"/>
                <w:lang w:val="en-US" w:eastAsia="zh-CN"/>
              </w:rPr>
              <w:t>2</w:t>
            </w:r>
          </w:p>
        </w:tc>
        <w:tc>
          <w:tcPr>
            <w:tcW w:w="1211" w:type="dxa"/>
            <w:vAlign w:val="center"/>
          </w:tcPr>
          <w:p w14:paraId="1315CBB3">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二类限区</w:t>
            </w:r>
          </w:p>
        </w:tc>
        <w:tc>
          <w:tcPr>
            <w:tcW w:w="1305" w:type="dxa"/>
            <w:vAlign w:val="center"/>
          </w:tcPr>
          <w:p w14:paraId="4E5792B5">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一小时</w:t>
            </w:r>
          </w:p>
        </w:tc>
        <w:tc>
          <w:tcPr>
            <w:tcW w:w="1911" w:type="dxa"/>
            <w:vAlign w:val="center"/>
          </w:tcPr>
          <w:p w14:paraId="22252695">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w:t>
            </w:r>
          </w:p>
        </w:tc>
        <w:tc>
          <w:tcPr>
            <w:tcW w:w="3166" w:type="dxa"/>
            <w:vAlign w:val="center"/>
          </w:tcPr>
          <w:p w14:paraId="6CF226F0">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环境空气质量标准</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GB 3095-2026</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过渡期</w:t>
            </w:r>
          </w:p>
        </w:tc>
      </w:tr>
      <w:tr w14:paraId="7FD8B0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399" w:type="dxa"/>
            <w:vAlign w:val="center"/>
          </w:tcPr>
          <w:p w14:paraId="2A7CBAD7">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PM</w:t>
            </w:r>
            <w:r>
              <w:rPr>
                <w:rFonts w:hint="eastAsia" w:ascii="Times New Roman" w:hAnsi="Times New Roman" w:eastAsia="宋体" w:cs="Times New Roman"/>
                <w:color w:val="auto"/>
                <w:szCs w:val="21"/>
                <w:vertAlign w:val="subscript"/>
                <w:lang w:val="en-US" w:eastAsia="zh-CN"/>
              </w:rPr>
              <w:t>10</w:t>
            </w:r>
          </w:p>
        </w:tc>
        <w:tc>
          <w:tcPr>
            <w:tcW w:w="1211" w:type="dxa"/>
            <w:vAlign w:val="center"/>
          </w:tcPr>
          <w:p w14:paraId="6E43D033">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二类限区</w:t>
            </w:r>
          </w:p>
        </w:tc>
        <w:tc>
          <w:tcPr>
            <w:tcW w:w="1305" w:type="dxa"/>
            <w:vAlign w:val="center"/>
          </w:tcPr>
          <w:p w14:paraId="00407ADD">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日均</w:t>
            </w:r>
          </w:p>
        </w:tc>
        <w:tc>
          <w:tcPr>
            <w:tcW w:w="1911" w:type="dxa"/>
            <w:vAlign w:val="center"/>
          </w:tcPr>
          <w:p w14:paraId="6ACEA05A">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120.0</w:t>
            </w:r>
          </w:p>
        </w:tc>
        <w:tc>
          <w:tcPr>
            <w:tcW w:w="3166" w:type="dxa"/>
            <w:vAlign w:val="center"/>
          </w:tcPr>
          <w:p w14:paraId="0D0B9BAC">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环境空气质量标准</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GB 3095-2026</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过渡期</w:t>
            </w:r>
          </w:p>
        </w:tc>
      </w:tr>
      <w:tr w14:paraId="40368D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399" w:type="dxa"/>
            <w:vAlign w:val="center"/>
          </w:tcPr>
          <w:p w14:paraId="313116FF">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NH</w:t>
            </w:r>
            <w:r>
              <w:rPr>
                <w:rFonts w:hint="eastAsia" w:ascii="Times New Roman" w:hAnsi="Times New Roman" w:eastAsia="宋体" w:cs="Times New Roman"/>
                <w:color w:val="auto"/>
                <w:szCs w:val="21"/>
                <w:vertAlign w:val="subscript"/>
                <w:lang w:val="en-US" w:eastAsia="zh-CN"/>
              </w:rPr>
              <w:t>3</w:t>
            </w:r>
          </w:p>
        </w:tc>
        <w:tc>
          <w:tcPr>
            <w:tcW w:w="1211" w:type="dxa"/>
            <w:vAlign w:val="center"/>
          </w:tcPr>
          <w:p w14:paraId="24363BA7">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二类限区</w:t>
            </w:r>
          </w:p>
        </w:tc>
        <w:tc>
          <w:tcPr>
            <w:tcW w:w="1305" w:type="dxa"/>
            <w:vAlign w:val="center"/>
          </w:tcPr>
          <w:p w14:paraId="509286BD">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一小时</w:t>
            </w:r>
          </w:p>
        </w:tc>
        <w:tc>
          <w:tcPr>
            <w:tcW w:w="1911" w:type="dxa"/>
            <w:vAlign w:val="center"/>
          </w:tcPr>
          <w:p w14:paraId="52292D7C">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w:t>
            </w:r>
          </w:p>
        </w:tc>
        <w:tc>
          <w:tcPr>
            <w:tcW w:w="3166" w:type="dxa"/>
            <w:vAlign w:val="center"/>
          </w:tcPr>
          <w:p w14:paraId="2B17D6C5">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《环境影响评价技术导则-大气环境》 HJ 2.2-2018 附录D</w:t>
            </w:r>
          </w:p>
        </w:tc>
      </w:tr>
      <w:tr w14:paraId="417460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399" w:type="dxa"/>
            <w:vAlign w:val="center"/>
          </w:tcPr>
          <w:p w14:paraId="5CF1EFB3">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S</w:t>
            </w:r>
          </w:p>
        </w:tc>
        <w:tc>
          <w:tcPr>
            <w:tcW w:w="1211" w:type="dxa"/>
            <w:vAlign w:val="center"/>
          </w:tcPr>
          <w:p w14:paraId="348B02C8">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二类限区</w:t>
            </w:r>
          </w:p>
        </w:tc>
        <w:tc>
          <w:tcPr>
            <w:tcW w:w="1305" w:type="dxa"/>
            <w:vAlign w:val="center"/>
          </w:tcPr>
          <w:p w14:paraId="579AC534">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一小时</w:t>
            </w:r>
          </w:p>
        </w:tc>
        <w:tc>
          <w:tcPr>
            <w:tcW w:w="1911" w:type="dxa"/>
            <w:vAlign w:val="center"/>
          </w:tcPr>
          <w:p w14:paraId="2B055494">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3166" w:type="dxa"/>
            <w:vAlign w:val="center"/>
          </w:tcPr>
          <w:p w14:paraId="33A829D4">
            <w:pPr>
              <w:pStyle w:val="56"/>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《环境影响评价技术导则-大气环境》 HJ 2.2-2018 附录D</w:t>
            </w:r>
          </w:p>
        </w:tc>
      </w:tr>
    </w:tbl>
    <w:tbl>
      <w:tblPr>
        <w:tblStyle w:val="35"/>
        <w:tblpPr w:leftFromText="180" w:rightFromText="180" w:vertAnchor="text" w:horzAnchor="page" w:tblpX="1575" w:tblpY="489"/>
        <w:tblOverlap w:val="never"/>
        <w:tblW w:w="884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28"/>
        <w:gridCol w:w="557"/>
        <w:gridCol w:w="1010"/>
        <w:gridCol w:w="1010"/>
        <w:gridCol w:w="654"/>
        <w:gridCol w:w="614"/>
        <w:gridCol w:w="641"/>
        <w:gridCol w:w="818"/>
        <w:gridCol w:w="682"/>
        <w:gridCol w:w="668"/>
        <w:gridCol w:w="559"/>
        <w:gridCol w:w="668"/>
        <w:gridCol w:w="635"/>
      </w:tblGrid>
      <w:tr w14:paraId="16210E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328" w:type="dxa"/>
            <w:vMerge w:val="restart"/>
            <w:tcBorders>
              <w:tl2br w:val="nil"/>
              <w:tr2bl w:val="nil"/>
            </w:tcBorders>
            <w:vAlign w:val="center"/>
          </w:tcPr>
          <w:p w14:paraId="4C186251">
            <w:pPr>
              <w:pStyle w:val="56"/>
              <w:rPr>
                <w:rFonts w:ascii="Times New Roman" w:hAnsi="Times New Roman"/>
                <w:color w:val="auto"/>
                <w:szCs w:val="21"/>
              </w:rPr>
            </w:pPr>
            <w:r>
              <w:rPr>
                <w:rFonts w:ascii="Times New Roman" w:hAnsi="Times New Roman"/>
                <w:color w:val="auto"/>
                <w:szCs w:val="21"/>
              </w:rPr>
              <w:t>编号</w:t>
            </w:r>
          </w:p>
        </w:tc>
        <w:tc>
          <w:tcPr>
            <w:tcW w:w="557" w:type="dxa"/>
            <w:vMerge w:val="restart"/>
            <w:tcBorders>
              <w:tl2br w:val="nil"/>
              <w:tr2bl w:val="nil"/>
            </w:tcBorders>
            <w:vAlign w:val="center"/>
          </w:tcPr>
          <w:p w14:paraId="3E7FCB6C">
            <w:pPr>
              <w:pStyle w:val="56"/>
              <w:rPr>
                <w:rFonts w:ascii="Times New Roman" w:hAnsi="Times New Roman"/>
                <w:color w:val="auto"/>
                <w:szCs w:val="21"/>
              </w:rPr>
            </w:pPr>
            <w:r>
              <w:rPr>
                <w:rFonts w:ascii="Times New Roman" w:hAnsi="Times New Roman"/>
                <w:color w:val="auto"/>
                <w:szCs w:val="21"/>
              </w:rPr>
              <w:t>名称</w:t>
            </w:r>
          </w:p>
        </w:tc>
        <w:tc>
          <w:tcPr>
            <w:tcW w:w="2020" w:type="dxa"/>
            <w:gridSpan w:val="2"/>
            <w:tcBorders>
              <w:tl2br w:val="nil"/>
              <w:tr2bl w:val="nil"/>
            </w:tcBorders>
            <w:vAlign w:val="center"/>
          </w:tcPr>
          <w:p w14:paraId="2E815C55">
            <w:pPr>
              <w:pStyle w:val="56"/>
              <w:rPr>
                <w:rFonts w:ascii="Times New Roman" w:hAnsi="Times New Roman"/>
                <w:color w:val="auto"/>
                <w:szCs w:val="21"/>
              </w:rPr>
            </w:pPr>
            <w:r>
              <w:rPr>
                <w:rFonts w:ascii="Times New Roman" w:hAnsi="Times New Roman"/>
                <w:color w:val="auto"/>
                <w:szCs w:val="21"/>
              </w:rPr>
              <w:t>面源起点坐标</w:t>
            </w:r>
          </w:p>
        </w:tc>
        <w:tc>
          <w:tcPr>
            <w:tcW w:w="654" w:type="dxa"/>
            <w:vMerge w:val="restart"/>
            <w:tcBorders>
              <w:tl2br w:val="nil"/>
              <w:tr2bl w:val="nil"/>
            </w:tcBorders>
            <w:vAlign w:val="center"/>
          </w:tcPr>
          <w:p w14:paraId="4A103882">
            <w:pPr>
              <w:pStyle w:val="56"/>
              <w:rPr>
                <w:rFonts w:ascii="Times New Roman" w:hAnsi="Times New Roman"/>
                <w:color w:val="auto"/>
                <w:szCs w:val="21"/>
              </w:rPr>
            </w:pPr>
            <w:r>
              <w:rPr>
                <w:rFonts w:ascii="Times New Roman" w:hAnsi="Times New Roman"/>
                <w:color w:val="auto"/>
                <w:szCs w:val="21"/>
              </w:rPr>
              <w:t>面源</w:t>
            </w:r>
            <w:r>
              <w:rPr>
                <w:rFonts w:hint="eastAsia" w:ascii="Times New Roman" w:hAnsi="Times New Roman"/>
                <w:color w:val="auto"/>
                <w:szCs w:val="21"/>
                <w:lang w:eastAsia="zh-CN"/>
              </w:rPr>
              <w:t>海拔</w:t>
            </w:r>
            <w:r>
              <w:rPr>
                <w:rFonts w:ascii="Times New Roman" w:hAnsi="Times New Roman"/>
                <w:color w:val="auto"/>
                <w:szCs w:val="21"/>
              </w:rPr>
              <w:t>（m）</w:t>
            </w:r>
          </w:p>
        </w:tc>
        <w:tc>
          <w:tcPr>
            <w:tcW w:w="614" w:type="dxa"/>
            <w:vMerge w:val="restart"/>
            <w:tcBorders>
              <w:tl2br w:val="nil"/>
              <w:tr2bl w:val="nil"/>
            </w:tcBorders>
            <w:vAlign w:val="center"/>
          </w:tcPr>
          <w:p w14:paraId="24DB402B">
            <w:pPr>
              <w:pStyle w:val="56"/>
              <w:rPr>
                <w:rFonts w:ascii="Times New Roman" w:hAnsi="Times New Roman"/>
                <w:color w:val="auto"/>
                <w:szCs w:val="21"/>
              </w:rPr>
            </w:pPr>
            <w:r>
              <w:rPr>
                <w:rFonts w:ascii="Times New Roman" w:hAnsi="Times New Roman"/>
                <w:color w:val="auto"/>
                <w:szCs w:val="21"/>
              </w:rPr>
              <w:t>面源长度</w:t>
            </w:r>
            <w:r>
              <w:rPr>
                <w:rFonts w:ascii="Times New Roman" w:hAnsi="Times New Roman"/>
                <w:color w:val="auto"/>
                <w:szCs w:val="21"/>
                <w:lang w:val="en-US"/>
              </w:rPr>
              <w:t>（m）</w:t>
            </w:r>
          </w:p>
        </w:tc>
        <w:tc>
          <w:tcPr>
            <w:tcW w:w="641" w:type="dxa"/>
            <w:vMerge w:val="restart"/>
            <w:tcBorders>
              <w:tl2br w:val="nil"/>
              <w:tr2bl w:val="nil"/>
            </w:tcBorders>
            <w:vAlign w:val="center"/>
          </w:tcPr>
          <w:p w14:paraId="57FD3500">
            <w:pPr>
              <w:pStyle w:val="56"/>
              <w:rPr>
                <w:rFonts w:ascii="Times New Roman" w:hAnsi="Times New Roman"/>
                <w:color w:val="auto"/>
                <w:szCs w:val="21"/>
              </w:rPr>
            </w:pPr>
            <w:r>
              <w:rPr>
                <w:rFonts w:ascii="Times New Roman" w:hAnsi="Times New Roman"/>
                <w:color w:val="auto"/>
                <w:szCs w:val="21"/>
              </w:rPr>
              <w:t>面源宽度</w:t>
            </w:r>
            <w:r>
              <w:rPr>
                <w:rFonts w:ascii="Times New Roman" w:hAnsi="Times New Roman"/>
                <w:color w:val="auto"/>
                <w:szCs w:val="21"/>
                <w:lang w:val="en-US"/>
              </w:rPr>
              <w:t>（m）</w:t>
            </w:r>
          </w:p>
        </w:tc>
        <w:tc>
          <w:tcPr>
            <w:tcW w:w="818" w:type="dxa"/>
            <w:vMerge w:val="restart"/>
            <w:tcBorders>
              <w:tl2br w:val="nil"/>
              <w:tr2bl w:val="nil"/>
            </w:tcBorders>
            <w:vAlign w:val="center"/>
          </w:tcPr>
          <w:p w14:paraId="6743AD7D">
            <w:pPr>
              <w:pStyle w:val="56"/>
              <w:rPr>
                <w:rFonts w:ascii="Times New Roman" w:hAnsi="Times New Roman"/>
                <w:color w:val="auto"/>
                <w:szCs w:val="21"/>
                <w:lang w:val="en-US"/>
              </w:rPr>
            </w:pPr>
            <w:r>
              <w:rPr>
                <w:rFonts w:ascii="Times New Roman" w:hAnsi="Times New Roman"/>
                <w:color w:val="auto"/>
                <w:szCs w:val="21"/>
              </w:rPr>
              <w:t>与正北向夹角（</w:t>
            </w:r>
            <w:r>
              <w:rPr>
                <w:rFonts w:ascii="Times New Roman" w:hAnsi="Times New Roman"/>
                <w:color w:val="auto"/>
                <w:szCs w:val="21"/>
                <w:lang w:val="en-US"/>
              </w:rPr>
              <w:t>°</w:t>
            </w:r>
            <w:r>
              <w:rPr>
                <w:rFonts w:ascii="Times New Roman" w:hAnsi="Times New Roman"/>
                <w:color w:val="auto"/>
                <w:szCs w:val="21"/>
              </w:rPr>
              <w:t>）</w:t>
            </w:r>
          </w:p>
        </w:tc>
        <w:tc>
          <w:tcPr>
            <w:tcW w:w="682" w:type="dxa"/>
            <w:vMerge w:val="restart"/>
            <w:tcBorders>
              <w:tl2br w:val="nil"/>
              <w:tr2bl w:val="nil"/>
            </w:tcBorders>
            <w:vAlign w:val="center"/>
          </w:tcPr>
          <w:p w14:paraId="24995F2E">
            <w:pPr>
              <w:pStyle w:val="56"/>
              <w:rPr>
                <w:rFonts w:ascii="Times New Roman" w:hAnsi="Times New Roman"/>
                <w:color w:val="auto"/>
                <w:szCs w:val="21"/>
                <w:lang w:val="en-US"/>
              </w:rPr>
            </w:pPr>
            <w:r>
              <w:rPr>
                <w:rFonts w:ascii="Times New Roman" w:hAnsi="Times New Roman"/>
                <w:color w:val="auto"/>
                <w:szCs w:val="21"/>
              </w:rPr>
              <w:t>面源有效排放高度</w:t>
            </w:r>
            <w:r>
              <w:rPr>
                <w:rFonts w:ascii="Times New Roman" w:hAnsi="Times New Roman"/>
                <w:color w:val="auto"/>
                <w:szCs w:val="21"/>
                <w:lang w:val="en-US"/>
              </w:rPr>
              <w:t>（m）</w:t>
            </w:r>
          </w:p>
        </w:tc>
        <w:tc>
          <w:tcPr>
            <w:tcW w:w="668" w:type="dxa"/>
            <w:vMerge w:val="restart"/>
            <w:tcBorders>
              <w:tl2br w:val="nil"/>
              <w:tr2bl w:val="nil"/>
            </w:tcBorders>
            <w:vAlign w:val="center"/>
          </w:tcPr>
          <w:p w14:paraId="02A8CF3A">
            <w:pPr>
              <w:pStyle w:val="56"/>
              <w:rPr>
                <w:rFonts w:ascii="Times New Roman" w:hAnsi="Times New Roman"/>
                <w:color w:val="auto"/>
                <w:szCs w:val="21"/>
              </w:rPr>
            </w:pPr>
            <w:r>
              <w:rPr>
                <w:rFonts w:ascii="Times New Roman" w:hAnsi="Times New Roman"/>
                <w:color w:val="auto"/>
                <w:szCs w:val="21"/>
              </w:rPr>
              <w:t>年排放小时数（</w:t>
            </w:r>
            <w:r>
              <w:rPr>
                <w:rFonts w:ascii="Times New Roman" w:hAnsi="Times New Roman"/>
                <w:color w:val="auto"/>
                <w:szCs w:val="21"/>
                <w:lang w:val="en-US"/>
              </w:rPr>
              <w:t>h</w:t>
            </w:r>
            <w:r>
              <w:rPr>
                <w:rFonts w:ascii="Times New Roman" w:hAnsi="Times New Roman"/>
                <w:color w:val="auto"/>
                <w:szCs w:val="21"/>
              </w:rPr>
              <w:t>）</w:t>
            </w:r>
          </w:p>
        </w:tc>
        <w:tc>
          <w:tcPr>
            <w:tcW w:w="559" w:type="dxa"/>
            <w:vMerge w:val="restart"/>
            <w:tcBorders>
              <w:tl2br w:val="nil"/>
              <w:tr2bl w:val="nil"/>
            </w:tcBorders>
            <w:vAlign w:val="center"/>
          </w:tcPr>
          <w:p w14:paraId="0E45027F">
            <w:pPr>
              <w:pStyle w:val="56"/>
              <w:rPr>
                <w:rFonts w:ascii="Times New Roman" w:hAnsi="Times New Roman"/>
                <w:color w:val="auto"/>
                <w:szCs w:val="21"/>
              </w:rPr>
            </w:pPr>
            <w:r>
              <w:rPr>
                <w:rFonts w:ascii="Times New Roman" w:hAnsi="Times New Roman"/>
                <w:color w:val="auto"/>
                <w:szCs w:val="21"/>
              </w:rPr>
              <w:t>排放工况</w:t>
            </w:r>
          </w:p>
        </w:tc>
        <w:tc>
          <w:tcPr>
            <w:tcW w:w="1303" w:type="dxa"/>
            <w:gridSpan w:val="2"/>
            <w:tcBorders>
              <w:tl2br w:val="nil"/>
              <w:tr2bl w:val="nil"/>
            </w:tcBorders>
            <w:vAlign w:val="center"/>
          </w:tcPr>
          <w:p w14:paraId="57CD552C">
            <w:pPr>
              <w:pStyle w:val="56"/>
              <w:rPr>
                <w:rFonts w:ascii="Times New Roman" w:hAnsi="Times New Roman"/>
                <w:color w:val="auto"/>
                <w:szCs w:val="21"/>
              </w:rPr>
            </w:pPr>
            <w:r>
              <w:rPr>
                <w:rFonts w:ascii="Times New Roman" w:hAnsi="Times New Roman"/>
                <w:color w:val="auto"/>
                <w:szCs w:val="21"/>
              </w:rPr>
              <w:t>污染物排放速率/(kg/h)</w:t>
            </w:r>
          </w:p>
        </w:tc>
      </w:tr>
      <w:tr w14:paraId="6CA17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328" w:type="dxa"/>
            <w:vMerge w:val="continue"/>
            <w:tcBorders>
              <w:tl2br w:val="nil"/>
              <w:tr2bl w:val="nil"/>
            </w:tcBorders>
            <w:vAlign w:val="center"/>
          </w:tcPr>
          <w:p w14:paraId="5D333681">
            <w:pPr>
              <w:pStyle w:val="56"/>
              <w:rPr>
                <w:rFonts w:ascii="Times New Roman" w:hAnsi="Times New Roman"/>
                <w:color w:val="auto"/>
                <w:szCs w:val="21"/>
              </w:rPr>
            </w:pPr>
          </w:p>
        </w:tc>
        <w:tc>
          <w:tcPr>
            <w:tcW w:w="557" w:type="dxa"/>
            <w:vMerge w:val="continue"/>
            <w:tcBorders>
              <w:tl2br w:val="nil"/>
              <w:tr2bl w:val="nil"/>
            </w:tcBorders>
            <w:vAlign w:val="center"/>
          </w:tcPr>
          <w:p w14:paraId="070256FE">
            <w:pPr>
              <w:pStyle w:val="56"/>
              <w:rPr>
                <w:rFonts w:ascii="Times New Roman" w:hAnsi="Times New Roman"/>
                <w:color w:val="auto"/>
                <w:szCs w:val="21"/>
              </w:rPr>
            </w:pPr>
          </w:p>
        </w:tc>
        <w:tc>
          <w:tcPr>
            <w:tcW w:w="1010" w:type="dxa"/>
            <w:tcBorders>
              <w:tl2br w:val="nil"/>
              <w:tr2bl w:val="nil"/>
            </w:tcBorders>
            <w:vAlign w:val="center"/>
          </w:tcPr>
          <w:p w14:paraId="6BAAB28C">
            <w:pPr>
              <w:pStyle w:val="56"/>
              <w:rPr>
                <w:rFonts w:ascii="Times New Roman" w:hAnsi="Times New Roman"/>
                <w:color w:val="auto"/>
                <w:szCs w:val="21"/>
              </w:rPr>
            </w:pPr>
            <w:r>
              <w:rPr>
                <w:rFonts w:ascii="Times New Roman" w:hAnsi="Times New Roman"/>
                <w:color w:val="auto"/>
                <w:szCs w:val="21"/>
              </w:rPr>
              <w:t>经度</w:t>
            </w:r>
          </w:p>
        </w:tc>
        <w:tc>
          <w:tcPr>
            <w:tcW w:w="1010" w:type="dxa"/>
            <w:tcBorders>
              <w:tl2br w:val="nil"/>
              <w:tr2bl w:val="nil"/>
            </w:tcBorders>
            <w:vAlign w:val="center"/>
          </w:tcPr>
          <w:p w14:paraId="5E2A31AF">
            <w:pPr>
              <w:pStyle w:val="56"/>
              <w:rPr>
                <w:rFonts w:ascii="Times New Roman" w:hAnsi="Times New Roman"/>
                <w:color w:val="auto"/>
                <w:szCs w:val="21"/>
              </w:rPr>
            </w:pPr>
            <w:r>
              <w:rPr>
                <w:rFonts w:ascii="Times New Roman" w:hAnsi="Times New Roman"/>
                <w:color w:val="auto"/>
                <w:szCs w:val="21"/>
              </w:rPr>
              <w:t>纬度</w:t>
            </w:r>
          </w:p>
        </w:tc>
        <w:tc>
          <w:tcPr>
            <w:tcW w:w="654" w:type="dxa"/>
            <w:vMerge w:val="continue"/>
            <w:tcBorders>
              <w:tl2br w:val="nil"/>
              <w:tr2bl w:val="nil"/>
            </w:tcBorders>
            <w:vAlign w:val="center"/>
          </w:tcPr>
          <w:p w14:paraId="1BF19CA5">
            <w:pPr>
              <w:pStyle w:val="56"/>
              <w:rPr>
                <w:rFonts w:ascii="Times New Roman" w:hAnsi="Times New Roman"/>
                <w:color w:val="auto"/>
                <w:szCs w:val="21"/>
              </w:rPr>
            </w:pPr>
          </w:p>
        </w:tc>
        <w:tc>
          <w:tcPr>
            <w:tcW w:w="614" w:type="dxa"/>
            <w:vMerge w:val="continue"/>
            <w:tcBorders>
              <w:tl2br w:val="nil"/>
              <w:tr2bl w:val="nil"/>
            </w:tcBorders>
            <w:vAlign w:val="center"/>
          </w:tcPr>
          <w:p w14:paraId="05786220">
            <w:pPr>
              <w:pStyle w:val="56"/>
              <w:rPr>
                <w:rFonts w:ascii="Times New Roman" w:hAnsi="Times New Roman"/>
                <w:color w:val="auto"/>
                <w:szCs w:val="21"/>
              </w:rPr>
            </w:pPr>
          </w:p>
        </w:tc>
        <w:tc>
          <w:tcPr>
            <w:tcW w:w="641" w:type="dxa"/>
            <w:vMerge w:val="continue"/>
            <w:tcBorders>
              <w:tl2br w:val="nil"/>
              <w:tr2bl w:val="nil"/>
            </w:tcBorders>
            <w:vAlign w:val="center"/>
          </w:tcPr>
          <w:p w14:paraId="067375FE">
            <w:pPr>
              <w:pStyle w:val="56"/>
              <w:rPr>
                <w:rFonts w:ascii="Times New Roman" w:hAnsi="Times New Roman"/>
                <w:color w:val="auto"/>
                <w:szCs w:val="21"/>
              </w:rPr>
            </w:pPr>
          </w:p>
        </w:tc>
        <w:tc>
          <w:tcPr>
            <w:tcW w:w="818" w:type="dxa"/>
            <w:vMerge w:val="continue"/>
            <w:tcBorders>
              <w:tl2br w:val="nil"/>
              <w:tr2bl w:val="nil"/>
            </w:tcBorders>
            <w:vAlign w:val="center"/>
          </w:tcPr>
          <w:p w14:paraId="2F7170E6">
            <w:pPr>
              <w:pStyle w:val="56"/>
              <w:rPr>
                <w:rFonts w:ascii="Times New Roman" w:hAnsi="Times New Roman"/>
                <w:color w:val="auto"/>
                <w:szCs w:val="21"/>
              </w:rPr>
            </w:pPr>
          </w:p>
        </w:tc>
        <w:tc>
          <w:tcPr>
            <w:tcW w:w="682" w:type="dxa"/>
            <w:vMerge w:val="continue"/>
            <w:tcBorders>
              <w:tl2br w:val="nil"/>
              <w:tr2bl w:val="nil"/>
            </w:tcBorders>
            <w:vAlign w:val="center"/>
          </w:tcPr>
          <w:p w14:paraId="5FAFDCBD">
            <w:pPr>
              <w:pStyle w:val="56"/>
              <w:rPr>
                <w:rFonts w:ascii="Times New Roman" w:hAnsi="Times New Roman"/>
                <w:color w:val="auto"/>
                <w:szCs w:val="21"/>
              </w:rPr>
            </w:pPr>
          </w:p>
        </w:tc>
        <w:tc>
          <w:tcPr>
            <w:tcW w:w="668" w:type="dxa"/>
            <w:vMerge w:val="continue"/>
            <w:tcBorders>
              <w:tl2br w:val="nil"/>
              <w:tr2bl w:val="nil"/>
            </w:tcBorders>
            <w:vAlign w:val="center"/>
          </w:tcPr>
          <w:p w14:paraId="4FEE1FE4">
            <w:pPr>
              <w:pStyle w:val="56"/>
              <w:rPr>
                <w:rFonts w:ascii="Times New Roman" w:hAnsi="Times New Roman"/>
                <w:color w:val="auto"/>
                <w:szCs w:val="21"/>
              </w:rPr>
            </w:pPr>
          </w:p>
        </w:tc>
        <w:tc>
          <w:tcPr>
            <w:tcW w:w="559" w:type="dxa"/>
            <w:vMerge w:val="continue"/>
            <w:tcBorders>
              <w:tl2br w:val="nil"/>
              <w:tr2bl w:val="nil"/>
            </w:tcBorders>
            <w:vAlign w:val="center"/>
          </w:tcPr>
          <w:p w14:paraId="455114AF">
            <w:pPr>
              <w:pStyle w:val="56"/>
              <w:rPr>
                <w:rFonts w:ascii="Times New Roman" w:hAnsi="Times New Roman"/>
                <w:color w:val="auto"/>
                <w:szCs w:val="21"/>
              </w:rPr>
            </w:pPr>
          </w:p>
        </w:tc>
        <w:tc>
          <w:tcPr>
            <w:tcW w:w="668" w:type="dxa"/>
            <w:tcBorders>
              <w:tl2br w:val="nil"/>
              <w:tr2bl w:val="nil"/>
            </w:tcBorders>
            <w:vAlign w:val="center"/>
          </w:tcPr>
          <w:p w14:paraId="2F76E386">
            <w:pPr>
              <w:pStyle w:val="56"/>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635" w:type="dxa"/>
            <w:tcBorders>
              <w:tl2br w:val="nil"/>
              <w:tr2bl w:val="nil"/>
            </w:tcBorders>
            <w:vAlign w:val="center"/>
          </w:tcPr>
          <w:p w14:paraId="32BAF115">
            <w:pPr>
              <w:pStyle w:val="56"/>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r>
      <w:tr w14:paraId="234D04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28" w:type="dxa"/>
            <w:tcBorders>
              <w:tl2br w:val="nil"/>
              <w:tr2bl w:val="nil"/>
            </w:tcBorders>
            <w:vAlign w:val="center"/>
          </w:tcPr>
          <w:p w14:paraId="354B3A80">
            <w:pPr>
              <w:pStyle w:val="56"/>
              <w:rPr>
                <w:rFonts w:ascii="Times New Roman" w:hAnsi="Times New Roman"/>
                <w:color w:val="auto"/>
                <w:szCs w:val="21"/>
              </w:rPr>
            </w:pPr>
            <w:r>
              <w:rPr>
                <w:rFonts w:ascii="Times New Roman" w:hAnsi="Times New Roman"/>
                <w:color w:val="auto"/>
                <w:szCs w:val="21"/>
                <w:lang w:val="en-US"/>
              </w:rPr>
              <w:t>1</w:t>
            </w:r>
          </w:p>
        </w:tc>
        <w:tc>
          <w:tcPr>
            <w:tcW w:w="557" w:type="dxa"/>
            <w:tcBorders>
              <w:tl2br w:val="nil"/>
              <w:tr2bl w:val="nil"/>
            </w:tcBorders>
            <w:vAlign w:val="center"/>
          </w:tcPr>
          <w:p w14:paraId="6BB7B979">
            <w:pPr>
              <w:pStyle w:val="56"/>
              <w:rPr>
                <w:rFonts w:ascii="Times New Roman" w:hAnsi="Times New Roman"/>
                <w:color w:val="auto"/>
                <w:szCs w:val="21"/>
              </w:rPr>
            </w:pPr>
            <w:r>
              <w:rPr>
                <w:rFonts w:hint="eastAsia"/>
                <w:color w:val="auto"/>
                <w:szCs w:val="21"/>
                <w:lang w:val="en-US" w:eastAsia="zh-CN"/>
              </w:rPr>
              <w:t>鸭舍</w:t>
            </w:r>
          </w:p>
        </w:tc>
        <w:tc>
          <w:tcPr>
            <w:tcW w:w="1010" w:type="dxa"/>
            <w:tcBorders>
              <w:tl2br w:val="nil"/>
              <w:tr2bl w:val="nil"/>
            </w:tcBorders>
            <w:vAlign w:val="center"/>
          </w:tcPr>
          <w:p w14:paraId="6A0110FB">
            <w:pPr>
              <w:pStyle w:val="56"/>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80.536935</w:t>
            </w:r>
          </w:p>
        </w:tc>
        <w:tc>
          <w:tcPr>
            <w:tcW w:w="1010" w:type="dxa"/>
            <w:tcBorders>
              <w:tl2br w:val="nil"/>
              <w:tr2bl w:val="nil"/>
            </w:tcBorders>
            <w:vAlign w:val="center"/>
          </w:tcPr>
          <w:p w14:paraId="793F8B56">
            <w:pPr>
              <w:pStyle w:val="56"/>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43.919458</w:t>
            </w:r>
          </w:p>
        </w:tc>
        <w:tc>
          <w:tcPr>
            <w:tcW w:w="654" w:type="dxa"/>
            <w:tcBorders>
              <w:tl2br w:val="nil"/>
              <w:tr2bl w:val="nil"/>
            </w:tcBorders>
            <w:vAlign w:val="center"/>
          </w:tcPr>
          <w:p w14:paraId="653F6DEF">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564.00</w:t>
            </w:r>
          </w:p>
        </w:tc>
        <w:tc>
          <w:tcPr>
            <w:tcW w:w="614" w:type="dxa"/>
            <w:tcBorders>
              <w:tl2br w:val="nil"/>
              <w:tr2bl w:val="nil"/>
            </w:tcBorders>
            <w:vAlign w:val="center"/>
          </w:tcPr>
          <w:p w14:paraId="41D33575">
            <w:pPr>
              <w:pStyle w:val="56"/>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230</w:t>
            </w:r>
          </w:p>
        </w:tc>
        <w:tc>
          <w:tcPr>
            <w:tcW w:w="641" w:type="dxa"/>
            <w:tcBorders>
              <w:tl2br w:val="nil"/>
              <w:tr2bl w:val="nil"/>
            </w:tcBorders>
            <w:vAlign w:val="center"/>
          </w:tcPr>
          <w:p w14:paraId="5B8D85F1">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322.75</w:t>
            </w:r>
          </w:p>
        </w:tc>
        <w:tc>
          <w:tcPr>
            <w:tcW w:w="818" w:type="dxa"/>
            <w:tcBorders>
              <w:tl2br w:val="nil"/>
              <w:tr2bl w:val="nil"/>
            </w:tcBorders>
            <w:vAlign w:val="center"/>
          </w:tcPr>
          <w:p w14:paraId="762B3C9A">
            <w:pPr>
              <w:pStyle w:val="56"/>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682" w:type="dxa"/>
            <w:tcBorders>
              <w:tl2br w:val="nil"/>
              <w:tr2bl w:val="nil"/>
            </w:tcBorders>
            <w:vAlign w:val="center"/>
          </w:tcPr>
          <w:p w14:paraId="06B52EF9">
            <w:pPr>
              <w:pStyle w:val="56"/>
              <w:rPr>
                <w:rFonts w:ascii="Times New Roman" w:hAnsi="Times New Roman"/>
                <w:color w:val="auto"/>
                <w:szCs w:val="21"/>
              </w:rPr>
            </w:pPr>
            <w:r>
              <w:rPr>
                <w:rFonts w:ascii="Times New Roman" w:hAnsi="Times New Roman"/>
                <w:color w:val="auto"/>
                <w:szCs w:val="21"/>
              </w:rPr>
              <w:t>10</w:t>
            </w:r>
          </w:p>
        </w:tc>
        <w:tc>
          <w:tcPr>
            <w:tcW w:w="668" w:type="dxa"/>
            <w:tcBorders>
              <w:tl2br w:val="nil"/>
              <w:tr2bl w:val="nil"/>
            </w:tcBorders>
            <w:vAlign w:val="center"/>
          </w:tcPr>
          <w:p w14:paraId="292526D6">
            <w:pPr>
              <w:pStyle w:val="56"/>
              <w:rPr>
                <w:rFonts w:ascii="Times New Roman" w:hAnsi="Times New Roman"/>
                <w:color w:val="auto"/>
                <w:szCs w:val="21"/>
              </w:rPr>
            </w:pPr>
            <w:r>
              <w:rPr>
                <w:rFonts w:ascii="Times New Roman" w:hAnsi="Times New Roman"/>
                <w:color w:val="auto"/>
                <w:szCs w:val="21"/>
              </w:rPr>
              <w:t>8760</w:t>
            </w:r>
          </w:p>
        </w:tc>
        <w:tc>
          <w:tcPr>
            <w:tcW w:w="559" w:type="dxa"/>
            <w:tcBorders>
              <w:tl2br w:val="nil"/>
              <w:tr2bl w:val="nil"/>
            </w:tcBorders>
            <w:vAlign w:val="center"/>
          </w:tcPr>
          <w:p w14:paraId="4E2968C8">
            <w:pPr>
              <w:pStyle w:val="56"/>
              <w:rPr>
                <w:rFonts w:ascii="Times New Roman" w:hAnsi="Times New Roman"/>
                <w:color w:val="auto"/>
                <w:szCs w:val="21"/>
              </w:rPr>
            </w:pPr>
            <w:r>
              <w:rPr>
                <w:rFonts w:ascii="Times New Roman" w:hAnsi="Times New Roman"/>
                <w:color w:val="auto"/>
                <w:szCs w:val="21"/>
              </w:rPr>
              <w:t>正常</w:t>
            </w:r>
          </w:p>
        </w:tc>
        <w:tc>
          <w:tcPr>
            <w:tcW w:w="668" w:type="dxa"/>
            <w:tcBorders>
              <w:tl2br w:val="nil"/>
              <w:tr2bl w:val="nil"/>
            </w:tcBorders>
            <w:vAlign w:val="center"/>
          </w:tcPr>
          <w:p w14:paraId="54429006">
            <w:pPr>
              <w:pStyle w:val="56"/>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0.0</w:t>
            </w:r>
            <w:r>
              <w:rPr>
                <w:rFonts w:hint="eastAsia"/>
                <w:color w:val="auto"/>
                <w:szCs w:val="21"/>
                <w:lang w:val="en-US" w:eastAsia="zh-CN"/>
              </w:rPr>
              <w:t>45</w:t>
            </w:r>
          </w:p>
        </w:tc>
        <w:tc>
          <w:tcPr>
            <w:tcW w:w="635" w:type="dxa"/>
            <w:tcBorders>
              <w:tl2br w:val="nil"/>
              <w:tr2bl w:val="nil"/>
            </w:tcBorders>
            <w:vAlign w:val="center"/>
          </w:tcPr>
          <w:p w14:paraId="3BDFFDB6">
            <w:pPr>
              <w:pStyle w:val="56"/>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0.00</w:t>
            </w:r>
            <w:r>
              <w:rPr>
                <w:rFonts w:hint="eastAsia"/>
                <w:color w:val="auto"/>
                <w:szCs w:val="21"/>
                <w:lang w:val="en-US" w:eastAsia="zh-CN"/>
              </w:rPr>
              <w:t>45</w:t>
            </w:r>
          </w:p>
        </w:tc>
      </w:tr>
    </w:tbl>
    <w:p w14:paraId="4DAE68CD">
      <w:pPr>
        <w:ind w:firstLine="0" w:firstLineChars="0"/>
        <w:jc w:val="center"/>
        <w:rPr>
          <w:rFonts w:ascii="Times New Roman" w:hAnsi="Times New Roman"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3</w:t>
      </w:r>
      <w:r>
        <w:rPr>
          <w:rFonts w:ascii="Times New Roman" w:hAnsi="Times New Roman" w:eastAsia="宋体" w:cs="Times New Roman"/>
          <w:b/>
          <w:bCs/>
          <w:color w:val="auto"/>
        </w:rPr>
        <w:t xml:space="preserve">    面源污染物排放参数</w:t>
      </w:r>
    </w:p>
    <w:p w14:paraId="29D70885">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4</w:t>
      </w:r>
      <w:r>
        <w:rPr>
          <w:rFonts w:ascii="Times New Roman" w:hAnsi="Times New Roman" w:eastAsia="宋体" w:cs="Times New Roman"/>
          <w:b/>
          <w:bCs/>
          <w:color w:val="auto"/>
        </w:rPr>
        <w:t xml:space="preserve">    估算模型参数表</w:t>
      </w:r>
    </w:p>
    <w:tbl>
      <w:tblPr>
        <w:tblStyle w:val="35"/>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2829"/>
        <w:gridCol w:w="3985"/>
      </w:tblGrid>
      <w:tr w14:paraId="609D6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339ABB00">
            <w:pPr>
              <w:pStyle w:val="56"/>
              <w:rPr>
                <w:rFonts w:ascii="Times New Roman" w:hAnsi="Times New Roman"/>
                <w:color w:val="auto"/>
                <w:szCs w:val="21"/>
              </w:rPr>
            </w:pPr>
            <w:r>
              <w:rPr>
                <w:rFonts w:ascii="Times New Roman" w:hAnsi="Times New Roman"/>
                <w:color w:val="auto"/>
                <w:szCs w:val="21"/>
              </w:rPr>
              <w:t>参数</w:t>
            </w:r>
          </w:p>
        </w:tc>
        <w:tc>
          <w:tcPr>
            <w:tcW w:w="3985" w:type="dxa"/>
            <w:tcBorders>
              <w:tl2br w:val="nil"/>
              <w:tr2bl w:val="nil"/>
            </w:tcBorders>
            <w:vAlign w:val="center"/>
          </w:tcPr>
          <w:p w14:paraId="467BA5A0">
            <w:pPr>
              <w:pStyle w:val="56"/>
              <w:rPr>
                <w:rFonts w:ascii="Times New Roman" w:hAnsi="Times New Roman"/>
                <w:color w:val="auto"/>
                <w:szCs w:val="21"/>
              </w:rPr>
            </w:pPr>
            <w:r>
              <w:rPr>
                <w:rFonts w:ascii="Times New Roman" w:hAnsi="Times New Roman"/>
                <w:color w:val="auto"/>
                <w:szCs w:val="21"/>
              </w:rPr>
              <w:t>取值</w:t>
            </w:r>
          </w:p>
        </w:tc>
      </w:tr>
      <w:tr w14:paraId="00D66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5F2DD840">
            <w:pPr>
              <w:pStyle w:val="56"/>
              <w:rPr>
                <w:rFonts w:ascii="Times New Roman" w:hAnsi="Times New Roman"/>
                <w:color w:val="auto"/>
                <w:szCs w:val="21"/>
              </w:rPr>
            </w:pPr>
            <w:r>
              <w:rPr>
                <w:rFonts w:ascii="Times New Roman" w:hAnsi="Times New Roman"/>
                <w:color w:val="auto"/>
                <w:szCs w:val="21"/>
              </w:rPr>
              <w:t>城市/农村选项</w:t>
            </w:r>
          </w:p>
        </w:tc>
        <w:tc>
          <w:tcPr>
            <w:tcW w:w="2829" w:type="dxa"/>
            <w:tcBorders>
              <w:tl2br w:val="nil"/>
              <w:tr2bl w:val="nil"/>
            </w:tcBorders>
            <w:vAlign w:val="center"/>
          </w:tcPr>
          <w:p w14:paraId="672E6142">
            <w:pPr>
              <w:pStyle w:val="56"/>
              <w:rPr>
                <w:rFonts w:ascii="Times New Roman" w:hAnsi="Times New Roman"/>
                <w:color w:val="auto"/>
                <w:szCs w:val="21"/>
              </w:rPr>
            </w:pPr>
            <w:r>
              <w:rPr>
                <w:rFonts w:ascii="Times New Roman" w:hAnsi="Times New Roman"/>
                <w:color w:val="auto"/>
                <w:szCs w:val="21"/>
              </w:rPr>
              <w:t>城市/农村</w:t>
            </w:r>
          </w:p>
        </w:tc>
        <w:tc>
          <w:tcPr>
            <w:tcW w:w="3985" w:type="dxa"/>
            <w:tcBorders>
              <w:tl2br w:val="nil"/>
              <w:tr2bl w:val="nil"/>
            </w:tcBorders>
            <w:vAlign w:val="center"/>
          </w:tcPr>
          <w:p w14:paraId="1D07DCD6">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农村</w:t>
            </w:r>
          </w:p>
        </w:tc>
      </w:tr>
      <w:tr w14:paraId="57469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7A0FD048">
            <w:pPr>
              <w:pStyle w:val="56"/>
              <w:rPr>
                <w:rFonts w:ascii="Times New Roman" w:hAnsi="Times New Roman"/>
                <w:color w:val="auto"/>
                <w:szCs w:val="21"/>
              </w:rPr>
            </w:pPr>
          </w:p>
        </w:tc>
        <w:tc>
          <w:tcPr>
            <w:tcW w:w="2829" w:type="dxa"/>
            <w:tcBorders>
              <w:tl2br w:val="nil"/>
              <w:tr2bl w:val="nil"/>
            </w:tcBorders>
            <w:vAlign w:val="center"/>
          </w:tcPr>
          <w:p w14:paraId="640BB7FA">
            <w:pPr>
              <w:pStyle w:val="56"/>
              <w:rPr>
                <w:rFonts w:ascii="Times New Roman" w:hAnsi="Times New Roman"/>
                <w:color w:val="auto"/>
                <w:szCs w:val="21"/>
              </w:rPr>
            </w:pPr>
            <w:r>
              <w:rPr>
                <w:rFonts w:ascii="Times New Roman" w:hAnsi="Times New Roman"/>
                <w:color w:val="auto"/>
                <w:szCs w:val="21"/>
              </w:rPr>
              <w:t>人口数</w:t>
            </w:r>
            <w:r>
              <w:rPr>
                <w:rFonts w:hint="eastAsia"/>
                <w:color w:val="auto"/>
                <w:szCs w:val="21"/>
                <w:lang w:eastAsia="zh-CN"/>
              </w:rPr>
              <w:t>（</w:t>
            </w:r>
            <w:r>
              <w:rPr>
                <w:rFonts w:ascii="Times New Roman" w:hAnsi="Times New Roman"/>
                <w:color w:val="auto"/>
                <w:szCs w:val="21"/>
              </w:rPr>
              <w:t>城市人口数</w:t>
            </w:r>
            <w:r>
              <w:rPr>
                <w:rFonts w:hint="eastAsia"/>
                <w:color w:val="auto"/>
                <w:szCs w:val="21"/>
                <w:lang w:eastAsia="zh-CN"/>
              </w:rPr>
              <w:t>）</w:t>
            </w:r>
          </w:p>
        </w:tc>
        <w:tc>
          <w:tcPr>
            <w:tcW w:w="3985" w:type="dxa"/>
            <w:tcBorders>
              <w:tl2br w:val="nil"/>
              <w:tr2bl w:val="nil"/>
            </w:tcBorders>
            <w:vAlign w:val="center"/>
          </w:tcPr>
          <w:p w14:paraId="6832476E">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14:paraId="0B059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7A265C81">
            <w:pPr>
              <w:pStyle w:val="56"/>
              <w:rPr>
                <w:rFonts w:ascii="Times New Roman" w:hAnsi="Times New Roman"/>
                <w:color w:val="auto"/>
                <w:szCs w:val="21"/>
              </w:rPr>
            </w:pPr>
            <w:r>
              <w:rPr>
                <w:rFonts w:ascii="Times New Roman" w:hAnsi="Times New Roman"/>
                <w:color w:val="auto"/>
                <w:szCs w:val="21"/>
              </w:rPr>
              <w:t>最高环境温度</w:t>
            </w:r>
          </w:p>
        </w:tc>
        <w:tc>
          <w:tcPr>
            <w:tcW w:w="3985" w:type="dxa"/>
            <w:tcBorders>
              <w:tl2br w:val="nil"/>
              <w:tr2bl w:val="nil"/>
            </w:tcBorders>
            <w:vAlign w:val="center"/>
          </w:tcPr>
          <w:p w14:paraId="1182EFDD">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39.2</w:t>
            </w:r>
          </w:p>
        </w:tc>
      </w:tr>
      <w:tr w14:paraId="6E772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670DB93F">
            <w:pPr>
              <w:pStyle w:val="56"/>
              <w:rPr>
                <w:rFonts w:ascii="Times New Roman" w:hAnsi="Times New Roman"/>
                <w:color w:val="auto"/>
                <w:szCs w:val="21"/>
              </w:rPr>
            </w:pPr>
            <w:r>
              <w:rPr>
                <w:rFonts w:ascii="Times New Roman" w:hAnsi="Times New Roman"/>
                <w:color w:val="auto"/>
                <w:szCs w:val="21"/>
              </w:rPr>
              <w:t>最低环境温度</w:t>
            </w:r>
          </w:p>
        </w:tc>
        <w:tc>
          <w:tcPr>
            <w:tcW w:w="3985" w:type="dxa"/>
            <w:tcBorders>
              <w:tl2br w:val="nil"/>
              <w:tr2bl w:val="nil"/>
            </w:tcBorders>
            <w:vAlign w:val="center"/>
          </w:tcPr>
          <w:p w14:paraId="0058B416">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-40.4</w:t>
            </w:r>
          </w:p>
        </w:tc>
      </w:tr>
      <w:tr w14:paraId="05101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3F485523">
            <w:pPr>
              <w:pStyle w:val="56"/>
              <w:rPr>
                <w:rFonts w:ascii="Times New Roman" w:hAnsi="Times New Roman"/>
                <w:color w:val="auto"/>
                <w:szCs w:val="21"/>
              </w:rPr>
            </w:pPr>
            <w:r>
              <w:rPr>
                <w:rFonts w:ascii="Times New Roman" w:hAnsi="Times New Roman"/>
                <w:color w:val="auto"/>
                <w:szCs w:val="21"/>
              </w:rPr>
              <w:t>土地利用类型</w:t>
            </w:r>
          </w:p>
        </w:tc>
        <w:tc>
          <w:tcPr>
            <w:tcW w:w="3985" w:type="dxa"/>
            <w:tcBorders>
              <w:tl2br w:val="nil"/>
              <w:tr2bl w:val="nil"/>
            </w:tcBorders>
            <w:vAlign w:val="center"/>
          </w:tcPr>
          <w:p w14:paraId="72275717">
            <w:pPr>
              <w:pStyle w:val="56"/>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荒漠</w:t>
            </w:r>
          </w:p>
        </w:tc>
      </w:tr>
      <w:tr w14:paraId="7D41F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5075" w:type="dxa"/>
            <w:gridSpan w:val="2"/>
            <w:tcBorders>
              <w:tl2br w:val="nil"/>
              <w:tr2bl w:val="nil"/>
            </w:tcBorders>
            <w:vAlign w:val="center"/>
          </w:tcPr>
          <w:p w14:paraId="4A596783">
            <w:pPr>
              <w:pStyle w:val="56"/>
              <w:rPr>
                <w:rFonts w:ascii="Times New Roman" w:hAnsi="Times New Roman"/>
                <w:color w:val="auto"/>
                <w:szCs w:val="21"/>
              </w:rPr>
            </w:pPr>
            <w:r>
              <w:rPr>
                <w:rFonts w:ascii="Times New Roman" w:hAnsi="Times New Roman"/>
                <w:color w:val="auto"/>
                <w:szCs w:val="21"/>
              </w:rPr>
              <w:t>区域湿度条件</w:t>
            </w:r>
          </w:p>
        </w:tc>
        <w:tc>
          <w:tcPr>
            <w:tcW w:w="3985" w:type="dxa"/>
            <w:tcBorders>
              <w:tl2br w:val="nil"/>
              <w:tr2bl w:val="nil"/>
            </w:tcBorders>
            <w:vAlign w:val="center"/>
          </w:tcPr>
          <w:p w14:paraId="3E518A4A">
            <w:pPr>
              <w:pStyle w:val="56"/>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中等湿度</w:t>
            </w:r>
          </w:p>
        </w:tc>
      </w:tr>
      <w:tr w14:paraId="1065D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258427F0">
            <w:pPr>
              <w:pStyle w:val="56"/>
              <w:rPr>
                <w:rFonts w:ascii="Times New Roman" w:hAnsi="Times New Roman"/>
                <w:color w:val="auto"/>
                <w:szCs w:val="21"/>
              </w:rPr>
            </w:pPr>
            <w:r>
              <w:rPr>
                <w:rFonts w:ascii="Times New Roman" w:hAnsi="Times New Roman"/>
                <w:color w:val="auto"/>
                <w:szCs w:val="21"/>
              </w:rPr>
              <w:t>是否考虑地形</w:t>
            </w:r>
          </w:p>
        </w:tc>
        <w:tc>
          <w:tcPr>
            <w:tcW w:w="2829" w:type="dxa"/>
            <w:tcBorders>
              <w:tl2br w:val="nil"/>
              <w:tr2bl w:val="nil"/>
            </w:tcBorders>
            <w:vAlign w:val="center"/>
          </w:tcPr>
          <w:p w14:paraId="461A7EB7">
            <w:pPr>
              <w:pStyle w:val="56"/>
              <w:rPr>
                <w:rFonts w:ascii="Times New Roman" w:hAnsi="Times New Roman"/>
                <w:color w:val="auto"/>
                <w:szCs w:val="21"/>
              </w:rPr>
            </w:pPr>
            <w:r>
              <w:rPr>
                <w:rFonts w:ascii="Times New Roman" w:hAnsi="Times New Roman"/>
                <w:color w:val="auto"/>
                <w:szCs w:val="21"/>
              </w:rPr>
              <w:t>考虑地形</w:t>
            </w:r>
          </w:p>
        </w:tc>
        <w:tc>
          <w:tcPr>
            <w:tcW w:w="3985" w:type="dxa"/>
            <w:tcBorders>
              <w:tl2br w:val="nil"/>
              <w:tr2bl w:val="nil"/>
            </w:tcBorders>
            <w:vAlign w:val="center"/>
          </w:tcPr>
          <w:p w14:paraId="00B68078">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是</w:t>
            </w:r>
          </w:p>
        </w:tc>
      </w:tr>
      <w:tr w14:paraId="17AA3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67BDB5CE">
            <w:pPr>
              <w:pStyle w:val="56"/>
              <w:rPr>
                <w:rFonts w:ascii="Times New Roman" w:hAnsi="Times New Roman"/>
                <w:color w:val="auto"/>
                <w:szCs w:val="21"/>
              </w:rPr>
            </w:pPr>
          </w:p>
        </w:tc>
        <w:tc>
          <w:tcPr>
            <w:tcW w:w="2829" w:type="dxa"/>
            <w:tcBorders>
              <w:tl2br w:val="nil"/>
              <w:tr2bl w:val="nil"/>
            </w:tcBorders>
            <w:vAlign w:val="center"/>
          </w:tcPr>
          <w:p w14:paraId="1536A0BE">
            <w:pPr>
              <w:pStyle w:val="56"/>
              <w:rPr>
                <w:rFonts w:ascii="Times New Roman" w:hAnsi="Times New Roman"/>
                <w:color w:val="auto"/>
                <w:szCs w:val="21"/>
              </w:rPr>
            </w:pPr>
            <w:r>
              <w:rPr>
                <w:rFonts w:ascii="Times New Roman" w:hAnsi="Times New Roman"/>
                <w:color w:val="auto"/>
                <w:szCs w:val="21"/>
              </w:rPr>
              <w:t>地形数据分辨率</w:t>
            </w:r>
            <w:r>
              <w:rPr>
                <w:rFonts w:hint="eastAsia"/>
                <w:color w:val="auto"/>
                <w:szCs w:val="21"/>
                <w:lang w:eastAsia="zh-CN"/>
              </w:rPr>
              <w:t>（</w:t>
            </w:r>
            <w:r>
              <w:rPr>
                <w:rFonts w:ascii="Times New Roman" w:hAnsi="Times New Roman"/>
                <w:color w:val="auto"/>
                <w:szCs w:val="21"/>
              </w:rPr>
              <w:t>m</w:t>
            </w:r>
            <w:r>
              <w:rPr>
                <w:rFonts w:hint="eastAsia"/>
                <w:color w:val="auto"/>
                <w:szCs w:val="21"/>
                <w:lang w:eastAsia="zh-CN"/>
              </w:rPr>
              <w:t>）</w:t>
            </w:r>
          </w:p>
        </w:tc>
        <w:tc>
          <w:tcPr>
            <w:tcW w:w="3985" w:type="dxa"/>
            <w:tcBorders>
              <w:tl2br w:val="nil"/>
              <w:tr2bl w:val="nil"/>
            </w:tcBorders>
            <w:vAlign w:val="center"/>
          </w:tcPr>
          <w:p w14:paraId="5DAB8C7D">
            <w:pPr>
              <w:pStyle w:val="56"/>
              <w:rPr>
                <w:rFonts w:ascii="Times New Roman" w:hAnsi="Times New Roman" w:eastAsia="宋体" w:cs="Times New Roman"/>
                <w:color w:val="auto"/>
                <w:szCs w:val="21"/>
              </w:rPr>
            </w:pPr>
            <w:r>
              <w:rPr>
                <w:rFonts w:ascii="Times New Roman" w:hAnsi="Times New Roman" w:eastAsia="宋体" w:cs="Times New Roman"/>
                <w:color w:val="auto"/>
                <w:szCs w:val="21"/>
              </w:rPr>
              <w:t>90</w:t>
            </w:r>
          </w:p>
        </w:tc>
      </w:tr>
      <w:tr w14:paraId="4E7E5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restart"/>
            <w:tcBorders>
              <w:tl2br w:val="nil"/>
              <w:tr2bl w:val="nil"/>
            </w:tcBorders>
            <w:vAlign w:val="center"/>
          </w:tcPr>
          <w:p w14:paraId="29B049AD">
            <w:pPr>
              <w:pStyle w:val="56"/>
              <w:rPr>
                <w:rFonts w:ascii="Times New Roman" w:hAnsi="Times New Roman"/>
                <w:color w:val="auto"/>
                <w:szCs w:val="21"/>
              </w:rPr>
            </w:pPr>
            <w:r>
              <w:rPr>
                <w:rFonts w:ascii="Times New Roman" w:hAnsi="Times New Roman"/>
                <w:color w:val="auto"/>
                <w:szCs w:val="21"/>
              </w:rPr>
              <w:t>是否考虑岸线熏烟</w:t>
            </w:r>
          </w:p>
        </w:tc>
        <w:tc>
          <w:tcPr>
            <w:tcW w:w="2829" w:type="dxa"/>
            <w:tcBorders>
              <w:tl2br w:val="nil"/>
              <w:tr2bl w:val="nil"/>
            </w:tcBorders>
            <w:vAlign w:val="center"/>
          </w:tcPr>
          <w:p w14:paraId="75704122">
            <w:pPr>
              <w:pStyle w:val="56"/>
              <w:rPr>
                <w:rFonts w:ascii="Times New Roman" w:hAnsi="Times New Roman"/>
                <w:color w:val="auto"/>
                <w:szCs w:val="21"/>
              </w:rPr>
            </w:pPr>
            <w:r>
              <w:rPr>
                <w:rFonts w:ascii="Times New Roman" w:hAnsi="Times New Roman"/>
                <w:color w:val="auto"/>
                <w:szCs w:val="21"/>
              </w:rPr>
              <w:t>考虑岸线熏烟</w:t>
            </w:r>
          </w:p>
        </w:tc>
        <w:tc>
          <w:tcPr>
            <w:tcW w:w="3985" w:type="dxa"/>
            <w:tcBorders>
              <w:tl2br w:val="nil"/>
              <w:tr2bl w:val="nil"/>
            </w:tcBorders>
            <w:vAlign w:val="center"/>
          </w:tcPr>
          <w:p w14:paraId="286B6F9D">
            <w:pPr>
              <w:pStyle w:val="56"/>
              <w:rPr>
                <w:rFonts w:ascii="Times New Roman" w:hAnsi="Times New Roman"/>
                <w:color w:val="auto"/>
                <w:szCs w:val="21"/>
              </w:rPr>
            </w:pPr>
            <w:r>
              <w:rPr>
                <w:rFonts w:ascii="Times New Roman" w:hAnsi="Times New Roman"/>
                <w:color w:val="auto"/>
                <w:szCs w:val="21"/>
              </w:rPr>
              <w:t>否</w:t>
            </w:r>
          </w:p>
        </w:tc>
      </w:tr>
      <w:tr w14:paraId="66695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65458887">
            <w:pPr>
              <w:pStyle w:val="56"/>
              <w:rPr>
                <w:rFonts w:ascii="Times New Roman" w:hAnsi="Times New Roman"/>
                <w:color w:val="auto"/>
                <w:szCs w:val="21"/>
              </w:rPr>
            </w:pPr>
          </w:p>
        </w:tc>
        <w:tc>
          <w:tcPr>
            <w:tcW w:w="2829" w:type="dxa"/>
            <w:tcBorders>
              <w:tl2br w:val="nil"/>
              <w:tr2bl w:val="nil"/>
            </w:tcBorders>
            <w:vAlign w:val="center"/>
          </w:tcPr>
          <w:p w14:paraId="7E60F539">
            <w:pPr>
              <w:pStyle w:val="56"/>
              <w:rPr>
                <w:rFonts w:ascii="Times New Roman" w:hAnsi="Times New Roman"/>
                <w:color w:val="auto"/>
                <w:szCs w:val="21"/>
              </w:rPr>
            </w:pPr>
            <w:r>
              <w:rPr>
                <w:rFonts w:ascii="Times New Roman" w:hAnsi="Times New Roman"/>
                <w:color w:val="auto"/>
                <w:szCs w:val="21"/>
              </w:rPr>
              <w:t>岸线距离/m</w:t>
            </w:r>
          </w:p>
        </w:tc>
        <w:tc>
          <w:tcPr>
            <w:tcW w:w="3985" w:type="dxa"/>
            <w:tcBorders>
              <w:tl2br w:val="nil"/>
              <w:tr2bl w:val="nil"/>
            </w:tcBorders>
            <w:vAlign w:val="center"/>
          </w:tcPr>
          <w:p w14:paraId="664E5825">
            <w:pPr>
              <w:pStyle w:val="56"/>
              <w:rPr>
                <w:rFonts w:ascii="Times New Roman" w:hAnsi="Times New Roman"/>
                <w:color w:val="auto"/>
                <w:szCs w:val="21"/>
              </w:rPr>
            </w:pPr>
            <w:r>
              <w:rPr>
                <w:rFonts w:ascii="Times New Roman" w:hAnsi="Times New Roman"/>
                <w:color w:val="auto"/>
                <w:szCs w:val="21"/>
              </w:rPr>
              <w:t>/</w:t>
            </w:r>
          </w:p>
        </w:tc>
      </w:tr>
      <w:tr w14:paraId="4A367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2246" w:type="dxa"/>
            <w:vMerge w:val="continue"/>
            <w:tcBorders>
              <w:tl2br w:val="nil"/>
              <w:tr2bl w:val="nil"/>
            </w:tcBorders>
            <w:vAlign w:val="center"/>
          </w:tcPr>
          <w:p w14:paraId="3A670A80">
            <w:pPr>
              <w:pStyle w:val="56"/>
              <w:rPr>
                <w:rFonts w:ascii="Times New Roman" w:hAnsi="Times New Roman"/>
                <w:color w:val="auto"/>
                <w:szCs w:val="21"/>
              </w:rPr>
            </w:pPr>
          </w:p>
        </w:tc>
        <w:tc>
          <w:tcPr>
            <w:tcW w:w="2829" w:type="dxa"/>
            <w:tcBorders>
              <w:tl2br w:val="nil"/>
              <w:tr2bl w:val="nil"/>
            </w:tcBorders>
            <w:vAlign w:val="center"/>
          </w:tcPr>
          <w:p w14:paraId="5AB4CF48">
            <w:pPr>
              <w:pStyle w:val="56"/>
              <w:rPr>
                <w:rFonts w:ascii="Times New Roman" w:hAnsi="Times New Roman"/>
                <w:color w:val="auto"/>
                <w:szCs w:val="21"/>
              </w:rPr>
            </w:pPr>
            <w:r>
              <w:rPr>
                <w:rFonts w:ascii="Times New Roman" w:hAnsi="Times New Roman"/>
                <w:color w:val="auto"/>
                <w:szCs w:val="21"/>
              </w:rPr>
              <w:t>岸线方向/°</w:t>
            </w:r>
          </w:p>
        </w:tc>
        <w:tc>
          <w:tcPr>
            <w:tcW w:w="3985" w:type="dxa"/>
            <w:tcBorders>
              <w:tl2br w:val="nil"/>
              <w:tr2bl w:val="nil"/>
            </w:tcBorders>
            <w:vAlign w:val="center"/>
          </w:tcPr>
          <w:p w14:paraId="5B44E449">
            <w:pPr>
              <w:pStyle w:val="56"/>
              <w:rPr>
                <w:rFonts w:ascii="Times New Roman" w:hAnsi="Times New Roman"/>
                <w:color w:val="auto"/>
                <w:szCs w:val="21"/>
              </w:rPr>
            </w:pPr>
            <w:r>
              <w:rPr>
                <w:rFonts w:ascii="Times New Roman" w:hAnsi="Times New Roman"/>
                <w:color w:val="auto"/>
                <w:szCs w:val="21"/>
              </w:rPr>
              <w:t>/</w:t>
            </w:r>
          </w:p>
        </w:tc>
      </w:tr>
    </w:tbl>
    <w:p w14:paraId="572770ED">
      <w:pPr>
        <w:ind w:firstLine="0" w:firstLineChars="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.2-</w:t>
      </w:r>
      <w:r>
        <w:rPr>
          <w:rFonts w:hint="eastAsia" w:ascii="Times New Roman" w:hAnsi="Times New Roman"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 xml:space="preserve">    预测结果</w:t>
      </w:r>
    </w:p>
    <w:tbl>
      <w:tblPr>
        <w:tblStyle w:val="35"/>
        <w:tblW w:w="908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57"/>
        <w:gridCol w:w="1315"/>
        <w:gridCol w:w="1962"/>
        <w:gridCol w:w="1569"/>
        <w:gridCol w:w="1050"/>
        <w:gridCol w:w="1131"/>
      </w:tblGrid>
      <w:tr w14:paraId="4C4EEC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259B18F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污染源名称</w:t>
            </w:r>
          </w:p>
        </w:tc>
        <w:tc>
          <w:tcPr>
            <w:tcW w:w="1315" w:type="dxa"/>
            <w:vAlign w:val="center"/>
          </w:tcPr>
          <w:p w14:paraId="4C7860F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评价因子</w:t>
            </w:r>
          </w:p>
        </w:tc>
        <w:tc>
          <w:tcPr>
            <w:tcW w:w="1962" w:type="dxa"/>
            <w:vAlign w:val="center"/>
          </w:tcPr>
          <w:p w14:paraId="63690CC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评价标准</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μg/m³</w:t>
            </w:r>
            <w:r>
              <w:rPr>
                <w:rFonts w:hint="eastAsia" w:eastAsia="宋体" w:cs="Times New Roman"/>
                <w:color w:val="000000" w:themeColor="text1"/>
                <w:lang w:val="en-US" w:eastAsia="zh-CN"/>
                <w14:textFill>
                  <w14:solidFill>
                    <w14:schemeClr w14:val="tx1"/>
                  </w14:solidFill>
                </w14:textFill>
              </w:rPr>
              <w:t>）</w:t>
            </w:r>
          </w:p>
        </w:tc>
        <w:tc>
          <w:tcPr>
            <w:tcW w:w="1569" w:type="dxa"/>
            <w:vAlign w:val="center"/>
          </w:tcPr>
          <w:p w14:paraId="6619276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Cmax(μg/m³)</w:t>
            </w:r>
          </w:p>
        </w:tc>
        <w:tc>
          <w:tcPr>
            <w:tcW w:w="1050" w:type="dxa"/>
            <w:vAlign w:val="center"/>
          </w:tcPr>
          <w:p w14:paraId="18879FD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Pmax(%)</w:t>
            </w:r>
          </w:p>
        </w:tc>
        <w:tc>
          <w:tcPr>
            <w:tcW w:w="1131" w:type="dxa"/>
            <w:vAlign w:val="center"/>
          </w:tcPr>
          <w:p w14:paraId="09A598C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D10%(m)</w:t>
            </w:r>
          </w:p>
        </w:tc>
      </w:tr>
      <w:tr w14:paraId="338D07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75DADB3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矩形面源</w:t>
            </w:r>
          </w:p>
        </w:tc>
        <w:tc>
          <w:tcPr>
            <w:tcW w:w="1315" w:type="dxa"/>
            <w:vAlign w:val="center"/>
          </w:tcPr>
          <w:p w14:paraId="7650885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H2S</w:t>
            </w:r>
          </w:p>
        </w:tc>
        <w:tc>
          <w:tcPr>
            <w:tcW w:w="1962" w:type="dxa"/>
            <w:vAlign w:val="center"/>
          </w:tcPr>
          <w:p w14:paraId="55CF8EB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w:t>
            </w:r>
          </w:p>
        </w:tc>
        <w:tc>
          <w:tcPr>
            <w:tcW w:w="1569" w:type="dxa"/>
            <w:vAlign w:val="center"/>
          </w:tcPr>
          <w:p w14:paraId="760E28F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0.8124</w:t>
            </w:r>
          </w:p>
        </w:tc>
        <w:tc>
          <w:tcPr>
            <w:tcW w:w="1050" w:type="dxa"/>
            <w:vAlign w:val="center"/>
          </w:tcPr>
          <w:p w14:paraId="31B1AE9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8.1236</w:t>
            </w:r>
          </w:p>
        </w:tc>
        <w:tc>
          <w:tcPr>
            <w:tcW w:w="1131" w:type="dxa"/>
            <w:vAlign w:val="center"/>
          </w:tcPr>
          <w:p w14:paraId="13EFCDC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7CA303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72B9AA6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矩形面源</w:t>
            </w:r>
          </w:p>
        </w:tc>
        <w:tc>
          <w:tcPr>
            <w:tcW w:w="1315" w:type="dxa"/>
            <w:vAlign w:val="center"/>
          </w:tcPr>
          <w:p w14:paraId="6DCBAA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NH3</w:t>
            </w:r>
          </w:p>
        </w:tc>
        <w:tc>
          <w:tcPr>
            <w:tcW w:w="1962" w:type="dxa"/>
            <w:vAlign w:val="center"/>
          </w:tcPr>
          <w:p w14:paraId="66306FA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w:t>
            </w:r>
          </w:p>
        </w:tc>
        <w:tc>
          <w:tcPr>
            <w:tcW w:w="1569" w:type="dxa"/>
            <w:vAlign w:val="center"/>
          </w:tcPr>
          <w:p w14:paraId="6E6B219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8.1236</w:t>
            </w:r>
          </w:p>
        </w:tc>
        <w:tc>
          <w:tcPr>
            <w:tcW w:w="1050" w:type="dxa"/>
            <w:vAlign w:val="center"/>
          </w:tcPr>
          <w:p w14:paraId="3932314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4.0618</w:t>
            </w:r>
          </w:p>
        </w:tc>
        <w:tc>
          <w:tcPr>
            <w:tcW w:w="1131" w:type="dxa"/>
            <w:vAlign w:val="center"/>
          </w:tcPr>
          <w:p w14:paraId="256EB88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06DD48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2676F06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点源</w:t>
            </w:r>
          </w:p>
        </w:tc>
        <w:tc>
          <w:tcPr>
            <w:tcW w:w="1315" w:type="dxa"/>
            <w:vAlign w:val="center"/>
          </w:tcPr>
          <w:p w14:paraId="43C1783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PM10</w:t>
            </w:r>
          </w:p>
        </w:tc>
        <w:tc>
          <w:tcPr>
            <w:tcW w:w="1962" w:type="dxa"/>
            <w:vAlign w:val="center"/>
          </w:tcPr>
          <w:p w14:paraId="103D552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360.0</w:t>
            </w:r>
          </w:p>
        </w:tc>
        <w:tc>
          <w:tcPr>
            <w:tcW w:w="1569" w:type="dxa"/>
            <w:vAlign w:val="center"/>
          </w:tcPr>
          <w:p w14:paraId="2FBFEA8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1.6601</w:t>
            </w:r>
          </w:p>
        </w:tc>
        <w:tc>
          <w:tcPr>
            <w:tcW w:w="1050" w:type="dxa"/>
            <w:vAlign w:val="center"/>
          </w:tcPr>
          <w:p w14:paraId="7D0DD4C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0.4611</w:t>
            </w:r>
          </w:p>
        </w:tc>
        <w:tc>
          <w:tcPr>
            <w:tcW w:w="1131" w:type="dxa"/>
            <w:vAlign w:val="center"/>
          </w:tcPr>
          <w:p w14:paraId="29DF475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39A089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42B45E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点源</w:t>
            </w:r>
          </w:p>
        </w:tc>
        <w:tc>
          <w:tcPr>
            <w:tcW w:w="1315" w:type="dxa"/>
            <w:vAlign w:val="center"/>
          </w:tcPr>
          <w:p w14:paraId="7CBE803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SO2</w:t>
            </w:r>
          </w:p>
        </w:tc>
        <w:tc>
          <w:tcPr>
            <w:tcW w:w="1962" w:type="dxa"/>
            <w:vAlign w:val="center"/>
          </w:tcPr>
          <w:p w14:paraId="2BE7638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500.0</w:t>
            </w:r>
          </w:p>
        </w:tc>
        <w:tc>
          <w:tcPr>
            <w:tcW w:w="1569" w:type="dxa"/>
            <w:vAlign w:val="center"/>
          </w:tcPr>
          <w:p w14:paraId="4FF2F39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2.1028</w:t>
            </w:r>
          </w:p>
        </w:tc>
        <w:tc>
          <w:tcPr>
            <w:tcW w:w="1050" w:type="dxa"/>
            <w:vAlign w:val="center"/>
          </w:tcPr>
          <w:p w14:paraId="35FDC36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0.4206</w:t>
            </w:r>
          </w:p>
        </w:tc>
        <w:tc>
          <w:tcPr>
            <w:tcW w:w="1131" w:type="dxa"/>
            <w:vAlign w:val="center"/>
          </w:tcPr>
          <w:p w14:paraId="1C6A714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445380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2057" w:type="dxa"/>
            <w:vAlign w:val="center"/>
          </w:tcPr>
          <w:p w14:paraId="168E383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点源</w:t>
            </w:r>
          </w:p>
        </w:tc>
        <w:tc>
          <w:tcPr>
            <w:tcW w:w="1315" w:type="dxa"/>
            <w:vAlign w:val="center"/>
          </w:tcPr>
          <w:p w14:paraId="06D3782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NO2</w:t>
            </w:r>
          </w:p>
        </w:tc>
        <w:tc>
          <w:tcPr>
            <w:tcW w:w="1962" w:type="dxa"/>
            <w:vAlign w:val="center"/>
          </w:tcPr>
          <w:p w14:paraId="57FD706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w:t>
            </w:r>
          </w:p>
        </w:tc>
        <w:tc>
          <w:tcPr>
            <w:tcW w:w="1569" w:type="dxa"/>
            <w:vAlign w:val="center"/>
          </w:tcPr>
          <w:p w14:paraId="56CB4FA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7.8578</w:t>
            </w:r>
          </w:p>
        </w:tc>
        <w:tc>
          <w:tcPr>
            <w:tcW w:w="1050" w:type="dxa"/>
            <w:vAlign w:val="center"/>
          </w:tcPr>
          <w:p w14:paraId="27EBABE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3.9289</w:t>
            </w:r>
          </w:p>
        </w:tc>
        <w:tc>
          <w:tcPr>
            <w:tcW w:w="1131" w:type="dxa"/>
            <w:vAlign w:val="center"/>
          </w:tcPr>
          <w:p w14:paraId="385ED36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bl>
    <w:p w14:paraId="37BA578A">
      <w:pPr>
        <w:ind w:firstLine="0" w:firstLineChars="0"/>
        <w:jc w:val="center"/>
        <w:rPr>
          <w:rFonts w:hint="eastAsia" w:ascii="Times New Roman" w:hAnsi="Times New Roman" w:eastAsia="宋体" w:cs="Times New Roman"/>
          <w:b/>
          <w:bCs/>
          <w:color w:val="000000" w:themeColor="text1"/>
          <w:lang w:val="en-US" w:eastAsia="zh-CN"/>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.2-</w:t>
      </w:r>
      <w:r>
        <w:rPr>
          <w:rFonts w:hint="eastAsia" w:ascii="Times New Roman" w:hAnsi="Times New Roman" w:eastAsia="宋体" w:cs="Times New Roman"/>
          <w:b/>
          <w:bCs/>
          <w:color w:val="000000" w:themeColor="text1"/>
          <w:lang w:val="en-US" w:eastAsia="zh-CN"/>
          <w14:textFill>
            <w14:solidFill>
              <w14:schemeClr w14:val="tx1"/>
            </w14:solidFill>
          </w14:textFill>
        </w:rPr>
        <w:t>6</w:t>
      </w:r>
      <w:r>
        <w:rPr>
          <w:rFonts w:hint="eastAsia" w:eastAsia="宋体" w:cs="Times New Roman"/>
          <w:b/>
          <w:bCs/>
          <w:color w:val="000000" w:themeColor="text1"/>
          <w:lang w:val="en-US" w:eastAsia="zh-CN"/>
          <w14:textFill>
            <w14:solidFill>
              <w14:schemeClr w14:val="tx1"/>
            </w14:solidFill>
          </w14:textFill>
        </w:rPr>
        <w:t>计算详表</w:t>
      </w:r>
    </w:p>
    <w:tbl>
      <w:tblPr>
        <w:tblStyle w:val="35"/>
        <w:tblW w:w="908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18"/>
        <w:gridCol w:w="487"/>
        <w:gridCol w:w="868"/>
        <w:gridCol w:w="1029"/>
        <w:gridCol w:w="52"/>
        <w:gridCol w:w="1355"/>
        <w:gridCol w:w="440"/>
        <w:gridCol w:w="641"/>
        <w:gridCol w:w="1355"/>
        <w:gridCol w:w="12"/>
        <w:gridCol w:w="1627"/>
      </w:tblGrid>
      <w:tr w14:paraId="7C6735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Merge w:val="restart"/>
            <w:vAlign w:val="center"/>
          </w:tcPr>
          <w:p w14:paraId="4A84164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下风向距离</w:t>
            </w:r>
          </w:p>
        </w:tc>
        <w:tc>
          <w:tcPr>
            <w:tcW w:w="7379" w:type="dxa"/>
            <w:gridSpan w:val="9"/>
            <w:vAlign w:val="center"/>
          </w:tcPr>
          <w:p w14:paraId="3C89DF8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矩形面源</w:t>
            </w:r>
          </w:p>
        </w:tc>
      </w:tr>
      <w:tr w14:paraId="46407B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Merge w:val="continue"/>
            <w:vAlign w:val="center"/>
          </w:tcPr>
          <w:p w14:paraId="52A7C601">
            <w:pPr>
              <w:pStyle w:val="60"/>
              <w:rPr>
                <w:rFonts w:hint="eastAsia" w:ascii="Times New Roman" w:hAnsi="Times New Roman" w:eastAsia="宋体" w:cs="Times New Roman"/>
                <w:color w:val="000000" w:themeColor="text1"/>
                <w:lang w:val="en-US" w:eastAsia="zh-CN"/>
                <w14:textFill>
                  <w14:solidFill>
                    <w14:schemeClr w14:val="tx1"/>
                  </w14:solidFill>
                </w14:textFill>
              </w:rPr>
            </w:pPr>
          </w:p>
        </w:tc>
        <w:tc>
          <w:tcPr>
            <w:tcW w:w="1897" w:type="dxa"/>
            <w:gridSpan w:val="2"/>
            <w:vAlign w:val="center"/>
          </w:tcPr>
          <w:p w14:paraId="0236BDE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H2S浓度</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μg/m³</w:t>
            </w:r>
            <w:r>
              <w:rPr>
                <w:rFonts w:hint="eastAsia" w:eastAsia="宋体" w:cs="Times New Roman"/>
                <w:color w:val="000000" w:themeColor="text1"/>
                <w:lang w:val="en-US" w:eastAsia="zh-CN"/>
                <w14:textFill>
                  <w14:solidFill>
                    <w14:schemeClr w14:val="tx1"/>
                  </w14:solidFill>
                </w14:textFill>
              </w:rPr>
              <w:t>）</w:t>
            </w:r>
          </w:p>
        </w:tc>
        <w:tc>
          <w:tcPr>
            <w:tcW w:w="1847" w:type="dxa"/>
            <w:gridSpan w:val="3"/>
            <w:vAlign w:val="center"/>
          </w:tcPr>
          <w:p w14:paraId="09770FE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H2S占标率</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w:t>
            </w:r>
          </w:p>
        </w:tc>
        <w:tc>
          <w:tcPr>
            <w:tcW w:w="2008" w:type="dxa"/>
            <w:gridSpan w:val="3"/>
            <w:vAlign w:val="center"/>
          </w:tcPr>
          <w:p w14:paraId="42AAC7D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NH3浓度</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μg/m³</w:t>
            </w:r>
            <w:r>
              <w:rPr>
                <w:rFonts w:hint="eastAsia" w:eastAsia="宋体" w:cs="Times New Roman"/>
                <w:color w:val="000000" w:themeColor="text1"/>
                <w:lang w:val="en-US" w:eastAsia="zh-CN"/>
                <w14:textFill>
                  <w14:solidFill>
                    <w14:schemeClr w14:val="tx1"/>
                  </w14:solidFill>
                </w14:textFill>
              </w:rPr>
              <w:t>）</w:t>
            </w:r>
          </w:p>
        </w:tc>
        <w:tc>
          <w:tcPr>
            <w:tcW w:w="1627" w:type="dxa"/>
            <w:vAlign w:val="center"/>
          </w:tcPr>
          <w:p w14:paraId="0F7A5E4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NH3占标率</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w:t>
            </w:r>
          </w:p>
        </w:tc>
      </w:tr>
      <w:tr w14:paraId="53622B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7009180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50.0</w:t>
            </w:r>
          </w:p>
        </w:tc>
        <w:tc>
          <w:tcPr>
            <w:tcW w:w="1897" w:type="dxa"/>
            <w:gridSpan w:val="2"/>
            <w:vAlign w:val="center"/>
          </w:tcPr>
          <w:p w14:paraId="2E4EA2C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0.4743</w:t>
            </w:r>
          </w:p>
        </w:tc>
        <w:tc>
          <w:tcPr>
            <w:tcW w:w="1847" w:type="dxa"/>
            <w:gridSpan w:val="3"/>
            <w:vAlign w:val="center"/>
          </w:tcPr>
          <w:p w14:paraId="7A80E49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4.7433</w:t>
            </w:r>
          </w:p>
        </w:tc>
        <w:tc>
          <w:tcPr>
            <w:tcW w:w="2008" w:type="dxa"/>
            <w:gridSpan w:val="3"/>
            <w:vAlign w:val="center"/>
          </w:tcPr>
          <w:p w14:paraId="1B85248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4.7433</w:t>
            </w:r>
          </w:p>
        </w:tc>
        <w:tc>
          <w:tcPr>
            <w:tcW w:w="1627" w:type="dxa"/>
            <w:vAlign w:val="center"/>
          </w:tcPr>
          <w:p w14:paraId="79928B4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2.3717</w:t>
            </w:r>
          </w:p>
        </w:tc>
      </w:tr>
      <w:tr w14:paraId="7ABFAB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6D6383B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100.0</w:t>
            </w:r>
          </w:p>
        </w:tc>
        <w:tc>
          <w:tcPr>
            <w:tcW w:w="1897" w:type="dxa"/>
            <w:gridSpan w:val="2"/>
            <w:vAlign w:val="center"/>
          </w:tcPr>
          <w:p w14:paraId="26869E7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0.6028</w:t>
            </w:r>
          </w:p>
        </w:tc>
        <w:tc>
          <w:tcPr>
            <w:tcW w:w="1847" w:type="dxa"/>
            <w:gridSpan w:val="3"/>
            <w:vAlign w:val="center"/>
          </w:tcPr>
          <w:p w14:paraId="285FDFB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6.0275</w:t>
            </w:r>
          </w:p>
        </w:tc>
        <w:tc>
          <w:tcPr>
            <w:tcW w:w="2008" w:type="dxa"/>
            <w:gridSpan w:val="3"/>
            <w:vAlign w:val="center"/>
          </w:tcPr>
          <w:p w14:paraId="2A994AE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6.0275</w:t>
            </w:r>
          </w:p>
        </w:tc>
        <w:tc>
          <w:tcPr>
            <w:tcW w:w="1627" w:type="dxa"/>
            <w:vAlign w:val="center"/>
          </w:tcPr>
          <w:p w14:paraId="16AD68A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3.0138</w:t>
            </w:r>
          </w:p>
        </w:tc>
      </w:tr>
      <w:tr w14:paraId="4871ED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2EF85C2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w:t>
            </w:r>
          </w:p>
        </w:tc>
        <w:tc>
          <w:tcPr>
            <w:tcW w:w="1897" w:type="dxa"/>
            <w:gridSpan w:val="2"/>
            <w:vAlign w:val="center"/>
          </w:tcPr>
          <w:p w14:paraId="66548DE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0.7793</w:t>
            </w:r>
          </w:p>
        </w:tc>
        <w:tc>
          <w:tcPr>
            <w:tcW w:w="1847" w:type="dxa"/>
            <w:gridSpan w:val="3"/>
            <w:vAlign w:val="center"/>
          </w:tcPr>
          <w:p w14:paraId="7B67DD9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7.7931</w:t>
            </w:r>
          </w:p>
        </w:tc>
        <w:tc>
          <w:tcPr>
            <w:tcW w:w="2008" w:type="dxa"/>
            <w:gridSpan w:val="3"/>
            <w:vAlign w:val="center"/>
          </w:tcPr>
          <w:p w14:paraId="4A3F99C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7.7931</w:t>
            </w:r>
          </w:p>
        </w:tc>
        <w:tc>
          <w:tcPr>
            <w:tcW w:w="1627" w:type="dxa"/>
            <w:vAlign w:val="center"/>
          </w:tcPr>
          <w:p w14:paraId="23C04CE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3.8965</w:t>
            </w:r>
          </w:p>
        </w:tc>
      </w:tr>
      <w:tr w14:paraId="1146BA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056DBB8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300.0</w:t>
            </w:r>
          </w:p>
        </w:tc>
        <w:tc>
          <w:tcPr>
            <w:tcW w:w="1897" w:type="dxa"/>
            <w:gridSpan w:val="2"/>
            <w:vAlign w:val="center"/>
          </w:tcPr>
          <w:p w14:paraId="6A201BD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0.8082</w:t>
            </w:r>
          </w:p>
        </w:tc>
        <w:tc>
          <w:tcPr>
            <w:tcW w:w="1847" w:type="dxa"/>
            <w:gridSpan w:val="3"/>
            <w:vAlign w:val="center"/>
          </w:tcPr>
          <w:p w14:paraId="05C8E53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8.0818</w:t>
            </w:r>
          </w:p>
        </w:tc>
        <w:tc>
          <w:tcPr>
            <w:tcW w:w="2008" w:type="dxa"/>
            <w:gridSpan w:val="3"/>
            <w:vAlign w:val="center"/>
          </w:tcPr>
          <w:p w14:paraId="16C634B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8.0818</w:t>
            </w:r>
          </w:p>
        </w:tc>
        <w:tc>
          <w:tcPr>
            <w:tcW w:w="1627" w:type="dxa"/>
            <w:vAlign w:val="center"/>
          </w:tcPr>
          <w:p w14:paraId="228150E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4.0409</w:t>
            </w:r>
          </w:p>
        </w:tc>
      </w:tr>
      <w:tr w14:paraId="65677E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1BCD81E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400.0</w:t>
            </w:r>
          </w:p>
        </w:tc>
        <w:tc>
          <w:tcPr>
            <w:tcW w:w="1897" w:type="dxa"/>
            <w:gridSpan w:val="2"/>
            <w:vAlign w:val="center"/>
          </w:tcPr>
          <w:p w14:paraId="1CF3CED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0.8051</w:t>
            </w:r>
          </w:p>
        </w:tc>
        <w:tc>
          <w:tcPr>
            <w:tcW w:w="1847" w:type="dxa"/>
            <w:gridSpan w:val="3"/>
            <w:vAlign w:val="center"/>
          </w:tcPr>
          <w:p w14:paraId="19181CE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8.0511</w:t>
            </w:r>
          </w:p>
        </w:tc>
        <w:tc>
          <w:tcPr>
            <w:tcW w:w="2008" w:type="dxa"/>
            <w:gridSpan w:val="3"/>
            <w:vAlign w:val="center"/>
          </w:tcPr>
          <w:p w14:paraId="4C7077A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8.0511</w:t>
            </w:r>
          </w:p>
        </w:tc>
        <w:tc>
          <w:tcPr>
            <w:tcW w:w="1627" w:type="dxa"/>
            <w:vAlign w:val="center"/>
          </w:tcPr>
          <w:p w14:paraId="1C08110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4.0255</w:t>
            </w:r>
          </w:p>
        </w:tc>
      </w:tr>
      <w:tr w14:paraId="15ECE1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0C7A747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500.0</w:t>
            </w:r>
          </w:p>
        </w:tc>
        <w:tc>
          <w:tcPr>
            <w:tcW w:w="1897" w:type="dxa"/>
            <w:gridSpan w:val="2"/>
            <w:vAlign w:val="center"/>
          </w:tcPr>
          <w:p w14:paraId="688163F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0.7729</w:t>
            </w:r>
          </w:p>
        </w:tc>
        <w:tc>
          <w:tcPr>
            <w:tcW w:w="1847" w:type="dxa"/>
            <w:gridSpan w:val="3"/>
            <w:vAlign w:val="center"/>
          </w:tcPr>
          <w:p w14:paraId="693421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7.7294</w:t>
            </w:r>
          </w:p>
        </w:tc>
        <w:tc>
          <w:tcPr>
            <w:tcW w:w="2008" w:type="dxa"/>
            <w:gridSpan w:val="3"/>
            <w:vAlign w:val="center"/>
          </w:tcPr>
          <w:p w14:paraId="33B8187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7.7294</w:t>
            </w:r>
          </w:p>
        </w:tc>
        <w:tc>
          <w:tcPr>
            <w:tcW w:w="1627" w:type="dxa"/>
            <w:vAlign w:val="center"/>
          </w:tcPr>
          <w:p w14:paraId="4F59423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3.8647</w:t>
            </w:r>
          </w:p>
        </w:tc>
      </w:tr>
      <w:tr w14:paraId="7247F5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04A708E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600.0</w:t>
            </w:r>
          </w:p>
        </w:tc>
        <w:tc>
          <w:tcPr>
            <w:tcW w:w="1897" w:type="dxa"/>
            <w:gridSpan w:val="2"/>
            <w:vAlign w:val="center"/>
          </w:tcPr>
          <w:p w14:paraId="2192CD2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0.7305</w:t>
            </w:r>
          </w:p>
        </w:tc>
        <w:tc>
          <w:tcPr>
            <w:tcW w:w="1847" w:type="dxa"/>
            <w:gridSpan w:val="3"/>
            <w:vAlign w:val="center"/>
          </w:tcPr>
          <w:p w14:paraId="376D53D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7.3051</w:t>
            </w:r>
          </w:p>
        </w:tc>
        <w:tc>
          <w:tcPr>
            <w:tcW w:w="2008" w:type="dxa"/>
            <w:gridSpan w:val="3"/>
            <w:vAlign w:val="center"/>
          </w:tcPr>
          <w:p w14:paraId="191DD95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7.3051</w:t>
            </w:r>
          </w:p>
        </w:tc>
        <w:tc>
          <w:tcPr>
            <w:tcW w:w="1627" w:type="dxa"/>
            <w:vAlign w:val="center"/>
          </w:tcPr>
          <w:p w14:paraId="101D2AE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3.6526</w:t>
            </w:r>
          </w:p>
        </w:tc>
      </w:tr>
      <w:tr w14:paraId="35D434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1E3E925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700.0</w:t>
            </w:r>
          </w:p>
        </w:tc>
        <w:tc>
          <w:tcPr>
            <w:tcW w:w="1897" w:type="dxa"/>
            <w:gridSpan w:val="2"/>
            <w:vAlign w:val="center"/>
          </w:tcPr>
          <w:p w14:paraId="5645799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0.6850</w:t>
            </w:r>
          </w:p>
        </w:tc>
        <w:tc>
          <w:tcPr>
            <w:tcW w:w="1847" w:type="dxa"/>
            <w:gridSpan w:val="3"/>
            <w:vAlign w:val="center"/>
          </w:tcPr>
          <w:p w14:paraId="6C7D6F8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6.8504</w:t>
            </w:r>
          </w:p>
        </w:tc>
        <w:tc>
          <w:tcPr>
            <w:tcW w:w="2008" w:type="dxa"/>
            <w:gridSpan w:val="3"/>
            <w:vAlign w:val="center"/>
          </w:tcPr>
          <w:p w14:paraId="760E454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6.8504</w:t>
            </w:r>
          </w:p>
        </w:tc>
        <w:tc>
          <w:tcPr>
            <w:tcW w:w="1627" w:type="dxa"/>
            <w:vAlign w:val="center"/>
          </w:tcPr>
          <w:p w14:paraId="2597C30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3.4252</w:t>
            </w:r>
          </w:p>
        </w:tc>
      </w:tr>
      <w:tr w14:paraId="214E70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2FAFB80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800.0</w:t>
            </w:r>
          </w:p>
        </w:tc>
        <w:tc>
          <w:tcPr>
            <w:tcW w:w="1897" w:type="dxa"/>
            <w:gridSpan w:val="2"/>
            <w:vAlign w:val="center"/>
          </w:tcPr>
          <w:p w14:paraId="37B6725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0.6415</w:t>
            </w:r>
          </w:p>
        </w:tc>
        <w:tc>
          <w:tcPr>
            <w:tcW w:w="1847" w:type="dxa"/>
            <w:gridSpan w:val="3"/>
            <w:vAlign w:val="center"/>
          </w:tcPr>
          <w:p w14:paraId="6B0BFC9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6.4148</w:t>
            </w:r>
          </w:p>
        </w:tc>
        <w:tc>
          <w:tcPr>
            <w:tcW w:w="2008" w:type="dxa"/>
            <w:gridSpan w:val="3"/>
            <w:vAlign w:val="center"/>
          </w:tcPr>
          <w:p w14:paraId="3F14E76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6.4148</w:t>
            </w:r>
          </w:p>
        </w:tc>
        <w:tc>
          <w:tcPr>
            <w:tcW w:w="1627" w:type="dxa"/>
            <w:vAlign w:val="center"/>
          </w:tcPr>
          <w:p w14:paraId="1647690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3.2074</w:t>
            </w:r>
          </w:p>
        </w:tc>
      </w:tr>
      <w:tr w14:paraId="41451A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543AF8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900.0</w:t>
            </w:r>
          </w:p>
        </w:tc>
        <w:tc>
          <w:tcPr>
            <w:tcW w:w="1897" w:type="dxa"/>
            <w:gridSpan w:val="2"/>
            <w:vAlign w:val="center"/>
          </w:tcPr>
          <w:p w14:paraId="2F0A42F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0.6007</w:t>
            </w:r>
          </w:p>
        </w:tc>
        <w:tc>
          <w:tcPr>
            <w:tcW w:w="1847" w:type="dxa"/>
            <w:gridSpan w:val="3"/>
            <w:vAlign w:val="center"/>
          </w:tcPr>
          <w:p w14:paraId="4096FE0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6.0073</w:t>
            </w:r>
          </w:p>
        </w:tc>
        <w:tc>
          <w:tcPr>
            <w:tcW w:w="2008" w:type="dxa"/>
            <w:gridSpan w:val="3"/>
            <w:vAlign w:val="center"/>
          </w:tcPr>
          <w:p w14:paraId="513FBA7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6.0073</w:t>
            </w:r>
          </w:p>
        </w:tc>
        <w:tc>
          <w:tcPr>
            <w:tcW w:w="1627" w:type="dxa"/>
            <w:vAlign w:val="center"/>
          </w:tcPr>
          <w:p w14:paraId="0BFB1AE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3.0037</w:t>
            </w:r>
          </w:p>
        </w:tc>
      </w:tr>
      <w:tr w14:paraId="20EDFA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F98DD5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1000.0</w:t>
            </w:r>
          </w:p>
        </w:tc>
        <w:tc>
          <w:tcPr>
            <w:tcW w:w="1897" w:type="dxa"/>
            <w:gridSpan w:val="2"/>
            <w:vAlign w:val="center"/>
          </w:tcPr>
          <w:p w14:paraId="3A2522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0.5653</w:t>
            </w:r>
          </w:p>
        </w:tc>
        <w:tc>
          <w:tcPr>
            <w:tcW w:w="1847" w:type="dxa"/>
            <w:gridSpan w:val="3"/>
            <w:vAlign w:val="center"/>
          </w:tcPr>
          <w:p w14:paraId="3CCE5E7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5.6531</w:t>
            </w:r>
          </w:p>
        </w:tc>
        <w:tc>
          <w:tcPr>
            <w:tcW w:w="2008" w:type="dxa"/>
            <w:gridSpan w:val="3"/>
            <w:vAlign w:val="center"/>
          </w:tcPr>
          <w:p w14:paraId="5234951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5.6531</w:t>
            </w:r>
          </w:p>
        </w:tc>
        <w:tc>
          <w:tcPr>
            <w:tcW w:w="1627" w:type="dxa"/>
            <w:vAlign w:val="center"/>
          </w:tcPr>
          <w:p w14:paraId="6D8E84E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2.8266</w:t>
            </w:r>
          </w:p>
        </w:tc>
      </w:tr>
      <w:tr w14:paraId="6A377E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3B7E1E1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1200.0</w:t>
            </w:r>
          </w:p>
        </w:tc>
        <w:tc>
          <w:tcPr>
            <w:tcW w:w="1897" w:type="dxa"/>
            <w:gridSpan w:val="2"/>
            <w:vAlign w:val="center"/>
          </w:tcPr>
          <w:p w14:paraId="712D8EA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0.5057</w:t>
            </w:r>
          </w:p>
        </w:tc>
        <w:tc>
          <w:tcPr>
            <w:tcW w:w="1847" w:type="dxa"/>
            <w:gridSpan w:val="3"/>
            <w:vAlign w:val="center"/>
          </w:tcPr>
          <w:p w14:paraId="748A889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5.0570</w:t>
            </w:r>
          </w:p>
        </w:tc>
        <w:tc>
          <w:tcPr>
            <w:tcW w:w="2008" w:type="dxa"/>
            <w:gridSpan w:val="3"/>
            <w:vAlign w:val="center"/>
          </w:tcPr>
          <w:p w14:paraId="4CFDD7B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5.0570</w:t>
            </w:r>
          </w:p>
        </w:tc>
        <w:tc>
          <w:tcPr>
            <w:tcW w:w="1627" w:type="dxa"/>
            <w:vAlign w:val="center"/>
          </w:tcPr>
          <w:p w14:paraId="0F7D42D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2.5285</w:t>
            </w:r>
          </w:p>
        </w:tc>
      </w:tr>
      <w:tr w14:paraId="4920B2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3B52CF5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1400.0</w:t>
            </w:r>
          </w:p>
        </w:tc>
        <w:tc>
          <w:tcPr>
            <w:tcW w:w="1897" w:type="dxa"/>
            <w:gridSpan w:val="2"/>
            <w:vAlign w:val="center"/>
          </w:tcPr>
          <w:p w14:paraId="5FC9F41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0.4660</w:t>
            </w:r>
          </w:p>
        </w:tc>
        <w:tc>
          <w:tcPr>
            <w:tcW w:w="1847" w:type="dxa"/>
            <w:gridSpan w:val="3"/>
            <w:vAlign w:val="center"/>
          </w:tcPr>
          <w:p w14:paraId="5C0EE2E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4.6601</w:t>
            </w:r>
          </w:p>
        </w:tc>
        <w:tc>
          <w:tcPr>
            <w:tcW w:w="2008" w:type="dxa"/>
            <w:gridSpan w:val="3"/>
            <w:vAlign w:val="center"/>
          </w:tcPr>
          <w:p w14:paraId="2C32EDC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4.6601</w:t>
            </w:r>
          </w:p>
        </w:tc>
        <w:tc>
          <w:tcPr>
            <w:tcW w:w="1627" w:type="dxa"/>
            <w:vAlign w:val="center"/>
          </w:tcPr>
          <w:p w14:paraId="11805B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2.3300</w:t>
            </w:r>
          </w:p>
        </w:tc>
      </w:tr>
      <w:tr w14:paraId="7BC471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155996F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1600.0</w:t>
            </w:r>
          </w:p>
        </w:tc>
        <w:tc>
          <w:tcPr>
            <w:tcW w:w="1897" w:type="dxa"/>
            <w:gridSpan w:val="2"/>
            <w:vAlign w:val="center"/>
          </w:tcPr>
          <w:p w14:paraId="77C65B9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0.4356</w:t>
            </w:r>
          </w:p>
        </w:tc>
        <w:tc>
          <w:tcPr>
            <w:tcW w:w="1847" w:type="dxa"/>
            <w:gridSpan w:val="3"/>
            <w:vAlign w:val="center"/>
          </w:tcPr>
          <w:p w14:paraId="28739DB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4.3562</w:t>
            </w:r>
          </w:p>
        </w:tc>
        <w:tc>
          <w:tcPr>
            <w:tcW w:w="2008" w:type="dxa"/>
            <w:gridSpan w:val="3"/>
            <w:vAlign w:val="center"/>
          </w:tcPr>
          <w:p w14:paraId="722D733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4.3562</w:t>
            </w:r>
          </w:p>
        </w:tc>
        <w:tc>
          <w:tcPr>
            <w:tcW w:w="1627" w:type="dxa"/>
            <w:vAlign w:val="center"/>
          </w:tcPr>
          <w:p w14:paraId="3F00B42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2.1781</w:t>
            </w:r>
          </w:p>
        </w:tc>
      </w:tr>
      <w:tr w14:paraId="5134C9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5CF6ED9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1800.0</w:t>
            </w:r>
          </w:p>
        </w:tc>
        <w:tc>
          <w:tcPr>
            <w:tcW w:w="1897" w:type="dxa"/>
            <w:gridSpan w:val="2"/>
            <w:vAlign w:val="center"/>
          </w:tcPr>
          <w:p w14:paraId="6C6E8C9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0.4081</w:t>
            </w:r>
          </w:p>
        </w:tc>
        <w:tc>
          <w:tcPr>
            <w:tcW w:w="1847" w:type="dxa"/>
            <w:gridSpan w:val="3"/>
            <w:vAlign w:val="center"/>
          </w:tcPr>
          <w:p w14:paraId="4611DF6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4.0808</w:t>
            </w:r>
          </w:p>
        </w:tc>
        <w:tc>
          <w:tcPr>
            <w:tcW w:w="2008" w:type="dxa"/>
            <w:gridSpan w:val="3"/>
            <w:vAlign w:val="center"/>
          </w:tcPr>
          <w:p w14:paraId="2D5BF77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4.0808</w:t>
            </w:r>
          </w:p>
        </w:tc>
        <w:tc>
          <w:tcPr>
            <w:tcW w:w="1627" w:type="dxa"/>
            <w:vAlign w:val="center"/>
          </w:tcPr>
          <w:p w14:paraId="29322FD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2.0404</w:t>
            </w:r>
          </w:p>
        </w:tc>
      </w:tr>
      <w:tr w14:paraId="3429F9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E11D0B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2000.0</w:t>
            </w:r>
          </w:p>
        </w:tc>
        <w:tc>
          <w:tcPr>
            <w:tcW w:w="1897" w:type="dxa"/>
            <w:gridSpan w:val="2"/>
            <w:vAlign w:val="center"/>
          </w:tcPr>
          <w:p w14:paraId="33097E2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0.3831</w:t>
            </w:r>
          </w:p>
        </w:tc>
        <w:tc>
          <w:tcPr>
            <w:tcW w:w="1847" w:type="dxa"/>
            <w:gridSpan w:val="3"/>
            <w:vAlign w:val="center"/>
          </w:tcPr>
          <w:p w14:paraId="3BA4C50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3.8310</w:t>
            </w:r>
          </w:p>
        </w:tc>
        <w:tc>
          <w:tcPr>
            <w:tcW w:w="2008" w:type="dxa"/>
            <w:gridSpan w:val="3"/>
            <w:vAlign w:val="center"/>
          </w:tcPr>
          <w:p w14:paraId="7BCAFA2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3.8310</w:t>
            </w:r>
          </w:p>
        </w:tc>
        <w:tc>
          <w:tcPr>
            <w:tcW w:w="1627" w:type="dxa"/>
            <w:vAlign w:val="center"/>
          </w:tcPr>
          <w:p w14:paraId="6FC304A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1.9155</w:t>
            </w:r>
          </w:p>
        </w:tc>
      </w:tr>
      <w:tr w14:paraId="326013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4A9461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2500.0</w:t>
            </w:r>
          </w:p>
        </w:tc>
        <w:tc>
          <w:tcPr>
            <w:tcW w:w="1897" w:type="dxa"/>
            <w:gridSpan w:val="2"/>
            <w:vAlign w:val="center"/>
          </w:tcPr>
          <w:p w14:paraId="1752C18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0.3309</w:t>
            </w:r>
          </w:p>
        </w:tc>
        <w:tc>
          <w:tcPr>
            <w:tcW w:w="1847" w:type="dxa"/>
            <w:gridSpan w:val="3"/>
            <w:vAlign w:val="center"/>
          </w:tcPr>
          <w:p w14:paraId="243D906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3.3088</w:t>
            </w:r>
          </w:p>
        </w:tc>
        <w:tc>
          <w:tcPr>
            <w:tcW w:w="2008" w:type="dxa"/>
            <w:gridSpan w:val="3"/>
            <w:vAlign w:val="center"/>
          </w:tcPr>
          <w:p w14:paraId="62FCEC0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3.3088</w:t>
            </w:r>
          </w:p>
        </w:tc>
        <w:tc>
          <w:tcPr>
            <w:tcW w:w="1627" w:type="dxa"/>
            <w:vAlign w:val="center"/>
          </w:tcPr>
          <w:p w14:paraId="2E7E0C4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1.6544</w:t>
            </w:r>
          </w:p>
        </w:tc>
      </w:tr>
      <w:tr w14:paraId="69738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20B29C9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3000.0</w:t>
            </w:r>
          </w:p>
        </w:tc>
        <w:tc>
          <w:tcPr>
            <w:tcW w:w="1897" w:type="dxa"/>
            <w:gridSpan w:val="2"/>
            <w:vAlign w:val="center"/>
          </w:tcPr>
          <w:p w14:paraId="456554D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0.2895</w:t>
            </w:r>
          </w:p>
        </w:tc>
        <w:tc>
          <w:tcPr>
            <w:tcW w:w="1847" w:type="dxa"/>
            <w:gridSpan w:val="3"/>
            <w:vAlign w:val="center"/>
          </w:tcPr>
          <w:p w14:paraId="49A0733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2.8954</w:t>
            </w:r>
          </w:p>
        </w:tc>
        <w:tc>
          <w:tcPr>
            <w:tcW w:w="2008" w:type="dxa"/>
            <w:gridSpan w:val="3"/>
            <w:vAlign w:val="center"/>
          </w:tcPr>
          <w:p w14:paraId="2F131F6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2.8954</w:t>
            </w:r>
          </w:p>
        </w:tc>
        <w:tc>
          <w:tcPr>
            <w:tcW w:w="1627" w:type="dxa"/>
            <w:vAlign w:val="center"/>
          </w:tcPr>
          <w:p w14:paraId="5039695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1.4477</w:t>
            </w:r>
          </w:p>
        </w:tc>
      </w:tr>
      <w:tr w14:paraId="698AF6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699238D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3500.0</w:t>
            </w:r>
          </w:p>
        </w:tc>
        <w:tc>
          <w:tcPr>
            <w:tcW w:w="1897" w:type="dxa"/>
            <w:gridSpan w:val="2"/>
            <w:vAlign w:val="center"/>
          </w:tcPr>
          <w:p w14:paraId="18CBB61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0.2567</w:t>
            </w:r>
          </w:p>
        </w:tc>
        <w:tc>
          <w:tcPr>
            <w:tcW w:w="1847" w:type="dxa"/>
            <w:gridSpan w:val="3"/>
            <w:vAlign w:val="center"/>
          </w:tcPr>
          <w:p w14:paraId="3D918C2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2.5675</w:t>
            </w:r>
          </w:p>
        </w:tc>
        <w:tc>
          <w:tcPr>
            <w:tcW w:w="2008" w:type="dxa"/>
            <w:gridSpan w:val="3"/>
            <w:vAlign w:val="center"/>
          </w:tcPr>
          <w:p w14:paraId="1D98F18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2.5675</w:t>
            </w:r>
          </w:p>
        </w:tc>
        <w:tc>
          <w:tcPr>
            <w:tcW w:w="1627" w:type="dxa"/>
            <w:vAlign w:val="center"/>
          </w:tcPr>
          <w:p w14:paraId="0AA74B8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1.2837</w:t>
            </w:r>
          </w:p>
        </w:tc>
      </w:tr>
      <w:tr w14:paraId="36AAE8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60B1E8D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4000.0</w:t>
            </w:r>
          </w:p>
        </w:tc>
        <w:tc>
          <w:tcPr>
            <w:tcW w:w="1897" w:type="dxa"/>
            <w:gridSpan w:val="2"/>
            <w:vAlign w:val="center"/>
          </w:tcPr>
          <w:p w14:paraId="32B0990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0.2315</w:t>
            </w:r>
          </w:p>
        </w:tc>
        <w:tc>
          <w:tcPr>
            <w:tcW w:w="1847" w:type="dxa"/>
            <w:gridSpan w:val="3"/>
            <w:vAlign w:val="center"/>
          </w:tcPr>
          <w:p w14:paraId="2877612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2.3152</w:t>
            </w:r>
          </w:p>
        </w:tc>
        <w:tc>
          <w:tcPr>
            <w:tcW w:w="2008" w:type="dxa"/>
            <w:gridSpan w:val="3"/>
            <w:vAlign w:val="center"/>
          </w:tcPr>
          <w:p w14:paraId="7A83949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2.3152</w:t>
            </w:r>
          </w:p>
        </w:tc>
        <w:tc>
          <w:tcPr>
            <w:tcW w:w="1627" w:type="dxa"/>
            <w:vAlign w:val="center"/>
          </w:tcPr>
          <w:p w14:paraId="127BD49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1.1576</w:t>
            </w:r>
          </w:p>
        </w:tc>
      </w:tr>
      <w:tr w14:paraId="4F8F25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2258A09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4500.0</w:t>
            </w:r>
          </w:p>
        </w:tc>
        <w:tc>
          <w:tcPr>
            <w:tcW w:w="1897" w:type="dxa"/>
            <w:gridSpan w:val="2"/>
            <w:vAlign w:val="center"/>
          </w:tcPr>
          <w:p w14:paraId="16B3737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0.2108</w:t>
            </w:r>
          </w:p>
        </w:tc>
        <w:tc>
          <w:tcPr>
            <w:tcW w:w="1847" w:type="dxa"/>
            <w:gridSpan w:val="3"/>
            <w:vAlign w:val="center"/>
          </w:tcPr>
          <w:p w14:paraId="548D1CC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2.1080</w:t>
            </w:r>
          </w:p>
        </w:tc>
        <w:tc>
          <w:tcPr>
            <w:tcW w:w="2008" w:type="dxa"/>
            <w:gridSpan w:val="3"/>
            <w:vAlign w:val="center"/>
          </w:tcPr>
          <w:p w14:paraId="4744FD3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2.1080</w:t>
            </w:r>
          </w:p>
        </w:tc>
        <w:tc>
          <w:tcPr>
            <w:tcW w:w="1627" w:type="dxa"/>
            <w:vAlign w:val="center"/>
          </w:tcPr>
          <w:p w14:paraId="645FA67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1.0540</w:t>
            </w:r>
          </w:p>
        </w:tc>
      </w:tr>
      <w:tr w14:paraId="635B62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2EE94C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5000.0</w:t>
            </w:r>
          </w:p>
        </w:tc>
        <w:tc>
          <w:tcPr>
            <w:tcW w:w="1897" w:type="dxa"/>
            <w:gridSpan w:val="2"/>
            <w:vAlign w:val="center"/>
          </w:tcPr>
          <w:p w14:paraId="07922F5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0.1963</w:t>
            </w:r>
          </w:p>
        </w:tc>
        <w:tc>
          <w:tcPr>
            <w:tcW w:w="1847" w:type="dxa"/>
            <w:gridSpan w:val="3"/>
            <w:vAlign w:val="center"/>
          </w:tcPr>
          <w:p w14:paraId="0BE6309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1.9629</w:t>
            </w:r>
          </w:p>
        </w:tc>
        <w:tc>
          <w:tcPr>
            <w:tcW w:w="2008" w:type="dxa"/>
            <w:gridSpan w:val="3"/>
            <w:vAlign w:val="center"/>
          </w:tcPr>
          <w:p w14:paraId="4041852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1.9629</w:t>
            </w:r>
          </w:p>
        </w:tc>
        <w:tc>
          <w:tcPr>
            <w:tcW w:w="1627" w:type="dxa"/>
            <w:vAlign w:val="center"/>
          </w:tcPr>
          <w:p w14:paraId="063BFE8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0.9815</w:t>
            </w:r>
          </w:p>
        </w:tc>
      </w:tr>
      <w:tr w14:paraId="5B9D49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5AD6B2B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10000.0</w:t>
            </w:r>
          </w:p>
        </w:tc>
        <w:tc>
          <w:tcPr>
            <w:tcW w:w="1897" w:type="dxa"/>
            <w:gridSpan w:val="2"/>
            <w:vAlign w:val="center"/>
          </w:tcPr>
          <w:p w14:paraId="082CBC3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0.1119</w:t>
            </w:r>
          </w:p>
        </w:tc>
        <w:tc>
          <w:tcPr>
            <w:tcW w:w="1847" w:type="dxa"/>
            <w:gridSpan w:val="3"/>
            <w:vAlign w:val="center"/>
          </w:tcPr>
          <w:p w14:paraId="34D12AF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1.1187</w:t>
            </w:r>
          </w:p>
        </w:tc>
        <w:tc>
          <w:tcPr>
            <w:tcW w:w="2008" w:type="dxa"/>
            <w:gridSpan w:val="3"/>
            <w:vAlign w:val="center"/>
          </w:tcPr>
          <w:p w14:paraId="71CFACD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1.1187</w:t>
            </w:r>
          </w:p>
        </w:tc>
        <w:tc>
          <w:tcPr>
            <w:tcW w:w="1627" w:type="dxa"/>
            <w:vAlign w:val="center"/>
          </w:tcPr>
          <w:p w14:paraId="0596E0A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0.5594</w:t>
            </w:r>
          </w:p>
        </w:tc>
      </w:tr>
      <w:tr w14:paraId="33091C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79771E5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11000.0</w:t>
            </w:r>
          </w:p>
        </w:tc>
        <w:tc>
          <w:tcPr>
            <w:tcW w:w="1897" w:type="dxa"/>
            <w:gridSpan w:val="2"/>
            <w:vAlign w:val="center"/>
          </w:tcPr>
          <w:p w14:paraId="7481C28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0.1036</w:t>
            </w:r>
          </w:p>
        </w:tc>
        <w:tc>
          <w:tcPr>
            <w:tcW w:w="1847" w:type="dxa"/>
            <w:gridSpan w:val="3"/>
            <w:vAlign w:val="center"/>
          </w:tcPr>
          <w:p w14:paraId="28E2DB2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1.0361</w:t>
            </w:r>
          </w:p>
        </w:tc>
        <w:tc>
          <w:tcPr>
            <w:tcW w:w="2008" w:type="dxa"/>
            <w:gridSpan w:val="3"/>
            <w:vAlign w:val="center"/>
          </w:tcPr>
          <w:p w14:paraId="24E0C73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1.0361</w:t>
            </w:r>
          </w:p>
        </w:tc>
        <w:tc>
          <w:tcPr>
            <w:tcW w:w="1627" w:type="dxa"/>
            <w:vAlign w:val="center"/>
          </w:tcPr>
          <w:p w14:paraId="348104D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0.5181</w:t>
            </w:r>
          </w:p>
        </w:tc>
      </w:tr>
      <w:tr w14:paraId="1BC259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E86AA1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12000.0</w:t>
            </w:r>
          </w:p>
        </w:tc>
        <w:tc>
          <w:tcPr>
            <w:tcW w:w="1897" w:type="dxa"/>
            <w:gridSpan w:val="2"/>
            <w:vAlign w:val="center"/>
          </w:tcPr>
          <w:p w14:paraId="1CE5C6F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0.0964</w:t>
            </w:r>
          </w:p>
        </w:tc>
        <w:tc>
          <w:tcPr>
            <w:tcW w:w="1847" w:type="dxa"/>
            <w:gridSpan w:val="3"/>
            <w:vAlign w:val="center"/>
          </w:tcPr>
          <w:p w14:paraId="7AF6356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0.9639</w:t>
            </w:r>
          </w:p>
        </w:tc>
        <w:tc>
          <w:tcPr>
            <w:tcW w:w="2008" w:type="dxa"/>
            <w:gridSpan w:val="3"/>
            <w:vAlign w:val="center"/>
          </w:tcPr>
          <w:p w14:paraId="78F13C5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0.9639</w:t>
            </w:r>
          </w:p>
        </w:tc>
        <w:tc>
          <w:tcPr>
            <w:tcW w:w="1627" w:type="dxa"/>
            <w:vAlign w:val="center"/>
          </w:tcPr>
          <w:p w14:paraId="313A864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0.4820</w:t>
            </w:r>
          </w:p>
        </w:tc>
      </w:tr>
      <w:tr w14:paraId="7B605A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7E9899A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13000.0</w:t>
            </w:r>
          </w:p>
        </w:tc>
        <w:tc>
          <w:tcPr>
            <w:tcW w:w="1897" w:type="dxa"/>
            <w:gridSpan w:val="2"/>
            <w:vAlign w:val="center"/>
          </w:tcPr>
          <w:p w14:paraId="7F8FF16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0.0902</w:t>
            </w:r>
          </w:p>
        </w:tc>
        <w:tc>
          <w:tcPr>
            <w:tcW w:w="1847" w:type="dxa"/>
            <w:gridSpan w:val="3"/>
            <w:vAlign w:val="center"/>
          </w:tcPr>
          <w:p w14:paraId="3790CBD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0.9017</w:t>
            </w:r>
          </w:p>
        </w:tc>
        <w:tc>
          <w:tcPr>
            <w:tcW w:w="2008" w:type="dxa"/>
            <w:gridSpan w:val="3"/>
            <w:vAlign w:val="center"/>
          </w:tcPr>
          <w:p w14:paraId="3E2D42E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0.9017</w:t>
            </w:r>
          </w:p>
        </w:tc>
        <w:tc>
          <w:tcPr>
            <w:tcW w:w="1627" w:type="dxa"/>
            <w:vAlign w:val="center"/>
          </w:tcPr>
          <w:p w14:paraId="63BAAD2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0.4508</w:t>
            </w:r>
          </w:p>
        </w:tc>
      </w:tr>
      <w:tr w14:paraId="708A22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FF2214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14000.0</w:t>
            </w:r>
          </w:p>
        </w:tc>
        <w:tc>
          <w:tcPr>
            <w:tcW w:w="1897" w:type="dxa"/>
            <w:gridSpan w:val="2"/>
            <w:vAlign w:val="center"/>
          </w:tcPr>
          <w:p w14:paraId="2C0A423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0.0848</w:t>
            </w:r>
          </w:p>
        </w:tc>
        <w:tc>
          <w:tcPr>
            <w:tcW w:w="1847" w:type="dxa"/>
            <w:gridSpan w:val="3"/>
            <w:vAlign w:val="center"/>
          </w:tcPr>
          <w:p w14:paraId="36A65FF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0.8478</w:t>
            </w:r>
          </w:p>
        </w:tc>
        <w:tc>
          <w:tcPr>
            <w:tcW w:w="2008" w:type="dxa"/>
            <w:gridSpan w:val="3"/>
            <w:vAlign w:val="center"/>
          </w:tcPr>
          <w:p w14:paraId="111F1C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0.8478</w:t>
            </w:r>
          </w:p>
        </w:tc>
        <w:tc>
          <w:tcPr>
            <w:tcW w:w="1627" w:type="dxa"/>
            <w:vAlign w:val="center"/>
          </w:tcPr>
          <w:p w14:paraId="4D22ECF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0.4239</w:t>
            </w:r>
          </w:p>
        </w:tc>
      </w:tr>
      <w:tr w14:paraId="7730B5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09FF40D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15000.0</w:t>
            </w:r>
          </w:p>
        </w:tc>
        <w:tc>
          <w:tcPr>
            <w:tcW w:w="1897" w:type="dxa"/>
            <w:gridSpan w:val="2"/>
            <w:vAlign w:val="center"/>
          </w:tcPr>
          <w:p w14:paraId="4F509EE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0.0801</w:t>
            </w:r>
          </w:p>
        </w:tc>
        <w:tc>
          <w:tcPr>
            <w:tcW w:w="1847" w:type="dxa"/>
            <w:gridSpan w:val="3"/>
            <w:vAlign w:val="center"/>
          </w:tcPr>
          <w:p w14:paraId="53871B4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0.8012</w:t>
            </w:r>
          </w:p>
        </w:tc>
        <w:tc>
          <w:tcPr>
            <w:tcW w:w="2008" w:type="dxa"/>
            <w:gridSpan w:val="3"/>
            <w:vAlign w:val="center"/>
          </w:tcPr>
          <w:p w14:paraId="159AE86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0.8012</w:t>
            </w:r>
          </w:p>
        </w:tc>
        <w:tc>
          <w:tcPr>
            <w:tcW w:w="1627" w:type="dxa"/>
            <w:vAlign w:val="center"/>
          </w:tcPr>
          <w:p w14:paraId="7C0934D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0.4006</w:t>
            </w:r>
          </w:p>
        </w:tc>
      </w:tr>
      <w:tr w14:paraId="5506F5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631778B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20000.0</w:t>
            </w:r>
          </w:p>
        </w:tc>
        <w:tc>
          <w:tcPr>
            <w:tcW w:w="1897" w:type="dxa"/>
            <w:gridSpan w:val="2"/>
            <w:vAlign w:val="center"/>
          </w:tcPr>
          <w:p w14:paraId="53FACB1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0.0631</w:t>
            </w:r>
          </w:p>
        </w:tc>
        <w:tc>
          <w:tcPr>
            <w:tcW w:w="1847" w:type="dxa"/>
            <w:gridSpan w:val="3"/>
            <w:vAlign w:val="center"/>
          </w:tcPr>
          <w:p w14:paraId="4373483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0.6315</w:t>
            </w:r>
          </w:p>
        </w:tc>
        <w:tc>
          <w:tcPr>
            <w:tcW w:w="2008" w:type="dxa"/>
            <w:gridSpan w:val="3"/>
            <w:vAlign w:val="center"/>
          </w:tcPr>
          <w:p w14:paraId="0793959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0.6315</w:t>
            </w:r>
          </w:p>
        </w:tc>
        <w:tc>
          <w:tcPr>
            <w:tcW w:w="1627" w:type="dxa"/>
            <w:vAlign w:val="center"/>
          </w:tcPr>
          <w:p w14:paraId="04B9F9C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0.3157</w:t>
            </w:r>
          </w:p>
        </w:tc>
      </w:tr>
      <w:tr w14:paraId="6B5F57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497A29C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25000.0</w:t>
            </w:r>
          </w:p>
        </w:tc>
        <w:tc>
          <w:tcPr>
            <w:tcW w:w="1897" w:type="dxa"/>
            <w:gridSpan w:val="2"/>
            <w:vAlign w:val="center"/>
          </w:tcPr>
          <w:p w14:paraId="7D5B724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0.0521</w:t>
            </w:r>
          </w:p>
        </w:tc>
        <w:tc>
          <w:tcPr>
            <w:tcW w:w="1847" w:type="dxa"/>
            <w:gridSpan w:val="3"/>
            <w:vAlign w:val="center"/>
          </w:tcPr>
          <w:p w14:paraId="72BF7F8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0.5206</w:t>
            </w:r>
          </w:p>
        </w:tc>
        <w:tc>
          <w:tcPr>
            <w:tcW w:w="2008" w:type="dxa"/>
            <w:gridSpan w:val="3"/>
            <w:vAlign w:val="center"/>
          </w:tcPr>
          <w:p w14:paraId="493A139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0.5206</w:t>
            </w:r>
          </w:p>
        </w:tc>
        <w:tc>
          <w:tcPr>
            <w:tcW w:w="1627" w:type="dxa"/>
            <w:vAlign w:val="center"/>
          </w:tcPr>
          <w:p w14:paraId="5BA7CE1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0.2603</w:t>
            </w:r>
          </w:p>
        </w:tc>
      </w:tr>
      <w:tr w14:paraId="366656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1128DEA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下风向最大浓度</w:t>
            </w:r>
          </w:p>
        </w:tc>
        <w:tc>
          <w:tcPr>
            <w:tcW w:w="1897" w:type="dxa"/>
            <w:gridSpan w:val="2"/>
            <w:vAlign w:val="center"/>
          </w:tcPr>
          <w:p w14:paraId="1BDAEAD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0.8124</w:t>
            </w:r>
          </w:p>
        </w:tc>
        <w:tc>
          <w:tcPr>
            <w:tcW w:w="1847" w:type="dxa"/>
            <w:gridSpan w:val="3"/>
            <w:vAlign w:val="center"/>
          </w:tcPr>
          <w:p w14:paraId="7C18969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8.1236</w:t>
            </w:r>
          </w:p>
        </w:tc>
        <w:tc>
          <w:tcPr>
            <w:tcW w:w="2008" w:type="dxa"/>
            <w:gridSpan w:val="3"/>
            <w:vAlign w:val="center"/>
          </w:tcPr>
          <w:p w14:paraId="479C37E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8.1236</w:t>
            </w:r>
          </w:p>
        </w:tc>
        <w:tc>
          <w:tcPr>
            <w:tcW w:w="1627" w:type="dxa"/>
            <w:vAlign w:val="center"/>
          </w:tcPr>
          <w:p w14:paraId="1AE7FA8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4.0618</w:t>
            </w:r>
          </w:p>
        </w:tc>
      </w:tr>
      <w:tr w14:paraId="21C78C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511C837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下风向最大浓度出现距离</w:t>
            </w:r>
          </w:p>
        </w:tc>
        <w:tc>
          <w:tcPr>
            <w:tcW w:w="1897" w:type="dxa"/>
            <w:gridSpan w:val="2"/>
            <w:vAlign w:val="center"/>
          </w:tcPr>
          <w:p w14:paraId="7EB4D23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348.0</w:t>
            </w:r>
          </w:p>
        </w:tc>
        <w:tc>
          <w:tcPr>
            <w:tcW w:w="1847" w:type="dxa"/>
            <w:gridSpan w:val="3"/>
            <w:vAlign w:val="center"/>
          </w:tcPr>
          <w:p w14:paraId="3DEAC71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348.0</w:t>
            </w:r>
          </w:p>
        </w:tc>
        <w:tc>
          <w:tcPr>
            <w:tcW w:w="2008" w:type="dxa"/>
            <w:gridSpan w:val="3"/>
            <w:vAlign w:val="center"/>
          </w:tcPr>
          <w:p w14:paraId="3401B8B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348.0</w:t>
            </w:r>
          </w:p>
        </w:tc>
        <w:tc>
          <w:tcPr>
            <w:tcW w:w="1627" w:type="dxa"/>
            <w:vAlign w:val="center"/>
          </w:tcPr>
          <w:p w14:paraId="004E437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348.0</w:t>
            </w:r>
          </w:p>
        </w:tc>
      </w:tr>
      <w:tr w14:paraId="6087CC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705" w:type="dxa"/>
            <w:gridSpan w:val="2"/>
            <w:vAlign w:val="center"/>
          </w:tcPr>
          <w:p w14:paraId="1B47E94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D10%最远距离</w:t>
            </w:r>
          </w:p>
        </w:tc>
        <w:tc>
          <w:tcPr>
            <w:tcW w:w="1897" w:type="dxa"/>
            <w:gridSpan w:val="2"/>
            <w:vAlign w:val="center"/>
          </w:tcPr>
          <w:p w14:paraId="0DDEAAC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1847" w:type="dxa"/>
            <w:gridSpan w:val="3"/>
            <w:vAlign w:val="center"/>
          </w:tcPr>
          <w:p w14:paraId="2217549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2008" w:type="dxa"/>
            <w:gridSpan w:val="3"/>
            <w:vAlign w:val="center"/>
          </w:tcPr>
          <w:p w14:paraId="3576E36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1627" w:type="dxa"/>
            <w:vAlign w:val="center"/>
          </w:tcPr>
          <w:p w14:paraId="7B003BA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5B7AF0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Merge w:val="restart"/>
            <w:vAlign w:val="center"/>
          </w:tcPr>
          <w:p w14:paraId="5685B30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下风向距离</w:t>
            </w:r>
          </w:p>
        </w:tc>
        <w:tc>
          <w:tcPr>
            <w:tcW w:w="7866" w:type="dxa"/>
            <w:gridSpan w:val="10"/>
            <w:vAlign w:val="center"/>
          </w:tcPr>
          <w:p w14:paraId="2CDD385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DA001点源</w:t>
            </w:r>
          </w:p>
        </w:tc>
      </w:tr>
      <w:tr w14:paraId="1C6D23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Merge w:val="continue"/>
            <w:vAlign w:val="center"/>
          </w:tcPr>
          <w:p w14:paraId="6EE8FB7C">
            <w:pPr>
              <w:pStyle w:val="60"/>
              <w:rPr>
                <w:rFonts w:hint="eastAsia" w:ascii="Times New Roman" w:hAnsi="Times New Roman" w:eastAsia="宋体" w:cs="Times New Roman"/>
                <w:color w:val="000000" w:themeColor="text1"/>
                <w:lang w:val="en-US" w:eastAsia="zh-CN"/>
                <w14:textFill>
                  <w14:solidFill>
                    <w14:schemeClr w14:val="tx1"/>
                  </w14:solidFill>
                </w14:textFill>
              </w:rPr>
            </w:pPr>
          </w:p>
        </w:tc>
        <w:tc>
          <w:tcPr>
            <w:tcW w:w="1355" w:type="dxa"/>
            <w:gridSpan w:val="2"/>
            <w:vAlign w:val="center"/>
          </w:tcPr>
          <w:p w14:paraId="226AEE7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PM10浓度</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μg/m³</w:t>
            </w:r>
            <w:r>
              <w:rPr>
                <w:rFonts w:hint="eastAsia" w:eastAsia="宋体" w:cs="Times New Roman"/>
                <w:color w:val="000000" w:themeColor="text1"/>
                <w:lang w:val="en-US" w:eastAsia="zh-CN"/>
                <w14:textFill>
                  <w14:solidFill>
                    <w14:schemeClr w14:val="tx1"/>
                  </w14:solidFill>
                </w14:textFill>
              </w:rPr>
              <w:t>）</w:t>
            </w:r>
          </w:p>
        </w:tc>
        <w:tc>
          <w:tcPr>
            <w:tcW w:w="1081" w:type="dxa"/>
            <w:gridSpan w:val="2"/>
            <w:vAlign w:val="center"/>
          </w:tcPr>
          <w:p w14:paraId="14AC9A0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PM10占标率</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w:t>
            </w:r>
          </w:p>
        </w:tc>
        <w:tc>
          <w:tcPr>
            <w:tcW w:w="1355" w:type="dxa"/>
            <w:vAlign w:val="center"/>
          </w:tcPr>
          <w:p w14:paraId="6446704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SO2浓度</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μg/m³</w:t>
            </w:r>
            <w:r>
              <w:rPr>
                <w:rFonts w:hint="eastAsia" w:eastAsia="宋体" w:cs="Times New Roman"/>
                <w:color w:val="000000" w:themeColor="text1"/>
                <w:lang w:val="en-US" w:eastAsia="zh-CN"/>
                <w14:textFill>
                  <w14:solidFill>
                    <w14:schemeClr w14:val="tx1"/>
                  </w14:solidFill>
                </w14:textFill>
              </w:rPr>
              <w:t>）</w:t>
            </w:r>
          </w:p>
        </w:tc>
        <w:tc>
          <w:tcPr>
            <w:tcW w:w="1081" w:type="dxa"/>
            <w:gridSpan w:val="2"/>
            <w:vAlign w:val="center"/>
          </w:tcPr>
          <w:p w14:paraId="34592D6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SO2占标率</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w:t>
            </w:r>
          </w:p>
        </w:tc>
        <w:tc>
          <w:tcPr>
            <w:tcW w:w="1355" w:type="dxa"/>
            <w:vAlign w:val="center"/>
          </w:tcPr>
          <w:p w14:paraId="6A1471E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NO2浓度</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μg/m³</w:t>
            </w:r>
            <w:r>
              <w:rPr>
                <w:rFonts w:hint="eastAsia" w:eastAsia="宋体" w:cs="Times New Roman"/>
                <w:color w:val="000000" w:themeColor="text1"/>
                <w:lang w:val="en-US" w:eastAsia="zh-CN"/>
                <w14:textFill>
                  <w14:solidFill>
                    <w14:schemeClr w14:val="tx1"/>
                  </w14:solidFill>
                </w14:textFill>
              </w:rPr>
              <w:t>）</w:t>
            </w:r>
          </w:p>
        </w:tc>
        <w:tc>
          <w:tcPr>
            <w:tcW w:w="1639" w:type="dxa"/>
            <w:gridSpan w:val="2"/>
            <w:vAlign w:val="center"/>
          </w:tcPr>
          <w:p w14:paraId="77A0545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NO2占标率</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w:t>
            </w:r>
          </w:p>
        </w:tc>
      </w:tr>
      <w:tr w14:paraId="3DA71B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3C4A57A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50.0</w:t>
            </w:r>
          </w:p>
        </w:tc>
        <w:tc>
          <w:tcPr>
            <w:tcW w:w="1355" w:type="dxa"/>
            <w:gridSpan w:val="2"/>
            <w:vAlign w:val="center"/>
          </w:tcPr>
          <w:p w14:paraId="6E1EA40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0.5477</w:t>
            </w:r>
          </w:p>
        </w:tc>
        <w:tc>
          <w:tcPr>
            <w:tcW w:w="1081" w:type="dxa"/>
            <w:gridSpan w:val="2"/>
            <w:vAlign w:val="center"/>
          </w:tcPr>
          <w:p w14:paraId="14006A7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0.1521</w:t>
            </w:r>
          </w:p>
        </w:tc>
        <w:tc>
          <w:tcPr>
            <w:tcW w:w="1355" w:type="dxa"/>
            <w:vAlign w:val="center"/>
          </w:tcPr>
          <w:p w14:paraId="24FF9AF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0.6938</w:t>
            </w:r>
          </w:p>
        </w:tc>
        <w:tc>
          <w:tcPr>
            <w:tcW w:w="1081" w:type="dxa"/>
            <w:gridSpan w:val="2"/>
            <w:vAlign w:val="center"/>
          </w:tcPr>
          <w:p w14:paraId="696B63D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0.1388</w:t>
            </w:r>
          </w:p>
        </w:tc>
        <w:tc>
          <w:tcPr>
            <w:tcW w:w="1355" w:type="dxa"/>
            <w:vAlign w:val="center"/>
          </w:tcPr>
          <w:p w14:paraId="60493F9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2.5925</w:t>
            </w:r>
          </w:p>
        </w:tc>
        <w:tc>
          <w:tcPr>
            <w:tcW w:w="1639" w:type="dxa"/>
            <w:gridSpan w:val="2"/>
            <w:vAlign w:val="center"/>
          </w:tcPr>
          <w:p w14:paraId="672FC31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1.2963</w:t>
            </w:r>
          </w:p>
        </w:tc>
      </w:tr>
      <w:tr w14:paraId="4EECDB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3D5D854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100.0</w:t>
            </w:r>
          </w:p>
        </w:tc>
        <w:tc>
          <w:tcPr>
            <w:tcW w:w="1355" w:type="dxa"/>
            <w:gridSpan w:val="2"/>
            <w:vAlign w:val="center"/>
          </w:tcPr>
          <w:p w14:paraId="0C1BD89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1.2203</w:t>
            </w:r>
          </w:p>
        </w:tc>
        <w:tc>
          <w:tcPr>
            <w:tcW w:w="1081" w:type="dxa"/>
            <w:gridSpan w:val="2"/>
            <w:vAlign w:val="center"/>
          </w:tcPr>
          <w:p w14:paraId="710539E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0.3390</w:t>
            </w:r>
          </w:p>
        </w:tc>
        <w:tc>
          <w:tcPr>
            <w:tcW w:w="1355" w:type="dxa"/>
            <w:vAlign w:val="center"/>
          </w:tcPr>
          <w:p w14:paraId="3E817F0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1.5457</w:t>
            </w:r>
          </w:p>
        </w:tc>
        <w:tc>
          <w:tcPr>
            <w:tcW w:w="1081" w:type="dxa"/>
            <w:gridSpan w:val="2"/>
            <w:vAlign w:val="center"/>
          </w:tcPr>
          <w:p w14:paraId="70E32A5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0.3091</w:t>
            </w:r>
          </w:p>
        </w:tc>
        <w:tc>
          <w:tcPr>
            <w:tcW w:w="1355" w:type="dxa"/>
            <w:vAlign w:val="center"/>
          </w:tcPr>
          <w:p w14:paraId="63F8128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5.7761</w:t>
            </w:r>
          </w:p>
        </w:tc>
        <w:tc>
          <w:tcPr>
            <w:tcW w:w="1639" w:type="dxa"/>
            <w:gridSpan w:val="2"/>
            <w:vAlign w:val="center"/>
          </w:tcPr>
          <w:p w14:paraId="444F537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2.8880</w:t>
            </w:r>
          </w:p>
        </w:tc>
      </w:tr>
      <w:tr w14:paraId="5E8D82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6F2CF87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w:t>
            </w:r>
          </w:p>
        </w:tc>
        <w:tc>
          <w:tcPr>
            <w:tcW w:w="1355" w:type="dxa"/>
            <w:gridSpan w:val="2"/>
            <w:vAlign w:val="center"/>
          </w:tcPr>
          <w:p w14:paraId="2A6293C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1.5447</w:t>
            </w:r>
          </w:p>
        </w:tc>
        <w:tc>
          <w:tcPr>
            <w:tcW w:w="1081" w:type="dxa"/>
            <w:gridSpan w:val="2"/>
            <w:vAlign w:val="center"/>
          </w:tcPr>
          <w:p w14:paraId="71D4B3A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0.4291</w:t>
            </w:r>
          </w:p>
        </w:tc>
        <w:tc>
          <w:tcPr>
            <w:tcW w:w="1355" w:type="dxa"/>
            <w:vAlign w:val="center"/>
          </w:tcPr>
          <w:p w14:paraId="487DB81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1.9566</w:t>
            </w:r>
          </w:p>
        </w:tc>
        <w:tc>
          <w:tcPr>
            <w:tcW w:w="1081" w:type="dxa"/>
            <w:gridSpan w:val="2"/>
            <w:vAlign w:val="center"/>
          </w:tcPr>
          <w:p w14:paraId="6417EA5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0.3913</w:t>
            </w:r>
          </w:p>
        </w:tc>
        <w:tc>
          <w:tcPr>
            <w:tcW w:w="1355" w:type="dxa"/>
            <w:vAlign w:val="center"/>
          </w:tcPr>
          <w:p w14:paraId="7BA9062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7.3116</w:t>
            </w:r>
          </w:p>
        </w:tc>
        <w:tc>
          <w:tcPr>
            <w:tcW w:w="1639" w:type="dxa"/>
            <w:gridSpan w:val="2"/>
            <w:vAlign w:val="center"/>
          </w:tcPr>
          <w:p w14:paraId="0E92565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3.6558</w:t>
            </w:r>
          </w:p>
        </w:tc>
      </w:tr>
      <w:tr w14:paraId="13A506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7F21CB4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300.0</w:t>
            </w:r>
          </w:p>
        </w:tc>
        <w:tc>
          <w:tcPr>
            <w:tcW w:w="1355" w:type="dxa"/>
            <w:gridSpan w:val="2"/>
            <w:vAlign w:val="center"/>
          </w:tcPr>
          <w:p w14:paraId="0D21A8E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1.1639</w:t>
            </w:r>
          </w:p>
        </w:tc>
        <w:tc>
          <w:tcPr>
            <w:tcW w:w="1081" w:type="dxa"/>
            <w:gridSpan w:val="2"/>
            <w:vAlign w:val="center"/>
          </w:tcPr>
          <w:p w14:paraId="72B51FA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0.3233</w:t>
            </w:r>
          </w:p>
        </w:tc>
        <w:tc>
          <w:tcPr>
            <w:tcW w:w="1355" w:type="dxa"/>
            <w:vAlign w:val="center"/>
          </w:tcPr>
          <w:p w14:paraId="36CDA6D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1.4743</w:t>
            </w:r>
          </w:p>
        </w:tc>
        <w:tc>
          <w:tcPr>
            <w:tcW w:w="1081" w:type="dxa"/>
            <w:gridSpan w:val="2"/>
            <w:vAlign w:val="center"/>
          </w:tcPr>
          <w:p w14:paraId="4D7F662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0.2949</w:t>
            </w:r>
          </w:p>
        </w:tc>
        <w:tc>
          <w:tcPr>
            <w:tcW w:w="1355" w:type="dxa"/>
            <w:vAlign w:val="center"/>
          </w:tcPr>
          <w:p w14:paraId="745251E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5.5091</w:t>
            </w:r>
          </w:p>
        </w:tc>
        <w:tc>
          <w:tcPr>
            <w:tcW w:w="1639" w:type="dxa"/>
            <w:gridSpan w:val="2"/>
            <w:vAlign w:val="center"/>
          </w:tcPr>
          <w:p w14:paraId="3E903AA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2.7546</w:t>
            </w:r>
          </w:p>
        </w:tc>
      </w:tr>
      <w:tr w14:paraId="455191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7AFB4CA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400.0</w:t>
            </w:r>
          </w:p>
        </w:tc>
        <w:tc>
          <w:tcPr>
            <w:tcW w:w="1355" w:type="dxa"/>
            <w:gridSpan w:val="2"/>
            <w:vAlign w:val="center"/>
          </w:tcPr>
          <w:p w14:paraId="76ED3E1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0.9903</w:t>
            </w:r>
          </w:p>
        </w:tc>
        <w:tc>
          <w:tcPr>
            <w:tcW w:w="1081" w:type="dxa"/>
            <w:gridSpan w:val="2"/>
            <w:vAlign w:val="center"/>
          </w:tcPr>
          <w:p w14:paraId="57C8B2E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0.2751</w:t>
            </w:r>
          </w:p>
        </w:tc>
        <w:tc>
          <w:tcPr>
            <w:tcW w:w="1355" w:type="dxa"/>
            <w:vAlign w:val="center"/>
          </w:tcPr>
          <w:p w14:paraId="652DEC7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1.2544</w:t>
            </w:r>
          </w:p>
        </w:tc>
        <w:tc>
          <w:tcPr>
            <w:tcW w:w="1081" w:type="dxa"/>
            <w:gridSpan w:val="2"/>
            <w:vAlign w:val="center"/>
          </w:tcPr>
          <w:p w14:paraId="4FD5866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0.2509</w:t>
            </w:r>
          </w:p>
        </w:tc>
        <w:tc>
          <w:tcPr>
            <w:tcW w:w="1355" w:type="dxa"/>
            <w:vAlign w:val="center"/>
          </w:tcPr>
          <w:p w14:paraId="10E1FF0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4.6877</w:t>
            </w:r>
          </w:p>
        </w:tc>
        <w:tc>
          <w:tcPr>
            <w:tcW w:w="1639" w:type="dxa"/>
            <w:gridSpan w:val="2"/>
            <w:vAlign w:val="center"/>
          </w:tcPr>
          <w:p w14:paraId="16E4CAA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2.3438</w:t>
            </w:r>
          </w:p>
        </w:tc>
      </w:tr>
      <w:tr w14:paraId="2033FC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49562B5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500.0</w:t>
            </w:r>
          </w:p>
        </w:tc>
        <w:tc>
          <w:tcPr>
            <w:tcW w:w="1355" w:type="dxa"/>
            <w:gridSpan w:val="2"/>
            <w:vAlign w:val="center"/>
          </w:tcPr>
          <w:p w14:paraId="693B576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0.8304</w:t>
            </w:r>
          </w:p>
        </w:tc>
        <w:tc>
          <w:tcPr>
            <w:tcW w:w="1081" w:type="dxa"/>
            <w:gridSpan w:val="2"/>
            <w:vAlign w:val="center"/>
          </w:tcPr>
          <w:p w14:paraId="31FD468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0.2307</w:t>
            </w:r>
          </w:p>
        </w:tc>
        <w:tc>
          <w:tcPr>
            <w:tcW w:w="1355" w:type="dxa"/>
            <w:vAlign w:val="center"/>
          </w:tcPr>
          <w:p w14:paraId="48B8EE9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1.0518</w:t>
            </w:r>
          </w:p>
        </w:tc>
        <w:tc>
          <w:tcPr>
            <w:tcW w:w="1081" w:type="dxa"/>
            <w:gridSpan w:val="2"/>
            <w:vAlign w:val="center"/>
          </w:tcPr>
          <w:p w14:paraId="1536905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0.2104</w:t>
            </w:r>
          </w:p>
        </w:tc>
        <w:tc>
          <w:tcPr>
            <w:tcW w:w="1355" w:type="dxa"/>
            <w:vAlign w:val="center"/>
          </w:tcPr>
          <w:p w14:paraId="77970CA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3.9303</w:t>
            </w:r>
          </w:p>
        </w:tc>
        <w:tc>
          <w:tcPr>
            <w:tcW w:w="1639" w:type="dxa"/>
            <w:gridSpan w:val="2"/>
            <w:vAlign w:val="center"/>
          </w:tcPr>
          <w:p w14:paraId="2655EBF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1.9652</w:t>
            </w:r>
          </w:p>
        </w:tc>
      </w:tr>
      <w:tr w14:paraId="56595E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7C32B7F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600.0</w:t>
            </w:r>
          </w:p>
        </w:tc>
        <w:tc>
          <w:tcPr>
            <w:tcW w:w="1355" w:type="dxa"/>
            <w:gridSpan w:val="2"/>
            <w:vAlign w:val="center"/>
          </w:tcPr>
          <w:p w14:paraId="2F483F7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0.7042</w:t>
            </w:r>
          </w:p>
        </w:tc>
        <w:tc>
          <w:tcPr>
            <w:tcW w:w="1081" w:type="dxa"/>
            <w:gridSpan w:val="2"/>
            <w:vAlign w:val="center"/>
          </w:tcPr>
          <w:p w14:paraId="785AF7B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0.1956</w:t>
            </w:r>
          </w:p>
        </w:tc>
        <w:tc>
          <w:tcPr>
            <w:tcW w:w="1355" w:type="dxa"/>
            <w:vAlign w:val="center"/>
          </w:tcPr>
          <w:p w14:paraId="2C5B666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0.8920</w:t>
            </w:r>
          </w:p>
        </w:tc>
        <w:tc>
          <w:tcPr>
            <w:tcW w:w="1081" w:type="dxa"/>
            <w:gridSpan w:val="2"/>
            <w:vAlign w:val="center"/>
          </w:tcPr>
          <w:p w14:paraId="311F66F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0.1784</w:t>
            </w:r>
          </w:p>
        </w:tc>
        <w:tc>
          <w:tcPr>
            <w:tcW w:w="1355" w:type="dxa"/>
            <w:vAlign w:val="center"/>
          </w:tcPr>
          <w:p w14:paraId="1725076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3.3333</w:t>
            </w:r>
          </w:p>
        </w:tc>
        <w:tc>
          <w:tcPr>
            <w:tcW w:w="1639" w:type="dxa"/>
            <w:gridSpan w:val="2"/>
            <w:vAlign w:val="center"/>
          </w:tcPr>
          <w:p w14:paraId="781D11C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1.6667</w:t>
            </w:r>
          </w:p>
        </w:tc>
      </w:tr>
      <w:tr w14:paraId="64253C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7253550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700.0</w:t>
            </w:r>
          </w:p>
        </w:tc>
        <w:tc>
          <w:tcPr>
            <w:tcW w:w="1355" w:type="dxa"/>
            <w:gridSpan w:val="2"/>
            <w:vAlign w:val="center"/>
          </w:tcPr>
          <w:p w14:paraId="1D941A4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0.6083</w:t>
            </w:r>
          </w:p>
        </w:tc>
        <w:tc>
          <w:tcPr>
            <w:tcW w:w="1081" w:type="dxa"/>
            <w:gridSpan w:val="2"/>
            <w:vAlign w:val="center"/>
          </w:tcPr>
          <w:p w14:paraId="23C33E1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0.1690</w:t>
            </w:r>
          </w:p>
        </w:tc>
        <w:tc>
          <w:tcPr>
            <w:tcW w:w="1355" w:type="dxa"/>
            <w:vAlign w:val="center"/>
          </w:tcPr>
          <w:p w14:paraId="11CED40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0.7705</w:t>
            </w:r>
          </w:p>
        </w:tc>
        <w:tc>
          <w:tcPr>
            <w:tcW w:w="1081" w:type="dxa"/>
            <w:gridSpan w:val="2"/>
            <w:vAlign w:val="center"/>
          </w:tcPr>
          <w:p w14:paraId="08B2C31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0.1541</w:t>
            </w:r>
          </w:p>
        </w:tc>
        <w:tc>
          <w:tcPr>
            <w:tcW w:w="1355" w:type="dxa"/>
            <w:vAlign w:val="center"/>
          </w:tcPr>
          <w:p w14:paraId="055E437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2.8792</w:t>
            </w:r>
          </w:p>
        </w:tc>
        <w:tc>
          <w:tcPr>
            <w:tcW w:w="1639" w:type="dxa"/>
            <w:gridSpan w:val="2"/>
            <w:vAlign w:val="center"/>
          </w:tcPr>
          <w:p w14:paraId="3A69DBA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1.4396</w:t>
            </w:r>
          </w:p>
        </w:tc>
      </w:tr>
      <w:tr w14:paraId="4EFD08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37EEB8A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800.0</w:t>
            </w:r>
          </w:p>
        </w:tc>
        <w:tc>
          <w:tcPr>
            <w:tcW w:w="1355" w:type="dxa"/>
            <w:gridSpan w:val="2"/>
            <w:vAlign w:val="center"/>
          </w:tcPr>
          <w:p w14:paraId="42F0726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0.5308</w:t>
            </w:r>
          </w:p>
        </w:tc>
        <w:tc>
          <w:tcPr>
            <w:tcW w:w="1081" w:type="dxa"/>
            <w:gridSpan w:val="2"/>
            <w:vAlign w:val="center"/>
          </w:tcPr>
          <w:p w14:paraId="619CB57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0.1474</w:t>
            </w:r>
          </w:p>
        </w:tc>
        <w:tc>
          <w:tcPr>
            <w:tcW w:w="1355" w:type="dxa"/>
            <w:vAlign w:val="center"/>
          </w:tcPr>
          <w:p w14:paraId="40CBF3D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0.6723</w:t>
            </w:r>
          </w:p>
        </w:tc>
        <w:tc>
          <w:tcPr>
            <w:tcW w:w="1081" w:type="dxa"/>
            <w:gridSpan w:val="2"/>
            <w:vAlign w:val="center"/>
          </w:tcPr>
          <w:p w14:paraId="792DA44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0.1345</w:t>
            </w:r>
          </w:p>
        </w:tc>
        <w:tc>
          <w:tcPr>
            <w:tcW w:w="1355" w:type="dxa"/>
            <w:vAlign w:val="center"/>
          </w:tcPr>
          <w:p w14:paraId="20C3550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2.5124</w:t>
            </w:r>
          </w:p>
        </w:tc>
        <w:tc>
          <w:tcPr>
            <w:tcW w:w="1639" w:type="dxa"/>
            <w:gridSpan w:val="2"/>
            <w:vAlign w:val="center"/>
          </w:tcPr>
          <w:p w14:paraId="6AED2CA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1.2562</w:t>
            </w:r>
          </w:p>
        </w:tc>
      </w:tr>
      <w:tr w14:paraId="76568C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5AF5E1C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900.0</w:t>
            </w:r>
          </w:p>
        </w:tc>
        <w:tc>
          <w:tcPr>
            <w:tcW w:w="1355" w:type="dxa"/>
            <w:gridSpan w:val="2"/>
            <w:vAlign w:val="center"/>
          </w:tcPr>
          <w:p w14:paraId="31F525E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0.4965</w:t>
            </w:r>
          </w:p>
        </w:tc>
        <w:tc>
          <w:tcPr>
            <w:tcW w:w="1081" w:type="dxa"/>
            <w:gridSpan w:val="2"/>
            <w:vAlign w:val="center"/>
          </w:tcPr>
          <w:p w14:paraId="514ABC8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0.1379</w:t>
            </w:r>
          </w:p>
        </w:tc>
        <w:tc>
          <w:tcPr>
            <w:tcW w:w="1355" w:type="dxa"/>
            <w:vAlign w:val="center"/>
          </w:tcPr>
          <w:p w14:paraId="413C7BD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0.6289</w:t>
            </w:r>
          </w:p>
        </w:tc>
        <w:tc>
          <w:tcPr>
            <w:tcW w:w="1081" w:type="dxa"/>
            <w:gridSpan w:val="2"/>
            <w:vAlign w:val="center"/>
          </w:tcPr>
          <w:p w14:paraId="7F50C4E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0.1258</w:t>
            </w:r>
          </w:p>
        </w:tc>
        <w:tc>
          <w:tcPr>
            <w:tcW w:w="1355" w:type="dxa"/>
            <w:vAlign w:val="center"/>
          </w:tcPr>
          <w:p w14:paraId="3DAFBA6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2.3500</w:t>
            </w:r>
          </w:p>
        </w:tc>
        <w:tc>
          <w:tcPr>
            <w:tcW w:w="1639" w:type="dxa"/>
            <w:gridSpan w:val="2"/>
            <w:vAlign w:val="center"/>
          </w:tcPr>
          <w:p w14:paraId="16D8CDC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1.1750</w:t>
            </w:r>
          </w:p>
        </w:tc>
      </w:tr>
      <w:tr w14:paraId="7A9BE7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7388F41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1000.0</w:t>
            </w:r>
          </w:p>
        </w:tc>
        <w:tc>
          <w:tcPr>
            <w:tcW w:w="1355" w:type="dxa"/>
            <w:gridSpan w:val="2"/>
            <w:vAlign w:val="center"/>
          </w:tcPr>
          <w:p w14:paraId="0764FC4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0.4921</w:t>
            </w:r>
          </w:p>
        </w:tc>
        <w:tc>
          <w:tcPr>
            <w:tcW w:w="1081" w:type="dxa"/>
            <w:gridSpan w:val="2"/>
            <w:vAlign w:val="center"/>
          </w:tcPr>
          <w:p w14:paraId="2EA3BD9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0.1367</w:t>
            </w:r>
          </w:p>
        </w:tc>
        <w:tc>
          <w:tcPr>
            <w:tcW w:w="1355" w:type="dxa"/>
            <w:vAlign w:val="center"/>
          </w:tcPr>
          <w:p w14:paraId="72AEA5F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0.6233</w:t>
            </w:r>
          </w:p>
        </w:tc>
        <w:tc>
          <w:tcPr>
            <w:tcW w:w="1081" w:type="dxa"/>
            <w:gridSpan w:val="2"/>
            <w:vAlign w:val="center"/>
          </w:tcPr>
          <w:p w14:paraId="3F4D6F1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0.1247</w:t>
            </w:r>
          </w:p>
        </w:tc>
        <w:tc>
          <w:tcPr>
            <w:tcW w:w="1355" w:type="dxa"/>
            <w:vAlign w:val="center"/>
          </w:tcPr>
          <w:p w14:paraId="0BB9887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2.3292</w:t>
            </w:r>
          </w:p>
        </w:tc>
        <w:tc>
          <w:tcPr>
            <w:tcW w:w="1639" w:type="dxa"/>
            <w:gridSpan w:val="2"/>
            <w:vAlign w:val="center"/>
          </w:tcPr>
          <w:p w14:paraId="063C276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1.1646</w:t>
            </w:r>
          </w:p>
        </w:tc>
      </w:tr>
      <w:tr w14:paraId="4176CB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155E73B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1200.0</w:t>
            </w:r>
          </w:p>
        </w:tc>
        <w:tc>
          <w:tcPr>
            <w:tcW w:w="1355" w:type="dxa"/>
            <w:gridSpan w:val="2"/>
            <w:vAlign w:val="center"/>
          </w:tcPr>
          <w:p w14:paraId="3AFF316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0.4744</w:t>
            </w:r>
          </w:p>
        </w:tc>
        <w:tc>
          <w:tcPr>
            <w:tcW w:w="1081" w:type="dxa"/>
            <w:gridSpan w:val="2"/>
            <w:vAlign w:val="center"/>
          </w:tcPr>
          <w:p w14:paraId="6CB32DF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0.1318</w:t>
            </w:r>
          </w:p>
        </w:tc>
        <w:tc>
          <w:tcPr>
            <w:tcW w:w="1355" w:type="dxa"/>
            <w:vAlign w:val="center"/>
          </w:tcPr>
          <w:p w14:paraId="7A69E85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0.6009</w:t>
            </w:r>
          </w:p>
        </w:tc>
        <w:tc>
          <w:tcPr>
            <w:tcW w:w="1081" w:type="dxa"/>
            <w:gridSpan w:val="2"/>
            <w:vAlign w:val="center"/>
          </w:tcPr>
          <w:p w14:paraId="6B81EF0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0.1202</w:t>
            </w:r>
          </w:p>
        </w:tc>
        <w:tc>
          <w:tcPr>
            <w:tcW w:w="1355" w:type="dxa"/>
            <w:vAlign w:val="center"/>
          </w:tcPr>
          <w:p w14:paraId="715ADB6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2.2456</w:t>
            </w:r>
          </w:p>
        </w:tc>
        <w:tc>
          <w:tcPr>
            <w:tcW w:w="1639" w:type="dxa"/>
            <w:gridSpan w:val="2"/>
            <w:vAlign w:val="center"/>
          </w:tcPr>
          <w:p w14:paraId="3D3C00B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1.1228</w:t>
            </w:r>
          </w:p>
        </w:tc>
      </w:tr>
      <w:tr w14:paraId="4BEC71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465A825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1400.0</w:t>
            </w:r>
          </w:p>
        </w:tc>
        <w:tc>
          <w:tcPr>
            <w:tcW w:w="1355" w:type="dxa"/>
            <w:gridSpan w:val="2"/>
            <w:vAlign w:val="center"/>
          </w:tcPr>
          <w:p w14:paraId="48244A4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0.4412</w:t>
            </w:r>
          </w:p>
        </w:tc>
        <w:tc>
          <w:tcPr>
            <w:tcW w:w="1081" w:type="dxa"/>
            <w:gridSpan w:val="2"/>
            <w:vAlign w:val="center"/>
          </w:tcPr>
          <w:p w14:paraId="2B661C5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0.1226</w:t>
            </w:r>
          </w:p>
        </w:tc>
        <w:tc>
          <w:tcPr>
            <w:tcW w:w="1355" w:type="dxa"/>
            <w:vAlign w:val="center"/>
          </w:tcPr>
          <w:p w14:paraId="31B31EC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0.5589</w:t>
            </w:r>
          </w:p>
        </w:tc>
        <w:tc>
          <w:tcPr>
            <w:tcW w:w="1081" w:type="dxa"/>
            <w:gridSpan w:val="2"/>
            <w:vAlign w:val="center"/>
          </w:tcPr>
          <w:p w14:paraId="5AC5987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0.1118</w:t>
            </w:r>
          </w:p>
        </w:tc>
        <w:tc>
          <w:tcPr>
            <w:tcW w:w="1355" w:type="dxa"/>
            <w:vAlign w:val="center"/>
          </w:tcPr>
          <w:p w14:paraId="7CC6B4F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2.0886</w:t>
            </w:r>
          </w:p>
        </w:tc>
        <w:tc>
          <w:tcPr>
            <w:tcW w:w="1639" w:type="dxa"/>
            <w:gridSpan w:val="2"/>
            <w:vAlign w:val="center"/>
          </w:tcPr>
          <w:p w14:paraId="17E487F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1.0443</w:t>
            </w:r>
          </w:p>
        </w:tc>
      </w:tr>
      <w:tr w14:paraId="2F4BEF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6E82A77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1600.0</w:t>
            </w:r>
          </w:p>
        </w:tc>
        <w:tc>
          <w:tcPr>
            <w:tcW w:w="1355" w:type="dxa"/>
            <w:gridSpan w:val="2"/>
            <w:vAlign w:val="center"/>
          </w:tcPr>
          <w:p w14:paraId="7CB3253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0.4066</w:t>
            </w:r>
          </w:p>
        </w:tc>
        <w:tc>
          <w:tcPr>
            <w:tcW w:w="1081" w:type="dxa"/>
            <w:gridSpan w:val="2"/>
            <w:vAlign w:val="center"/>
          </w:tcPr>
          <w:p w14:paraId="7A2BBF7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0.1130</w:t>
            </w:r>
          </w:p>
        </w:tc>
        <w:tc>
          <w:tcPr>
            <w:tcW w:w="1355" w:type="dxa"/>
            <w:vAlign w:val="center"/>
          </w:tcPr>
          <w:p w14:paraId="36C70B7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0.5151</w:t>
            </w:r>
          </w:p>
        </w:tc>
        <w:tc>
          <w:tcPr>
            <w:tcW w:w="1081" w:type="dxa"/>
            <w:gridSpan w:val="2"/>
            <w:vAlign w:val="center"/>
          </w:tcPr>
          <w:p w14:paraId="3CB0CD3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0.1030</w:t>
            </w:r>
          </w:p>
        </w:tc>
        <w:tc>
          <w:tcPr>
            <w:tcW w:w="1355" w:type="dxa"/>
            <w:vAlign w:val="center"/>
          </w:tcPr>
          <w:p w14:paraId="2F7E7D7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1.9247</w:t>
            </w:r>
          </w:p>
        </w:tc>
        <w:tc>
          <w:tcPr>
            <w:tcW w:w="1639" w:type="dxa"/>
            <w:gridSpan w:val="2"/>
            <w:vAlign w:val="center"/>
          </w:tcPr>
          <w:p w14:paraId="35F6803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0.9624</w:t>
            </w:r>
          </w:p>
        </w:tc>
      </w:tr>
      <w:tr w14:paraId="4193B6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05094B3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1800.0</w:t>
            </w:r>
          </w:p>
        </w:tc>
        <w:tc>
          <w:tcPr>
            <w:tcW w:w="1355" w:type="dxa"/>
            <w:gridSpan w:val="2"/>
            <w:vAlign w:val="center"/>
          </w:tcPr>
          <w:p w14:paraId="22C1306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0.3738</w:t>
            </w:r>
          </w:p>
        </w:tc>
        <w:tc>
          <w:tcPr>
            <w:tcW w:w="1081" w:type="dxa"/>
            <w:gridSpan w:val="2"/>
            <w:vAlign w:val="center"/>
          </w:tcPr>
          <w:p w14:paraId="59172BE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0.1038</w:t>
            </w:r>
          </w:p>
        </w:tc>
        <w:tc>
          <w:tcPr>
            <w:tcW w:w="1355" w:type="dxa"/>
            <w:vAlign w:val="center"/>
          </w:tcPr>
          <w:p w14:paraId="13A197F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0.4734</w:t>
            </w:r>
          </w:p>
        </w:tc>
        <w:tc>
          <w:tcPr>
            <w:tcW w:w="1081" w:type="dxa"/>
            <w:gridSpan w:val="2"/>
            <w:vAlign w:val="center"/>
          </w:tcPr>
          <w:p w14:paraId="54D7B28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0.0947</w:t>
            </w:r>
          </w:p>
        </w:tc>
        <w:tc>
          <w:tcPr>
            <w:tcW w:w="1355" w:type="dxa"/>
            <w:vAlign w:val="center"/>
          </w:tcPr>
          <w:p w14:paraId="16D782F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1.7691</w:t>
            </w:r>
          </w:p>
        </w:tc>
        <w:tc>
          <w:tcPr>
            <w:tcW w:w="1639" w:type="dxa"/>
            <w:gridSpan w:val="2"/>
            <w:vAlign w:val="center"/>
          </w:tcPr>
          <w:p w14:paraId="7EFE15C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0.8846</w:t>
            </w:r>
          </w:p>
        </w:tc>
      </w:tr>
      <w:tr w14:paraId="679FC4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1B6A6F0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2000.0</w:t>
            </w:r>
          </w:p>
        </w:tc>
        <w:tc>
          <w:tcPr>
            <w:tcW w:w="1355" w:type="dxa"/>
            <w:gridSpan w:val="2"/>
            <w:vAlign w:val="center"/>
          </w:tcPr>
          <w:p w14:paraId="5B2D8F0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0.3460</w:t>
            </w:r>
          </w:p>
        </w:tc>
        <w:tc>
          <w:tcPr>
            <w:tcW w:w="1081" w:type="dxa"/>
            <w:gridSpan w:val="2"/>
            <w:vAlign w:val="center"/>
          </w:tcPr>
          <w:p w14:paraId="6104096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0.0961</w:t>
            </w:r>
          </w:p>
        </w:tc>
        <w:tc>
          <w:tcPr>
            <w:tcW w:w="1355" w:type="dxa"/>
            <w:vAlign w:val="center"/>
          </w:tcPr>
          <w:p w14:paraId="27E8B1A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0.4383</w:t>
            </w:r>
          </w:p>
        </w:tc>
        <w:tc>
          <w:tcPr>
            <w:tcW w:w="1081" w:type="dxa"/>
            <w:gridSpan w:val="2"/>
            <w:vAlign w:val="center"/>
          </w:tcPr>
          <w:p w14:paraId="4DEE151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0.0877</w:t>
            </w:r>
          </w:p>
        </w:tc>
        <w:tc>
          <w:tcPr>
            <w:tcW w:w="1355" w:type="dxa"/>
            <w:vAlign w:val="center"/>
          </w:tcPr>
          <w:p w14:paraId="3D20FF7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1.6377</w:t>
            </w:r>
          </w:p>
        </w:tc>
        <w:tc>
          <w:tcPr>
            <w:tcW w:w="1639" w:type="dxa"/>
            <w:gridSpan w:val="2"/>
            <w:vAlign w:val="center"/>
          </w:tcPr>
          <w:p w14:paraId="1846345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0.8188</w:t>
            </w:r>
          </w:p>
        </w:tc>
      </w:tr>
      <w:tr w14:paraId="78A09F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51AE9EB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2500.0</w:t>
            </w:r>
          </w:p>
        </w:tc>
        <w:tc>
          <w:tcPr>
            <w:tcW w:w="1355" w:type="dxa"/>
            <w:gridSpan w:val="2"/>
            <w:vAlign w:val="center"/>
          </w:tcPr>
          <w:p w14:paraId="03475E3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0.3099</w:t>
            </w:r>
          </w:p>
        </w:tc>
        <w:tc>
          <w:tcPr>
            <w:tcW w:w="1081" w:type="dxa"/>
            <w:gridSpan w:val="2"/>
            <w:vAlign w:val="center"/>
          </w:tcPr>
          <w:p w14:paraId="09709CB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0.0861</w:t>
            </w:r>
          </w:p>
        </w:tc>
        <w:tc>
          <w:tcPr>
            <w:tcW w:w="1355" w:type="dxa"/>
            <w:vAlign w:val="center"/>
          </w:tcPr>
          <w:p w14:paraId="55D5A2C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0.3926</w:t>
            </w:r>
          </w:p>
        </w:tc>
        <w:tc>
          <w:tcPr>
            <w:tcW w:w="1081" w:type="dxa"/>
            <w:gridSpan w:val="2"/>
            <w:vAlign w:val="center"/>
          </w:tcPr>
          <w:p w14:paraId="00D7129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0.0785</w:t>
            </w:r>
          </w:p>
        </w:tc>
        <w:tc>
          <w:tcPr>
            <w:tcW w:w="1355" w:type="dxa"/>
            <w:vAlign w:val="center"/>
          </w:tcPr>
          <w:p w14:paraId="505B60F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1.4670</w:t>
            </w:r>
          </w:p>
        </w:tc>
        <w:tc>
          <w:tcPr>
            <w:tcW w:w="1639" w:type="dxa"/>
            <w:gridSpan w:val="2"/>
            <w:vAlign w:val="center"/>
          </w:tcPr>
          <w:p w14:paraId="478D3A7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0.7335</w:t>
            </w:r>
          </w:p>
        </w:tc>
      </w:tr>
      <w:tr w14:paraId="0B2F19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147B068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3000.0</w:t>
            </w:r>
          </w:p>
        </w:tc>
        <w:tc>
          <w:tcPr>
            <w:tcW w:w="1355" w:type="dxa"/>
            <w:gridSpan w:val="2"/>
            <w:vAlign w:val="center"/>
          </w:tcPr>
          <w:p w14:paraId="0177FD8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0.2862</w:t>
            </w:r>
          </w:p>
        </w:tc>
        <w:tc>
          <w:tcPr>
            <w:tcW w:w="1081" w:type="dxa"/>
            <w:gridSpan w:val="2"/>
            <w:vAlign w:val="center"/>
          </w:tcPr>
          <w:p w14:paraId="2279AC6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0.0795</w:t>
            </w:r>
          </w:p>
        </w:tc>
        <w:tc>
          <w:tcPr>
            <w:tcW w:w="1355" w:type="dxa"/>
            <w:vAlign w:val="center"/>
          </w:tcPr>
          <w:p w14:paraId="0265E3B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0.3625</w:t>
            </w:r>
          </w:p>
        </w:tc>
        <w:tc>
          <w:tcPr>
            <w:tcW w:w="1081" w:type="dxa"/>
            <w:gridSpan w:val="2"/>
            <w:vAlign w:val="center"/>
          </w:tcPr>
          <w:p w14:paraId="749D3E8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0.0725</w:t>
            </w:r>
          </w:p>
        </w:tc>
        <w:tc>
          <w:tcPr>
            <w:tcW w:w="1355" w:type="dxa"/>
            <w:vAlign w:val="center"/>
          </w:tcPr>
          <w:p w14:paraId="2CC27A3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1.3545</w:t>
            </w:r>
          </w:p>
        </w:tc>
        <w:tc>
          <w:tcPr>
            <w:tcW w:w="1639" w:type="dxa"/>
            <w:gridSpan w:val="2"/>
            <w:vAlign w:val="center"/>
          </w:tcPr>
          <w:p w14:paraId="5110E53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0.6773</w:t>
            </w:r>
          </w:p>
        </w:tc>
      </w:tr>
      <w:tr w14:paraId="245DE6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186025F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3500.0</w:t>
            </w:r>
          </w:p>
        </w:tc>
        <w:tc>
          <w:tcPr>
            <w:tcW w:w="1355" w:type="dxa"/>
            <w:gridSpan w:val="2"/>
            <w:vAlign w:val="center"/>
          </w:tcPr>
          <w:p w14:paraId="06AF3F8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0.2895</w:t>
            </w:r>
          </w:p>
        </w:tc>
        <w:tc>
          <w:tcPr>
            <w:tcW w:w="1081" w:type="dxa"/>
            <w:gridSpan w:val="2"/>
            <w:vAlign w:val="center"/>
          </w:tcPr>
          <w:p w14:paraId="402DAD9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0.0804</w:t>
            </w:r>
          </w:p>
        </w:tc>
        <w:tc>
          <w:tcPr>
            <w:tcW w:w="1355" w:type="dxa"/>
            <w:vAlign w:val="center"/>
          </w:tcPr>
          <w:p w14:paraId="2BE7C6C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0.3667</w:t>
            </w:r>
          </w:p>
        </w:tc>
        <w:tc>
          <w:tcPr>
            <w:tcW w:w="1081" w:type="dxa"/>
            <w:gridSpan w:val="2"/>
            <w:vAlign w:val="center"/>
          </w:tcPr>
          <w:p w14:paraId="4DE1AEB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0.0733</w:t>
            </w:r>
          </w:p>
        </w:tc>
        <w:tc>
          <w:tcPr>
            <w:tcW w:w="1355" w:type="dxa"/>
            <w:vAlign w:val="center"/>
          </w:tcPr>
          <w:p w14:paraId="26D0C22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1.3704</w:t>
            </w:r>
          </w:p>
        </w:tc>
        <w:tc>
          <w:tcPr>
            <w:tcW w:w="1639" w:type="dxa"/>
            <w:gridSpan w:val="2"/>
            <w:vAlign w:val="center"/>
          </w:tcPr>
          <w:p w14:paraId="5F6210D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0.6852</w:t>
            </w:r>
          </w:p>
        </w:tc>
      </w:tr>
      <w:tr w14:paraId="3F1BA3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1D1A947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4000.0</w:t>
            </w:r>
          </w:p>
        </w:tc>
        <w:tc>
          <w:tcPr>
            <w:tcW w:w="1355" w:type="dxa"/>
            <w:gridSpan w:val="2"/>
            <w:vAlign w:val="center"/>
          </w:tcPr>
          <w:p w14:paraId="2D0FC4A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0.3059</w:t>
            </w:r>
          </w:p>
        </w:tc>
        <w:tc>
          <w:tcPr>
            <w:tcW w:w="1081" w:type="dxa"/>
            <w:gridSpan w:val="2"/>
            <w:vAlign w:val="center"/>
          </w:tcPr>
          <w:p w14:paraId="5252A11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0.0850</w:t>
            </w:r>
          </w:p>
        </w:tc>
        <w:tc>
          <w:tcPr>
            <w:tcW w:w="1355" w:type="dxa"/>
            <w:vAlign w:val="center"/>
          </w:tcPr>
          <w:p w14:paraId="445AED0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0.3875</w:t>
            </w:r>
          </w:p>
        </w:tc>
        <w:tc>
          <w:tcPr>
            <w:tcW w:w="1081" w:type="dxa"/>
            <w:gridSpan w:val="2"/>
            <w:vAlign w:val="center"/>
          </w:tcPr>
          <w:p w14:paraId="704E48D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0.0775</w:t>
            </w:r>
          </w:p>
        </w:tc>
        <w:tc>
          <w:tcPr>
            <w:tcW w:w="1355" w:type="dxa"/>
            <w:vAlign w:val="center"/>
          </w:tcPr>
          <w:p w14:paraId="3B918AF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1.4481</w:t>
            </w:r>
          </w:p>
        </w:tc>
        <w:tc>
          <w:tcPr>
            <w:tcW w:w="1639" w:type="dxa"/>
            <w:gridSpan w:val="2"/>
            <w:vAlign w:val="center"/>
          </w:tcPr>
          <w:p w14:paraId="045590A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0.7240</w:t>
            </w:r>
          </w:p>
        </w:tc>
      </w:tr>
      <w:tr w14:paraId="36C915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076D40E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4500.0</w:t>
            </w:r>
          </w:p>
        </w:tc>
        <w:tc>
          <w:tcPr>
            <w:tcW w:w="1355" w:type="dxa"/>
            <w:gridSpan w:val="2"/>
            <w:vAlign w:val="center"/>
          </w:tcPr>
          <w:p w14:paraId="29BB0E2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0.2801</w:t>
            </w:r>
          </w:p>
        </w:tc>
        <w:tc>
          <w:tcPr>
            <w:tcW w:w="1081" w:type="dxa"/>
            <w:gridSpan w:val="2"/>
            <w:vAlign w:val="center"/>
          </w:tcPr>
          <w:p w14:paraId="00F06AF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0.0778</w:t>
            </w:r>
          </w:p>
        </w:tc>
        <w:tc>
          <w:tcPr>
            <w:tcW w:w="1355" w:type="dxa"/>
            <w:vAlign w:val="center"/>
          </w:tcPr>
          <w:p w14:paraId="40B21A9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0.3547</w:t>
            </w:r>
          </w:p>
        </w:tc>
        <w:tc>
          <w:tcPr>
            <w:tcW w:w="1081" w:type="dxa"/>
            <w:gridSpan w:val="2"/>
            <w:vAlign w:val="center"/>
          </w:tcPr>
          <w:p w14:paraId="7D46B18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0.0709</w:t>
            </w:r>
          </w:p>
        </w:tc>
        <w:tc>
          <w:tcPr>
            <w:tcW w:w="1355" w:type="dxa"/>
            <w:vAlign w:val="center"/>
          </w:tcPr>
          <w:p w14:paraId="0449E64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1.3256</w:t>
            </w:r>
          </w:p>
        </w:tc>
        <w:tc>
          <w:tcPr>
            <w:tcW w:w="1639" w:type="dxa"/>
            <w:gridSpan w:val="2"/>
            <w:vAlign w:val="center"/>
          </w:tcPr>
          <w:p w14:paraId="52CCD6B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0.6628</w:t>
            </w:r>
          </w:p>
        </w:tc>
      </w:tr>
      <w:tr w14:paraId="20FD05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7B60D5FC">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5000.0</w:t>
            </w:r>
          </w:p>
        </w:tc>
        <w:tc>
          <w:tcPr>
            <w:tcW w:w="1355" w:type="dxa"/>
            <w:gridSpan w:val="2"/>
            <w:vAlign w:val="center"/>
          </w:tcPr>
          <w:p w14:paraId="161E228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0.2576</w:t>
            </w:r>
          </w:p>
        </w:tc>
        <w:tc>
          <w:tcPr>
            <w:tcW w:w="1081" w:type="dxa"/>
            <w:gridSpan w:val="2"/>
            <w:vAlign w:val="center"/>
          </w:tcPr>
          <w:p w14:paraId="06E0249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0.0716</w:t>
            </w:r>
          </w:p>
        </w:tc>
        <w:tc>
          <w:tcPr>
            <w:tcW w:w="1355" w:type="dxa"/>
            <w:vAlign w:val="center"/>
          </w:tcPr>
          <w:p w14:paraId="529072A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0.3263</w:t>
            </w:r>
          </w:p>
        </w:tc>
        <w:tc>
          <w:tcPr>
            <w:tcW w:w="1081" w:type="dxa"/>
            <w:gridSpan w:val="2"/>
            <w:vAlign w:val="center"/>
          </w:tcPr>
          <w:p w14:paraId="7367F16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0.0653</w:t>
            </w:r>
          </w:p>
        </w:tc>
        <w:tc>
          <w:tcPr>
            <w:tcW w:w="1355" w:type="dxa"/>
            <w:vAlign w:val="center"/>
          </w:tcPr>
          <w:p w14:paraId="6766E71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1.2194</w:t>
            </w:r>
          </w:p>
        </w:tc>
        <w:tc>
          <w:tcPr>
            <w:tcW w:w="1639" w:type="dxa"/>
            <w:gridSpan w:val="2"/>
            <w:vAlign w:val="center"/>
          </w:tcPr>
          <w:p w14:paraId="59D8571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0.6097</w:t>
            </w:r>
          </w:p>
        </w:tc>
      </w:tr>
      <w:tr w14:paraId="6ED55C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5610976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10000.0</w:t>
            </w:r>
          </w:p>
        </w:tc>
        <w:tc>
          <w:tcPr>
            <w:tcW w:w="1355" w:type="dxa"/>
            <w:gridSpan w:val="2"/>
            <w:vAlign w:val="center"/>
          </w:tcPr>
          <w:p w14:paraId="6F19737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0.1315</w:t>
            </w:r>
          </w:p>
        </w:tc>
        <w:tc>
          <w:tcPr>
            <w:tcW w:w="1081" w:type="dxa"/>
            <w:gridSpan w:val="2"/>
            <w:vAlign w:val="center"/>
          </w:tcPr>
          <w:p w14:paraId="5EC1081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0.0365</w:t>
            </w:r>
          </w:p>
        </w:tc>
        <w:tc>
          <w:tcPr>
            <w:tcW w:w="1355" w:type="dxa"/>
            <w:vAlign w:val="center"/>
          </w:tcPr>
          <w:p w14:paraId="2DF1ED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0.1666</w:t>
            </w:r>
          </w:p>
        </w:tc>
        <w:tc>
          <w:tcPr>
            <w:tcW w:w="1081" w:type="dxa"/>
            <w:gridSpan w:val="2"/>
            <w:vAlign w:val="center"/>
          </w:tcPr>
          <w:p w14:paraId="0641137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0.0333</w:t>
            </w:r>
          </w:p>
        </w:tc>
        <w:tc>
          <w:tcPr>
            <w:tcW w:w="1355" w:type="dxa"/>
            <w:vAlign w:val="center"/>
          </w:tcPr>
          <w:p w14:paraId="6322450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0.6225</w:t>
            </w:r>
          </w:p>
        </w:tc>
        <w:tc>
          <w:tcPr>
            <w:tcW w:w="1639" w:type="dxa"/>
            <w:gridSpan w:val="2"/>
            <w:vAlign w:val="center"/>
          </w:tcPr>
          <w:p w14:paraId="00FD1FF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0.3113</w:t>
            </w:r>
          </w:p>
        </w:tc>
      </w:tr>
      <w:tr w14:paraId="006495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0CFA86D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11000.0</w:t>
            </w:r>
          </w:p>
        </w:tc>
        <w:tc>
          <w:tcPr>
            <w:tcW w:w="1355" w:type="dxa"/>
            <w:gridSpan w:val="2"/>
            <w:vAlign w:val="center"/>
          </w:tcPr>
          <w:p w14:paraId="46BF779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0.1217</w:t>
            </w:r>
          </w:p>
        </w:tc>
        <w:tc>
          <w:tcPr>
            <w:tcW w:w="1081" w:type="dxa"/>
            <w:gridSpan w:val="2"/>
            <w:vAlign w:val="center"/>
          </w:tcPr>
          <w:p w14:paraId="2114A83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0.0338</w:t>
            </w:r>
          </w:p>
        </w:tc>
        <w:tc>
          <w:tcPr>
            <w:tcW w:w="1355" w:type="dxa"/>
            <w:vAlign w:val="center"/>
          </w:tcPr>
          <w:p w14:paraId="04D3A3D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0.1542</w:t>
            </w:r>
          </w:p>
        </w:tc>
        <w:tc>
          <w:tcPr>
            <w:tcW w:w="1081" w:type="dxa"/>
            <w:gridSpan w:val="2"/>
            <w:vAlign w:val="center"/>
          </w:tcPr>
          <w:p w14:paraId="4F5BBCE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0.0308</w:t>
            </w:r>
          </w:p>
        </w:tc>
        <w:tc>
          <w:tcPr>
            <w:tcW w:w="1355" w:type="dxa"/>
            <w:vAlign w:val="center"/>
          </w:tcPr>
          <w:p w14:paraId="562B8A6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0.5760</w:t>
            </w:r>
          </w:p>
        </w:tc>
        <w:tc>
          <w:tcPr>
            <w:tcW w:w="1639" w:type="dxa"/>
            <w:gridSpan w:val="2"/>
            <w:vAlign w:val="center"/>
          </w:tcPr>
          <w:p w14:paraId="4E94EA0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0.2880</w:t>
            </w:r>
          </w:p>
        </w:tc>
      </w:tr>
      <w:tr w14:paraId="00A366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568939D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12000.0</w:t>
            </w:r>
          </w:p>
        </w:tc>
        <w:tc>
          <w:tcPr>
            <w:tcW w:w="1355" w:type="dxa"/>
            <w:gridSpan w:val="2"/>
            <w:vAlign w:val="center"/>
          </w:tcPr>
          <w:p w14:paraId="293FCF6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0.1114</w:t>
            </w:r>
          </w:p>
        </w:tc>
        <w:tc>
          <w:tcPr>
            <w:tcW w:w="1081" w:type="dxa"/>
            <w:gridSpan w:val="2"/>
            <w:vAlign w:val="center"/>
          </w:tcPr>
          <w:p w14:paraId="4F0AD5A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0.0309</w:t>
            </w:r>
          </w:p>
        </w:tc>
        <w:tc>
          <w:tcPr>
            <w:tcW w:w="1355" w:type="dxa"/>
            <w:vAlign w:val="center"/>
          </w:tcPr>
          <w:p w14:paraId="140B0CC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0.1411</w:t>
            </w:r>
          </w:p>
        </w:tc>
        <w:tc>
          <w:tcPr>
            <w:tcW w:w="1081" w:type="dxa"/>
            <w:gridSpan w:val="2"/>
            <w:vAlign w:val="center"/>
          </w:tcPr>
          <w:p w14:paraId="70DB53D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0.0282</w:t>
            </w:r>
          </w:p>
        </w:tc>
        <w:tc>
          <w:tcPr>
            <w:tcW w:w="1355" w:type="dxa"/>
            <w:vAlign w:val="center"/>
          </w:tcPr>
          <w:p w14:paraId="70CA8DB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0.5273</w:t>
            </w:r>
          </w:p>
        </w:tc>
        <w:tc>
          <w:tcPr>
            <w:tcW w:w="1639" w:type="dxa"/>
            <w:gridSpan w:val="2"/>
            <w:vAlign w:val="center"/>
          </w:tcPr>
          <w:p w14:paraId="48E5FEB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0.2637</w:t>
            </w:r>
          </w:p>
        </w:tc>
      </w:tr>
      <w:tr w14:paraId="32173F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6C6828F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13000.0</w:t>
            </w:r>
          </w:p>
        </w:tc>
        <w:tc>
          <w:tcPr>
            <w:tcW w:w="1355" w:type="dxa"/>
            <w:gridSpan w:val="2"/>
            <w:vAlign w:val="center"/>
          </w:tcPr>
          <w:p w14:paraId="3FBD713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0.1038</w:t>
            </w:r>
          </w:p>
        </w:tc>
        <w:tc>
          <w:tcPr>
            <w:tcW w:w="1081" w:type="dxa"/>
            <w:gridSpan w:val="2"/>
            <w:vAlign w:val="center"/>
          </w:tcPr>
          <w:p w14:paraId="085288A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0.0288</w:t>
            </w:r>
          </w:p>
        </w:tc>
        <w:tc>
          <w:tcPr>
            <w:tcW w:w="1355" w:type="dxa"/>
            <w:vAlign w:val="center"/>
          </w:tcPr>
          <w:p w14:paraId="33BFEDF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0.1315</w:t>
            </w:r>
          </w:p>
        </w:tc>
        <w:tc>
          <w:tcPr>
            <w:tcW w:w="1081" w:type="dxa"/>
            <w:gridSpan w:val="2"/>
            <w:vAlign w:val="center"/>
          </w:tcPr>
          <w:p w14:paraId="26FA472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0.0263</w:t>
            </w:r>
          </w:p>
        </w:tc>
        <w:tc>
          <w:tcPr>
            <w:tcW w:w="1355" w:type="dxa"/>
            <w:vAlign w:val="center"/>
          </w:tcPr>
          <w:p w14:paraId="6B0E449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0.4916</w:t>
            </w:r>
          </w:p>
        </w:tc>
        <w:tc>
          <w:tcPr>
            <w:tcW w:w="1639" w:type="dxa"/>
            <w:gridSpan w:val="2"/>
            <w:vAlign w:val="center"/>
          </w:tcPr>
          <w:p w14:paraId="52632E0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0.2458</w:t>
            </w:r>
          </w:p>
        </w:tc>
      </w:tr>
      <w:tr w14:paraId="110B78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646B166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14000.0</w:t>
            </w:r>
          </w:p>
        </w:tc>
        <w:tc>
          <w:tcPr>
            <w:tcW w:w="1355" w:type="dxa"/>
            <w:gridSpan w:val="2"/>
            <w:vAlign w:val="center"/>
          </w:tcPr>
          <w:p w14:paraId="7AE2311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0.0974</w:t>
            </w:r>
          </w:p>
        </w:tc>
        <w:tc>
          <w:tcPr>
            <w:tcW w:w="1081" w:type="dxa"/>
            <w:gridSpan w:val="2"/>
            <w:vAlign w:val="center"/>
          </w:tcPr>
          <w:p w14:paraId="0319EE0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0.0271</w:t>
            </w:r>
          </w:p>
        </w:tc>
        <w:tc>
          <w:tcPr>
            <w:tcW w:w="1355" w:type="dxa"/>
            <w:vAlign w:val="center"/>
          </w:tcPr>
          <w:p w14:paraId="6551ABF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0.1234</w:t>
            </w:r>
          </w:p>
        </w:tc>
        <w:tc>
          <w:tcPr>
            <w:tcW w:w="1081" w:type="dxa"/>
            <w:gridSpan w:val="2"/>
            <w:vAlign w:val="center"/>
          </w:tcPr>
          <w:p w14:paraId="3260A48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0.0247</w:t>
            </w:r>
          </w:p>
        </w:tc>
        <w:tc>
          <w:tcPr>
            <w:tcW w:w="1355" w:type="dxa"/>
            <w:vAlign w:val="center"/>
          </w:tcPr>
          <w:p w14:paraId="044ECA4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0.4611</w:t>
            </w:r>
          </w:p>
        </w:tc>
        <w:tc>
          <w:tcPr>
            <w:tcW w:w="1639" w:type="dxa"/>
            <w:gridSpan w:val="2"/>
            <w:vAlign w:val="center"/>
          </w:tcPr>
          <w:p w14:paraId="761CAAB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0.2305</w:t>
            </w:r>
          </w:p>
        </w:tc>
      </w:tr>
      <w:tr w14:paraId="14F85F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0058DB6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15000.0</w:t>
            </w:r>
          </w:p>
        </w:tc>
        <w:tc>
          <w:tcPr>
            <w:tcW w:w="1355" w:type="dxa"/>
            <w:gridSpan w:val="2"/>
            <w:vAlign w:val="center"/>
          </w:tcPr>
          <w:p w14:paraId="1919D50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0.0921</w:t>
            </w:r>
          </w:p>
        </w:tc>
        <w:tc>
          <w:tcPr>
            <w:tcW w:w="1081" w:type="dxa"/>
            <w:gridSpan w:val="2"/>
            <w:vAlign w:val="center"/>
          </w:tcPr>
          <w:p w14:paraId="6080F02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0.0256</w:t>
            </w:r>
          </w:p>
        </w:tc>
        <w:tc>
          <w:tcPr>
            <w:tcW w:w="1355" w:type="dxa"/>
            <w:vAlign w:val="center"/>
          </w:tcPr>
          <w:p w14:paraId="30C0AD0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0.1167</w:t>
            </w:r>
          </w:p>
        </w:tc>
        <w:tc>
          <w:tcPr>
            <w:tcW w:w="1081" w:type="dxa"/>
            <w:gridSpan w:val="2"/>
            <w:vAlign w:val="center"/>
          </w:tcPr>
          <w:p w14:paraId="25C3FC0D">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0.0233</w:t>
            </w:r>
          </w:p>
        </w:tc>
        <w:tc>
          <w:tcPr>
            <w:tcW w:w="1355" w:type="dxa"/>
            <w:vAlign w:val="center"/>
          </w:tcPr>
          <w:p w14:paraId="1C78F95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0.4361</w:t>
            </w:r>
          </w:p>
        </w:tc>
        <w:tc>
          <w:tcPr>
            <w:tcW w:w="1639" w:type="dxa"/>
            <w:gridSpan w:val="2"/>
            <w:vAlign w:val="center"/>
          </w:tcPr>
          <w:p w14:paraId="02201DA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0.2181</w:t>
            </w:r>
          </w:p>
        </w:tc>
      </w:tr>
      <w:tr w14:paraId="7461B5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11749C20">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20000.0</w:t>
            </w:r>
          </w:p>
        </w:tc>
        <w:tc>
          <w:tcPr>
            <w:tcW w:w="1355" w:type="dxa"/>
            <w:gridSpan w:val="2"/>
            <w:vAlign w:val="center"/>
          </w:tcPr>
          <w:p w14:paraId="78FFD6D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0.0705</w:t>
            </w:r>
          </w:p>
        </w:tc>
        <w:tc>
          <w:tcPr>
            <w:tcW w:w="1081" w:type="dxa"/>
            <w:gridSpan w:val="2"/>
            <w:vAlign w:val="center"/>
          </w:tcPr>
          <w:p w14:paraId="198E0CB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0.0196</w:t>
            </w:r>
          </w:p>
        </w:tc>
        <w:tc>
          <w:tcPr>
            <w:tcW w:w="1355" w:type="dxa"/>
            <w:vAlign w:val="center"/>
          </w:tcPr>
          <w:p w14:paraId="250857A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0.0893</w:t>
            </w:r>
          </w:p>
        </w:tc>
        <w:tc>
          <w:tcPr>
            <w:tcW w:w="1081" w:type="dxa"/>
            <w:gridSpan w:val="2"/>
            <w:vAlign w:val="center"/>
          </w:tcPr>
          <w:p w14:paraId="70155A3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0.0179</w:t>
            </w:r>
          </w:p>
        </w:tc>
        <w:tc>
          <w:tcPr>
            <w:tcW w:w="1355" w:type="dxa"/>
            <w:vAlign w:val="center"/>
          </w:tcPr>
          <w:p w14:paraId="6AEB306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0.3338</w:t>
            </w:r>
          </w:p>
        </w:tc>
        <w:tc>
          <w:tcPr>
            <w:tcW w:w="1639" w:type="dxa"/>
            <w:gridSpan w:val="2"/>
            <w:vAlign w:val="center"/>
          </w:tcPr>
          <w:p w14:paraId="20CE48B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0.1669</w:t>
            </w:r>
          </w:p>
        </w:tc>
      </w:tr>
      <w:tr w14:paraId="58D388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02C2FCD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25000.0</w:t>
            </w:r>
          </w:p>
        </w:tc>
        <w:tc>
          <w:tcPr>
            <w:tcW w:w="1355" w:type="dxa"/>
            <w:gridSpan w:val="2"/>
            <w:vAlign w:val="center"/>
          </w:tcPr>
          <w:p w14:paraId="4F40FF52">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0.0558</w:t>
            </w:r>
          </w:p>
        </w:tc>
        <w:tc>
          <w:tcPr>
            <w:tcW w:w="1081" w:type="dxa"/>
            <w:gridSpan w:val="2"/>
            <w:vAlign w:val="center"/>
          </w:tcPr>
          <w:p w14:paraId="40BAB605">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0.0155</w:t>
            </w:r>
          </w:p>
        </w:tc>
        <w:tc>
          <w:tcPr>
            <w:tcW w:w="1355" w:type="dxa"/>
            <w:vAlign w:val="center"/>
          </w:tcPr>
          <w:p w14:paraId="3B34C668">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0.0706</w:t>
            </w:r>
          </w:p>
        </w:tc>
        <w:tc>
          <w:tcPr>
            <w:tcW w:w="1081" w:type="dxa"/>
            <w:gridSpan w:val="2"/>
            <w:vAlign w:val="center"/>
          </w:tcPr>
          <w:p w14:paraId="4BE10FD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0.0141</w:t>
            </w:r>
          </w:p>
        </w:tc>
        <w:tc>
          <w:tcPr>
            <w:tcW w:w="1355" w:type="dxa"/>
            <w:vAlign w:val="center"/>
          </w:tcPr>
          <w:p w14:paraId="03C2AEA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0.2639</w:t>
            </w:r>
          </w:p>
        </w:tc>
        <w:tc>
          <w:tcPr>
            <w:tcW w:w="1639" w:type="dxa"/>
            <w:gridSpan w:val="2"/>
            <w:vAlign w:val="center"/>
          </w:tcPr>
          <w:p w14:paraId="3C74A3F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0.1320</w:t>
            </w:r>
          </w:p>
        </w:tc>
      </w:tr>
      <w:tr w14:paraId="759209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5001C73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下风向最大浓度</w:t>
            </w:r>
          </w:p>
        </w:tc>
        <w:tc>
          <w:tcPr>
            <w:tcW w:w="1355" w:type="dxa"/>
            <w:gridSpan w:val="2"/>
            <w:vAlign w:val="center"/>
          </w:tcPr>
          <w:p w14:paraId="74BCFA6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1.6601</w:t>
            </w:r>
          </w:p>
        </w:tc>
        <w:tc>
          <w:tcPr>
            <w:tcW w:w="1081" w:type="dxa"/>
            <w:gridSpan w:val="2"/>
            <w:vAlign w:val="center"/>
          </w:tcPr>
          <w:p w14:paraId="715E908A">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0.4611</w:t>
            </w:r>
          </w:p>
        </w:tc>
        <w:tc>
          <w:tcPr>
            <w:tcW w:w="1355" w:type="dxa"/>
            <w:vAlign w:val="center"/>
          </w:tcPr>
          <w:p w14:paraId="37FFF0D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2.1028</w:t>
            </w:r>
          </w:p>
        </w:tc>
        <w:tc>
          <w:tcPr>
            <w:tcW w:w="1081" w:type="dxa"/>
            <w:gridSpan w:val="2"/>
            <w:vAlign w:val="center"/>
          </w:tcPr>
          <w:p w14:paraId="4288A4E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0.4206</w:t>
            </w:r>
          </w:p>
        </w:tc>
        <w:tc>
          <w:tcPr>
            <w:tcW w:w="1355" w:type="dxa"/>
            <w:vAlign w:val="center"/>
          </w:tcPr>
          <w:p w14:paraId="2F1207B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7.8578</w:t>
            </w:r>
          </w:p>
        </w:tc>
        <w:tc>
          <w:tcPr>
            <w:tcW w:w="1639" w:type="dxa"/>
            <w:gridSpan w:val="2"/>
            <w:vAlign w:val="center"/>
          </w:tcPr>
          <w:p w14:paraId="2591519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3.9289</w:t>
            </w:r>
          </w:p>
        </w:tc>
      </w:tr>
      <w:tr w14:paraId="674737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3B74019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下风向最大浓度出现距离</w:t>
            </w:r>
          </w:p>
        </w:tc>
        <w:tc>
          <w:tcPr>
            <w:tcW w:w="1355" w:type="dxa"/>
            <w:gridSpan w:val="2"/>
            <w:vAlign w:val="center"/>
          </w:tcPr>
          <w:p w14:paraId="137FA983">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154.0</w:t>
            </w:r>
          </w:p>
        </w:tc>
        <w:tc>
          <w:tcPr>
            <w:tcW w:w="1081" w:type="dxa"/>
            <w:gridSpan w:val="2"/>
            <w:vAlign w:val="center"/>
          </w:tcPr>
          <w:p w14:paraId="6D74318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154.0</w:t>
            </w:r>
          </w:p>
        </w:tc>
        <w:tc>
          <w:tcPr>
            <w:tcW w:w="1355" w:type="dxa"/>
            <w:vAlign w:val="center"/>
          </w:tcPr>
          <w:p w14:paraId="6D05B2E9">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154.0</w:t>
            </w:r>
          </w:p>
        </w:tc>
        <w:tc>
          <w:tcPr>
            <w:tcW w:w="1081" w:type="dxa"/>
            <w:gridSpan w:val="2"/>
            <w:vAlign w:val="center"/>
          </w:tcPr>
          <w:p w14:paraId="3BE91B9F">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154.0</w:t>
            </w:r>
          </w:p>
        </w:tc>
        <w:tc>
          <w:tcPr>
            <w:tcW w:w="1355" w:type="dxa"/>
            <w:vAlign w:val="center"/>
          </w:tcPr>
          <w:p w14:paraId="4B27F09E">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154.0</w:t>
            </w:r>
          </w:p>
        </w:tc>
        <w:tc>
          <w:tcPr>
            <w:tcW w:w="1639" w:type="dxa"/>
            <w:gridSpan w:val="2"/>
            <w:vAlign w:val="center"/>
          </w:tcPr>
          <w:p w14:paraId="30CCC1B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154.0</w:t>
            </w:r>
          </w:p>
        </w:tc>
      </w:tr>
      <w:tr w14:paraId="273F3D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70" w:hRule="atLeast"/>
        </w:trPr>
        <w:tc>
          <w:tcPr>
            <w:tcW w:w="1218" w:type="dxa"/>
            <w:vAlign w:val="center"/>
          </w:tcPr>
          <w:p w14:paraId="42A8506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D10%最远距离</w:t>
            </w:r>
          </w:p>
        </w:tc>
        <w:tc>
          <w:tcPr>
            <w:tcW w:w="1355" w:type="dxa"/>
            <w:gridSpan w:val="2"/>
            <w:vAlign w:val="center"/>
          </w:tcPr>
          <w:p w14:paraId="06232F41">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1081" w:type="dxa"/>
            <w:gridSpan w:val="2"/>
            <w:vAlign w:val="center"/>
          </w:tcPr>
          <w:p w14:paraId="11A08087">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1355" w:type="dxa"/>
            <w:vAlign w:val="center"/>
          </w:tcPr>
          <w:p w14:paraId="6258920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1081" w:type="dxa"/>
            <w:gridSpan w:val="2"/>
            <w:vAlign w:val="center"/>
          </w:tcPr>
          <w:p w14:paraId="30F1F5F4">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1355" w:type="dxa"/>
            <w:vAlign w:val="center"/>
          </w:tcPr>
          <w:p w14:paraId="54FAD55B">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1639" w:type="dxa"/>
            <w:gridSpan w:val="2"/>
            <w:vAlign w:val="center"/>
          </w:tcPr>
          <w:p w14:paraId="07D42F86">
            <w:pPr>
              <w:pStyle w:val="6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r>
    </w:tbl>
    <w:p w14:paraId="7685F778">
      <w:pPr>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由上表中的估算模式预测结果可知：</w:t>
      </w:r>
      <w:r>
        <w:rPr>
          <w:rFonts w:hint="eastAsia" w:eastAsia="宋体" w:cs="Times New Roman"/>
          <w:color w:val="000000" w:themeColor="text1"/>
          <w:lang w:val="en-US" w:eastAsia="zh-CN"/>
          <w14:textFill>
            <w14:solidFill>
              <w14:schemeClr w14:val="tx1"/>
            </w14:solidFill>
          </w14:textFill>
        </w:rPr>
        <w:t>本项目</w:t>
      </w:r>
      <w:r>
        <w:rPr>
          <w:rFonts w:ascii="Times New Roman" w:hAnsi="Times New Roman" w:eastAsia="宋体" w:cs="Times New Roman"/>
          <w:color w:val="000000" w:themeColor="text1"/>
          <w14:textFill>
            <w14:solidFill>
              <w14:schemeClr w14:val="tx1"/>
            </w14:solidFill>
          </w14:textFill>
        </w:rPr>
        <w:t>无组织氨气下风向最大落地浓度为</w:t>
      </w:r>
      <w:r>
        <w:rPr>
          <w:rFonts w:ascii="宋体" w:hAnsi="宋体" w:eastAsia="宋体"/>
          <w:b w:val="0"/>
          <w:sz w:val="23"/>
          <w:szCs w:val="23"/>
        </w:rPr>
        <w:t>8.1236</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，最大浓度占标率为</w:t>
      </w:r>
      <w:r>
        <w:rPr>
          <w:rFonts w:ascii="宋体" w:hAnsi="宋体" w:eastAsia="宋体"/>
          <w:b w:val="0"/>
          <w:sz w:val="23"/>
          <w:szCs w:val="23"/>
        </w:rPr>
        <w:t>4.0618</w:t>
      </w:r>
      <w:r>
        <w:rPr>
          <w:rFonts w:ascii="Times New Roman" w:hAnsi="Times New Roman" w:eastAsia="宋体" w:cs="Times New Roman"/>
          <w:color w:val="000000" w:themeColor="text1"/>
          <w14:textFill>
            <w14:solidFill>
              <w14:schemeClr w14:val="tx1"/>
            </w14:solidFill>
          </w14:textFill>
        </w:rPr>
        <w:t>%，最大落地距离为</w:t>
      </w:r>
      <w:r>
        <w:rPr>
          <w:rFonts w:hint="eastAsia" w:eastAsia="宋体" w:cs="Times New Roman"/>
          <w:color w:val="000000" w:themeColor="text1"/>
          <w:lang w:val="en-US" w:eastAsia="zh-CN"/>
          <w14:textFill>
            <w14:solidFill>
              <w14:schemeClr w14:val="tx1"/>
            </w14:solidFill>
          </w14:textFill>
        </w:rPr>
        <w:t>348</w:t>
      </w:r>
      <w:r>
        <w:rPr>
          <w:rFonts w:ascii="Times New Roman" w:hAnsi="Times New Roman" w:eastAsia="宋体" w:cs="Times New Roman"/>
          <w:color w:val="000000" w:themeColor="text1"/>
          <w14:textFill>
            <w14:solidFill>
              <w14:schemeClr w14:val="tx1"/>
            </w14:solidFill>
          </w14:textFill>
        </w:rPr>
        <w:t>m</w:t>
      </w:r>
      <w:r>
        <w:rPr>
          <w:rFonts w:hint="eastAsia" w:eastAsia="宋体" w:cs="Times New Roman"/>
          <w:color w:val="000000" w:themeColor="text1"/>
          <w:lang w:eastAsia="zh-CN"/>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无组织硫化氢下风向最大落地浓度为</w:t>
      </w:r>
      <w:r>
        <w:rPr>
          <w:rFonts w:ascii="宋体" w:hAnsi="宋体" w:eastAsia="宋体"/>
          <w:b w:val="0"/>
          <w:sz w:val="23"/>
          <w:szCs w:val="23"/>
        </w:rPr>
        <w:t>0.8124</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，最大浓度占标率为</w:t>
      </w:r>
      <w:r>
        <w:rPr>
          <w:rFonts w:ascii="宋体" w:hAnsi="宋体" w:eastAsia="宋体"/>
          <w:b w:val="0"/>
          <w:sz w:val="23"/>
          <w:szCs w:val="23"/>
        </w:rPr>
        <w:t>8.1236</w:t>
      </w:r>
      <w:r>
        <w:rPr>
          <w:rFonts w:ascii="Times New Roman" w:hAnsi="Times New Roman" w:eastAsia="宋体" w:cs="Times New Roman"/>
          <w:color w:val="000000" w:themeColor="text1"/>
          <w14:textFill>
            <w14:solidFill>
              <w14:schemeClr w14:val="tx1"/>
            </w14:solidFill>
          </w14:textFill>
        </w:rPr>
        <w:t>%，最大落地距离为</w:t>
      </w:r>
      <w:r>
        <w:rPr>
          <w:rFonts w:hint="eastAsia" w:eastAsia="宋体" w:cs="Times New Roman"/>
          <w:color w:val="000000" w:themeColor="text1"/>
          <w:lang w:val="en-US" w:eastAsia="zh-CN"/>
          <w14:textFill>
            <w14:solidFill>
              <w14:schemeClr w14:val="tx1"/>
            </w14:solidFill>
          </w14:textFill>
        </w:rPr>
        <w:t>348</w:t>
      </w:r>
      <w:r>
        <w:rPr>
          <w:rFonts w:ascii="Times New Roman" w:hAnsi="Times New Roman" w:eastAsia="宋体" w:cs="Times New Roman"/>
          <w:color w:val="000000" w:themeColor="text1"/>
          <w14:textFill>
            <w14:solidFill>
              <w14:schemeClr w14:val="tx1"/>
            </w14:solidFill>
          </w14:textFill>
        </w:rPr>
        <w:t>m</w:t>
      </w:r>
      <w:r>
        <w:rPr>
          <w:rFonts w:hint="eastAsia" w:eastAsia="宋体" w:cs="Times New Roman"/>
          <w:color w:val="000000" w:themeColor="text1"/>
          <w:lang w:val="en-US" w:eastAsia="zh-CN"/>
          <w14:textFill>
            <w14:solidFill>
              <w14:schemeClr w14:val="tx1"/>
            </w14:solidFill>
          </w14:textFill>
        </w:rPr>
        <w:t>。供热锅炉有组织排放颗粒物（PM</w:t>
      </w:r>
      <w:r>
        <w:rPr>
          <w:rFonts w:hint="eastAsia" w:eastAsia="宋体" w:cs="Times New Roman"/>
          <w:color w:val="000000" w:themeColor="text1"/>
          <w:vertAlign w:val="subscript"/>
          <w:lang w:val="en-US" w:eastAsia="zh-CN"/>
          <w14:textFill>
            <w14:solidFill>
              <w14:schemeClr w14:val="tx1"/>
            </w14:solidFill>
          </w14:textFill>
        </w:rPr>
        <w:t>10</w:t>
      </w:r>
      <w:r>
        <w:rPr>
          <w:rFonts w:hint="eastAsia" w:eastAsia="宋体" w:cs="Times New Roman"/>
          <w:color w:val="000000" w:themeColor="text1"/>
          <w:lang w:val="en-US" w:eastAsia="zh-CN"/>
          <w14:textFill>
            <w14:solidFill>
              <w14:schemeClr w14:val="tx1"/>
            </w14:solidFill>
          </w14:textFill>
        </w:rPr>
        <w:t>）最大落地浓度1.66</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最大占标率0.4611%；SO</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最大落地浓度为2.1028</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，最大浓度占标率为</w:t>
      </w:r>
      <w:r>
        <w:rPr>
          <w:rFonts w:hint="eastAsia" w:ascii="宋体" w:hAnsi="宋体" w:eastAsia="宋体"/>
          <w:b w:val="0"/>
          <w:sz w:val="23"/>
          <w:szCs w:val="23"/>
          <w:lang w:val="en-US" w:eastAsia="zh-CN"/>
        </w:rPr>
        <w:t>0.4206</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NO</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最大落地浓度为7.8578</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，最大浓度占标率为</w:t>
      </w:r>
      <w:r>
        <w:rPr>
          <w:rFonts w:hint="eastAsia" w:ascii="宋体" w:hAnsi="宋体" w:eastAsia="宋体"/>
          <w:b w:val="0"/>
          <w:sz w:val="23"/>
          <w:szCs w:val="23"/>
          <w:lang w:val="en-US" w:eastAsia="zh-CN"/>
        </w:rPr>
        <w:t>3.9289</w:t>
      </w:r>
      <w:r>
        <w:rPr>
          <w:rFonts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lang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最大浓度点出现在下方向154m</w:t>
      </w:r>
      <w:r>
        <w:rPr>
          <w:rFonts w:ascii="Times New Roman" w:hAnsi="Times New Roman" w:eastAsia="宋体" w:cs="Times New Roman"/>
          <w:color w:val="000000" w:themeColor="text1"/>
          <w14:textFill>
            <w14:solidFill>
              <w14:schemeClr w14:val="tx1"/>
            </w14:solidFill>
          </w14:textFill>
        </w:rPr>
        <w:t>。</w:t>
      </w:r>
    </w:p>
    <w:p w14:paraId="3F8CA2E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综上所述，项目建成投产运营以后，产生的</w:t>
      </w:r>
      <w:r>
        <w:rPr>
          <w:rFonts w:hint="eastAsia" w:eastAsia="宋体" w:cs="Times New Roman"/>
          <w:color w:val="000000" w:themeColor="text1"/>
          <w:lang w:val="en-US" w:eastAsia="zh-CN"/>
          <w14:textFill>
            <w14:solidFill>
              <w14:schemeClr w14:val="tx1"/>
            </w14:solidFill>
          </w14:textFill>
        </w:rPr>
        <w:t>无组织排放</w:t>
      </w:r>
      <w:r>
        <w:rPr>
          <w:rFonts w:ascii="Times New Roman" w:hAnsi="Times New Roman" w:eastAsia="宋体" w:cs="Times New Roman"/>
          <w:color w:val="000000" w:themeColor="text1"/>
          <w14:textFill>
            <w14:solidFill>
              <w14:schemeClr w14:val="tx1"/>
            </w14:solidFill>
          </w14:textFill>
        </w:rPr>
        <w:t>大气污染物NH</w:t>
      </w:r>
      <w:r>
        <w:rPr>
          <w:rFonts w:ascii="Times New Roman" w:hAnsi="Times New Roman" w:eastAsia="宋体"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和H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S对周围环境空气贡献浓度占标率均小于各评价标准值的</w:t>
      </w:r>
      <w:r>
        <w:rPr>
          <w:rFonts w:hint="eastAsia" w:ascii="Times New Roman" w:hAnsi="Times New Roman" w:eastAsia="宋体" w:cs="Times New Roman"/>
          <w:color w:val="000000" w:themeColor="text1"/>
          <w:lang w:val="en-US" w:eastAsia="zh-CN"/>
          <w14:textFill>
            <w14:solidFill>
              <w14:schemeClr w14:val="tx1"/>
            </w14:solidFill>
          </w14:textFill>
        </w:rPr>
        <w:t>10</w:t>
      </w:r>
      <w:r>
        <w:rPr>
          <w:rFonts w:ascii="Times New Roman" w:hAnsi="Times New Roman" w:eastAsia="宋体" w:cs="Times New Roman"/>
          <w:color w:val="000000" w:themeColor="text1"/>
          <w14:textFill>
            <w14:solidFill>
              <w14:schemeClr w14:val="tx1"/>
            </w14:solidFill>
          </w14:textFill>
        </w:rPr>
        <w:t>%，NH</w:t>
      </w:r>
      <w:r>
        <w:rPr>
          <w:rFonts w:ascii="Times New Roman" w:hAnsi="Times New Roman" w:eastAsia="宋体"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和H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S最大落地浓度均满足《环境影响评价技术导则大气环境》 （HJ2.2-2018）附录D中1小时平均值（NH</w:t>
      </w:r>
      <w:r>
        <w:rPr>
          <w:rFonts w:ascii="Times New Roman" w:hAnsi="Times New Roman" w:eastAsia="宋体"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0.2mg/m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S0.01mg/m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）要求</w:t>
      </w:r>
      <w:r>
        <w:rPr>
          <w:rFonts w:hint="eastAsia" w:eastAsia="宋体" w:cs="Times New Roman"/>
          <w:color w:val="000000" w:themeColor="text1"/>
          <w:lang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有组织排放产生的颗粒物（PM</w:t>
      </w:r>
      <w:r>
        <w:rPr>
          <w:rFonts w:hint="eastAsia" w:eastAsia="宋体" w:cs="Times New Roman"/>
          <w:color w:val="000000" w:themeColor="text1"/>
          <w:vertAlign w:val="subscript"/>
          <w:lang w:val="en-US" w:eastAsia="zh-CN"/>
          <w14:textFill>
            <w14:solidFill>
              <w14:schemeClr w14:val="tx1"/>
            </w14:solidFill>
          </w14:textFill>
        </w:rPr>
        <w:t>10</w:t>
      </w:r>
      <w:r>
        <w:rPr>
          <w:rFonts w:hint="eastAsia" w:eastAsia="宋体" w:cs="Times New Roman"/>
          <w:color w:val="000000" w:themeColor="text1"/>
          <w:lang w:val="en-US" w:eastAsia="zh-CN"/>
          <w14:textFill>
            <w14:solidFill>
              <w14:schemeClr w14:val="tx1"/>
            </w14:solidFill>
          </w14:textFill>
        </w:rPr>
        <w:t>）、</w:t>
      </w:r>
      <w:r>
        <w:rPr>
          <w:rFonts w:hint="eastAsia" w:cs="Times New Roman"/>
          <w:color w:val="auto"/>
          <w:lang w:val="en-US" w:eastAsia="zh-CN"/>
        </w:rPr>
        <w:t>SO</w:t>
      </w:r>
      <w:r>
        <w:rPr>
          <w:rFonts w:hint="eastAsia" w:cs="Times New Roman"/>
          <w:color w:val="auto"/>
          <w:vertAlign w:val="subscript"/>
          <w:lang w:val="en-US" w:eastAsia="zh-CN"/>
        </w:rPr>
        <w:t>2</w:t>
      </w:r>
      <w:r>
        <w:rPr>
          <w:rFonts w:hint="eastAsia" w:cs="Times New Roman"/>
          <w:color w:val="auto"/>
          <w:lang w:val="en-US" w:eastAsia="zh-CN"/>
        </w:rPr>
        <w:t>、NO</w:t>
      </w:r>
      <w:r>
        <w:rPr>
          <w:rFonts w:hint="eastAsia" w:cs="Times New Roman"/>
          <w:color w:val="auto"/>
          <w:vertAlign w:val="subscript"/>
          <w:lang w:val="en-US" w:eastAsia="zh-CN"/>
        </w:rPr>
        <w:t>2</w:t>
      </w:r>
      <w:r>
        <w:rPr>
          <w:rFonts w:hint="eastAsia" w:ascii="Times New Roman" w:hAnsi="Times New Roman" w:eastAsia="宋体" w:cs="Times New Roman"/>
          <w:color w:val="000000" w:themeColor="text1"/>
          <w:lang w:val="en-US" w:eastAsia="zh-CN"/>
          <w14:textFill>
            <w14:solidFill>
              <w14:schemeClr w14:val="tx1"/>
            </w14:solidFill>
          </w14:textFill>
        </w:rPr>
        <w:t>，满足《环境空气质量标准》</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GB 3095-2026</w:t>
      </w:r>
      <w:r>
        <w:rPr>
          <w:rFonts w:hint="eastAsia"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过渡期二级标准限制（</w:t>
      </w:r>
      <w:r>
        <w:rPr>
          <w:rFonts w:hint="eastAsia" w:eastAsia="宋体" w:cs="Times New Roman"/>
          <w:color w:val="000000" w:themeColor="text1"/>
          <w:lang w:val="en-US" w:eastAsia="zh-CN"/>
          <w14:textFill>
            <w14:solidFill>
              <w14:schemeClr w14:val="tx1"/>
            </w14:solidFill>
          </w14:textFill>
        </w:rPr>
        <w:t>PM</w:t>
      </w:r>
      <w:r>
        <w:rPr>
          <w:rFonts w:hint="eastAsia" w:eastAsia="宋体" w:cs="Times New Roman"/>
          <w:color w:val="000000" w:themeColor="text1"/>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lang w:val="en-US" w:eastAsia="zh-CN"/>
          <w14:textFill>
            <w14:solidFill>
              <w14:schemeClr w14:val="tx1"/>
            </w14:solidFill>
          </w14:textFill>
        </w:rPr>
        <w:t>日均值</w:t>
      </w:r>
      <w:r>
        <w:rPr>
          <w:rFonts w:hint="eastAsia" w:eastAsia="宋体" w:cs="Times New Roman"/>
          <w:color w:val="000000" w:themeColor="text1"/>
          <w:lang w:val="en-US" w:eastAsia="zh-CN"/>
          <w14:textFill>
            <w14:solidFill>
              <w14:schemeClr w14:val="tx1"/>
            </w14:solidFill>
          </w14:textFill>
        </w:rPr>
        <w:t>：120</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r>
        <w:rPr>
          <w:rFonts w:hint="eastAsia" w:cs="Times New Roman"/>
          <w:color w:val="auto"/>
          <w:lang w:val="en-US" w:eastAsia="zh-CN"/>
        </w:rPr>
        <w:t>SO</w:t>
      </w:r>
      <w:r>
        <w:rPr>
          <w:rFonts w:hint="eastAsia" w:cs="Times New Roman"/>
          <w:color w:val="auto"/>
          <w:vertAlign w:val="subscript"/>
          <w:lang w:val="en-US" w:eastAsia="zh-CN"/>
        </w:rPr>
        <w:t>2</w:t>
      </w:r>
      <w:r>
        <w:rPr>
          <w:rFonts w:hint="eastAsia" w:cs="Times New Roman"/>
          <w:color w:val="auto"/>
          <w:lang w:val="en-US" w:eastAsia="zh-CN"/>
        </w:rPr>
        <w:t>：小时值500</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hint="eastAsia" w:cs="Times New Roman"/>
          <w:color w:val="auto"/>
          <w:lang w:val="en-US" w:eastAsia="zh-CN"/>
        </w:rPr>
        <w:t>，NO</w:t>
      </w:r>
      <w:r>
        <w:rPr>
          <w:rFonts w:hint="eastAsia" w:cs="Times New Roman"/>
          <w:color w:val="auto"/>
          <w:vertAlign w:val="subscript"/>
          <w:lang w:val="en-US" w:eastAsia="zh-CN"/>
        </w:rPr>
        <w:t>2</w:t>
      </w:r>
      <w:r>
        <w:rPr>
          <w:rFonts w:hint="eastAsia" w:cs="Times New Roman"/>
          <w:color w:val="auto"/>
          <w:lang w:val="en-US" w:eastAsia="zh-CN"/>
        </w:rPr>
        <w:t>：小时值200</w:t>
      </w:r>
      <w:r>
        <w:rPr>
          <w:rFonts w:ascii="Times New Roman" w:hAnsi="Times New Roman" w:eastAsia="宋体" w:cs="Times New Roman"/>
          <w:color w:val="000000" w:themeColor="text1"/>
          <w14:textFill>
            <w14:solidFill>
              <w14:schemeClr w14:val="tx1"/>
            </w14:solidFill>
          </w14:textFill>
        </w:rPr>
        <w:t>μg/m</w:t>
      </w:r>
      <w:r>
        <w:rPr>
          <w:rFonts w:ascii="Times New Roman" w:hAnsi="Times New Roman" w:eastAsia="宋体" w:cs="Times New Roman"/>
          <w:color w:val="000000" w:themeColor="text1"/>
          <w:vertAlign w:val="superscript"/>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），项目</w:t>
      </w:r>
      <w:r>
        <w:rPr>
          <w:rFonts w:ascii="Times New Roman" w:hAnsi="Times New Roman" w:eastAsia="宋体" w:cs="Times New Roman"/>
          <w:color w:val="000000" w:themeColor="text1"/>
          <w14:textFill>
            <w14:solidFill>
              <w14:schemeClr w14:val="tx1"/>
            </w14:solidFill>
          </w14:textFill>
        </w:rPr>
        <w:t>实施后对区域大气环境质量影响</w:t>
      </w:r>
      <w:r>
        <w:rPr>
          <w:rFonts w:hint="eastAsia" w:eastAsia="宋体" w:cs="Times New Roman"/>
          <w:color w:val="000000" w:themeColor="text1"/>
          <w:lang w:val="en-US" w:eastAsia="zh-CN"/>
          <w14:textFill>
            <w14:solidFill>
              <w14:schemeClr w14:val="tx1"/>
            </w14:solidFill>
          </w14:textFill>
        </w:rPr>
        <w:t>较小</w:t>
      </w:r>
      <w:r>
        <w:rPr>
          <w:rFonts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但本项目属于散发恶臭气体的养殖类项目，根据相关规定，500m范围内不得有集中居民点等敏感目标，目前本项目最近住户位于东侧950m，满足要求。</w:t>
      </w:r>
    </w:p>
    <w:p w14:paraId="00E1A9E4">
      <w:pPr>
        <w:pStyle w:val="6"/>
        <w:ind w:left="240"/>
        <w:rPr>
          <w:rFonts w:ascii="Times New Roman" w:hAnsi="Times New Roman" w:cs="Times New Roman"/>
          <w:color w:val="auto"/>
        </w:rPr>
      </w:pPr>
      <w:bookmarkStart w:id="182" w:name="5.2.1.3油烟废气环境影响分析"/>
      <w:bookmarkEnd w:id="182"/>
      <w:r>
        <w:rPr>
          <w:rFonts w:hint="eastAsia" w:cs="Times New Roman"/>
          <w:color w:val="auto"/>
          <w:lang w:val="en-US" w:eastAsia="zh-CN"/>
        </w:rPr>
        <w:t>5</w:t>
      </w:r>
      <w:r>
        <w:rPr>
          <w:rFonts w:ascii="Times New Roman" w:hAnsi="Times New Roman" w:cs="Times New Roman"/>
          <w:color w:val="auto"/>
        </w:rPr>
        <w:t>.2.1.3恶臭气体对环境影响分析</w:t>
      </w:r>
    </w:p>
    <w:p w14:paraId="260E2B65">
      <w:pPr>
        <w:ind w:firstLine="480"/>
        <w:rPr>
          <w:rFonts w:ascii="Times New Roman" w:hAnsi="Times New Roman" w:cs="Times New Roman"/>
          <w:color w:val="auto"/>
        </w:rPr>
      </w:pPr>
      <w:r>
        <w:rPr>
          <w:rFonts w:ascii="Times New Roman" w:hAnsi="Times New Roman" w:cs="Times New Roman"/>
          <w:color w:val="auto"/>
        </w:rPr>
        <w:t>（1）恶臭的产生</w:t>
      </w:r>
    </w:p>
    <w:p w14:paraId="67140E3F">
      <w:pPr>
        <w:ind w:firstLine="480"/>
        <w:rPr>
          <w:rFonts w:ascii="Times New Roman" w:hAnsi="Times New Roman" w:cs="Times New Roman"/>
          <w:color w:val="auto"/>
        </w:rPr>
      </w:pPr>
      <w:r>
        <w:rPr>
          <w:rFonts w:ascii="Times New Roman" w:hAnsi="Times New Roman" w:cs="Times New Roman"/>
          <w:color w:val="auto"/>
        </w:rPr>
        <w:t>随着畜牧业生产集约化程度的不断提高，养殖场的恶臭对大气污染已经构成社会公害，使人类生存环境下降，使禽畜生产力下降，对疫病的易感性提高或直接引起某些疾病，从而引起普遍关注。</w:t>
      </w:r>
    </w:p>
    <w:p w14:paraId="5E1A6FBE">
      <w:pPr>
        <w:ind w:firstLine="480"/>
        <w:rPr>
          <w:rFonts w:ascii="Times New Roman" w:hAnsi="Times New Roman" w:cs="Times New Roman"/>
          <w:color w:val="auto"/>
        </w:rPr>
      </w:pPr>
      <w:r>
        <w:rPr>
          <w:rFonts w:ascii="Times New Roman" w:hAnsi="Times New Roman" w:cs="Times New Roman"/>
          <w:color w:val="auto"/>
        </w:rPr>
        <w:t>养殖场恶臭主要来自粪污等腐败成分。影响因素主要是清粪方式、管理水平、粪便和污水的无害化程度。同时，也与场址规划、布局、圈舍设计、通风等有关。</w:t>
      </w:r>
    </w:p>
    <w:p w14:paraId="740937F5">
      <w:pPr>
        <w:ind w:firstLine="480"/>
        <w:rPr>
          <w:rFonts w:ascii="Times New Roman" w:hAnsi="Times New Roman" w:cs="Times New Roman"/>
          <w:color w:val="auto"/>
        </w:rPr>
      </w:pPr>
      <w:r>
        <w:rPr>
          <w:rFonts w:ascii="Times New Roman" w:hAnsi="Times New Roman" w:cs="Times New Roman"/>
          <w:color w:val="auto"/>
        </w:rPr>
        <w:t>恶臭是由许多单一的恶臭物质复合作用生成的。其中对环境危害最大的恶臭物质为氨气、硫化氢。</w:t>
      </w:r>
    </w:p>
    <w:p w14:paraId="7A6A47F8">
      <w:pPr>
        <w:ind w:firstLine="480"/>
        <w:rPr>
          <w:rFonts w:ascii="Times New Roman" w:hAnsi="Times New Roman" w:cs="Times New Roman"/>
          <w:color w:val="auto"/>
        </w:rPr>
      </w:pPr>
      <w:r>
        <w:rPr>
          <w:rFonts w:ascii="Times New Roman" w:hAnsi="Times New Roman" w:cs="Times New Roman"/>
          <w:color w:val="auto"/>
        </w:rPr>
        <w:t>氨气无色气体。有强烈的刺激气味。轻于空气。易被液化成无色的液体。对动物或人体的上呼吸道有刺激和腐蚀作用，使组织蛋白变性，使脂肪皂化，破坏细胞膜结构减弱人体对疾病的抵抗力；短期接触氨后可能会出现皮肤色素沉积或手指溃疡等症状；长期内吸入大量氨气后可出现流泪、咽痛、声音嘶哑、咳嗽、痰带血丝、胸闷、呼吸困难，并伴有头晕、头痛、恶心、呕吐、乏力等症状，严重者可发生肺水肿、成人呼吸窘迫综合症，同时可能发生呼吸道刺激症状。</w:t>
      </w:r>
    </w:p>
    <w:p w14:paraId="2AD7BB9A">
      <w:pPr>
        <w:ind w:firstLine="480"/>
        <w:rPr>
          <w:rFonts w:ascii="Times New Roman" w:hAnsi="Times New Roman" w:cs="Times New Roman"/>
          <w:color w:val="auto"/>
        </w:rPr>
      </w:pPr>
      <w:r>
        <w:rPr>
          <w:rFonts w:ascii="Times New Roman" w:hAnsi="Times New Roman" w:cs="Times New Roman"/>
          <w:color w:val="auto"/>
        </w:rPr>
        <w:t>硫化氢是一种无机化合物，正常情况下是一种无色、易燃的酸性气体，浓度低时带恶臭，气味如臭蛋；短期内吸入高浓度的硫化氢后出现流泪、眼痛、眼内异物感、畏光、视觉模糊、流涕、咽喉部灼烧感、咳嗽、胸闷、头痛、头晕、乏力、意识模糊等。重者可出现脑水肿、肺水肿，极高浓度（1000mg/m</w:t>
      </w:r>
      <w:r>
        <w:rPr>
          <w:rFonts w:ascii="Times New Roman" w:hAnsi="Times New Roman" w:cs="Times New Roman"/>
          <w:color w:val="auto"/>
          <w:vertAlign w:val="superscript"/>
        </w:rPr>
        <w:t>3</w:t>
      </w:r>
      <w:r>
        <w:rPr>
          <w:rFonts w:ascii="Times New Roman" w:hAnsi="Times New Roman" w:cs="Times New Roman"/>
          <w:color w:val="auto"/>
        </w:rPr>
        <w:t>以上）时可在数秒内突然昏迷，发生闪电型死亡。高浓度接触眼结膜发生水肿和角膜溃疡。长期低浓度接触，可引起神经衰弱综合症和</w:t>
      </w:r>
      <w:r>
        <w:rPr>
          <w:rFonts w:hint="eastAsia" w:cs="Times New Roman"/>
          <w:color w:val="auto"/>
          <w:lang w:eastAsia="zh-CN"/>
        </w:rPr>
        <w:t>自主神经</w:t>
      </w:r>
      <w:r>
        <w:rPr>
          <w:rFonts w:ascii="Times New Roman" w:hAnsi="Times New Roman" w:cs="Times New Roman"/>
          <w:color w:val="auto"/>
        </w:rPr>
        <w:t>功能紊乱。</w:t>
      </w:r>
    </w:p>
    <w:p w14:paraId="4DD00998">
      <w:pPr>
        <w:ind w:firstLine="480"/>
        <w:rPr>
          <w:rFonts w:ascii="Times New Roman" w:hAnsi="Times New Roman" w:cs="Times New Roman"/>
          <w:color w:val="auto"/>
        </w:rPr>
      </w:pPr>
      <w:r>
        <w:rPr>
          <w:rFonts w:ascii="Times New Roman" w:hAnsi="Times New Roman" w:cs="Times New Roman"/>
          <w:color w:val="auto"/>
        </w:rPr>
        <w:t>在恶臭气体对人体的影响方面，当大气中硫化氢气体浓度达到0.07ppm，会影响人眼睛对光的反应；当大气中氨气浓度高于17ppm时，人在此环境中暴露7～8小时，则尿中的NH</w:t>
      </w:r>
      <w:r>
        <w:rPr>
          <w:rFonts w:ascii="Times New Roman" w:hAnsi="Times New Roman" w:cs="Times New Roman"/>
          <w:color w:val="auto"/>
          <w:vertAlign w:val="subscript"/>
        </w:rPr>
        <w:t>3</w:t>
      </w:r>
      <w:r>
        <w:rPr>
          <w:rFonts w:ascii="Times New Roman" w:hAnsi="Times New Roman" w:cs="Times New Roman"/>
          <w:color w:val="auto"/>
        </w:rPr>
        <w:t>量增加，同时氧的消耗降低，呼吸频率下降；当在高浓度三甲胺气体暴露下，会刺激眼睛、催泪并患结膜炎等。表</w:t>
      </w:r>
      <w:r>
        <w:rPr>
          <w:rFonts w:hint="eastAsia" w:cs="Times New Roman"/>
          <w:color w:val="auto"/>
          <w:lang w:val="en-US" w:eastAsia="zh-CN"/>
        </w:rPr>
        <w:t>5</w:t>
      </w:r>
      <w:r>
        <w:rPr>
          <w:rFonts w:ascii="Times New Roman" w:hAnsi="Times New Roman" w:cs="Times New Roman"/>
          <w:color w:val="auto"/>
        </w:rPr>
        <w:t>.2-</w:t>
      </w:r>
      <w:r>
        <w:rPr>
          <w:rFonts w:hint="eastAsia" w:ascii="Times New Roman" w:hAnsi="Times New Roman" w:cs="Times New Roman"/>
          <w:color w:val="auto"/>
          <w:lang w:val="en-US" w:eastAsia="zh-CN"/>
        </w:rPr>
        <w:t>7</w:t>
      </w:r>
      <w:r>
        <w:rPr>
          <w:rFonts w:ascii="Times New Roman" w:hAnsi="Times New Roman" w:cs="Times New Roman"/>
          <w:color w:val="auto"/>
        </w:rPr>
        <w:t>列出了感觉到主要恶臭物质的浓度</w:t>
      </w:r>
      <w:r>
        <w:rPr>
          <w:rFonts w:hint="eastAsia" w:cs="Times New Roman"/>
          <w:color w:val="auto"/>
          <w:lang w:eastAsia="zh-CN"/>
        </w:rPr>
        <w:t>阈值</w:t>
      </w:r>
      <w:r>
        <w:rPr>
          <w:rFonts w:ascii="Times New Roman" w:hAnsi="Times New Roman" w:cs="Times New Roman"/>
          <w:color w:val="auto"/>
        </w:rPr>
        <w:t>。</w:t>
      </w:r>
    </w:p>
    <w:p w14:paraId="13E93539">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7</w:t>
      </w:r>
      <w:r>
        <w:rPr>
          <w:rFonts w:ascii="Times New Roman" w:hAnsi="Times New Roman" w:eastAsia="宋体" w:cs="Times New Roman"/>
          <w:b/>
          <w:bCs/>
          <w:color w:val="auto"/>
        </w:rPr>
        <w:t xml:space="preserve">    主要恶臭物质的</w:t>
      </w:r>
      <w:r>
        <w:rPr>
          <w:rFonts w:hint="eastAsia" w:eastAsia="宋体" w:cs="Times New Roman"/>
          <w:b/>
          <w:bCs/>
          <w:color w:val="auto"/>
          <w:lang w:eastAsia="zh-CN"/>
        </w:rPr>
        <w:t>阈值</w:t>
      </w:r>
      <w:r>
        <w:rPr>
          <w:rFonts w:ascii="Times New Roman" w:hAnsi="Times New Roman" w:eastAsia="宋体" w:cs="Times New Roman"/>
          <w:b/>
          <w:bCs/>
          <w:color w:val="auto"/>
        </w:rPr>
        <w:t>浓度</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84"/>
        <w:gridCol w:w="2930"/>
        <w:gridCol w:w="2930"/>
      </w:tblGrid>
      <w:tr w14:paraId="58A1CD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84" w:type="dxa"/>
            <w:tcBorders>
              <w:tl2br w:val="nil"/>
              <w:tr2bl w:val="nil"/>
            </w:tcBorders>
            <w:vAlign w:val="center"/>
          </w:tcPr>
          <w:p w14:paraId="6898232D">
            <w:pPr>
              <w:pStyle w:val="56"/>
              <w:rPr>
                <w:rFonts w:ascii="Times New Roman" w:hAnsi="Times New Roman"/>
                <w:color w:val="auto"/>
                <w:szCs w:val="21"/>
              </w:rPr>
            </w:pPr>
            <w:r>
              <w:rPr>
                <w:rFonts w:ascii="Times New Roman" w:hAnsi="Times New Roman"/>
                <w:color w:val="auto"/>
                <w:szCs w:val="21"/>
              </w:rPr>
              <w:t>物质</w:t>
            </w:r>
          </w:p>
        </w:tc>
        <w:tc>
          <w:tcPr>
            <w:tcW w:w="2930" w:type="dxa"/>
            <w:tcBorders>
              <w:tl2br w:val="nil"/>
              <w:tr2bl w:val="nil"/>
            </w:tcBorders>
            <w:vAlign w:val="center"/>
          </w:tcPr>
          <w:p w14:paraId="18C58A41">
            <w:pPr>
              <w:pStyle w:val="56"/>
              <w:rPr>
                <w:rFonts w:ascii="Times New Roman" w:hAnsi="Times New Roman"/>
                <w:color w:val="auto"/>
                <w:szCs w:val="21"/>
              </w:rPr>
            </w:pPr>
            <w:r>
              <w:rPr>
                <w:rFonts w:ascii="Times New Roman" w:hAnsi="Times New Roman"/>
                <w:color w:val="auto"/>
                <w:szCs w:val="21"/>
              </w:rPr>
              <w:t>嗅</w:t>
            </w:r>
            <w:r>
              <w:rPr>
                <w:rFonts w:hint="eastAsia"/>
                <w:color w:val="auto"/>
                <w:szCs w:val="21"/>
                <w:lang w:eastAsia="zh-CN"/>
              </w:rPr>
              <w:t>阈值</w:t>
            </w:r>
            <w:r>
              <w:rPr>
                <w:rFonts w:ascii="Times New Roman" w:hAnsi="Times New Roman"/>
                <w:color w:val="auto"/>
                <w:szCs w:val="21"/>
              </w:rPr>
              <w:t>（ppm）</w:t>
            </w:r>
          </w:p>
        </w:tc>
        <w:tc>
          <w:tcPr>
            <w:tcW w:w="2930" w:type="dxa"/>
            <w:tcBorders>
              <w:tl2br w:val="nil"/>
              <w:tr2bl w:val="nil"/>
            </w:tcBorders>
            <w:vAlign w:val="center"/>
          </w:tcPr>
          <w:p w14:paraId="7156FD0C">
            <w:pPr>
              <w:pStyle w:val="56"/>
              <w:rPr>
                <w:rFonts w:ascii="Times New Roman" w:hAnsi="Times New Roman"/>
                <w:color w:val="auto"/>
                <w:szCs w:val="21"/>
              </w:rPr>
            </w:pPr>
            <w:r>
              <w:rPr>
                <w:rFonts w:ascii="Times New Roman" w:hAnsi="Times New Roman"/>
                <w:color w:val="auto"/>
                <w:szCs w:val="21"/>
              </w:rPr>
              <w:t>嗅</w:t>
            </w:r>
            <w:r>
              <w:rPr>
                <w:rFonts w:hint="eastAsia"/>
                <w:color w:val="auto"/>
                <w:szCs w:val="21"/>
                <w:lang w:eastAsia="zh-CN"/>
              </w:rPr>
              <w:t>阈值</w:t>
            </w:r>
            <w:r>
              <w:rPr>
                <w:rFonts w:ascii="Times New Roman" w:hAnsi="Times New Roman"/>
                <w:color w:val="auto"/>
                <w:szCs w:val="21"/>
              </w:rPr>
              <w:t>（mg/m</w:t>
            </w:r>
            <w:r>
              <w:rPr>
                <w:rFonts w:ascii="Times New Roman" w:hAnsi="Times New Roman"/>
                <w:color w:val="auto"/>
                <w:szCs w:val="21"/>
                <w:vertAlign w:val="superscript"/>
              </w:rPr>
              <w:t>3</w:t>
            </w:r>
            <w:r>
              <w:rPr>
                <w:rFonts w:ascii="Times New Roman" w:hAnsi="Times New Roman"/>
                <w:color w:val="auto"/>
                <w:szCs w:val="21"/>
              </w:rPr>
              <w:t>）</w:t>
            </w:r>
          </w:p>
        </w:tc>
      </w:tr>
      <w:tr w14:paraId="252A2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84" w:type="dxa"/>
            <w:tcBorders>
              <w:tl2br w:val="nil"/>
              <w:tr2bl w:val="nil"/>
            </w:tcBorders>
            <w:vAlign w:val="center"/>
          </w:tcPr>
          <w:p w14:paraId="1A13BF9E">
            <w:pPr>
              <w:pStyle w:val="56"/>
              <w:rPr>
                <w:rFonts w:ascii="Times New Roman" w:hAnsi="Times New Roman"/>
                <w:color w:val="auto"/>
                <w:szCs w:val="21"/>
              </w:rPr>
            </w:pPr>
            <w:r>
              <w:rPr>
                <w:rFonts w:ascii="Times New Roman" w:hAnsi="Times New Roman"/>
                <w:color w:val="auto"/>
                <w:szCs w:val="21"/>
              </w:rPr>
              <w:t>氨</w:t>
            </w:r>
          </w:p>
        </w:tc>
        <w:tc>
          <w:tcPr>
            <w:tcW w:w="2930" w:type="dxa"/>
            <w:tcBorders>
              <w:tl2br w:val="nil"/>
              <w:tr2bl w:val="nil"/>
            </w:tcBorders>
            <w:vAlign w:val="center"/>
          </w:tcPr>
          <w:p w14:paraId="1DE64EFA">
            <w:pPr>
              <w:pStyle w:val="56"/>
              <w:rPr>
                <w:rFonts w:ascii="Times New Roman" w:hAnsi="Times New Roman"/>
                <w:color w:val="auto"/>
                <w:szCs w:val="21"/>
              </w:rPr>
            </w:pPr>
            <w:r>
              <w:rPr>
                <w:rFonts w:ascii="Times New Roman" w:hAnsi="Times New Roman"/>
                <w:color w:val="auto"/>
                <w:szCs w:val="21"/>
              </w:rPr>
              <w:t>0.1</w:t>
            </w:r>
          </w:p>
        </w:tc>
        <w:tc>
          <w:tcPr>
            <w:tcW w:w="2930" w:type="dxa"/>
            <w:tcBorders>
              <w:tl2br w:val="nil"/>
              <w:tr2bl w:val="nil"/>
            </w:tcBorders>
            <w:vAlign w:val="center"/>
          </w:tcPr>
          <w:p w14:paraId="550937DA">
            <w:pPr>
              <w:pStyle w:val="56"/>
              <w:rPr>
                <w:rFonts w:ascii="Times New Roman" w:hAnsi="Times New Roman"/>
                <w:color w:val="auto"/>
                <w:szCs w:val="21"/>
              </w:rPr>
            </w:pPr>
            <w:r>
              <w:rPr>
                <w:rFonts w:ascii="Times New Roman" w:hAnsi="Times New Roman"/>
                <w:color w:val="auto"/>
                <w:szCs w:val="21"/>
              </w:rPr>
              <w:t>0.15</w:t>
            </w:r>
          </w:p>
        </w:tc>
      </w:tr>
      <w:tr w14:paraId="31ABF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984" w:type="dxa"/>
            <w:tcBorders>
              <w:tl2br w:val="nil"/>
              <w:tr2bl w:val="nil"/>
            </w:tcBorders>
            <w:vAlign w:val="center"/>
          </w:tcPr>
          <w:p w14:paraId="71870E97">
            <w:pPr>
              <w:pStyle w:val="56"/>
              <w:rPr>
                <w:rFonts w:ascii="Times New Roman" w:hAnsi="Times New Roman"/>
                <w:color w:val="auto"/>
                <w:szCs w:val="21"/>
              </w:rPr>
            </w:pPr>
            <w:r>
              <w:rPr>
                <w:rFonts w:ascii="Times New Roman" w:hAnsi="Times New Roman"/>
                <w:color w:val="auto"/>
                <w:szCs w:val="21"/>
              </w:rPr>
              <w:t>硫化氢</w:t>
            </w:r>
          </w:p>
        </w:tc>
        <w:tc>
          <w:tcPr>
            <w:tcW w:w="2930" w:type="dxa"/>
            <w:tcBorders>
              <w:tl2br w:val="nil"/>
              <w:tr2bl w:val="nil"/>
            </w:tcBorders>
            <w:vAlign w:val="center"/>
          </w:tcPr>
          <w:p w14:paraId="637F017B">
            <w:pPr>
              <w:pStyle w:val="56"/>
              <w:rPr>
                <w:rFonts w:ascii="Times New Roman" w:hAnsi="Times New Roman"/>
                <w:color w:val="auto"/>
                <w:szCs w:val="21"/>
              </w:rPr>
            </w:pPr>
            <w:r>
              <w:rPr>
                <w:rFonts w:ascii="Times New Roman" w:hAnsi="Times New Roman"/>
                <w:color w:val="auto"/>
                <w:szCs w:val="21"/>
              </w:rPr>
              <w:t>0.0005</w:t>
            </w:r>
          </w:p>
        </w:tc>
        <w:tc>
          <w:tcPr>
            <w:tcW w:w="2930" w:type="dxa"/>
            <w:tcBorders>
              <w:tl2br w:val="nil"/>
              <w:tr2bl w:val="nil"/>
            </w:tcBorders>
            <w:vAlign w:val="center"/>
          </w:tcPr>
          <w:p w14:paraId="5981B7BB">
            <w:pPr>
              <w:pStyle w:val="56"/>
              <w:rPr>
                <w:rFonts w:ascii="Times New Roman" w:hAnsi="Times New Roman"/>
                <w:color w:val="auto"/>
                <w:szCs w:val="21"/>
              </w:rPr>
            </w:pPr>
            <w:r>
              <w:rPr>
                <w:rFonts w:ascii="Times New Roman" w:hAnsi="Times New Roman"/>
                <w:color w:val="auto"/>
                <w:szCs w:val="21"/>
              </w:rPr>
              <w:t>0.00076</w:t>
            </w:r>
          </w:p>
        </w:tc>
      </w:tr>
    </w:tbl>
    <w:p w14:paraId="68D9F7C9">
      <w:pPr>
        <w:ind w:firstLine="480"/>
        <w:rPr>
          <w:rFonts w:ascii="Times New Roman" w:hAnsi="Times New Roman" w:cs="Times New Roman"/>
          <w:color w:val="auto"/>
        </w:rPr>
      </w:pPr>
      <w:r>
        <w:rPr>
          <w:rFonts w:ascii="Times New Roman" w:hAnsi="Times New Roman" w:cs="Times New Roman"/>
          <w:color w:val="auto"/>
        </w:rPr>
        <w:t>上述恶臭污染物质的臭味特征见表</w:t>
      </w:r>
      <w:r>
        <w:rPr>
          <w:rFonts w:hint="eastAsia" w:ascii="Times New Roman" w:hAnsi="Times New Roman" w:cs="Times New Roman"/>
          <w:color w:val="auto"/>
          <w:lang w:val="en-US" w:eastAsia="zh-CN"/>
        </w:rPr>
        <w:t>6</w:t>
      </w:r>
      <w:r>
        <w:rPr>
          <w:rFonts w:ascii="Times New Roman" w:hAnsi="Times New Roman" w:cs="Times New Roman"/>
          <w:color w:val="auto"/>
        </w:rPr>
        <w:t>.2-</w:t>
      </w:r>
      <w:r>
        <w:rPr>
          <w:rFonts w:hint="eastAsia" w:ascii="Times New Roman" w:hAnsi="Times New Roman" w:cs="Times New Roman"/>
          <w:color w:val="auto"/>
          <w:lang w:val="en-US" w:eastAsia="zh-CN"/>
        </w:rPr>
        <w:t>8</w:t>
      </w:r>
      <w:r>
        <w:rPr>
          <w:rFonts w:ascii="Times New Roman" w:hAnsi="Times New Roman" w:cs="Times New Roman"/>
          <w:color w:val="auto"/>
        </w:rPr>
        <w:t>。</w:t>
      </w:r>
    </w:p>
    <w:p w14:paraId="42AEDCC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8</w:t>
      </w:r>
      <w:r>
        <w:rPr>
          <w:rFonts w:ascii="Times New Roman" w:hAnsi="Times New Roman" w:eastAsia="宋体" w:cs="Times New Roman"/>
          <w:b/>
          <w:bCs/>
          <w:color w:val="auto"/>
        </w:rPr>
        <w:t xml:space="preserve">    主要恶臭物质的臭味特征</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61"/>
        <w:gridCol w:w="4383"/>
      </w:tblGrid>
      <w:tr w14:paraId="6ED9D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4461" w:type="dxa"/>
            <w:tcBorders>
              <w:tl2br w:val="nil"/>
              <w:tr2bl w:val="nil"/>
            </w:tcBorders>
            <w:vAlign w:val="center"/>
          </w:tcPr>
          <w:p w14:paraId="3967EB01">
            <w:pPr>
              <w:pStyle w:val="56"/>
              <w:rPr>
                <w:rFonts w:ascii="Times New Roman" w:hAnsi="Times New Roman"/>
                <w:color w:val="auto"/>
                <w:szCs w:val="21"/>
              </w:rPr>
            </w:pPr>
            <w:r>
              <w:rPr>
                <w:rFonts w:ascii="Times New Roman" w:hAnsi="Times New Roman"/>
                <w:color w:val="auto"/>
                <w:szCs w:val="21"/>
              </w:rPr>
              <w:t>物质</w:t>
            </w:r>
          </w:p>
        </w:tc>
        <w:tc>
          <w:tcPr>
            <w:tcW w:w="4383" w:type="dxa"/>
            <w:tcBorders>
              <w:tl2br w:val="nil"/>
              <w:tr2bl w:val="nil"/>
            </w:tcBorders>
            <w:vAlign w:val="center"/>
          </w:tcPr>
          <w:p w14:paraId="44B59896">
            <w:pPr>
              <w:pStyle w:val="56"/>
              <w:rPr>
                <w:rFonts w:ascii="Times New Roman" w:hAnsi="Times New Roman"/>
                <w:color w:val="auto"/>
                <w:szCs w:val="21"/>
              </w:rPr>
            </w:pPr>
            <w:r>
              <w:rPr>
                <w:rFonts w:ascii="Times New Roman" w:hAnsi="Times New Roman"/>
                <w:color w:val="auto"/>
                <w:szCs w:val="21"/>
              </w:rPr>
              <w:t>臭味</w:t>
            </w:r>
          </w:p>
        </w:tc>
      </w:tr>
      <w:tr w14:paraId="51EE51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4461" w:type="dxa"/>
            <w:tcBorders>
              <w:tl2br w:val="nil"/>
              <w:tr2bl w:val="nil"/>
            </w:tcBorders>
            <w:vAlign w:val="center"/>
          </w:tcPr>
          <w:p w14:paraId="412EE10E">
            <w:pPr>
              <w:pStyle w:val="56"/>
              <w:rPr>
                <w:rFonts w:ascii="Times New Roman" w:hAnsi="Times New Roman"/>
                <w:color w:val="auto"/>
                <w:szCs w:val="21"/>
              </w:rPr>
            </w:pPr>
            <w:r>
              <w:rPr>
                <w:rFonts w:ascii="Times New Roman" w:hAnsi="Times New Roman"/>
                <w:color w:val="auto"/>
                <w:szCs w:val="21"/>
              </w:rPr>
              <w:t>氨</w:t>
            </w:r>
          </w:p>
        </w:tc>
        <w:tc>
          <w:tcPr>
            <w:tcW w:w="4383" w:type="dxa"/>
            <w:tcBorders>
              <w:tl2br w:val="nil"/>
              <w:tr2bl w:val="nil"/>
            </w:tcBorders>
            <w:vAlign w:val="center"/>
          </w:tcPr>
          <w:p w14:paraId="23E805C4">
            <w:pPr>
              <w:pStyle w:val="56"/>
              <w:rPr>
                <w:rFonts w:ascii="Times New Roman" w:hAnsi="Times New Roman"/>
                <w:color w:val="auto"/>
                <w:szCs w:val="21"/>
              </w:rPr>
            </w:pPr>
            <w:r>
              <w:rPr>
                <w:rFonts w:ascii="Times New Roman" w:hAnsi="Times New Roman"/>
                <w:color w:val="auto"/>
                <w:szCs w:val="21"/>
              </w:rPr>
              <w:t>强刺激臭味</w:t>
            </w:r>
          </w:p>
        </w:tc>
      </w:tr>
      <w:tr w14:paraId="152CD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4461" w:type="dxa"/>
            <w:tcBorders>
              <w:tl2br w:val="nil"/>
              <w:tr2bl w:val="nil"/>
            </w:tcBorders>
            <w:vAlign w:val="center"/>
          </w:tcPr>
          <w:p w14:paraId="77014104">
            <w:pPr>
              <w:pStyle w:val="56"/>
              <w:rPr>
                <w:rFonts w:ascii="Times New Roman" w:hAnsi="Times New Roman"/>
                <w:color w:val="auto"/>
                <w:szCs w:val="21"/>
              </w:rPr>
            </w:pPr>
            <w:r>
              <w:rPr>
                <w:rFonts w:ascii="Times New Roman" w:hAnsi="Times New Roman"/>
                <w:color w:val="auto"/>
                <w:szCs w:val="21"/>
              </w:rPr>
              <w:t>硫化氢</w:t>
            </w:r>
          </w:p>
        </w:tc>
        <w:tc>
          <w:tcPr>
            <w:tcW w:w="4383" w:type="dxa"/>
            <w:tcBorders>
              <w:tl2br w:val="nil"/>
              <w:tr2bl w:val="nil"/>
            </w:tcBorders>
            <w:vAlign w:val="center"/>
          </w:tcPr>
          <w:p w14:paraId="6C19DF15">
            <w:pPr>
              <w:pStyle w:val="56"/>
              <w:rPr>
                <w:rFonts w:ascii="Times New Roman" w:hAnsi="Times New Roman"/>
                <w:color w:val="auto"/>
                <w:szCs w:val="21"/>
              </w:rPr>
            </w:pPr>
            <w:r>
              <w:rPr>
                <w:rFonts w:ascii="Times New Roman" w:hAnsi="Times New Roman"/>
                <w:color w:val="auto"/>
                <w:szCs w:val="21"/>
              </w:rPr>
              <w:t>臭鸡蛋味</w:t>
            </w:r>
          </w:p>
        </w:tc>
      </w:tr>
    </w:tbl>
    <w:p w14:paraId="086821E0">
      <w:pPr>
        <w:ind w:firstLine="480"/>
        <w:rPr>
          <w:rFonts w:ascii="Times New Roman" w:hAnsi="Times New Roman" w:cs="Times New Roman"/>
          <w:color w:val="auto"/>
        </w:rPr>
      </w:pPr>
      <w:r>
        <w:rPr>
          <w:rFonts w:ascii="Times New Roman" w:hAnsi="Times New Roman" w:cs="Times New Roman"/>
          <w:color w:val="auto"/>
        </w:rPr>
        <w:t>（2）恶臭影响分析</w:t>
      </w:r>
    </w:p>
    <w:p w14:paraId="6CA3C3AF">
      <w:pPr>
        <w:ind w:firstLine="480"/>
        <w:rPr>
          <w:rFonts w:ascii="Times New Roman" w:hAnsi="Times New Roman" w:cs="Times New Roman"/>
          <w:color w:val="auto"/>
        </w:rPr>
      </w:pPr>
      <w:r>
        <w:rPr>
          <w:rFonts w:ascii="Times New Roman" w:hAnsi="Times New Roman" w:cs="Times New Roman"/>
          <w:color w:val="auto"/>
        </w:rPr>
        <w:t>臭气强度是公害的尺度，通常用人的感觉来测定恶臭，表</w:t>
      </w:r>
      <w:r>
        <w:rPr>
          <w:rFonts w:hint="eastAsia" w:cs="Times New Roman"/>
          <w:color w:val="auto"/>
          <w:lang w:val="en-US" w:eastAsia="zh-CN"/>
        </w:rPr>
        <w:t>5</w:t>
      </w:r>
      <w:r>
        <w:rPr>
          <w:rFonts w:ascii="Times New Roman" w:hAnsi="Times New Roman" w:cs="Times New Roman"/>
          <w:color w:val="auto"/>
        </w:rPr>
        <w:t>.2-</w:t>
      </w:r>
      <w:r>
        <w:rPr>
          <w:rFonts w:hint="eastAsia" w:ascii="Times New Roman" w:hAnsi="Times New Roman" w:cs="Times New Roman"/>
          <w:color w:val="auto"/>
          <w:lang w:val="en-US" w:eastAsia="zh-CN"/>
        </w:rPr>
        <w:t>9</w:t>
      </w:r>
      <w:r>
        <w:rPr>
          <w:rFonts w:ascii="Times New Roman" w:hAnsi="Times New Roman" w:cs="Times New Roman"/>
          <w:color w:val="auto"/>
        </w:rPr>
        <w:t>列出了我国的级臭气强度表示法。表</w:t>
      </w:r>
      <w:r>
        <w:rPr>
          <w:rFonts w:hint="eastAsia" w:cs="Times New Roman"/>
          <w:color w:val="auto"/>
          <w:lang w:val="en-US" w:eastAsia="zh-CN"/>
        </w:rPr>
        <w:t>5</w:t>
      </w:r>
      <w:r>
        <w:rPr>
          <w:rFonts w:ascii="Times New Roman" w:hAnsi="Times New Roman" w:cs="Times New Roman"/>
          <w:color w:val="auto"/>
        </w:rPr>
        <w:t>.2-</w:t>
      </w:r>
      <w:r>
        <w:rPr>
          <w:rFonts w:hint="eastAsia" w:ascii="Times New Roman" w:hAnsi="Times New Roman" w:cs="Times New Roman"/>
          <w:color w:val="auto"/>
          <w:lang w:val="en-US" w:eastAsia="zh-CN"/>
        </w:rPr>
        <w:t>10</w:t>
      </w:r>
      <w:r>
        <w:rPr>
          <w:rFonts w:ascii="Times New Roman" w:hAnsi="Times New Roman" w:cs="Times New Roman"/>
          <w:color w:val="auto"/>
        </w:rPr>
        <w:t>恶臭污染物浓度与臭气强度响应关系。</w:t>
      </w:r>
    </w:p>
    <w:p w14:paraId="766DB999">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9</w:t>
      </w:r>
      <w:r>
        <w:rPr>
          <w:rFonts w:ascii="Times New Roman" w:hAnsi="Times New Roman" w:eastAsia="宋体" w:cs="Times New Roman"/>
          <w:b/>
          <w:bCs/>
          <w:color w:val="auto"/>
        </w:rPr>
        <w:t xml:space="preserve">    6级臭气强度表示法</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62"/>
        <w:gridCol w:w="6282"/>
      </w:tblGrid>
      <w:tr w14:paraId="534604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0C726B7A">
            <w:pPr>
              <w:pStyle w:val="56"/>
              <w:rPr>
                <w:rFonts w:ascii="Times New Roman" w:hAnsi="Times New Roman"/>
                <w:color w:val="auto"/>
                <w:szCs w:val="21"/>
              </w:rPr>
            </w:pPr>
            <w:r>
              <w:rPr>
                <w:rFonts w:ascii="Times New Roman" w:hAnsi="Times New Roman"/>
                <w:color w:val="auto"/>
                <w:szCs w:val="21"/>
              </w:rPr>
              <w:t>臭气强度（级）</w:t>
            </w:r>
          </w:p>
        </w:tc>
        <w:tc>
          <w:tcPr>
            <w:tcW w:w="6282" w:type="dxa"/>
            <w:tcBorders>
              <w:tl2br w:val="nil"/>
              <w:tr2bl w:val="nil"/>
            </w:tcBorders>
            <w:vAlign w:val="center"/>
          </w:tcPr>
          <w:p w14:paraId="77DE1A14">
            <w:pPr>
              <w:pStyle w:val="56"/>
              <w:rPr>
                <w:rFonts w:ascii="Times New Roman" w:hAnsi="Times New Roman"/>
                <w:color w:val="auto"/>
                <w:szCs w:val="21"/>
              </w:rPr>
            </w:pPr>
            <w:r>
              <w:rPr>
                <w:rFonts w:ascii="Times New Roman" w:hAnsi="Times New Roman"/>
                <w:color w:val="auto"/>
                <w:szCs w:val="21"/>
              </w:rPr>
              <w:t>感觉强度描述</w:t>
            </w:r>
          </w:p>
        </w:tc>
      </w:tr>
      <w:tr w14:paraId="45EF8F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43BEAA4A">
            <w:pPr>
              <w:pStyle w:val="56"/>
              <w:rPr>
                <w:rFonts w:ascii="Times New Roman" w:hAnsi="Times New Roman"/>
                <w:color w:val="auto"/>
                <w:szCs w:val="21"/>
              </w:rPr>
            </w:pPr>
            <w:r>
              <w:rPr>
                <w:rFonts w:ascii="Times New Roman" w:hAnsi="Times New Roman"/>
                <w:color w:val="auto"/>
                <w:szCs w:val="21"/>
              </w:rPr>
              <w:t>0</w:t>
            </w:r>
          </w:p>
        </w:tc>
        <w:tc>
          <w:tcPr>
            <w:tcW w:w="6282" w:type="dxa"/>
            <w:tcBorders>
              <w:tl2br w:val="nil"/>
              <w:tr2bl w:val="nil"/>
            </w:tcBorders>
            <w:vAlign w:val="center"/>
          </w:tcPr>
          <w:p w14:paraId="6A9F55E6">
            <w:pPr>
              <w:pStyle w:val="56"/>
              <w:rPr>
                <w:rFonts w:ascii="Times New Roman" w:hAnsi="Times New Roman"/>
                <w:color w:val="auto"/>
                <w:szCs w:val="21"/>
              </w:rPr>
            </w:pPr>
            <w:r>
              <w:rPr>
                <w:rFonts w:ascii="Times New Roman" w:hAnsi="Times New Roman"/>
                <w:color w:val="auto"/>
                <w:szCs w:val="21"/>
              </w:rPr>
              <w:t>无臭味</w:t>
            </w:r>
          </w:p>
        </w:tc>
      </w:tr>
      <w:tr w14:paraId="7AEC61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23D688B4">
            <w:pPr>
              <w:pStyle w:val="56"/>
              <w:rPr>
                <w:rFonts w:ascii="Times New Roman" w:hAnsi="Times New Roman"/>
                <w:color w:val="auto"/>
                <w:szCs w:val="21"/>
              </w:rPr>
            </w:pPr>
            <w:r>
              <w:rPr>
                <w:rFonts w:ascii="Times New Roman" w:hAnsi="Times New Roman"/>
                <w:color w:val="auto"/>
                <w:szCs w:val="21"/>
              </w:rPr>
              <w:t>1</w:t>
            </w:r>
          </w:p>
        </w:tc>
        <w:tc>
          <w:tcPr>
            <w:tcW w:w="6282" w:type="dxa"/>
            <w:tcBorders>
              <w:tl2br w:val="nil"/>
              <w:tr2bl w:val="nil"/>
            </w:tcBorders>
            <w:vAlign w:val="center"/>
          </w:tcPr>
          <w:p w14:paraId="2FA063BB">
            <w:pPr>
              <w:pStyle w:val="56"/>
              <w:rPr>
                <w:rFonts w:ascii="Times New Roman" w:hAnsi="Times New Roman"/>
                <w:color w:val="auto"/>
                <w:szCs w:val="21"/>
              </w:rPr>
            </w:pPr>
            <w:r>
              <w:rPr>
                <w:rFonts w:ascii="Times New Roman" w:hAnsi="Times New Roman"/>
                <w:color w:val="auto"/>
                <w:szCs w:val="21"/>
              </w:rPr>
              <w:t>勉强可感觉到气味（感觉阈值）</w:t>
            </w:r>
          </w:p>
        </w:tc>
      </w:tr>
      <w:tr w14:paraId="3E792D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64B34952">
            <w:pPr>
              <w:pStyle w:val="56"/>
              <w:rPr>
                <w:rFonts w:ascii="Times New Roman" w:hAnsi="Times New Roman"/>
                <w:color w:val="auto"/>
                <w:szCs w:val="21"/>
              </w:rPr>
            </w:pPr>
            <w:r>
              <w:rPr>
                <w:rFonts w:ascii="Times New Roman" w:hAnsi="Times New Roman"/>
                <w:color w:val="auto"/>
                <w:szCs w:val="21"/>
              </w:rPr>
              <w:t>2</w:t>
            </w:r>
          </w:p>
        </w:tc>
        <w:tc>
          <w:tcPr>
            <w:tcW w:w="6282" w:type="dxa"/>
            <w:tcBorders>
              <w:tl2br w:val="nil"/>
              <w:tr2bl w:val="nil"/>
            </w:tcBorders>
            <w:vAlign w:val="center"/>
          </w:tcPr>
          <w:p w14:paraId="124A023E">
            <w:pPr>
              <w:pStyle w:val="56"/>
              <w:rPr>
                <w:rFonts w:ascii="Times New Roman" w:hAnsi="Times New Roman"/>
                <w:color w:val="auto"/>
                <w:szCs w:val="21"/>
              </w:rPr>
            </w:pPr>
            <w:r>
              <w:rPr>
                <w:rFonts w:ascii="Times New Roman" w:hAnsi="Times New Roman"/>
                <w:color w:val="auto"/>
                <w:szCs w:val="21"/>
              </w:rPr>
              <w:t>气味很弱但能分辨其性质（识别阈值）</w:t>
            </w:r>
          </w:p>
        </w:tc>
      </w:tr>
      <w:tr w14:paraId="6E6F4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478112B8">
            <w:pPr>
              <w:pStyle w:val="56"/>
              <w:rPr>
                <w:rFonts w:ascii="Times New Roman" w:hAnsi="Times New Roman"/>
                <w:color w:val="auto"/>
                <w:szCs w:val="21"/>
              </w:rPr>
            </w:pPr>
            <w:r>
              <w:rPr>
                <w:rFonts w:ascii="Times New Roman" w:hAnsi="Times New Roman"/>
                <w:color w:val="auto"/>
                <w:szCs w:val="21"/>
              </w:rPr>
              <w:t>3</w:t>
            </w:r>
          </w:p>
        </w:tc>
        <w:tc>
          <w:tcPr>
            <w:tcW w:w="6282" w:type="dxa"/>
            <w:tcBorders>
              <w:tl2br w:val="nil"/>
              <w:tr2bl w:val="nil"/>
            </w:tcBorders>
            <w:vAlign w:val="center"/>
          </w:tcPr>
          <w:p w14:paraId="4D911206">
            <w:pPr>
              <w:pStyle w:val="56"/>
              <w:rPr>
                <w:rFonts w:ascii="Times New Roman" w:hAnsi="Times New Roman"/>
                <w:color w:val="auto"/>
                <w:szCs w:val="21"/>
              </w:rPr>
            </w:pPr>
            <w:r>
              <w:rPr>
                <w:rFonts w:ascii="Times New Roman" w:hAnsi="Times New Roman"/>
                <w:color w:val="auto"/>
                <w:szCs w:val="21"/>
              </w:rPr>
              <w:t>很容易感觉到气味</w:t>
            </w:r>
          </w:p>
        </w:tc>
      </w:tr>
      <w:tr w14:paraId="24A248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016DA944">
            <w:pPr>
              <w:pStyle w:val="56"/>
              <w:rPr>
                <w:rFonts w:ascii="Times New Roman" w:hAnsi="Times New Roman"/>
                <w:color w:val="auto"/>
                <w:szCs w:val="21"/>
              </w:rPr>
            </w:pPr>
            <w:r>
              <w:rPr>
                <w:rFonts w:ascii="Times New Roman" w:hAnsi="Times New Roman"/>
                <w:color w:val="auto"/>
                <w:szCs w:val="21"/>
              </w:rPr>
              <w:t>4</w:t>
            </w:r>
          </w:p>
        </w:tc>
        <w:tc>
          <w:tcPr>
            <w:tcW w:w="6282" w:type="dxa"/>
            <w:tcBorders>
              <w:tl2br w:val="nil"/>
              <w:tr2bl w:val="nil"/>
            </w:tcBorders>
            <w:vAlign w:val="center"/>
          </w:tcPr>
          <w:p w14:paraId="5D924507">
            <w:pPr>
              <w:pStyle w:val="56"/>
              <w:rPr>
                <w:rFonts w:ascii="Times New Roman" w:hAnsi="Times New Roman"/>
                <w:color w:val="auto"/>
                <w:szCs w:val="21"/>
              </w:rPr>
            </w:pPr>
            <w:r>
              <w:rPr>
                <w:rFonts w:ascii="Times New Roman" w:hAnsi="Times New Roman"/>
                <w:color w:val="auto"/>
                <w:szCs w:val="21"/>
              </w:rPr>
              <w:t>强烈的气味</w:t>
            </w:r>
          </w:p>
        </w:tc>
      </w:tr>
      <w:tr w14:paraId="55126F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2562" w:type="dxa"/>
            <w:tcBorders>
              <w:tl2br w:val="nil"/>
              <w:tr2bl w:val="nil"/>
            </w:tcBorders>
            <w:vAlign w:val="center"/>
          </w:tcPr>
          <w:p w14:paraId="7AD36461">
            <w:pPr>
              <w:pStyle w:val="56"/>
              <w:rPr>
                <w:rFonts w:ascii="Times New Roman" w:hAnsi="Times New Roman"/>
                <w:color w:val="auto"/>
                <w:szCs w:val="21"/>
              </w:rPr>
            </w:pPr>
            <w:r>
              <w:rPr>
                <w:rFonts w:ascii="Times New Roman" w:hAnsi="Times New Roman"/>
                <w:color w:val="auto"/>
                <w:szCs w:val="21"/>
              </w:rPr>
              <w:t>5</w:t>
            </w:r>
          </w:p>
        </w:tc>
        <w:tc>
          <w:tcPr>
            <w:tcW w:w="6282" w:type="dxa"/>
            <w:tcBorders>
              <w:tl2br w:val="nil"/>
              <w:tr2bl w:val="nil"/>
            </w:tcBorders>
            <w:vAlign w:val="center"/>
          </w:tcPr>
          <w:p w14:paraId="73C675BF">
            <w:pPr>
              <w:pStyle w:val="56"/>
              <w:rPr>
                <w:rFonts w:ascii="Times New Roman" w:hAnsi="Times New Roman"/>
                <w:color w:val="auto"/>
                <w:szCs w:val="21"/>
              </w:rPr>
            </w:pPr>
            <w:r>
              <w:rPr>
                <w:rFonts w:ascii="Times New Roman" w:hAnsi="Times New Roman"/>
                <w:color w:val="auto"/>
                <w:szCs w:val="21"/>
              </w:rPr>
              <w:t>无法忍受的极强气味</w:t>
            </w:r>
          </w:p>
        </w:tc>
      </w:tr>
    </w:tbl>
    <w:p w14:paraId="6FB08D9C">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10</w:t>
      </w:r>
      <w:r>
        <w:rPr>
          <w:rFonts w:ascii="Times New Roman" w:hAnsi="Times New Roman" w:eastAsia="宋体" w:cs="Times New Roman"/>
          <w:b/>
          <w:bCs/>
          <w:color w:val="auto"/>
        </w:rPr>
        <w:t xml:space="preserve">    恶臭污染物浓度与臭气强度响应关系</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43"/>
        <w:gridCol w:w="1203"/>
        <w:gridCol w:w="1473"/>
        <w:gridCol w:w="1473"/>
        <w:gridCol w:w="1473"/>
        <w:gridCol w:w="1479"/>
      </w:tblGrid>
      <w:tr w14:paraId="6DBCC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vMerge w:val="restart"/>
            <w:tcBorders>
              <w:tl2br w:val="nil"/>
              <w:tr2bl w:val="nil"/>
            </w:tcBorders>
            <w:vAlign w:val="center"/>
          </w:tcPr>
          <w:p w14:paraId="0F35CEC5">
            <w:pPr>
              <w:pStyle w:val="56"/>
              <w:rPr>
                <w:rFonts w:ascii="Times New Roman" w:hAnsi="Times New Roman"/>
                <w:color w:val="auto"/>
                <w:szCs w:val="21"/>
              </w:rPr>
            </w:pPr>
            <w:r>
              <w:rPr>
                <w:rFonts w:ascii="Times New Roman" w:hAnsi="Times New Roman"/>
                <w:color w:val="auto"/>
                <w:szCs w:val="21"/>
              </w:rPr>
              <w:t>恶臭污染物名称</w:t>
            </w:r>
          </w:p>
        </w:tc>
        <w:tc>
          <w:tcPr>
            <w:tcW w:w="7101" w:type="dxa"/>
            <w:gridSpan w:val="5"/>
            <w:tcBorders>
              <w:tl2br w:val="nil"/>
              <w:tr2bl w:val="nil"/>
            </w:tcBorders>
            <w:vAlign w:val="center"/>
          </w:tcPr>
          <w:p w14:paraId="34B53DED">
            <w:pPr>
              <w:pStyle w:val="56"/>
              <w:rPr>
                <w:rFonts w:ascii="Times New Roman" w:hAnsi="Times New Roman"/>
                <w:color w:val="auto"/>
                <w:szCs w:val="21"/>
              </w:rPr>
            </w:pPr>
            <w:r>
              <w:rPr>
                <w:rFonts w:ascii="Times New Roman" w:hAnsi="Times New Roman"/>
                <w:color w:val="auto"/>
                <w:szCs w:val="21"/>
              </w:rPr>
              <w:t>恶臭强度分析</w:t>
            </w:r>
          </w:p>
        </w:tc>
      </w:tr>
      <w:tr w14:paraId="5547A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vMerge w:val="continue"/>
            <w:tcBorders>
              <w:tl2br w:val="nil"/>
              <w:tr2bl w:val="nil"/>
            </w:tcBorders>
            <w:vAlign w:val="center"/>
          </w:tcPr>
          <w:p w14:paraId="543E872A">
            <w:pPr>
              <w:pStyle w:val="56"/>
              <w:rPr>
                <w:rFonts w:ascii="Times New Roman" w:hAnsi="Times New Roman"/>
                <w:color w:val="auto"/>
                <w:szCs w:val="21"/>
              </w:rPr>
            </w:pPr>
          </w:p>
        </w:tc>
        <w:tc>
          <w:tcPr>
            <w:tcW w:w="1203" w:type="dxa"/>
            <w:tcBorders>
              <w:tl2br w:val="nil"/>
              <w:tr2bl w:val="nil"/>
            </w:tcBorders>
            <w:vAlign w:val="center"/>
          </w:tcPr>
          <w:p w14:paraId="24E9E511">
            <w:pPr>
              <w:pStyle w:val="56"/>
              <w:rPr>
                <w:rFonts w:ascii="Times New Roman" w:hAnsi="Times New Roman"/>
                <w:color w:val="auto"/>
                <w:szCs w:val="21"/>
              </w:rPr>
            </w:pPr>
            <w:r>
              <w:rPr>
                <w:rFonts w:ascii="Times New Roman" w:hAnsi="Times New Roman"/>
                <w:color w:val="auto"/>
                <w:szCs w:val="21"/>
              </w:rPr>
              <w:t>1</w:t>
            </w:r>
          </w:p>
        </w:tc>
        <w:tc>
          <w:tcPr>
            <w:tcW w:w="1473" w:type="dxa"/>
            <w:tcBorders>
              <w:tl2br w:val="nil"/>
              <w:tr2bl w:val="nil"/>
            </w:tcBorders>
            <w:vAlign w:val="center"/>
          </w:tcPr>
          <w:p w14:paraId="77D46AB4">
            <w:pPr>
              <w:pStyle w:val="56"/>
              <w:rPr>
                <w:rFonts w:ascii="Times New Roman" w:hAnsi="Times New Roman"/>
                <w:color w:val="auto"/>
                <w:szCs w:val="21"/>
              </w:rPr>
            </w:pPr>
            <w:r>
              <w:rPr>
                <w:rFonts w:ascii="Times New Roman" w:hAnsi="Times New Roman"/>
                <w:color w:val="auto"/>
                <w:szCs w:val="21"/>
              </w:rPr>
              <w:t>2</w:t>
            </w:r>
          </w:p>
        </w:tc>
        <w:tc>
          <w:tcPr>
            <w:tcW w:w="1473" w:type="dxa"/>
            <w:tcBorders>
              <w:tl2br w:val="nil"/>
              <w:tr2bl w:val="nil"/>
            </w:tcBorders>
            <w:vAlign w:val="center"/>
          </w:tcPr>
          <w:p w14:paraId="76A20415">
            <w:pPr>
              <w:pStyle w:val="56"/>
              <w:rPr>
                <w:rFonts w:ascii="Times New Roman" w:hAnsi="Times New Roman"/>
                <w:color w:val="auto"/>
                <w:szCs w:val="21"/>
              </w:rPr>
            </w:pPr>
            <w:r>
              <w:rPr>
                <w:rFonts w:ascii="Times New Roman" w:hAnsi="Times New Roman"/>
                <w:color w:val="auto"/>
                <w:szCs w:val="21"/>
              </w:rPr>
              <w:t>3</w:t>
            </w:r>
          </w:p>
        </w:tc>
        <w:tc>
          <w:tcPr>
            <w:tcW w:w="1473" w:type="dxa"/>
            <w:tcBorders>
              <w:tl2br w:val="nil"/>
              <w:tr2bl w:val="nil"/>
            </w:tcBorders>
            <w:vAlign w:val="center"/>
          </w:tcPr>
          <w:p w14:paraId="2922A3CE">
            <w:pPr>
              <w:pStyle w:val="56"/>
              <w:rPr>
                <w:rFonts w:ascii="Times New Roman" w:hAnsi="Times New Roman"/>
                <w:color w:val="auto"/>
                <w:szCs w:val="21"/>
              </w:rPr>
            </w:pPr>
            <w:r>
              <w:rPr>
                <w:rFonts w:ascii="Times New Roman" w:hAnsi="Times New Roman"/>
                <w:color w:val="auto"/>
                <w:szCs w:val="21"/>
              </w:rPr>
              <w:t>4</w:t>
            </w:r>
          </w:p>
        </w:tc>
        <w:tc>
          <w:tcPr>
            <w:tcW w:w="1479" w:type="dxa"/>
            <w:tcBorders>
              <w:tl2br w:val="nil"/>
              <w:tr2bl w:val="nil"/>
            </w:tcBorders>
            <w:vAlign w:val="center"/>
          </w:tcPr>
          <w:p w14:paraId="14F76AB8">
            <w:pPr>
              <w:pStyle w:val="56"/>
              <w:rPr>
                <w:rFonts w:ascii="Times New Roman" w:hAnsi="Times New Roman"/>
                <w:color w:val="auto"/>
                <w:szCs w:val="21"/>
              </w:rPr>
            </w:pPr>
            <w:r>
              <w:rPr>
                <w:rFonts w:ascii="Times New Roman" w:hAnsi="Times New Roman"/>
                <w:color w:val="auto"/>
                <w:szCs w:val="21"/>
              </w:rPr>
              <w:t>5</w:t>
            </w:r>
          </w:p>
        </w:tc>
      </w:tr>
      <w:tr w14:paraId="371F5D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tcBorders>
              <w:tl2br w:val="nil"/>
              <w:tr2bl w:val="nil"/>
            </w:tcBorders>
            <w:vAlign w:val="center"/>
          </w:tcPr>
          <w:p w14:paraId="72887BBD">
            <w:pPr>
              <w:pStyle w:val="56"/>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（mg/m</w:t>
            </w:r>
            <w:r>
              <w:rPr>
                <w:rFonts w:ascii="Times New Roman" w:hAnsi="Times New Roman"/>
                <w:color w:val="auto"/>
                <w:szCs w:val="21"/>
                <w:vertAlign w:val="superscript"/>
              </w:rPr>
              <w:t>3</w:t>
            </w:r>
            <w:r>
              <w:rPr>
                <w:rFonts w:ascii="Times New Roman" w:hAnsi="Times New Roman"/>
                <w:color w:val="auto"/>
                <w:szCs w:val="21"/>
              </w:rPr>
              <w:t>）</w:t>
            </w:r>
          </w:p>
        </w:tc>
        <w:tc>
          <w:tcPr>
            <w:tcW w:w="1203" w:type="dxa"/>
            <w:tcBorders>
              <w:tl2br w:val="nil"/>
              <w:tr2bl w:val="nil"/>
            </w:tcBorders>
            <w:vAlign w:val="center"/>
          </w:tcPr>
          <w:p w14:paraId="2643147F">
            <w:pPr>
              <w:pStyle w:val="56"/>
              <w:rPr>
                <w:rFonts w:ascii="Times New Roman" w:hAnsi="Times New Roman"/>
                <w:color w:val="auto"/>
                <w:szCs w:val="21"/>
              </w:rPr>
            </w:pPr>
            <w:r>
              <w:rPr>
                <w:rFonts w:ascii="Times New Roman" w:hAnsi="Times New Roman"/>
                <w:color w:val="auto"/>
                <w:szCs w:val="21"/>
              </w:rPr>
              <w:t>0.00076</w:t>
            </w:r>
          </w:p>
        </w:tc>
        <w:tc>
          <w:tcPr>
            <w:tcW w:w="1473" w:type="dxa"/>
            <w:tcBorders>
              <w:tl2br w:val="nil"/>
              <w:tr2bl w:val="nil"/>
            </w:tcBorders>
            <w:vAlign w:val="center"/>
          </w:tcPr>
          <w:p w14:paraId="761A46E7">
            <w:pPr>
              <w:pStyle w:val="56"/>
              <w:rPr>
                <w:rFonts w:ascii="Times New Roman" w:hAnsi="Times New Roman"/>
                <w:color w:val="auto"/>
                <w:szCs w:val="21"/>
              </w:rPr>
            </w:pPr>
            <w:r>
              <w:rPr>
                <w:rFonts w:ascii="Times New Roman" w:hAnsi="Times New Roman"/>
                <w:color w:val="auto"/>
                <w:szCs w:val="21"/>
              </w:rPr>
              <w:t>0.00912</w:t>
            </w:r>
          </w:p>
        </w:tc>
        <w:tc>
          <w:tcPr>
            <w:tcW w:w="1473" w:type="dxa"/>
            <w:tcBorders>
              <w:tl2br w:val="nil"/>
              <w:tr2bl w:val="nil"/>
            </w:tcBorders>
            <w:vAlign w:val="center"/>
          </w:tcPr>
          <w:p w14:paraId="416DFBD6">
            <w:pPr>
              <w:pStyle w:val="56"/>
              <w:rPr>
                <w:rFonts w:ascii="Times New Roman" w:hAnsi="Times New Roman"/>
                <w:color w:val="auto"/>
                <w:szCs w:val="21"/>
              </w:rPr>
            </w:pPr>
            <w:r>
              <w:rPr>
                <w:rFonts w:ascii="Times New Roman" w:hAnsi="Times New Roman"/>
                <w:color w:val="auto"/>
                <w:szCs w:val="21"/>
              </w:rPr>
              <w:t>0.09127</w:t>
            </w:r>
          </w:p>
        </w:tc>
        <w:tc>
          <w:tcPr>
            <w:tcW w:w="1473" w:type="dxa"/>
            <w:tcBorders>
              <w:tl2br w:val="nil"/>
              <w:tr2bl w:val="nil"/>
            </w:tcBorders>
            <w:vAlign w:val="center"/>
          </w:tcPr>
          <w:p w14:paraId="447E1369">
            <w:pPr>
              <w:pStyle w:val="56"/>
              <w:rPr>
                <w:rFonts w:ascii="Times New Roman" w:hAnsi="Times New Roman"/>
                <w:color w:val="auto"/>
                <w:szCs w:val="21"/>
              </w:rPr>
            </w:pPr>
            <w:r>
              <w:rPr>
                <w:rFonts w:ascii="Times New Roman" w:hAnsi="Times New Roman"/>
                <w:color w:val="auto"/>
                <w:szCs w:val="21"/>
              </w:rPr>
              <w:t>1.06487</w:t>
            </w:r>
          </w:p>
        </w:tc>
        <w:tc>
          <w:tcPr>
            <w:tcW w:w="1479" w:type="dxa"/>
            <w:tcBorders>
              <w:tl2br w:val="nil"/>
              <w:tr2bl w:val="nil"/>
            </w:tcBorders>
            <w:vAlign w:val="center"/>
          </w:tcPr>
          <w:p w14:paraId="2D5DF6C8">
            <w:pPr>
              <w:pStyle w:val="56"/>
              <w:rPr>
                <w:rFonts w:ascii="Times New Roman" w:hAnsi="Times New Roman"/>
                <w:color w:val="auto"/>
                <w:szCs w:val="21"/>
              </w:rPr>
            </w:pPr>
            <w:r>
              <w:rPr>
                <w:rFonts w:ascii="Times New Roman" w:hAnsi="Times New Roman"/>
                <w:color w:val="auto"/>
                <w:szCs w:val="21"/>
              </w:rPr>
              <w:t>12.16993</w:t>
            </w:r>
          </w:p>
        </w:tc>
      </w:tr>
      <w:tr w14:paraId="781E6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43" w:type="dxa"/>
            <w:tcBorders>
              <w:tl2br w:val="nil"/>
              <w:tr2bl w:val="nil"/>
            </w:tcBorders>
            <w:vAlign w:val="center"/>
          </w:tcPr>
          <w:p w14:paraId="3A5D0359">
            <w:pPr>
              <w:pStyle w:val="56"/>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S（mg/m</w:t>
            </w:r>
            <w:r>
              <w:rPr>
                <w:rFonts w:ascii="Times New Roman" w:hAnsi="Times New Roman"/>
                <w:color w:val="auto"/>
                <w:szCs w:val="21"/>
                <w:vertAlign w:val="superscript"/>
              </w:rPr>
              <w:t>3</w:t>
            </w:r>
            <w:r>
              <w:rPr>
                <w:rFonts w:ascii="Times New Roman" w:hAnsi="Times New Roman"/>
                <w:color w:val="auto"/>
                <w:szCs w:val="21"/>
              </w:rPr>
              <w:t>）</w:t>
            </w:r>
          </w:p>
        </w:tc>
        <w:tc>
          <w:tcPr>
            <w:tcW w:w="1203" w:type="dxa"/>
            <w:tcBorders>
              <w:tl2br w:val="nil"/>
              <w:tr2bl w:val="nil"/>
            </w:tcBorders>
            <w:vAlign w:val="center"/>
          </w:tcPr>
          <w:p w14:paraId="0B03A2FA">
            <w:pPr>
              <w:pStyle w:val="56"/>
              <w:rPr>
                <w:rFonts w:ascii="Times New Roman" w:hAnsi="Times New Roman"/>
                <w:color w:val="auto"/>
                <w:szCs w:val="21"/>
              </w:rPr>
            </w:pPr>
            <w:r>
              <w:rPr>
                <w:rFonts w:ascii="Times New Roman" w:hAnsi="Times New Roman"/>
                <w:color w:val="auto"/>
                <w:szCs w:val="21"/>
              </w:rPr>
              <w:t>0.076</w:t>
            </w:r>
          </w:p>
        </w:tc>
        <w:tc>
          <w:tcPr>
            <w:tcW w:w="1473" w:type="dxa"/>
            <w:tcBorders>
              <w:tl2br w:val="nil"/>
              <w:tr2bl w:val="nil"/>
            </w:tcBorders>
            <w:vAlign w:val="center"/>
          </w:tcPr>
          <w:p w14:paraId="487960B7">
            <w:pPr>
              <w:pStyle w:val="56"/>
              <w:rPr>
                <w:rFonts w:ascii="Times New Roman" w:hAnsi="Times New Roman"/>
                <w:color w:val="auto"/>
                <w:szCs w:val="21"/>
              </w:rPr>
            </w:pPr>
            <w:r>
              <w:rPr>
                <w:rFonts w:ascii="Times New Roman" w:hAnsi="Times New Roman"/>
                <w:color w:val="auto"/>
                <w:szCs w:val="21"/>
              </w:rPr>
              <w:t>0.4562</w:t>
            </w:r>
          </w:p>
        </w:tc>
        <w:tc>
          <w:tcPr>
            <w:tcW w:w="1473" w:type="dxa"/>
            <w:tcBorders>
              <w:tl2br w:val="nil"/>
              <w:tr2bl w:val="nil"/>
            </w:tcBorders>
            <w:vAlign w:val="center"/>
          </w:tcPr>
          <w:p w14:paraId="4A849DD9">
            <w:pPr>
              <w:pStyle w:val="56"/>
              <w:rPr>
                <w:rFonts w:ascii="Times New Roman" w:hAnsi="Times New Roman"/>
                <w:color w:val="auto"/>
                <w:szCs w:val="21"/>
              </w:rPr>
            </w:pPr>
            <w:r>
              <w:rPr>
                <w:rFonts w:ascii="Times New Roman" w:hAnsi="Times New Roman"/>
                <w:color w:val="auto"/>
                <w:szCs w:val="21"/>
              </w:rPr>
              <w:t>1.5206</w:t>
            </w:r>
          </w:p>
        </w:tc>
        <w:tc>
          <w:tcPr>
            <w:tcW w:w="1473" w:type="dxa"/>
            <w:tcBorders>
              <w:tl2br w:val="nil"/>
              <w:tr2bl w:val="nil"/>
            </w:tcBorders>
            <w:vAlign w:val="center"/>
          </w:tcPr>
          <w:p w14:paraId="5F5D22F3">
            <w:pPr>
              <w:pStyle w:val="56"/>
              <w:rPr>
                <w:rFonts w:ascii="Times New Roman" w:hAnsi="Times New Roman"/>
                <w:color w:val="auto"/>
                <w:szCs w:val="21"/>
              </w:rPr>
            </w:pPr>
            <w:r>
              <w:rPr>
                <w:rFonts w:ascii="Times New Roman" w:hAnsi="Times New Roman"/>
                <w:color w:val="auto"/>
                <w:szCs w:val="21"/>
              </w:rPr>
              <w:t>7.6029</w:t>
            </w:r>
          </w:p>
        </w:tc>
        <w:tc>
          <w:tcPr>
            <w:tcW w:w="1479" w:type="dxa"/>
            <w:tcBorders>
              <w:tl2br w:val="nil"/>
              <w:tr2bl w:val="nil"/>
            </w:tcBorders>
            <w:vAlign w:val="center"/>
          </w:tcPr>
          <w:p w14:paraId="2163A063">
            <w:pPr>
              <w:pStyle w:val="56"/>
              <w:rPr>
                <w:rFonts w:ascii="Times New Roman" w:hAnsi="Times New Roman"/>
                <w:color w:val="auto"/>
                <w:szCs w:val="21"/>
              </w:rPr>
            </w:pPr>
            <w:r>
              <w:rPr>
                <w:rFonts w:ascii="Times New Roman" w:hAnsi="Times New Roman"/>
                <w:color w:val="auto"/>
                <w:szCs w:val="21"/>
              </w:rPr>
              <w:t>30.4114</w:t>
            </w:r>
          </w:p>
        </w:tc>
      </w:tr>
    </w:tbl>
    <w:p w14:paraId="50E0E0DD">
      <w:pPr>
        <w:pStyle w:val="57"/>
        <w:ind w:firstLine="480"/>
        <w:rPr>
          <w:rFonts w:ascii="Times New Roman" w:hAnsi="Times New Roman" w:cs="Times New Roman"/>
          <w:color w:val="auto"/>
        </w:rPr>
      </w:pPr>
      <w:r>
        <w:rPr>
          <w:rFonts w:ascii="Times New Roman" w:hAnsi="Times New Roman" w:cs="Times New Roman"/>
          <w:color w:val="auto"/>
        </w:rPr>
        <w:t>各主要恶臭污染物质浓度与恶臭强度的关系见表</w:t>
      </w:r>
      <w:r>
        <w:rPr>
          <w:rFonts w:hint="eastAsia" w:cs="Times New Roman"/>
          <w:color w:val="auto"/>
          <w:lang w:val="en-US" w:eastAsia="zh-CN"/>
        </w:rPr>
        <w:t>5</w:t>
      </w:r>
      <w:r>
        <w:rPr>
          <w:rFonts w:ascii="Times New Roman" w:hAnsi="Times New Roman" w:cs="Times New Roman"/>
          <w:color w:val="auto"/>
        </w:rPr>
        <w:t>.2-1</w:t>
      </w:r>
      <w:r>
        <w:rPr>
          <w:rFonts w:hint="eastAsia" w:ascii="Times New Roman" w:hAnsi="Times New Roman" w:cs="Times New Roman"/>
          <w:color w:val="auto"/>
          <w:lang w:val="en-US" w:eastAsia="zh-CN"/>
        </w:rPr>
        <w:t>1</w:t>
      </w:r>
      <w:r>
        <w:rPr>
          <w:rFonts w:ascii="Times New Roman" w:hAnsi="Times New Roman" w:cs="Times New Roman"/>
          <w:color w:val="auto"/>
        </w:rPr>
        <w:t>。</w:t>
      </w:r>
    </w:p>
    <w:p w14:paraId="11C21BC5">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.2-1</w:t>
      </w:r>
      <w:r>
        <w:rPr>
          <w:rFonts w:hint="eastAsia" w:ascii="Times New Roman" w:hAnsi="Times New Roman" w:eastAsia="宋体" w:cs="Times New Roman"/>
          <w:b/>
          <w:bCs/>
          <w:color w:val="auto"/>
          <w:lang w:val="en-US" w:eastAsia="zh-CN"/>
        </w:rPr>
        <w:t>1</w:t>
      </w:r>
      <w:r>
        <w:rPr>
          <w:rFonts w:ascii="Times New Roman" w:hAnsi="Times New Roman" w:eastAsia="宋体" w:cs="Times New Roman"/>
          <w:b/>
          <w:bCs/>
          <w:color w:val="auto"/>
        </w:rPr>
        <w:t xml:space="preserve">    本项目臭气强度分析</w:t>
      </w:r>
    </w:p>
    <w:tbl>
      <w:tblPr>
        <w:tblStyle w:val="35"/>
        <w:tblW w:w="493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014"/>
        <w:gridCol w:w="3148"/>
        <w:gridCol w:w="2562"/>
      </w:tblGrid>
      <w:tr w14:paraId="059BC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vMerge w:val="restart"/>
            <w:tcBorders>
              <w:tl2br w:val="nil"/>
              <w:tr2bl w:val="nil"/>
            </w:tcBorders>
            <w:vAlign w:val="center"/>
          </w:tcPr>
          <w:p w14:paraId="21EB04D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污染物排放情况</w:t>
            </w:r>
          </w:p>
        </w:tc>
        <w:tc>
          <w:tcPr>
            <w:tcW w:w="3272" w:type="pct"/>
            <w:gridSpan w:val="2"/>
            <w:tcBorders>
              <w:tl2br w:val="nil"/>
              <w:tr2bl w:val="nil"/>
            </w:tcBorders>
            <w:vAlign w:val="center"/>
          </w:tcPr>
          <w:p w14:paraId="4A33603B">
            <w:pPr>
              <w:pStyle w:val="5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6连圈舍</w:t>
            </w:r>
            <w:r>
              <w:rPr>
                <w:rFonts w:ascii="Times New Roman" w:hAnsi="Times New Roman"/>
                <w:color w:val="000000" w:themeColor="text1"/>
                <w:szCs w:val="21"/>
                <w14:textFill>
                  <w14:solidFill>
                    <w14:schemeClr w14:val="tx1"/>
                  </w14:solidFill>
                </w14:textFill>
              </w:rPr>
              <w:t>无组织排放</w:t>
            </w:r>
          </w:p>
        </w:tc>
      </w:tr>
      <w:tr w14:paraId="1E399F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vMerge w:val="continue"/>
            <w:tcBorders>
              <w:tl2br w:val="nil"/>
              <w:tr2bl w:val="nil"/>
            </w:tcBorders>
            <w:vAlign w:val="center"/>
          </w:tcPr>
          <w:p w14:paraId="77396030">
            <w:pPr>
              <w:pStyle w:val="56"/>
              <w:rPr>
                <w:rFonts w:ascii="Times New Roman" w:hAnsi="Times New Roman"/>
                <w:color w:val="000000" w:themeColor="text1"/>
                <w:szCs w:val="21"/>
                <w14:textFill>
                  <w14:solidFill>
                    <w14:schemeClr w14:val="tx1"/>
                  </w14:solidFill>
                </w14:textFill>
              </w:rPr>
            </w:pPr>
          </w:p>
        </w:tc>
        <w:tc>
          <w:tcPr>
            <w:tcW w:w="1804" w:type="pct"/>
            <w:tcBorders>
              <w:tl2br w:val="nil"/>
              <w:tr2bl w:val="nil"/>
            </w:tcBorders>
            <w:vAlign w:val="center"/>
          </w:tcPr>
          <w:p w14:paraId="404A3BFD">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p>
        </w:tc>
        <w:tc>
          <w:tcPr>
            <w:tcW w:w="1468" w:type="pct"/>
            <w:tcBorders>
              <w:tl2br w:val="nil"/>
              <w:tr2bl w:val="nil"/>
            </w:tcBorders>
            <w:vAlign w:val="center"/>
          </w:tcPr>
          <w:p w14:paraId="4DA74A04">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w:t>
            </w:r>
          </w:p>
        </w:tc>
      </w:tr>
      <w:tr w14:paraId="6FDB87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tcBorders>
              <w:tl2br w:val="nil"/>
              <w:tr2bl w:val="nil"/>
            </w:tcBorders>
            <w:vAlign w:val="center"/>
          </w:tcPr>
          <w:p w14:paraId="15E49792">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恶臭污染物最大落地浓度（mg/m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w:t>
            </w:r>
          </w:p>
        </w:tc>
        <w:tc>
          <w:tcPr>
            <w:tcW w:w="1804" w:type="pct"/>
            <w:tcBorders>
              <w:tl2br w:val="nil"/>
              <w:tr2bl w:val="nil"/>
            </w:tcBorders>
            <w:vAlign w:val="center"/>
          </w:tcPr>
          <w:p w14:paraId="522AED36">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宋体" w:hAnsi="宋体"/>
                <w:b w:val="0"/>
                <w:sz w:val="23"/>
                <w:szCs w:val="23"/>
                <w:lang w:val="en-US" w:eastAsia="zh-CN"/>
              </w:rPr>
              <w:t>0.00</w:t>
            </w:r>
            <w:r>
              <w:rPr>
                <w:rFonts w:ascii="宋体" w:hAnsi="宋体" w:eastAsia="宋体"/>
                <w:b w:val="0"/>
                <w:sz w:val="23"/>
                <w:szCs w:val="23"/>
              </w:rPr>
              <w:t>81236</w:t>
            </w:r>
          </w:p>
        </w:tc>
        <w:tc>
          <w:tcPr>
            <w:tcW w:w="1468" w:type="pct"/>
            <w:tcBorders>
              <w:tl2br w:val="nil"/>
              <w:tr2bl w:val="nil"/>
            </w:tcBorders>
            <w:vAlign w:val="center"/>
          </w:tcPr>
          <w:p w14:paraId="76206015">
            <w:pPr>
              <w:pStyle w:val="56"/>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0.0008124</w:t>
            </w:r>
          </w:p>
        </w:tc>
      </w:tr>
      <w:tr w14:paraId="3E98E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1727" w:type="pct"/>
            <w:tcBorders>
              <w:tl2br w:val="nil"/>
              <w:tr2bl w:val="nil"/>
            </w:tcBorders>
            <w:vAlign w:val="center"/>
          </w:tcPr>
          <w:p w14:paraId="759E403C">
            <w:pPr>
              <w:pStyle w:val="56"/>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对应的臭气强度（级）</w:t>
            </w:r>
          </w:p>
        </w:tc>
        <w:tc>
          <w:tcPr>
            <w:tcW w:w="1804" w:type="pct"/>
            <w:tcBorders>
              <w:tl2br w:val="nil"/>
              <w:tr2bl w:val="nil"/>
            </w:tcBorders>
            <w:vAlign w:val="center"/>
          </w:tcPr>
          <w:p w14:paraId="4597FDCB">
            <w:pPr>
              <w:pStyle w:val="56"/>
              <w:rPr>
                <w:rFonts w:ascii="Times New Roman" w:hAnsi="Times New Roman"/>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&lt;</w:t>
            </w:r>
            <w:r>
              <w:rPr>
                <w:rFonts w:ascii="Times New Roman" w:hAnsi="Times New Roman"/>
                <w:color w:val="000000" w:themeColor="text1"/>
                <w:szCs w:val="21"/>
                <w14:textFill>
                  <w14:solidFill>
                    <w14:schemeClr w14:val="tx1"/>
                  </w14:solidFill>
                </w14:textFill>
              </w:rPr>
              <w:t>2</w:t>
            </w:r>
          </w:p>
        </w:tc>
        <w:tc>
          <w:tcPr>
            <w:tcW w:w="1468" w:type="pct"/>
            <w:tcBorders>
              <w:tl2br w:val="nil"/>
              <w:tr2bl w:val="nil"/>
            </w:tcBorders>
            <w:vAlign w:val="center"/>
          </w:tcPr>
          <w:p w14:paraId="56F3AECA">
            <w:pPr>
              <w:pStyle w:val="56"/>
              <w:rPr>
                <w:rFonts w:ascii="Times New Roman" w:hAnsi="Times New Roman"/>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&lt;</w:t>
            </w:r>
            <w:r>
              <w:rPr>
                <w:rFonts w:ascii="Times New Roman" w:hAnsi="Times New Roman"/>
                <w:color w:val="000000" w:themeColor="text1"/>
                <w:szCs w:val="21"/>
                <w14:textFill>
                  <w14:solidFill>
                    <w14:schemeClr w14:val="tx1"/>
                  </w14:solidFill>
                </w14:textFill>
              </w:rPr>
              <w:t>1</w:t>
            </w:r>
          </w:p>
        </w:tc>
      </w:tr>
    </w:tbl>
    <w:p w14:paraId="276C9209">
      <w:pPr>
        <w:ind w:firstLine="480"/>
        <w:rPr>
          <w:rFonts w:ascii="Times New Roman" w:hAnsi="Times New Roman" w:cs="Times New Roman"/>
          <w:color w:val="auto"/>
        </w:rPr>
      </w:pPr>
      <w:r>
        <w:rPr>
          <w:rFonts w:ascii="Times New Roman" w:hAnsi="Times New Roman" w:cs="Times New Roman"/>
          <w:color w:val="auto"/>
        </w:rPr>
        <w:t>对本次评价恶臭污染物预测结果进行分级，各场界恶臭强度范围为0-2级之间，处于</w:t>
      </w:r>
      <w:r>
        <w:rPr>
          <w:rFonts w:ascii="Times New Roman" w:hAnsi="Times New Roman"/>
          <w:color w:val="auto"/>
          <w:szCs w:val="21"/>
        </w:rPr>
        <w:t>气味很弱但能分辨其性质（识别阈值）</w:t>
      </w:r>
      <w:r>
        <w:rPr>
          <w:rFonts w:ascii="Times New Roman" w:hAnsi="Times New Roman" w:cs="Times New Roman"/>
          <w:color w:val="auto"/>
        </w:rPr>
        <w:t>以下，</w:t>
      </w:r>
      <w:r>
        <w:rPr>
          <w:rFonts w:hint="eastAsia" w:cs="Times New Roman"/>
          <w:color w:val="auto"/>
          <w:lang w:val="en-US" w:eastAsia="zh-CN"/>
        </w:rPr>
        <w:t>说明本项目建成后，周围能感觉到臭味，但</w:t>
      </w:r>
      <w:r>
        <w:rPr>
          <w:rFonts w:ascii="Times New Roman" w:hAnsi="Times New Roman" w:cs="Times New Roman"/>
          <w:color w:val="auto"/>
        </w:rPr>
        <w:t>感觉不强烈。</w:t>
      </w:r>
    </w:p>
    <w:p w14:paraId="75E2E065">
      <w:pPr>
        <w:pStyle w:val="6"/>
        <w:ind w:left="24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5.2.1.4供热锅炉烟气污染影响分析</w:t>
      </w:r>
    </w:p>
    <w:p w14:paraId="7C4B6F46">
      <w:pPr>
        <w:pStyle w:val="6"/>
        <w:keepNext/>
        <w:keepLines/>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Theme="minorEastAsia" w:cstheme="minorBidi"/>
          <w:b w:val="0"/>
          <w:bCs w:val="0"/>
          <w:color w:val="auto"/>
          <w:kern w:val="2"/>
          <w:sz w:val="24"/>
          <w:szCs w:val="21"/>
          <w:lang w:val="en-US" w:eastAsia="zh-CN" w:bidi="ar-SA"/>
        </w:rPr>
      </w:pPr>
      <w:r>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t>本项目</w:t>
      </w:r>
      <w:r>
        <w:rPr>
          <w:rFonts w:hint="eastAsia" w:eastAsia="宋体" w:cs="宋体"/>
          <w:b w:val="0"/>
          <w:bCs w:val="0"/>
          <w:color w:val="000000" w:themeColor="text1"/>
          <w:kern w:val="0"/>
          <w:sz w:val="24"/>
          <w:szCs w:val="24"/>
          <w:lang w:val="en-US" w:eastAsia="zh-CN" w:bidi="ar"/>
          <w14:textFill>
            <w14:solidFill>
              <w14:schemeClr w14:val="tx1"/>
            </w14:solidFill>
          </w14:textFill>
        </w:rPr>
        <w:t>设置2台生物质燃料锅炉为鸭舍和办公用房供热，根据工程分析，以及模型计算结果，本项目</w:t>
      </w:r>
      <w:r>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t>供</w:t>
      </w:r>
      <w:r>
        <w:rPr>
          <w:rFonts w:hint="eastAsia" w:eastAsia="宋体" w:cs="宋体"/>
          <w:b w:val="0"/>
          <w:bCs w:val="0"/>
          <w:color w:val="000000" w:themeColor="text1"/>
          <w:kern w:val="0"/>
          <w:sz w:val="24"/>
          <w:szCs w:val="24"/>
          <w:lang w:val="en-US" w:eastAsia="zh-CN" w:bidi="ar"/>
          <w14:textFill>
            <w14:solidFill>
              <w14:schemeClr w14:val="tx1"/>
            </w14:solidFill>
          </w14:textFill>
        </w:rPr>
        <w:t>热季</w:t>
      </w:r>
      <w:r>
        <w:rPr>
          <w:rFonts w:hint="eastAsia" w:eastAsia="宋体" w:cs="Times New Roman"/>
          <w:b w:val="0"/>
          <w:bCs w:val="0"/>
          <w:color w:val="000000" w:themeColor="text1"/>
          <w:lang w:val="en-US" w:eastAsia="zh-CN"/>
          <w14:textFill>
            <w14:solidFill>
              <w14:schemeClr w14:val="tx1"/>
            </w14:solidFill>
          </w14:textFill>
        </w:rPr>
        <w:t>供热锅炉有组织排放的污染因子主要为颗粒物（PM</w:t>
      </w:r>
      <w:r>
        <w:rPr>
          <w:rFonts w:hint="eastAsia" w:eastAsia="宋体" w:cs="Times New Roman"/>
          <w:b w:val="0"/>
          <w:bCs w:val="0"/>
          <w:color w:val="000000" w:themeColor="text1"/>
          <w:vertAlign w:val="subscript"/>
          <w:lang w:val="en-US" w:eastAsia="zh-CN"/>
          <w14:textFill>
            <w14:solidFill>
              <w14:schemeClr w14:val="tx1"/>
            </w14:solidFill>
          </w14:textFill>
        </w:rPr>
        <w:t>10</w:t>
      </w:r>
      <w:r>
        <w:rPr>
          <w:rFonts w:hint="eastAsia"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SO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r>
        <w:rPr>
          <w:rFonts w:hint="eastAsia"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NO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r>
        <w:rPr>
          <w:rFonts w:hint="eastAsia" w:eastAsia="宋体" w:cs="Times New Roman"/>
          <w:b w:val="0"/>
          <w:bCs w:val="0"/>
          <w:color w:val="000000" w:themeColor="text1"/>
          <w:lang w:val="en-US" w:eastAsia="zh-CN"/>
          <w14:textFill>
            <w14:solidFill>
              <w14:schemeClr w14:val="tx1"/>
            </w14:solidFill>
          </w14:textFill>
        </w:rPr>
        <w:t>；排放速率和浓度分别为：颗粒物（PM</w:t>
      </w:r>
      <w:r>
        <w:rPr>
          <w:rFonts w:hint="eastAsia" w:eastAsia="宋体" w:cs="Times New Roman"/>
          <w:b w:val="0"/>
          <w:bCs w:val="0"/>
          <w:color w:val="000000" w:themeColor="text1"/>
          <w:vertAlign w:val="subscript"/>
          <w:lang w:val="en-US" w:eastAsia="zh-CN"/>
          <w14:textFill>
            <w14:solidFill>
              <w14:schemeClr w14:val="tx1"/>
            </w14:solidFill>
          </w14:textFill>
        </w:rPr>
        <w:t>10</w:t>
      </w:r>
      <w:r>
        <w:rPr>
          <w:rFonts w:hint="eastAsia" w:eastAsia="宋体" w:cs="Times New Roman"/>
          <w:b w:val="0"/>
          <w:bCs w:val="0"/>
          <w:color w:val="000000" w:themeColor="text1"/>
          <w:lang w:val="en-US" w:eastAsia="zh-CN"/>
          <w14:textFill>
            <w14:solidFill>
              <w14:schemeClr w14:val="tx1"/>
            </w14:solidFill>
          </w14:textFill>
        </w:rPr>
        <w:t>）排放速率</w:t>
      </w:r>
      <w:r>
        <w:rPr>
          <w:rFonts w:hint="eastAsia" w:ascii="宋体" w:hAnsi="宋体" w:cs="宋体"/>
          <w:b w:val="0"/>
          <w:bCs w:val="0"/>
          <w:color w:val="auto"/>
          <w:sz w:val="24"/>
          <w:highlight w:val="none"/>
          <w:lang w:val="en-US" w:eastAsia="zh-CN"/>
        </w:rPr>
        <w:t>0.015kg/h，排放浓度</w:t>
      </w:r>
      <w:r>
        <w:rPr>
          <w:rFonts w:hint="eastAsia" w:ascii="宋体" w:hAnsi="宋体" w:cs="宋体"/>
          <w:b w:val="0"/>
          <w:bCs w:val="0"/>
          <w:color w:val="auto"/>
          <w:sz w:val="24"/>
          <w:highlight w:val="none"/>
          <w:vertAlign w:val="baseline"/>
          <w:lang w:val="en-US" w:eastAsia="zh-CN"/>
        </w:rPr>
        <w:t>1.5mg/m</w:t>
      </w:r>
      <w:r>
        <w:rPr>
          <w:rFonts w:hint="eastAsia" w:ascii="宋体" w:hAnsi="宋体" w:cs="宋体"/>
          <w:b w:val="0"/>
          <w:bCs w:val="0"/>
          <w:color w:val="auto"/>
          <w:sz w:val="24"/>
          <w:highlight w:val="none"/>
          <w:vertAlign w:val="superscript"/>
          <w:lang w:val="en-US" w:eastAsia="zh-CN"/>
        </w:rPr>
        <w:t>3</w:t>
      </w:r>
      <w:r>
        <w:rPr>
          <w:rFonts w:hint="eastAsia" w:ascii="宋体" w:hAnsi="宋体" w:cs="宋体"/>
          <w:b w:val="0"/>
          <w:bCs w:val="0"/>
          <w:color w:val="auto"/>
          <w:sz w:val="24"/>
          <w:highlight w:val="none"/>
          <w:lang w:val="en-US" w:eastAsia="zh-CN"/>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SO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r>
        <w:rPr>
          <w:rFonts w:hint="eastAsia" w:eastAsia="宋体" w:cs="Times New Roman"/>
          <w:b w:val="0"/>
          <w:bCs w:val="0"/>
          <w:color w:val="000000" w:themeColor="text1"/>
          <w:lang w:val="en-US" w:eastAsia="zh-CN"/>
          <w14:textFill>
            <w14:solidFill>
              <w14:schemeClr w14:val="tx1"/>
            </w14:solidFill>
          </w14:textFill>
        </w:rPr>
        <w:t>排放速率</w:t>
      </w:r>
      <w:r>
        <w:rPr>
          <w:rFonts w:hint="eastAsia" w:ascii="宋体" w:hAnsi="宋体" w:cs="宋体"/>
          <w:b w:val="0"/>
          <w:bCs w:val="0"/>
          <w:color w:val="auto"/>
          <w:sz w:val="24"/>
          <w:highlight w:val="none"/>
          <w:lang w:val="en-US" w:eastAsia="zh-CN"/>
        </w:rPr>
        <w:t>0.019kg/h，排放浓度</w:t>
      </w:r>
      <w:r>
        <w:rPr>
          <w:rFonts w:hint="eastAsia" w:ascii="宋体" w:hAnsi="宋体" w:cs="宋体"/>
          <w:b w:val="0"/>
          <w:bCs w:val="0"/>
          <w:color w:val="auto"/>
          <w:sz w:val="24"/>
          <w:highlight w:val="none"/>
          <w:vertAlign w:val="baseline"/>
          <w:lang w:val="en-US" w:eastAsia="zh-CN"/>
        </w:rPr>
        <w:t>1.89mg/m</w:t>
      </w:r>
      <w:r>
        <w:rPr>
          <w:rFonts w:hint="eastAsia" w:ascii="宋体" w:hAnsi="宋体" w:cs="宋体"/>
          <w:b w:val="0"/>
          <w:bCs w:val="0"/>
          <w:color w:val="auto"/>
          <w:sz w:val="24"/>
          <w:highlight w:val="none"/>
          <w:vertAlign w:val="superscript"/>
          <w:lang w:val="en-US" w:eastAsia="zh-CN"/>
        </w:rPr>
        <w:t>3</w:t>
      </w:r>
      <w:r>
        <w:rPr>
          <w:rFonts w:hint="eastAsia" w:ascii="宋体" w:hAnsi="宋体" w:cs="宋体"/>
          <w:b w:val="0"/>
          <w:bCs w:val="0"/>
          <w:color w:val="auto"/>
          <w:sz w:val="24"/>
          <w:highlight w:val="none"/>
          <w:lang w:val="en-US" w:eastAsia="zh-CN"/>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NO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r>
        <w:rPr>
          <w:rFonts w:hint="eastAsia" w:eastAsia="宋体" w:cs="Times New Roman"/>
          <w:b w:val="0"/>
          <w:bCs w:val="0"/>
          <w:color w:val="000000" w:themeColor="text1"/>
          <w:lang w:val="en-US" w:eastAsia="zh-CN"/>
          <w14:textFill>
            <w14:solidFill>
              <w14:schemeClr w14:val="tx1"/>
            </w14:solidFill>
          </w14:textFill>
        </w:rPr>
        <w:t>排放速率</w:t>
      </w:r>
      <w:r>
        <w:rPr>
          <w:rFonts w:hint="eastAsia" w:ascii="宋体" w:hAnsi="宋体" w:cs="宋体"/>
          <w:b w:val="0"/>
          <w:bCs w:val="0"/>
          <w:color w:val="auto"/>
          <w:sz w:val="24"/>
          <w:highlight w:val="none"/>
          <w:lang w:val="en-US" w:eastAsia="zh-CN"/>
        </w:rPr>
        <w:t>0.071kg/h，排放浓度</w:t>
      </w:r>
      <w:r>
        <w:rPr>
          <w:rFonts w:hint="eastAsia" w:ascii="宋体" w:hAnsi="宋体" w:cs="宋体"/>
          <w:b w:val="0"/>
          <w:bCs w:val="0"/>
          <w:color w:val="auto"/>
          <w:sz w:val="24"/>
          <w:highlight w:val="none"/>
          <w:vertAlign w:val="baseline"/>
          <w:lang w:val="en-US" w:eastAsia="zh-CN"/>
        </w:rPr>
        <w:t>7.08mg/m</w:t>
      </w:r>
      <w:r>
        <w:rPr>
          <w:rFonts w:hint="eastAsia" w:ascii="宋体" w:hAnsi="宋体" w:cs="宋体"/>
          <w:b w:val="0"/>
          <w:bCs w:val="0"/>
          <w:color w:val="auto"/>
          <w:sz w:val="24"/>
          <w:highlight w:val="none"/>
          <w:vertAlign w:val="superscript"/>
          <w:lang w:val="en-US" w:eastAsia="zh-CN"/>
        </w:rPr>
        <w:t>3</w:t>
      </w:r>
      <w:r>
        <w:rPr>
          <w:rFonts w:hint="eastAsia" w:ascii="宋体" w:hAnsi="宋体" w:cs="宋体"/>
          <w:b w:val="0"/>
          <w:bCs w:val="0"/>
          <w:color w:val="auto"/>
          <w:sz w:val="24"/>
          <w:highlight w:val="none"/>
          <w:lang w:val="en-US" w:eastAsia="zh-CN"/>
        </w:rPr>
        <w:t>，满足</w:t>
      </w:r>
      <w:r>
        <w:rPr>
          <w:rFonts w:hint="eastAsia" w:ascii="宋体" w:hAnsi="宋体" w:eastAsia="宋体" w:cs="宋体"/>
          <w:b w:val="0"/>
          <w:bCs w:val="0"/>
          <w:color w:val="auto"/>
          <w:kern w:val="0"/>
          <w:sz w:val="24"/>
          <w:lang w:val="en-US" w:eastAsia="zh-CN"/>
        </w:rPr>
        <w:t>《锅炉大气污染物排放标准》（GB13271-2014）表2燃气锅炉大气污染物特别排放限值（颗粒物：20mg/m</w:t>
      </w:r>
      <w:r>
        <w:rPr>
          <w:rFonts w:hint="eastAsia" w:ascii="宋体" w:hAnsi="宋体" w:eastAsia="宋体" w:cs="宋体"/>
          <w:b w:val="0"/>
          <w:bCs w:val="0"/>
          <w:color w:val="auto"/>
          <w:kern w:val="0"/>
          <w:sz w:val="24"/>
          <w:vertAlign w:val="superscript"/>
          <w:lang w:val="en-US" w:eastAsia="zh-CN"/>
        </w:rPr>
        <w:t>3</w:t>
      </w:r>
      <w:r>
        <w:rPr>
          <w:rFonts w:hint="eastAsia" w:ascii="宋体" w:hAnsi="宋体" w:eastAsia="宋体" w:cs="宋体"/>
          <w:b w:val="0"/>
          <w:bCs w:val="0"/>
          <w:color w:val="auto"/>
          <w:kern w:val="0"/>
          <w:sz w:val="24"/>
          <w:lang w:val="en-US" w:eastAsia="zh-CN"/>
        </w:rPr>
        <w:t>、SO</w:t>
      </w:r>
      <w:r>
        <w:rPr>
          <w:rFonts w:hint="eastAsia" w:ascii="宋体" w:hAnsi="宋体" w:eastAsia="宋体" w:cs="宋体"/>
          <w:b w:val="0"/>
          <w:bCs w:val="0"/>
          <w:color w:val="auto"/>
          <w:kern w:val="0"/>
          <w:sz w:val="24"/>
          <w:vertAlign w:val="subscript"/>
          <w:lang w:val="en-US" w:eastAsia="zh-CN"/>
        </w:rPr>
        <w:t>2:</w:t>
      </w:r>
      <w:r>
        <w:rPr>
          <w:rFonts w:hint="eastAsia" w:ascii="宋体" w:hAnsi="宋体" w:eastAsia="宋体" w:cs="宋体"/>
          <w:b w:val="0"/>
          <w:bCs w:val="0"/>
          <w:color w:val="auto"/>
          <w:kern w:val="0"/>
          <w:sz w:val="24"/>
          <w:lang w:val="en-US" w:eastAsia="zh-CN"/>
        </w:rPr>
        <w:t>50mg/m</w:t>
      </w:r>
      <w:r>
        <w:rPr>
          <w:rFonts w:hint="eastAsia" w:ascii="宋体" w:hAnsi="宋体" w:eastAsia="宋体" w:cs="宋体"/>
          <w:b w:val="0"/>
          <w:bCs w:val="0"/>
          <w:color w:val="auto"/>
          <w:kern w:val="0"/>
          <w:sz w:val="24"/>
          <w:vertAlign w:val="superscript"/>
          <w:lang w:val="en-US" w:eastAsia="zh-CN"/>
        </w:rPr>
        <w:t>3</w:t>
      </w:r>
      <w:r>
        <w:rPr>
          <w:rFonts w:hint="eastAsia" w:ascii="宋体" w:hAnsi="宋体" w:eastAsia="宋体" w:cs="宋体"/>
          <w:b w:val="0"/>
          <w:bCs w:val="0"/>
          <w:color w:val="auto"/>
          <w:kern w:val="0"/>
          <w:sz w:val="24"/>
          <w:lang w:val="en-US" w:eastAsia="zh-CN"/>
        </w:rPr>
        <w:t>、NO</w:t>
      </w:r>
      <w:r>
        <w:rPr>
          <w:rFonts w:hint="eastAsia" w:ascii="宋体" w:hAnsi="宋体" w:eastAsia="宋体" w:cs="宋体"/>
          <w:b w:val="0"/>
          <w:bCs w:val="0"/>
          <w:color w:val="auto"/>
          <w:kern w:val="0"/>
          <w:sz w:val="24"/>
          <w:vertAlign w:val="subscript"/>
          <w:lang w:val="en-US" w:eastAsia="zh-CN"/>
        </w:rPr>
        <w:t>X</w:t>
      </w:r>
      <w:r>
        <w:rPr>
          <w:rFonts w:hint="eastAsia" w:ascii="宋体" w:hAnsi="宋体" w:eastAsia="宋体" w:cs="宋体"/>
          <w:b w:val="0"/>
          <w:bCs w:val="0"/>
          <w:color w:val="auto"/>
          <w:kern w:val="0"/>
          <w:sz w:val="24"/>
          <w:lang w:val="en-US" w:eastAsia="zh-CN"/>
        </w:rPr>
        <w:t>：200mg/m</w:t>
      </w:r>
      <w:r>
        <w:rPr>
          <w:rFonts w:hint="eastAsia" w:ascii="宋体" w:hAnsi="宋体" w:eastAsia="宋体" w:cs="宋体"/>
          <w:b w:val="0"/>
          <w:bCs w:val="0"/>
          <w:color w:val="auto"/>
          <w:kern w:val="0"/>
          <w:sz w:val="24"/>
          <w:vertAlign w:val="superscript"/>
          <w:lang w:val="en-US" w:eastAsia="zh-CN"/>
        </w:rPr>
        <w:t>3</w:t>
      </w:r>
      <w:r>
        <w:rPr>
          <w:rFonts w:hint="eastAsia" w:ascii="宋体" w:hAnsi="宋体" w:eastAsia="宋体" w:cs="宋体"/>
          <w:b w:val="0"/>
          <w:bCs w:val="0"/>
          <w:color w:val="auto"/>
          <w:kern w:val="0"/>
          <w:sz w:val="24"/>
          <w:lang w:val="en-US" w:eastAsia="zh-CN"/>
        </w:rPr>
        <w:t>、烟气黑度≤1）。根据arescreen模型预测结果，</w:t>
      </w:r>
      <w:r>
        <w:rPr>
          <w:rFonts w:hint="eastAsia" w:eastAsia="宋体" w:cs="Times New Roman"/>
          <w:b w:val="0"/>
          <w:bCs w:val="0"/>
          <w:color w:val="000000" w:themeColor="text1"/>
          <w:lang w:val="en-US" w:eastAsia="zh-CN"/>
          <w14:textFill>
            <w14:solidFill>
              <w14:schemeClr w14:val="tx1"/>
            </w14:solidFill>
          </w14:textFill>
        </w:rPr>
        <w:t>颗粒物（PM</w:t>
      </w:r>
      <w:r>
        <w:rPr>
          <w:rFonts w:hint="eastAsia" w:eastAsia="宋体" w:cs="Times New Roman"/>
          <w:b w:val="0"/>
          <w:bCs w:val="0"/>
          <w:color w:val="000000" w:themeColor="text1"/>
          <w:vertAlign w:val="subscript"/>
          <w:lang w:val="en-US" w:eastAsia="zh-CN"/>
          <w14:textFill>
            <w14:solidFill>
              <w14:schemeClr w14:val="tx1"/>
            </w14:solidFill>
          </w14:textFill>
        </w:rPr>
        <w:t>10</w:t>
      </w:r>
      <w:r>
        <w:rPr>
          <w:rFonts w:hint="eastAsia" w:eastAsia="宋体" w:cs="Times New Roman"/>
          <w:b w:val="0"/>
          <w:bCs w:val="0"/>
          <w:color w:val="000000" w:themeColor="text1"/>
          <w:lang w:val="en-US" w:eastAsia="zh-CN"/>
          <w14:textFill>
            <w14:solidFill>
              <w14:schemeClr w14:val="tx1"/>
            </w14:solidFill>
          </w14:textFill>
        </w:rPr>
        <w:t>）最大落地浓度1.66</w:t>
      </w:r>
      <w:r>
        <w:rPr>
          <w:rFonts w:ascii="Times New Roman" w:hAnsi="Times New Roman" w:eastAsia="宋体" w:cs="Times New Roman"/>
          <w:b w:val="0"/>
          <w:bCs w:val="0"/>
          <w:color w:val="000000" w:themeColor="text1"/>
          <w14:textFill>
            <w14:solidFill>
              <w14:schemeClr w14:val="tx1"/>
            </w14:solidFill>
          </w14:textFill>
        </w:rPr>
        <w:t>μg/m</w:t>
      </w:r>
      <w:r>
        <w:rPr>
          <w:rFonts w:ascii="Times New Roman" w:hAnsi="Times New Roman" w:eastAsia="宋体" w:cs="Times New Roman"/>
          <w:b w:val="0"/>
          <w:bCs w:val="0"/>
          <w:color w:val="000000" w:themeColor="text1"/>
          <w:vertAlign w:val="superscript"/>
          <w14:textFill>
            <w14:solidFill>
              <w14:schemeClr w14:val="tx1"/>
            </w14:solidFill>
          </w14:textFill>
        </w:rPr>
        <w:t>3</w:t>
      </w:r>
      <w:r>
        <w:rPr>
          <w:rFonts w:ascii="Times New Roman" w:hAnsi="Times New Roman" w:eastAsia="宋体" w:cs="Times New Roman"/>
          <w:b w:val="0"/>
          <w:bCs w:val="0"/>
          <w:color w:val="000000" w:themeColor="text1"/>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最大占标率0.4611%；SO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最大落地浓度为2.1028</w:t>
      </w:r>
      <w:r>
        <w:rPr>
          <w:rFonts w:ascii="Times New Roman" w:hAnsi="Times New Roman" w:eastAsia="宋体" w:cs="Times New Roman"/>
          <w:b w:val="0"/>
          <w:bCs w:val="0"/>
          <w:color w:val="000000" w:themeColor="text1"/>
          <w14:textFill>
            <w14:solidFill>
              <w14:schemeClr w14:val="tx1"/>
            </w14:solidFill>
          </w14:textFill>
        </w:rPr>
        <w:t>μg/m</w:t>
      </w:r>
      <w:r>
        <w:rPr>
          <w:rFonts w:ascii="Times New Roman" w:hAnsi="Times New Roman" w:eastAsia="宋体" w:cs="Times New Roman"/>
          <w:b w:val="0"/>
          <w:bCs w:val="0"/>
          <w:color w:val="000000" w:themeColor="text1"/>
          <w:vertAlign w:val="superscript"/>
          <w14:textFill>
            <w14:solidFill>
              <w14:schemeClr w14:val="tx1"/>
            </w14:solidFill>
          </w14:textFill>
        </w:rPr>
        <w:t>3</w:t>
      </w:r>
      <w:r>
        <w:rPr>
          <w:rFonts w:ascii="Times New Roman" w:hAnsi="Times New Roman" w:eastAsia="宋体" w:cs="Times New Roman"/>
          <w:b w:val="0"/>
          <w:bCs w:val="0"/>
          <w:color w:val="000000" w:themeColor="text1"/>
          <w14:textFill>
            <w14:solidFill>
              <w14:schemeClr w14:val="tx1"/>
            </w14:solidFill>
          </w14:textFill>
        </w:rPr>
        <w:t>，最大浓度占标率</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为0.4206%；NO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最大落地浓度为7.8578</w:t>
      </w:r>
      <w:r>
        <w:rPr>
          <w:rFonts w:ascii="Times New Roman" w:hAnsi="Times New Roman" w:eastAsia="宋体" w:cs="Times New Roman"/>
          <w:b w:val="0"/>
          <w:bCs w:val="0"/>
          <w:color w:val="000000" w:themeColor="text1"/>
          <w14:textFill>
            <w14:solidFill>
              <w14:schemeClr w14:val="tx1"/>
            </w14:solidFill>
          </w14:textFill>
        </w:rPr>
        <w:t>μg/m</w:t>
      </w:r>
      <w:r>
        <w:rPr>
          <w:rFonts w:ascii="Times New Roman" w:hAnsi="Times New Roman" w:eastAsia="宋体" w:cs="Times New Roman"/>
          <w:b w:val="0"/>
          <w:bCs w:val="0"/>
          <w:color w:val="000000" w:themeColor="text1"/>
          <w:vertAlign w:val="superscript"/>
          <w14:textFill>
            <w14:solidFill>
              <w14:schemeClr w14:val="tx1"/>
            </w14:solidFill>
          </w14:textFill>
        </w:rPr>
        <w:t>3</w:t>
      </w:r>
      <w:r>
        <w:rPr>
          <w:rFonts w:ascii="Times New Roman" w:hAnsi="Times New Roman" w:eastAsia="宋体" w:cs="Times New Roman"/>
          <w:b w:val="0"/>
          <w:bCs w:val="0"/>
          <w:color w:val="000000" w:themeColor="text1"/>
          <w14:textFill>
            <w14:solidFill>
              <w14:schemeClr w14:val="tx1"/>
            </w14:solidFill>
          </w14:textFill>
        </w:rPr>
        <w:t>，最大浓度占标</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率为3.9289%，</w:t>
      </w:r>
      <w:r>
        <w:rPr>
          <w:rFonts w:hint="eastAsia" w:eastAsia="宋体" w:cs="Times New Roman"/>
          <w:b w:val="0"/>
          <w:bCs w:val="0"/>
          <w:color w:val="000000" w:themeColor="text1"/>
          <w:lang w:val="en-US" w:eastAsia="zh-CN"/>
          <w14:textFill>
            <w14:solidFill>
              <w14:schemeClr w14:val="tx1"/>
            </w14:solidFill>
          </w14:textFill>
        </w:rPr>
        <w:t>最大浓度点出现在下方向154m，</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满足《环境空气质量标准》</w:t>
      </w:r>
      <w:r>
        <w:rPr>
          <w:rFonts w:hint="eastAsia"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GB 3095-2026</w:t>
      </w:r>
      <w:r>
        <w:rPr>
          <w:rFonts w:hint="eastAsia"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过渡期二级标准限制（</w:t>
      </w:r>
      <w:r>
        <w:rPr>
          <w:rFonts w:hint="eastAsia" w:eastAsia="宋体" w:cs="Times New Roman"/>
          <w:b w:val="0"/>
          <w:bCs w:val="0"/>
          <w:color w:val="000000" w:themeColor="text1"/>
          <w:lang w:val="en-US" w:eastAsia="zh-CN"/>
          <w14:textFill>
            <w14:solidFill>
              <w14:schemeClr w14:val="tx1"/>
            </w14:solidFill>
          </w14:textFill>
        </w:rPr>
        <w:t>PM</w:t>
      </w:r>
      <w:r>
        <w:rPr>
          <w:rFonts w:hint="eastAsia" w:eastAsia="宋体" w:cs="Times New Roman"/>
          <w:b w:val="0"/>
          <w:bCs w:val="0"/>
          <w:color w:val="000000" w:themeColor="text1"/>
          <w:vertAlign w:val="subscript"/>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日均值</w:t>
      </w:r>
      <w:r>
        <w:rPr>
          <w:rFonts w:hint="eastAsia" w:eastAsia="宋体" w:cs="Times New Roman"/>
          <w:b w:val="0"/>
          <w:bCs w:val="0"/>
          <w:color w:val="000000" w:themeColor="text1"/>
          <w:lang w:val="en-US" w:eastAsia="zh-CN"/>
          <w14:textFill>
            <w14:solidFill>
              <w14:schemeClr w14:val="tx1"/>
            </w14:solidFill>
          </w14:textFill>
        </w:rPr>
        <w:t>：120</w:t>
      </w:r>
      <w:r>
        <w:rPr>
          <w:rFonts w:ascii="Times New Roman" w:hAnsi="Times New Roman" w:eastAsia="宋体" w:cs="Times New Roman"/>
          <w:b w:val="0"/>
          <w:bCs w:val="0"/>
          <w:color w:val="000000" w:themeColor="text1"/>
          <w14:textFill>
            <w14:solidFill>
              <w14:schemeClr w14:val="tx1"/>
            </w14:solidFill>
          </w14:textFill>
        </w:rPr>
        <w:t>μg/m</w:t>
      </w:r>
      <w:r>
        <w:rPr>
          <w:rFonts w:ascii="Times New Roman" w:hAnsi="Times New Roman" w:eastAsia="宋体" w:cs="Times New Roman"/>
          <w:b w:val="0"/>
          <w:bCs w:val="0"/>
          <w:color w:val="000000" w:themeColor="text1"/>
          <w:vertAlign w:val="superscript"/>
          <w14:textFill>
            <w14:solidFill>
              <w14:schemeClr w14:val="tx1"/>
            </w14:solidFill>
          </w14:textFill>
        </w:rPr>
        <w:t>3</w:t>
      </w:r>
      <w:r>
        <w:rPr>
          <w:rFonts w:ascii="Times New Roman" w:hAnsi="Times New Roman" w:eastAsia="宋体" w:cs="Times New Roman"/>
          <w:b w:val="0"/>
          <w:bCs w:val="0"/>
          <w:color w:val="000000" w:themeColor="text1"/>
          <w14:textFill>
            <w14:solidFill>
              <w14:schemeClr w14:val="tx1"/>
            </w14:solidFill>
          </w14:textFill>
        </w:rPr>
        <w:t>，</w:t>
      </w:r>
      <w:r>
        <w:rPr>
          <w:rFonts w:hint="eastAsia" w:cs="Times New Roman"/>
          <w:b w:val="0"/>
          <w:bCs w:val="0"/>
          <w:color w:val="auto"/>
          <w:lang w:val="en-US" w:eastAsia="zh-CN"/>
        </w:rPr>
        <w:t>SO</w:t>
      </w:r>
      <w:r>
        <w:rPr>
          <w:rFonts w:hint="eastAsia" w:cs="Times New Roman"/>
          <w:b w:val="0"/>
          <w:bCs w:val="0"/>
          <w:color w:val="auto"/>
          <w:vertAlign w:val="subscript"/>
          <w:lang w:val="en-US" w:eastAsia="zh-CN"/>
        </w:rPr>
        <w:t>2</w:t>
      </w:r>
      <w:r>
        <w:rPr>
          <w:rFonts w:hint="eastAsia" w:cs="Times New Roman"/>
          <w:b w:val="0"/>
          <w:bCs w:val="0"/>
          <w:color w:val="auto"/>
          <w:lang w:val="en-US" w:eastAsia="zh-CN"/>
        </w:rPr>
        <w:t>：小时值500</w:t>
      </w:r>
      <w:r>
        <w:rPr>
          <w:rFonts w:ascii="Times New Roman" w:hAnsi="Times New Roman" w:eastAsia="宋体" w:cs="Times New Roman"/>
          <w:b w:val="0"/>
          <w:bCs w:val="0"/>
          <w:color w:val="000000" w:themeColor="text1"/>
          <w14:textFill>
            <w14:solidFill>
              <w14:schemeClr w14:val="tx1"/>
            </w14:solidFill>
          </w14:textFill>
        </w:rPr>
        <w:t>μg/m</w:t>
      </w:r>
      <w:r>
        <w:rPr>
          <w:rFonts w:ascii="Times New Roman" w:hAnsi="Times New Roman" w:eastAsia="宋体" w:cs="Times New Roman"/>
          <w:b w:val="0"/>
          <w:bCs w:val="0"/>
          <w:color w:val="000000" w:themeColor="text1"/>
          <w:vertAlign w:val="superscript"/>
          <w14:textFill>
            <w14:solidFill>
              <w14:schemeClr w14:val="tx1"/>
            </w14:solidFill>
          </w14:textFill>
        </w:rPr>
        <w:t>3</w:t>
      </w:r>
      <w:r>
        <w:rPr>
          <w:rFonts w:hint="eastAsia" w:cs="Times New Roman"/>
          <w:b w:val="0"/>
          <w:bCs w:val="0"/>
          <w:color w:val="auto"/>
          <w:lang w:val="en-US" w:eastAsia="zh-CN"/>
        </w:rPr>
        <w:t>，NO</w:t>
      </w:r>
      <w:r>
        <w:rPr>
          <w:rFonts w:hint="eastAsia" w:cs="Times New Roman"/>
          <w:b w:val="0"/>
          <w:bCs w:val="0"/>
          <w:color w:val="auto"/>
          <w:vertAlign w:val="subscript"/>
          <w:lang w:val="en-US" w:eastAsia="zh-CN"/>
        </w:rPr>
        <w:t>2</w:t>
      </w:r>
      <w:r>
        <w:rPr>
          <w:rFonts w:hint="eastAsia" w:cs="Times New Roman"/>
          <w:b w:val="0"/>
          <w:bCs w:val="0"/>
          <w:color w:val="auto"/>
          <w:lang w:val="en-US" w:eastAsia="zh-CN"/>
        </w:rPr>
        <w:t>：小时值200</w:t>
      </w:r>
      <w:r>
        <w:rPr>
          <w:rFonts w:ascii="Times New Roman" w:hAnsi="Times New Roman" w:eastAsia="宋体" w:cs="Times New Roman"/>
          <w:b w:val="0"/>
          <w:bCs w:val="0"/>
          <w:color w:val="000000" w:themeColor="text1"/>
          <w14:textFill>
            <w14:solidFill>
              <w14:schemeClr w14:val="tx1"/>
            </w14:solidFill>
          </w14:textFill>
        </w:rPr>
        <w:t>μg/m</w:t>
      </w:r>
      <w:r>
        <w:rPr>
          <w:rFonts w:ascii="Times New Roman" w:hAnsi="Times New Roman" w:eastAsia="宋体" w:cs="Times New Roman"/>
          <w:b w:val="0"/>
          <w:bCs w:val="0"/>
          <w:color w:val="000000" w:themeColor="text1"/>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eastAsia="宋体" w:cs="Times New Roman"/>
          <w:b w:val="0"/>
          <w:bCs w:val="0"/>
          <w:color w:val="000000" w:themeColor="text1"/>
          <w:lang w:val="en-US" w:eastAsia="zh-CN"/>
          <w14:textFill>
            <w14:solidFill>
              <w14:schemeClr w14:val="tx1"/>
            </w14:solidFill>
          </w14:textFill>
        </w:rPr>
        <w:t>占标率均不足10%，</w:t>
      </w:r>
      <w:r>
        <w:rPr>
          <w:rFonts w:hint="eastAsia" w:ascii="Times New Roman" w:hAnsi="Times New Roman" w:eastAsia="宋体" w:cs="Times New Roman"/>
          <w:b w:val="0"/>
          <w:bCs w:val="0"/>
          <w:color w:val="000000" w:themeColor="text1"/>
          <w:lang w:val="en-US" w:eastAsia="zh-CN"/>
          <w14:textFill>
            <w14:solidFill>
              <w14:schemeClr w14:val="tx1"/>
            </w14:solidFill>
          </w14:textFill>
        </w:rPr>
        <w:t>项目</w:t>
      </w:r>
      <w:r>
        <w:rPr>
          <w:rFonts w:ascii="Times New Roman" w:hAnsi="Times New Roman" w:eastAsia="宋体" w:cs="Times New Roman"/>
          <w:b w:val="0"/>
          <w:bCs w:val="0"/>
          <w:color w:val="000000" w:themeColor="text1"/>
          <w14:textFill>
            <w14:solidFill>
              <w14:schemeClr w14:val="tx1"/>
            </w14:solidFill>
          </w14:textFill>
        </w:rPr>
        <w:t>实施后对区域大气环境质量影响</w:t>
      </w:r>
      <w:r>
        <w:rPr>
          <w:rFonts w:hint="eastAsia" w:eastAsia="宋体" w:cs="Times New Roman"/>
          <w:b w:val="0"/>
          <w:bCs w:val="0"/>
          <w:color w:val="000000" w:themeColor="text1"/>
          <w:lang w:val="en-US" w:eastAsia="zh-CN"/>
          <w14:textFill>
            <w14:solidFill>
              <w14:schemeClr w14:val="tx1"/>
            </w14:solidFill>
          </w14:textFill>
        </w:rPr>
        <w:t>较小</w:t>
      </w:r>
      <w:r>
        <w:rPr>
          <w:rFonts w:ascii="Times New Roman" w:hAnsi="Times New Roman" w:eastAsia="宋体" w:cs="Times New Roman"/>
          <w:b w:val="0"/>
          <w:bCs w:val="0"/>
          <w:color w:val="000000" w:themeColor="text1"/>
          <w14:textFill>
            <w14:solidFill>
              <w14:schemeClr w14:val="tx1"/>
            </w14:solidFill>
          </w14:textFill>
        </w:rPr>
        <w:t>。</w:t>
      </w:r>
    </w:p>
    <w:p w14:paraId="18B47166">
      <w:pPr>
        <w:pStyle w:val="6"/>
        <w:ind w:left="240"/>
        <w:rPr>
          <w:rFonts w:hint="default" w:ascii="Times New Roman" w:hAnsi="Times New Roman" w:cs="Times New Roman"/>
          <w:color w:val="auto"/>
          <w:lang w:val="en-US" w:eastAsia="zh-CN"/>
        </w:rPr>
      </w:pPr>
      <w:r>
        <w:rPr>
          <w:rFonts w:hint="eastAsia" w:cs="Times New Roman"/>
          <w:color w:val="auto"/>
          <w:lang w:val="en-US" w:eastAsia="zh-CN"/>
        </w:rPr>
        <w:t>5</w:t>
      </w:r>
      <w:r>
        <w:rPr>
          <w:rFonts w:hint="eastAsia" w:ascii="Times New Roman" w:hAnsi="Times New Roman" w:cs="Times New Roman"/>
          <w:color w:val="auto"/>
          <w:lang w:val="en-US" w:eastAsia="zh-CN"/>
        </w:rPr>
        <w:t>.2.1.5食堂油烟及饲料粉尘污染影响分析</w:t>
      </w:r>
    </w:p>
    <w:p w14:paraId="4778B941">
      <w:pPr>
        <w:pStyle w:val="42"/>
        <w:rPr>
          <w:rFonts w:hint="eastAsia" w:ascii="Times New Roman" w:hAnsi="Times New Roman"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本项目员工人数为</w:t>
      </w:r>
      <w:r>
        <w:rPr>
          <w:rFonts w:hint="eastAsia" w:cs="Times New Roman"/>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r>
        <w:rPr>
          <w:rFonts w:hint="eastAsia" w:cs="宋体"/>
          <w:color w:val="000000" w:themeColor="text1"/>
          <w:kern w:val="0"/>
          <w:sz w:val="24"/>
          <w:szCs w:val="24"/>
          <w:lang w:val="en-US" w:eastAsia="zh-CN" w:bidi="ar"/>
          <w14:textFill>
            <w14:solidFill>
              <w14:schemeClr w14:val="tx1"/>
            </w14:solidFill>
          </w14:textFill>
        </w:rPr>
        <w:t>根据工程分析，采取措施后</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，油烟排放量约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eastAsia="宋体" w:cs="Times New Roman"/>
          <w:color w:val="000000" w:themeColor="text1"/>
          <w:kern w:val="0"/>
          <w:sz w:val="24"/>
          <w:szCs w:val="24"/>
          <w:lang w:val="en-US" w:eastAsia="zh-CN" w:bidi="ar"/>
          <w14:textFill>
            <w14:solidFill>
              <w14:schemeClr w14:val="tx1"/>
            </w14:solidFill>
          </w14:textFill>
        </w:rPr>
        <w:t>09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Times New Roman"/>
          <w:color w:val="000000" w:themeColor="text1"/>
          <w:kern w:val="0"/>
          <w:sz w:val="24"/>
          <w:szCs w:val="24"/>
          <w:lang w:val="en-US" w:eastAsia="zh-CN" w:bidi="ar"/>
          <w14:textFill>
            <w14:solidFill>
              <w14:schemeClr w14:val="tx1"/>
            </w14:solidFill>
          </w14:textFill>
        </w:rPr>
        <w:t>3.285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w:t>
      </w:r>
      <w:r>
        <w:rPr>
          <w:rFonts w:hint="eastAsia"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油烟排放浓度约</w:t>
      </w:r>
      <w:r>
        <w:rPr>
          <w:rFonts w:hint="eastAsia" w:cs="Times New Roman"/>
          <w:color w:val="000000" w:themeColor="text1"/>
          <w:kern w:val="0"/>
          <w:sz w:val="24"/>
          <w:szCs w:val="24"/>
          <w:lang w:val="en-US" w:eastAsia="zh-CN" w:bidi="ar"/>
          <w14:textFill>
            <w14:solidFill>
              <w14:schemeClr w14:val="tx1"/>
            </w14:solidFill>
          </w14:textFill>
        </w:rPr>
        <w:t>0.9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，可以达到《饮食业油烟排放标准（试行）》（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GB18483-2001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）小型标准（油烟排放浓度≤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），对周围环境影响不大</w:t>
      </w:r>
      <w:r>
        <w:rPr>
          <w:rFonts w:hint="eastAsia" w:ascii="Times New Roman" w:hAnsi="Times New Roman" w:cs="宋体"/>
          <w:color w:val="000000" w:themeColor="text1"/>
          <w:kern w:val="0"/>
          <w:sz w:val="24"/>
          <w:szCs w:val="24"/>
          <w:lang w:val="en-US" w:eastAsia="zh-CN" w:bidi="ar"/>
          <w14:textFill>
            <w14:solidFill>
              <w14:schemeClr w14:val="tx1"/>
            </w14:solidFill>
          </w14:textFill>
        </w:rPr>
        <w:t>。</w:t>
      </w:r>
    </w:p>
    <w:p w14:paraId="2EDDAEF1">
      <w:pPr>
        <w:pStyle w:val="42"/>
        <w:rPr>
          <w:rFonts w:hint="default" w:ascii="Times New Roman" w:hAnsi="Times New Roman" w:cs="宋体"/>
          <w:color w:val="000000" w:themeColor="text1"/>
          <w:kern w:val="0"/>
          <w:sz w:val="24"/>
          <w:szCs w:val="24"/>
          <w:lang w:val="en-US" w:eastAsia="zh-CN" w:bidi="ar"/>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根据工程分析</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cs="宋体"/>
          <w:color w:val="000000" w:themeColor="text1"/>
          <w:kern w:val="0"/>
          <w:sz w:val="24"/>
          <w:szCs w:val="24"/>
          <w:lang w:val="en-US" w:eastAsia="zh-CN" w:bidi="ar"/>
          <w14:textFill>
            <w14:solidFill>
              <w14:schemeClr w14:val="tx1"/>
            </w14:solidFill>
          </w14:textFill>
        </w:rPr>
        <w:t>本项目饲料加工排放颗粒物（TSP），颗粒物</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排放量为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0.01</w:t>
      </w:r>
      <w:r>
        <w:rPr>
          <w:rFonts w:hint="eastAsia" w:eastAsia="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cs="宋体"/>
          <w:color w:val="000000" w:themeColor="text1"/>
          <w:kern w:val="0"/>
          <w:sz w:val="24"/>
          <w:szCs w:val="24"/>
          <w:lang w:val="en-US" w:eastAsia="zh-CN" w:bidi="ar"/>
          <w14:textFill>
            <w14:solidFill>
              <w14:schemeClr w14:val="tx1"/>
            </w14:solidFill>
          </w14:textFill>
        </w:rPr>
        <w:t>排放量很小</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cs="宋体"/>
          <w:color w:val="000000" w:themeColor="text1"/>
          <w:kern w:val="0"/>
          <w:sz w:val="24"/>
          <w:szCs w:val="24"/>
          <w:lang w:val="en-US" w:eastAsia="zh-CN" w:bidi="ar"/>
          <w14:textFill>
            <w14:solidFill>
              <w14:schemeClr w14:val="tx1"/>
            </w14:solidFill>
          </w14:textFill>
        </w:rPr>
        <w:t>预计</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满足《大气污染物综合排放标准》（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GB16297-1996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中的无组织排放监控浓度限值（颗粒物：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cs="宋体"/>
          <w:color w:val="000000" w:themeColor="text1"/>
          <w:kern w:val="0"/>
          <w:sz w:val="24"/>
          <w:szCs w:val="24"/>
          <w:lang w:val="en-US" w:eastAsia="zh-CN" w:bidi="ar"/>
          <w14:textFill>
            <w14:solidFill>
              <w14:schemeClr w14:val="tx1"/>
            </w14:solidFill>
          </w14:textFill>
        </w:rPr>
        <w:t>，对周围环境影响较小。</w:t>
      </w:r>
    </w:p>
    <w:p w14:paraId="26FEED66">
      <w:pPr>
        <w:pStyle w:val="6"/>
        <w:ind w:left="240"/>
        <w:rPr>
          <w:rFonts w:hint="eastAsia" w:ascii="Times New Roman" w:hAnsi="Times New Roman" w:cs="Times New Roman"/>
          <w:color w:val="auto"/>
          <w:lang w:val="en-US" w:eastAsia="zh-CN"/>
        </w:rPr>
      </w:pPr>
      <w:r>
        <w:rPr>
          <w:rFonts w:hint="eastAsia" w:cs="Times New Roman"/>
          <w:color w:val="auto"/>
          <w:lang w:val="en-US" w:eastAsia="zh-CN"/>
        </w:rPr>
        <w:t>5</w:t>
      </w:r>
      <w:r>
        <w:rPr>
          <w:rFonts w:hint="eastAsia" w:ascii="Times New Roman" w:hAnsi="Times New Roman" w:cs="Times New Roman"/>
          <w:color w:val="auto"/>
          <w:lang w:val="en-US" w:eastAsia="zh-CN"/>
        </w:rPr>
        <w:t>.2.1.5污染物排放量核算</w:t>
      </w:r>
    </w:p>
    <w:p w14:paraId="7A10EEA9">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Times New Roman" w:hAnsi="Times New Roman" w:eastAsia="宋体" w:cs="Times New Roman"/>
          <w:color w:val="000000"/>
          <w:sz w:val="24"/>
          <w:shd w:val="clear" w:color="auto" w:fill="auto"/>
          <w:lang w:val="en-US" w:eastAsia="zh-CN"/>
        </w:rPr>
      </w:pPr>
      <w:r>
        <w:rPr>
          <w:rFonts w:hint="eastAsia" w:ascii="Times New Roman" w:hAnsi="Times New Roman" w:eastAsia="宋体" w:cs="Times New Roman"/>
          <w:color w:val="000000"/>
          <w:sz w:val="24"/>
          <w:shd w:val="clear" w:color="auto" w:fill="auto"/>
          <w:lang w:val="en-US" w:eastAsia="zh-CN"/>
        </w:rPr>
        <w:t>按评价工作</w:t>
      </w:r>
      <w:r>
        <w:rPr>
          <w:rFonts w:hint="eastAsia" w:eastAsia="宋体" w:cs="Times New Roman"/>
          <w:color w:val="000000"/>
          <w:sz w:val="24"/>
          <w:shd w:val="clear" w:color="auto" w:fill="auto"/>
          <w:lang w:val="en-US" w:eastAsia="zh-CN"/>
        </w:rPr>
        <w:t>级别</w:t>
      </w:r>
      <w:r>
        <w:rPr>
          <w:rFonts w:hint="eastAsia" w:ascii="Times New Roman" w:hAnsi="Times New Roman" w:eastAsia="宋体" w:cs="Times New Roman"/>
          <w:color w:val="000000"/>
          <w:sz w:val="24"/>
          <w:shd w:val="clear" w:color="auto" w:fill="auto"/>
          <w:lang w:val="en-US" w:eastAsia="zh-CN"/>
        </w:rPr>
        <w:t>划分原则，本项目环境空气影响评价等级为二级。根据《环境影响评价技术导则大气环境》（</w:t>
      </w:r>
      <w:r>
        <w:rPr>
          <w:rFonts w:hint="default" w:ascii="Times New Roman" w:hAnsi="Times New Roman" w:eastAsia="宋体" w:cs="Times New Roman"/>
          <w:color w:val="000000"/>
          <w:sz w:val="24"/>
          <w:shd w:val="clear" w:color="auto" w:fill="auto"/>
          <w:lang w:val="en-US" w:eastAsia="zh-CN"/>
        </w:rPr>
        <w:t>HJ2.2-2018</w:t>
      </w:r>
      <w:r>
        <w:rPr>
          <w:rFonts w:hint="eastAsia" w:ascii="Times New Roman" w:hAnsi="Times New Roman" w:eastAsia="宋体" w:cs="Times New Roman"/>
          <w:color w:val="000000"/>
          <w:sz w:val="24"/>
          <w:shd w:val="clear" w:color="auto" w:fill="auto"/>
          <w:lang w:val="en-US" w:eastAsia="zh-CN"/>
        </w:rPr>
        <w:t>），二级评价项目不进行进一步预测与评价，只对污染物排放量进行核算。</w:t>
      </w:r>
    </w:p>
    <w:p w14:paraId="1838A7D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default" w:ascii="Times New Roman" w:hAnsi="Times New Roman" w:eastAsia="宋体" w:cs="Times New Roman"/>
          <w:color w:val="000000"/>
          <w:sz w:val="24"/>
          <w:shd w:val="clear" w:color="auto" w:fill="auto"/>
          <w:lang w:val="en-US" w:eastAsia="zh-CN"/>
        </w:rPr>
      </w:pPr>
      <w:r>
        <w:rPr>
          <w:rFonts w:hint="eastAsia" w:ascii="Times New Roman" w:hAnsi="Times New Roman" w:eastAsia="宋体" w:cs="Times New Roman"/>
          <w:color w:val="000000"/>
          <w:sz w:val="24"/>
          <w:shd w:val="clear" w:color="auto" w:fill="auto"/>
          <w:lang w:val="en-US" w:eastAsia="zh-CN"/>
        </w:rPr>
        <w:t>本项目正常工况下大气污染物排放量核算详见下表。</w:t>
      </w:r>
    </w:p>
    <w:p w14:paraId="0F75533F">
      <w:pPr>
        <w:ind w:firstLine="0" w:firstLineChars="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表</w:t>
      </w:r>
      <w:r>
        <w:rPr>
          <w:rFonts w:hint="eastAsia" w:eastAsia="宋体" w:cs="Times New Roman"/>
          <w:b/>
          <w:bCs/>
          <w:color w:val="auto"/>
          <w:lang w:val="en-US" w:eastAsia="zh-CN"/>
        </w:rPr>
        <w:t>5</w:t>
      </w:r>
      <w:r>
        <w:rPr>
          <w:rFonts w:hint="default"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lang w:val="en-US" w:eastAsia="zh-CN"/>
        </w:rPr>
        <w:t xml:space="preserve">12 </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大气污染物排放量核算表</w:t>
      </w:r>
    </w:p>
    <w:tbl>
      <w:tblPr>
        <w:tblStyle w:val="36"/>
        <w:tblW w:w="478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shd w:val="clear" w:color="auto" w:fill="FFFFFF"/>
        <w:tblLayout w:type="autofit"/>
        <w:tblCellMar>
          <w:top w:w="0" w:type="dxa"/>
          <w:left w:w="108" w:type="dxa"/>
          <w:bottom w:w="0" w:type="dxa"/>
          <w:right w:w="108" w:type="dxa"/>
        </w:tblCellMar>
      </w:tblPr>
      <w:tblGrid>
        <w:gridCol w:w="1392"/>
        <w:gridCol w:w="1807"/>
        <w:gridCol w:w="1668"/>
        <w:gridCol w:w="1862"/>
        <w:gridCol w:w="1949"/>
      </w:tblGrid>
      <w:tr w14:paraId="096B178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shd w:val="clear" w:color="auto" w:fill="FFFFFF"/>
          <w:tblCellMar>
            <w:top w:w="0" w:type="dxa"/>
            <w:left w:w="108" w:type="dxa"/>
            <w:bottom w:w="0" w:type="dxa"/>
            <w:right w:w="108" w:type="dxa"/>
          </w:tblCellMar>
        </w:tblPrEx>
        <w:trPr>
          <w:trHeight w:val="422" w:hRule="atLeast"/>
          <w:jc w:val="center"/>
        </w:trPr>
        <w:tc>
          <w:tcPr>
            <w:tcW w:w="802" w:type="pct"/>
            <w:tcBorders>
              <w:tl2br w:val="nil"/>
              <w:tr2bl w:val="nil"/>
            </w:tcBorders>
            <w:shd w:val="clear" w:color="auto" w:fill="FFFFFF"/>
            <w:noWrap w:val="0"/>
            <w:vAlign w:val="center"/>
          </w:tcPr>
          <w:p w14:paraId="4471ACE8">
            <w:pPr>
              <w:tabs>
                <w:tab w:val="left" w:pos="3420"/>
              </w:tabs>
              <w:autoSpaceDE w:val="0"/>
              <w:autoSpaceDN w:val="0"/>
              <w:adjustRightInd w:val="0"/>
              <w:spacing w:before="20" w:line="240" w:lineRule="auto"/>
              <w:ind w:firstLine="0" w:firstLineChars="0"/>
              <w:jc w:val="cente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项目</w:t>
            </w:r>
          </w:p>
        </w:tc>
        <w:tc>
          <w:tcPr>
            <w:tcW w:w="1041" w:type="pct"/>
            <w:tcBorders>
              <w:tl2br w:val="nil"/>
              <w:tr2bl w:val="nil"/>
            </w:tcBorders>
            <w:shd w:val="clear" w:color="auto" w:fill="FFFFFF"/>
            <w:noWrap w:val="0"/>
            <w:vAlign w:val="center"/>
          </w:tcPr>
          <w:p w14:paraId="74076B2D">
            <w:pPr>
              <w:tabs>
                <w:tab w:val="left" w:pos="3420"/>
              </w:tabs>
              <w:autoSpaceDE w:val="0"/>
              <w:autoSpaceDN w:val="0"/>
              <w:adjustRightInd w:val="0"/>
              <w:spacing w:before="20" w:line="240" w:lineRule="auto"/>
              <w:ind w:firstLine="0" w:firstLineChars="0"/>
              <w:jc w:val="cente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产污环节</w:t>
            </w:r>
          </w:p>
        </w:tc>
        <w:tc>
          <w:tcPr>
            <w:tcW w:w="961" w:type="pct"/>
            <w:tcBorders>
              <w:tl2br w:val="nil"/>
              <w:tr2bl w:val="nil"/>
            </w:tcBorders>
            <w:shd w:val="clear" w:color="auto" w:fill="FFFFFF"/>
            <w:noWrap w:val="0"/>
            <w:vAlign w:val="center"/>
          </w:tcPr>
          <w:p w14:paraId="173A0EA5">
            <w:pPr>
              <w:tabs>
                <w:tab w:val="left" w:pos="3420"/>
              </w:tabs>
              <w:autoSpaceDE w:val="0"/>
              <w:autoSpaceDN w:val="0"/>
              <w:adjustRightInd w:val="0"/>
              <w:spacing w:before="20" w:line="240" w:lineRule="auto"/>
              <w:ind w:firstLine="0" w:firstLineChars="0"/>
              <w:jc w:val="cente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污染物</w:t>
            </w:r>
          </w:p>
        </w:tc>
        <w:tc>
          <w:tcPr>
            <w:tcW w:w="1073" w:type="pct"/>
            <w:tcBorders>
              <w:tl2br w:val="nil"/>
              <w:tr2bl w:val="nil"/>
            </w:tcBorders>
            <w:shd w:val="clear" w:color="auto" w:fill="FFFFFF"/>
            <w:noWrap w:val="0"/>
            <w:vAlign w:val="center"/>
          </w:tcPr>
          <w:p w14:paraId="17062D81">
            <w:pPr>
              <w:tabs>
                <w:tab w:val="left" w:pos="3420"/>
              </w:tabs>
              <w:autoSpaceDE w:val="0"/>
              <w:autoSpaceDN w:val="0"/>
              <w:adjustRightInd w:val="0"/>
              <w:spacing w:before="20" w:line="240" w:lineRule="auto"/>
              <w:ind w:firstLine="0" w:firstLineChars="0"/>
              <w:jc w:val="cente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污染防治措施</w:t>
            </w:r>
          </w:p>
        </w:tc>
        <w:tc>
          <w:tcPr>
            <w:tcW w:w="1121" w:type="pct"/>
            <w:tcBorders>
              <w:tl2br w:val="nil"/>
              <w:tr2bl w:val="nil"/>
            </w:tcBorders>
            <w:shd w:val="clear" w:color="auto" w:fill="FFFFFF"/>
            <w:noWrap w:val="0"/>
            <w:vAlign w:val="center"/>
          </w:tcPr>
          <w:p w14:paraId="7085F781">
            <w:pPr>
              <w:tabs>
                <w:tab w:val="left" w:pos="3420"/>
              </w:tabs>
              <w:autoSpaceDE w:val="0"/>
              <w:autoSpaceDN w:val="0"/>
              <w:adjustRightInd w:val="0"/>
              <w:spacing w:before="20" w:line="240" w:lineRule="auto"/>
              <w:ind w:firstLine="0" w:firstLineChars="0"/>
              <w:jc w:val="cente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年排放量（t/a）</w:t>
            </w:r>
          </w:p>
        </w:tc>
      </w:tr>
      <w:tr w14:paraId="25C9BAE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2" w:hRule="atLeast"/>
          <w:jc w:val="center"/>
        </w:trPr>
        <w:tc>
          <w:tcPr>
            <w:tcW w:w="5000" w:type="pct"/>
            <w:gridSpan w:val="5"/>
            <w:tcBorders>
              <w:tl2br w:val="nil"/>
              <w:tr2bl w:val="nil"/>
            </w:tcBorders>
            <w:shd w:val="clear" w:color="auto" w:fill="FFFFFF"/>
            <w:noWrap w:val="0"/>
            <w:vAlign w:val="center"/>
          </w:tcPr>
          <w:p w14:paraId="769B5A7C">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无组织</w:t>
            </w:r>
          </w:p>
        </w:tc>
      </w:tr>
      <w:tr w14:paraId="3C5F4C9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32" w:hRule="atLeast"/>
          <w:jc w:val="center"/>
        </w:trPr>
        <w:tc>
          <w:tcPr>
            <w:tcW w:w="802" w:type="pct"/>
            <w:vMerge w:val="restart"/>
            <w:tcBorders>
              <w:tl2br w:val="nil"/>
              <w:tr2bl w:val="nil"/>
            </w:tcBorders>
            <w:shd w:val="clear" w:color="auto" w:fill="FFFFFF"/>
            <w:noWrap w:val="0"/>
            <w:vAlign w:val="center"/>
          </w:tcPr>
          <w:p w14:paraId="713021FF">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恶臭气体</w:t>
            </w:r>
          </w:p>
        </w:tc>
        <w:tc>
          <w:tcPr>
            <w:tcW w:w="1041" w:type="pct"/>
            <w:vMerge w:val="restart"/>
            <w:tcBorders>
              <w:tl2br w:val="nil"/>
              <w:tr2bl w:val="nil"/>
            </w:tcBorders>
            <w:shd w:val="clear" w:color="auto" w:fill="FFFFFF"/>
            <w:noWrap w:val="0"/>
            <w:vAlign w:val="center"/>
          </w:tcPr>
          <w:p w14:paraId="1C3DA7EB">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鸭舍</w:t>
            </w:r>
          </w:p>
        </w:tc>
        <w:tc>
          <w:tcPr>
            <w:tcW w:w="961" w:type="pct"/>
            <w:tcBorders>
              <w:tl2br w:val="nil"/>
              <w:tr2bl w:val="nil"/>
            </w:tcBorders>
            <w:shd w:val="clear" w:color="auto" w:fill="FFFFFF"/>
            <w:noWrap w:val="0"/>
            <w:vAlign w:val="center"/>
          </w:tcPr>
          <w:p w14:paraId="64542768">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NH</w:t>
            </w:r>
            <w:r>
              <w:rPr>
                <w:rFonts w:hint="eastAsia"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3</w:t>
            </w:r>
          </w:p>
        </w:tc>
        <w:tc>
          <w:tcPr>
            <w:tcW w:w="1073" w:type="pct"/>
            <w:vMerge w:val="restart"/>
            <w:tcBorders>
              <w:tl2br w:val="nil"/>
              <w:tr2bl w:val="nil"/>
            </w:tcBorders>
            <w:shd w:val="clear" w:color="auto" w:fill="FFFFFF"/>
            <w:noWrap w:val="0"/>
            <w:vAlign w:val="center"/>
          </w:tcPr>
          <w:p w14:paraId="1497FBFD">
            <w:pPr>
              <w:spacing w:line="32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及时清粪、采用通风换气装置、定期喷洒除臭剂</w:t>
            </w:r>
          </w:p>
        </w:tc>
        <w:tc>
          <w:tcPr>
            <w:tcW w:w="1121" w:type="pct"/>
            <w:tcBorders>
              <w:tl2br w:val="nil"/>
              <w:tr2bl w:val="nil"/>
            </w:tcBorders>
            <w:shd w:val="clear" w:color="auto" w:fill="FFFFFF"/>
            <w:noWrap w:val="0"/>
            <w:vAlign w:val="center"/>
          </w:tcPr>
          <w:p w14:paraId="5D8125DE">
            <w:pPr>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394</w:t>
            </w:r>
          </w:p>
        </w:tc>
      </w:tr>
      <w:tr w14:paraId="5B475DA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60" w:hRule="atLeast"/>
          <w:jc w:val="center"/>
        </w:trPr>
        <w:tc>
          <w:tcPr>
            <w:tcW w:w="802" w:type="pct"/>
            <w:vMerge w:val="continue"/>
            <w:tcBorders>
              <w:bottom w:val="single" w:color="auto" w:sz="4" w:space="0"/>
              <w:tl2br w:val="nil"/>
              <w:tr2bl w:val="nil"/>
            </w:tcBorders>
            <w:shd w:val="clear" w:color="auto" w:fill="FFFFFF"/>
            <w:noWrap w:val="0"/>
            <w:vAlign w:val="center"/>
          </w:tcPr>
          <w:p w14:paraId="043E3447">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1" w:type="pct"/>
            <w:vMerge w:val="continue"/>
            <w:tcBorders>
              <w:tl2br w:val="nil"/>
              <w:tr2bl w:val="nil"/>
            </w:tcBorders>
            <w:shd w:val="clear" w:color="auto" w:fill="FFFFFF"/>
            <w:noWrap w:val="0"/>
            <w:vAlign w:val="center"/>
          </w:tcPr>
          <w:p w14:paraId="2269B76A">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961" w:type="pct"/>
            <w:tcBorders>
              <w:tl2br w:val="nil"/>
              <w:tr2bl w:val="nil"/>
            </w:tcBorders>
            <w:shd w:val="clear" w:color="auto" w:fill="FFFFFF"/>
            <w:noWrap w:val="0"/>
            <w:vAlign w:val="center"/>
          </w:tcPr>
          <w:p w14:paraId="6686E6B5">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S</w:t>
            </w:r>
          </w:p>
        </w:tc>
        <w:tc>
          <w:tcPr>
            <w:tcW w:w="1073" w:type="pct"/>
            <w:vMerge w:val="continue"/>
            <w:tcBorders>
              <w:tl2br w:val="nil"/>
              <w:tr2bl w:val="nil"/>
            </w:tcBorders>
            <w:shd w:val="clear" w:color="auto" w:fill="FFFFFF"/>
            <w:noWrap w:val="0"/>
            <w:vAlign w:val="center"/>
          </w:tcPr>
          <w:p w14:paraId="51D7CB1C">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21" w:type="pct"/>
            <w:tcBorders>
              <w:tl2br w:val="nil"/>
              <w:tr2bl w:val="nil"/>
            </w:tcBorders>
            <w:shd w:val="clear" w:color="auto" w:fill="FFFFFF"/>
            <w:noWrap w:val="0"/>
            <w:vAlign w:val="center"/>
          </w:tcPr>
          <w:p w14:paraId="03F3F187">
            <w:pPr>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4</w:t>
            </w:r>
          </w:p>
        </w:tc>
      </w:tr>
      <w:tr w14:paraId="20F199F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802" w:type="pct"/>
            <w:tcBorders>
              <w:top w:val="single" w:color="auto" w:sz="4" w:space="0"/>
              <w:bottom w:val="single" w:color="auto" w:sz="4" w:space="0"/>
              <w:tl2br w:val="nil"/>
              <w:tr2bl w:val="nil"/>
            </w:tcBorders>
            <w:shd w:val="clear" w:color="auto" w:fill="FFFFFF"/>
            <w:noWrap w:val="0"/>
            <w:vAlign w:val="center"/>
          </w:tcPr>
          <w:p w14:paraId="2EDA6123">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饲料粉尘</w:t>
            </w:r>
          </w:p>
        </w:tc>
        <w:tc>
          <w:tcPr>
            <w:tcW w:w="1041" w:type="pct"/>
            <w:tcBorders>
              <w:tl2br w:val="nil"/>
              <w:tr2bl w:val="nil"/>
            </w:tcBorders>
            <w:shd w:val="clear" w:color="auto" w:fill="FFFFFF"/>
            <w:noWrap w:val="0"/>
            <w:vAlign w:val="center"/>
          </w:tcPr>
          <w:p w14:paraId="4C58611C">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饲料塔</w:t>
            </w:r>
          </w:p>
        </w:tc>
        <w:tc>
          <w:tcPr>
            <w:tcW w:w="961" w:type="pct"/>
            <w:tcBorders>
              <w:tl2br w:val="nil"/>
              <w:tr2bl w:val="nil"/>
            </w:tcBorders>
            <w:shd w:val="clear" w:color="auto" w:fill="FFFFFF"/>
            <w:noWrap w:val="0"/>
            <w:vAlign w:val="center"/>
          </w:tcPr>
          <w:p w14:paraId="4E09DE40">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TSP</w:t>
            </w:r>
          </w:p>
        </w:tc>
        <w:tc>
          <w:tcPr>
            <w:tcW w:w="1073" w:type="pct"/>
            <w:tcBorders>
              <w:tl2br w:val="nil"/>
              <w:tr2bl w:val="nil"/>
            </w:tcBorders>
            <w:shd w:val="clear" w:color="auto" w:fill="FFFFFF"/>
            <w:noWrap w:val="0"/>
            <w:vAlign w:val="center"/>
          </w:tcPr>
          <w:p w14:paraId="4A549397">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饲料塔自带除尘器，除尘效率</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99%</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、自然逸散</w:t>
            </w:r>
          </w:p>
        </w:tc>
        <w:tc>
          <w:tcPr>
            <w:tcW w:w="1121" w:type="pct"/>
            <w:tcBorders>
              <w:tl2br w:val="nil"/>
              <w:tr2bl w:val="nil"/>
            </w:tcBorders>
            <w:shd w:val="clear" w:color="auto" w:fill="FFFFFF"/>
            <w:noWrap w:val="0"/>
            <w:vAlign w:val="center"/>
          </w:tcPr>
          <w:p w14:paraId="6D63E9AF">
            <w:pPr>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0.01</w:t>
            </w:r>
          </w:p>
        </w:tc>
      </w:tr>
      <w:tr w14:paraId="7A7FE62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802" w:type="pct"/>
            <w:tcBorders>
              <w:top w:val="single" w:color="auto" w:sz="4" w:space="0"/>
              <w:bottom w:val="single" w:color="auto" w:sz="4" w:space="0"/>
              <w:tl2br w:val="nil"/>
              <w:tr2bl w:val="nil"/>
            </w:tcBorders>
            <w:shd w:val="clear" w:color="auto" w:fill="FFFFFF"/>
            <w:noWrap w:val="0"/>
            <w:vAlign w:val="center"/>
          </w:tcPr>
          <w:p w14:paraId="007ECDB3">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油烟</w:t>
            </w:r>
          </w:p>
        </w:tc>
        <w:tc>
          <w:tcPr>
            <w:tcW w:w="1041" w:type="pct"/>
            <w:tcBorders>
              <w:tl2br w:val="nil"/>
              <w:tr2bl w:val="nil"/>
            </w:tcBorders>
            <w:shd w:val="clear" w:color="auto" w:fill="FFFFFF"/>
            <w:noWrap w:val="0"/>
            <w:vAlign w:val="center"/>
          </w:tcPr>
          <w:p w14:paraId="74FC2CDF">
            <w:pPr>
              <w:tabs>
                <w:tab w:val="left" w:pos="3420"/>
              </w:tabs>
              <w:autoSpaceDE w:val="0"/>
              <w:autoSpaceDN w:val="0"/>
              <w:adjustRightInd w:val="0"/>
              <w:spacing w:before="20" w:line="240" w:lineRule="auto"/>
              <w:ind w:firstLine="0" w:firstLineChars="0"/>
              <w:jc w:val="center"/>
              <w:rPr>
                <w:rFonts w:hint="default"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食堂</w:t>
            </w:r>
          </w:p>
        </w:tc>
        <w:tc>
          <w:tcPr>
            <w:tcW w:w="961" w:type="pct"/>
            <w:tcBorders>
              <w:tl2br w:val="nil"/>
              <w:tr2bl w:val="nil"/>
            </w:tcBorders>
            <w:shd w:val="clear" w:color="auto" w:fill="FFFFFF"/>
            <w:noWrap w:val="0"/>
            <w:vAlign w:val="center"/>
          </w:tcPr>
          <w:p w14:paraId="7A83717A">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油烟</w:t>
            </w:r>
          </w:p>
        </w:tc>
        <w:tc>
          <w:tcPr>
            <w:tcW w:w="1073" w:type="pct"/>
            <w:tcBorders>
              <w:tl2br w:val="nil"/>
              <w:tr2bl w:val="nil"/>
            </w:tcBorders>
            <w:shd w:val="clear" w:color="auto" w:fill="FFFFFF"/>
            <w:noWrap w:val="0"/>
            <w:vAlign w:val="center"/>
          </w:tcPr>
          <w:p w14:paraId="6588BABC">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油烟净化器</w:t>
            </w:r>
          </w:p>
        </w:tc>
        <w:tc>
          <w:tcPr>
            <w:tcW w:w="1121" w:type="pct"/>
            <w:tcBorders>
              <w:tl2br w:val="nil"/>
              <w:tr2bl w:val="nil"/>
            </w:tcBorders>
            <w:shd w:val="clear" w:color="auto" w:fill="FFFFFF"/>
            <w:noWrap w:val="0"/>
            <w:vAlign w:val="center"/>
          </w:tcPr>
          <w:p w14:paraId="4F74300F">
            <w:pPr>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0.0033</w:t>
            </w:r>
          </w:p>
        </w:tc>
      </w:tr>
      <w:tr w14:paraId="3B01D61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shd w:val="clear" w:color="auto" w:fill="FFFFFF"/>
            <w:noWrap w:val="0"/>
            <w:vAlign w:val="center"/>
          </w:tcPr>
          <w:p w14:paraId="770F82C3">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有组织</w:t>
            </w:r>
          </w:p>
        </w:tc>
      </w:tr>
      <w:tr w14:paraId="5C50DCD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44" w:hRule="atLeast"/>
          <w:jc w:val="center"/>
        </w:trPr>
        <w:tc>
          <w:tcPr>
            <w:tcW w:w="802" w:type="pct"/>
            <w:vMerge w:val="restart"/>
            <w:tcBorders>
              <w:tl2br w:val="nil"/>
              <w:tr2bl w:val="nil"/>
            </w:tcBorders>
            <w:shd w:val="clear" w:color="auto" w:fill="FFFFFF"/>
            <w:noWrap w:val="0"/>
            <w:vAlign w:val="center"/>
          </w:tcPr>
          <w:p w14:paraId="63FD0DAE">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锅炉烟气</w:t>
            </w:r>
          </w:p>
        </w:tc>
        <w:tc>
          <w:tcPr>
            <w:tcW w:w="1041" w:type="pct"/>
            <w:vMerge w:val="restart"/>
            <w:tcBorders>
              <w:tl2br w:val="nil"/>
              <w:tr2bl w:val="nil"/>
            </w:tcBorders>
            <w:shd w:val="clear" w:color="auto" w:fill="FFFFFF"/>
            <w:noWrap w:val="0"/>
            <w:vAlign w:val="center"/>
          </w:tcPr>
          <w:p w14:paraId="6AEDC0DE">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供热</w:t>
            </w:r>
          </w:p>
        </w:tc>
        <w:tc>
          <w:tcPr>
            <w:tcW w:w="961" w:type="pct"/>
            <w:tcBorders>
              <w:tl2br w:val="nil"/>
              <w:tr2bl w:val="nil"/>
            </w:tcBorders>
            <w:shd w:val="clear" w:color="auto" w:fill="FFFFFF"/>
            <w:noWrap w:val="0"/>
            <w:vAlign w:val="center"/>
          </w:tcPr>
          <w:p w14:paraId="5C9A406C">
            <w:pPr>
              <w:tabs>
                <w:tab w:val="left" w:pos="3420"/>
              </w:tabs>
              <w:autoSpaceDE w:val="0"/>
              <w:autoSpaceDN w:val="0"/>
              <w:adjustRightInd w:val="0"/>
              <w:spacing w:before="2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颗粒物（PM</w:t>
            </w:r>
            <w:r>
              <w:rPr>
                <w:rFonts w:hint="eastAsia"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eastAsia" w:eastAsia="宋体" w:cs="Times New Roman"/>
                <w:color w:val="000000" w:themeColor="text1"/>
                <w:kern w:val="0"/>
                <w:sz w:val="21"/>
                <w:szCs w:val="21"/>
                <w:highlight w:val="none"/>
                <w:lang w:val="en-US" w:eastAsia="zh-CN"/>
                <w14:textFill>
                  <w14:solidFill>
                    <w14:schemeClr w14:val="tx1"/>
                  </w14:solidFill>
                </w14:textFill>
              </w:rPr>
              <w:t>）</w:t>
            </w:r>
          </w:p>
        </w:tc>
        <w:tc>
          <w:tcPr>
            <w:tcW w:w="1073" w:type="pct"/>
            <w:vMerge w:val="restart"/>
            <w:tcBorders>
              <w:tl2br w:val="nil"/>
              <w:tr2bl w:val="nil"/>
            </w:tcBorders>
            <w:shd w:val="clear" w:color="auto" w:fill="FFFFFF"/>
            <w:noWrap w:val="0"/>
            <w:vAlign w:val="center"/>
          </w:tcPr>
          <w:p w14:paraId="66CEFBBD">
            <w:pPr>
              <w:keepNext w:val="0"/>
              <w:keepLines w:val="0"/>
              <w:pageBreakBefore w:val="0"/>
              <w:widowControl w:val="0"/>
              <w:tabs>
                <w:tab w:val="left" w:pos="342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碱式喷淋塔+15m烟囱</w:t>
            </w:r>
          </w:p>
        </w:tc>
        <w:tc>
          <w:tcPr>
            <w:tcW w:w="1121" w:type="pct"/>
            <w:tcBorders>
              <w:tl2br w:val="nil"/>
              <w:tr2bl w:val="nil"/>
            </w:tcBorders>
            <w:shd w:val="clear" w:color="auto" w:fill="FFFFFF"/>
            <w:noWrap w:val="0"/>
            <w:vAlign w:val="center"/>
          </w:tcPr>
          <w:p w14:paraId="4B430F39">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0.065</w:t>
            </w:r>
          </w:p>
          <w:p w14:paraId="4ABA0953">
            <w:pPr>
              <w:pStyle w:val="56"/>
              <w:rPr>
                <w:rFonts w:hint="default"/>
                <w:color w:val="000000" w:themeColor="text1"/>
                <w:lang w:val="en-US" w:eastAsia="zh-CN"/>
                <w14:textFill>
                  <w14:solidFill>
                    <w14:schemeClr w14:val="tx1"/>
                  </w14:solidFill>
                </w14:textFill>
              </w:rPr>
            </w:pPr>
          </w:p>
        </w:tc>
      </w:tr>
      <w:tr w14:paraId="74BB843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44" w:hRule="atLeast"/>
          <w:jc w:val="center"/>
        </w:trPr>
        <w:tc>
          <w:tcPr>
            <w:tcW w:w="802" w:type="pct"/>
            <w:vMerge w:val="continue"/>
            <w:tcBorders>
              <w:tl2br w:val="nil"/>
              <w:tr2bl w:val="nil"/>
            </w:tcBorders>
            <w:shd w:val="clear" w:color="auto" w:fill="FFFFFF"/>
            <w:noWrap w:val="0"/>
            <w:vAlign w:val="center"/>
          </w:tcPr>
          <w:p w14:paraId="0C3165D6">
            <w:pPr>
              <w:tabs>
                <w:tab w:val="left" w:pos="3420"/>
              </w:tabs>
              <w:autoSpaceDE w:val="0"/>
              <w:autoSpaceDN w:val="0"/>
              <w:adjustRightInd w:val="0"/>
              <w:spacing w:before="20" w:line="240" w:lineRule="auto"/>
              <w:ind w:firstLine="0" w:firstLineChars="0"/>
              <w:jc w:val="center"/>
              <w:rPr>
                <w:rFonts w:hint="eastAsia" w:eastAsia="宋体" w:cs="Times New Roman"/>
                <w:color w:val="000000" w:themeColor="text1"/>
                <w:kern w:val="0"/>
                <w:sz w:val="21"/>
                <w:szCs w:val="21"/>
                <w:highlight w:val="none"/>
                <w:lang w:val="en-US" w:eastAsia="zh-CN"/>
                <w14:textFill>
                  <w14:solidFill>
                    <w14:schemeClr w14:val="tx1"/>
                  </w14:solidFill>
                </w14:textFill>
              </w:rPr>
            </w:pPr>
          </w:p>
        </w:tc>
        <w:tc>
          <w:tcPr>
            <w:tcW w:w="1041" w:type="pct"/>
            <w:vMerge w:val="continue"/>
            <w:tcBorders>
              <w:tl2br w:val="nil"/>
              <w:tr2bl w:val="nil"/>
            </w:tcBorders>
            <w:shd w:val="clear" w:color="auto" w:fill="FFFFFF"/>
            <w:noWrap w:val="0"/>
            <w:vAlign w:val="center"/>
          </w:tcPr>
          <w:p w14:paraId="66F6824E">
            <w:pPr>
              <w:tabs>
                <w:tab w:val="left" w:pos="3420"/>
              </w:tabs>
              <w:autoSpaceDE w:val="0"/>
              <w:autoSpaceDN w:val="0"/>
              <w:adjustRightInd w:val="0"/>
              <w:spacing w:before="20" w:line="240" w:lineRule="auto"/>
              <w:ind w:firstLine="0" w:firstLineChars="0"/>
              <w:jc w:val="center"/>
              <w:rPr>
                <w:rFonts w:hint="eastAsia" w:eastAsia="宋体" w:cs="Times New Roman"/>
                <w:color w:val="000000" w:themeColor="text1"/>
                <w:kern w:val="0"/>
                <w:sz w:val="21"/>
                <w:szCs w:val="21"/>
                <w:highlight w:val="none"/>
                <w:lang w:val="en-US" w:eastAsia="zh-CN"/>
                <w14:textFill>
                  <w14:solidFill>
                    <w14:schemeClr w14:val="tx1"/>
                  </w14:solidFill>
                </w14:textFill>
              </w:rPr>
            </w:pPr>
          </w:p>
        </w:tc>
        <w:tc>
          <w:tcPr>
            <w:tcW w:w="961" w:type="pct"/>
            <w:tcBorders>
              <w:tl2br w:val="nil"/>
              <w:tr2bl w:val="nil"/>
            </w:tcBorders>
            <w:shd w:val="clear" w:color="auto" w:fill="FFFFFF"/>
            <w:noWrap w:val="0"/>
            <w:vAlign w:val="center"/>
          </w:tcPr>
          <w:p w14:paraId="7182267A">
            <w:pPr>
              <w:tabs>
                <w:tab w:val="left" w:pos="3420"/>
              </w:tabs>
              <w:autoSpaceDE w:val="0"/>
              <w:autoSpaceDN w:val="0"/>
              <w:adjustRightInd w:val="0"/>
              <w:spacing w:before="2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SO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p>
        </w:tc>
        <w:tc>
          <w:tcPr>
            <w:tcW w:w="1073" w:type="pct"/>
            <w:vMerge w:val="continue"/>
            <w:tcBorders>
              <w:tl2br w:val="nil"/>
              <w:tr2bl w:val="nil"/>
            </w:tcBorders>
            <w:shd w:val="clear" w:color="auto" w:fill="FFFFFF"/>
            <w:noWrap w:val="0"/>
            <w:vAlign w:val="center"/>
          </w:tcPr>
          <w:p w14:paraId="6FE32480">
            <w:pPr>
              <w:keepNext w:val="0"/>
              <w:keepLines w:val="0"/>
              <w:pageBreakBefore w:val="0"/>
              <w:widowControl w:val="0"/>
              <w:tabs>
                <w:tab w:val="left" w:pos="3420"/>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21" w:type="pct"/>
            <w:tcBorders>
              <w:tl2br w:val="nil"/>
              <w:tr2bl w:val="nil"/>
            </w:tcBorders>
            <w:shd w:val="clear" w:color="auto" w:fill="FFFFFF"/>
            <w:noWrap w:val="0"/>
            <w:vAlign w:val="center"/>
          </w:tcPr>
          <w:p w14:paraId="2E0765B5">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0.0818</w:t>
            </w:r>
          </w:p>
          <w:p w14:paraId="54CC39CB">
            <w:pPr>
              <w:pStyle w:val="56"/>
              <w:rPr>
                <w:rFonts w:hint="eastAsia"/>
                <w:color w:val="000000" w:themeColor="text1"/>
                <w:lang w:val="en-US" w:eastAsia="zh-CN"/>
                <w14:textFill>
                  <w14:solidFill>
                    <w14:schemeClr w14:val="tx1"/>
                  </w14:solidFill>
                </w14:textFill>
              </w:rPr>
            </w:pPr>
          </w:p>
        </w:tc>
      </w:tr>
      <w:tr w14:paraId="74F3570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44" w:hRule="atLeast"/>
          <w:jc w:val="center"/>
        </w:trPr>
        <w:tc>
          <w:tcPr>
            <w:tcW w:w="802" w:type="pct"/>
            <w:vMerge w:val="continue"/>
            <w:tcBorders>
              <w:tl2br w:val="nil"/>
              <w:tr2bl w:val="nil"/>
            </w:tcBorders>
            <w:shd w:val="clear" w:color="auto" w:fill="FFFFFF"/>
            <w:noWrap w:val="0"/>
            <w:vAlign w:val="center"/>
          </w:tcPr>
          <w:p w14:paraId="193E8489">
            <w:pPr>
              <w:tabs>
                <w:tab w:val="left" w:pos="3420"/>
              </w:tabs>
              <w:autoSpaceDE w:val="0"/>
              <w:autoSpaceDN w:val="0"/>
              <w:adjustRightInd w:val="0"/>
              <w:spacing w:before="20" w:line="240" w:lineRule="auto"/>
              <w:ind w:firstLine="0" w:firstLineChars="0"/>
              <w:jc w:val="center"/>
              <w:rPr>
                <w:rFonts w:hint="eastAsia" w:eastAsia="宋体" w:cs="Times New Roman"/>
                <w:color w:val="000000" w:themeColor="text1"/>
                <w:kern w:val="0"/>
                <w:sz w:val="21"/>
                <w:szCs w:val="21"/>
                <w:highlight w:val="none"/>
                <w:lang w:val="en-US" w:eastAsia="zh-CN"/>
                <w14:textFill>
                  <w14:solidFill>
                    <w14:schemeClr w14:val="tx1"/>
                  </w14:solidFill>
                </w14:textFill>
              </w:rPr>
            </w:pPr>
          </w:p>
        </w:tc>
        <w:tc>
          <w:tcPr>
            <w:tcW w:w="1041" w:type="pct"/>
            <w:vMerge w:val="continue"/>
            <w:tcBorders>
              <w:tl2br w:val="nil"/>
              <w:tr2bl w:val="nil"/>
            </w:tcBorders>
            <w:shd w:val="clear" w:color="auto" w:fill="FFFFFF"/>
            <w:noWrap w:val="0"/>
            <w:vAlign w:val="center"/>
          </w:tcPr>
          <w:p w14:paraId="1D9414F1">
            <w:pPr>
              <w:tabs>
                <w:tab w:val="left" w:pos="3420"/>
              </w:tabs>
              <w:autoSpaceDE w:val="0"/>
              <w:autoSpaceDN w:val="0"/>
              <w:adjustRightInd w:val="0"/>
              <w:spacing w:before="20" w:line="240" w:lineRule="auto"/>
              <w:ind w:firstLine="0" w:firstLineChars="0"/>
              <w:jc w:val="center"/>
              <w:rPr>
                <w:rFonts w:hint="eastAsia" w:eastAsia="宋体" w:cs="Times New Roman"/>
                <w:color w:val="000000" w:themeColor="text1"/>
                <w:kern w:val="0"/>
                <w:sz w:val="21"/>
                <w:szCs w:val="21"/>
                <w:highlight w:val="none"/>
                <w:lang w:val="en-US" w:eastAsia="zh-CN"/>
                <w14:textFill>
                  <w14:solidFill>
                    <w14:schemeClr w14:val="tx1"/>
                  </w14:solidFill>
                </w14:textFill>
              </w:rPr>
            </w:pPr>
          </w:p>
        </w:tc>
        <w:tc>
          <w:tcPr>
            <w:tcW w:w="961" w:type="pct"/>
            <w:tcBorders>
              <w:tl2br w:val="nil"/>
              <w:tr2bl w:val="nil"/>
            </w:tcBorders>
            <w:shd w:val="clear" w:color="auto" w:fill="FFFFFF"/>
            <w:noWrap w:val="0"/>
            <w:vAlign w:val="center"/>
          </w:tcPr>
          <w:p w14:paraId="03342582">
            <w:pPr>
              <w:tabs>
                <w:tab w:val="left" w:pos="3420"/>
              </w:tabs>
              <w:autoSpaceDE w:val="0"/>
              <w:autoSpaceDN w:val="0"/>
              <w:adjustRightInd w:val="0"/>
              <w:spacing w:before="2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NO</w:t>
            </w:r>
            <w:r>
              <w:rPr>
                <w:rFonts w:hint="eastAsia" w:ascii="Times New Roman" w:hAnsi="Times New Roman" w:eastAsia="宋体" w:cs="Times New Roman"/>
                <w:b w:val="0"/>
                <w:bCs w:val="0"/>
                <w:color w:val="000000" w:themeColor="text1"/>
                <w:vertAlign w:val="subscript"/>
                <w:lang w:val="en-US" w:eastAsia="zh-CN"/>
                <w14:textFill>
                  <w14:solidFill>
                    <w14:schemeClr w14:val="tx1"/>
                  </w14:solidFill>
                </w14:textFill>
              </w:rPr>
              <w:t>2</w:t>
            </w:r>
          </w:p>
        </w:tc>
        <w:tc>
          <w:tcPr>
            <w:tcW w:w="1073" w:type="pct"/>
            <w:vMerge w:val="continue"/>
            <w:tcBorders>
              <w:tl2br w:val="nil"/>
              <w:tr2bl w:val="nil"/>
            </w:tcBorders>
            <w:shd w:val="clear" w:color="auto" w:fill="FFFFFF"/>
            <w:noWrap w:val="0"/>
            <w:vAlign w:val="center"/>
          </w:tcPr>
          <w:p w14:paraId="7DD207F7">
            <w:pPr>
              <w:keepNext w:val="0"/>
              <w:keepLines w:val="0"/>
              <w:pageBreakBefore w:val="0"/>
              <w:widowControl w:val="0"/>
              <w:tabs>
                <w:tab w:val="left" w:pos="3420"/>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21" w:type="pct"/>
            <w:tcBorders>
              <w:tl2br w:val="nil"/>
              <w:tr2bl w:val="nil"/>
            </w:tcBorders>
            <w:shd w:val="clear" w:color="auto" w:fill="FFFFFF"/>
            <w:noWrap w:val="0"/>
            <w:vAlign w:val="center"/>
          </w:tcPr>
          <w:p w14:paraId="0ED11CF3">
            <w:pPr>
              <w:pStyle w:val="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0.306</w:t>
            </w:r>
          </w:p>
        </w:tc>
      </w:tr>
    </w:tbl>
    <w:p w14:paraId="1530B3A9">
      <w:pPr>
        <w:pStyle w:val="6"/>
        <w:ind w:left="240"/>
        <w:rPr>
          <w:rFonts w:ascii="Times New Roman" w:hAnsi="Times New Roman" w:cs="Times New Roman"/>
          <w:color w:val="auto"/>
        </w:rPr>
      </w:pPr>
      <w:bookmarkStart w:id="183" w:name="5.2.1.6卫生防护距离的确定"/>
      <w:bookmarkEnd w:id="183"/>
      <w:r>
        <w:rPr>
          <w:rFonts w:hint="eastAsia" w:cs="Times New Roman"/>
          <w:color w:val="auto"/>
          <w:lang w:val="en-US" w:eastAsia="zh-CN"/>
        </w:rPr>
        <w:t>5</w:t>
      </w:r>
      <w:r>
        <w:rPr>
          <w:rFonts w:ascii="Times New Roman" w:hAnsi="Times New Roman" w:cs="Times New Roman"/>
          <w:color w:val="auto"/>
        </w:rPr>
        <w:t>.2.1.</w:t>
      </w:r>
      <w:r>
        <w:rPr>
          <w:rFonts w:hint="eastAsia" w:ascii="Times New Roman" w:hAnsi="Times New Roman" w:cs="Times New Roman"/>
          <w:color w:val="auto"/>
          <w:lang w:val="en-US" w:eastAsia="zh-CN"/>
        </w:rPr>
        <w:t>6</w:t>
      </w:r>
      <w:r>
        <w:rPr>
          <w:rFonts w:ascii="Times New Roman" w:hAnsi="Times New Roman" w:cs="Times New Roman"/>
          <w:color w:val="auto"/>
        </w:rPr>
        <w:t>卫生防护距离的确定</w:t>
      </w:r>
    </w:p>
    <w:p w14:paraId="34B73AA5">
      <w:pPr>
        <w:ind w:firstLine="480"/>
        <w:rPr>
          <w:rFonts w:ascii="Times New Roman" w:hAnsi="Times New Roman" w:cs="Times New Roman"/>
          <w:color w:val="auto"/>
        </w:rPr>
      </w:pPr>
      <w:r>
        <w:rPr>
          <w:rFonts w:ascii="Times New Roman" w:hAnsi="Times New Roman" w:cs="Times New Roman"/>
          <w:color w:val="auto"/>
        </w:rPr>
        <w:t>根据《畜禽养殖污染技术防治规范》（HJ/T81-2001）3.1中规定“禁止在下列区域内建设畜禽养殖场：</w:t>
      </w:r>
      <w:r>
        <w:rPr>
          <w:rFonts w:hint="eastAsia" w:ascii="Times New Roman" w:hAnsi="Times New Roman" w:eastAsia="宋体" w:cs="宋体"/>
          <w:color w:val="auto"/>
        </w:rPr>
        <w:t>①</w:t>
      </w:r>
      <w:r>
        <w:rPr>
          <w:rFonts w:ascii="Times New Roman" w:hAnsi="Times New Roman" w:cs="Times New Roman"/>
          <w:color w:val="auto"/>
        </w:rPr>
        <w:t>生活饮用水水源保护区、风景名胜区、自然保护区的核心区及缓冲区；</w:t>
      </w:r>
      <w:r>
        <w:rPr>
          <w:rFonts w:hint="eastAsia" w:ascii="Times New Roman" w:hAnsi="Times New Roman" w:eastAsia="宋体" w:cs="宋体"/>
          <w:color w:val="auto"/>
        </w:rPr>
        <w:t>②</w:t>
      </w:r>
      <w:r>
        <w:rPr>
          <w:rFonts w:ascii="Times New Roman" w:hAnsi="Times New Roman" w:cs="Times New Roman"/>
          <w:color w:val="auto"/>
        </w:rPr>
        <w:t>城市和城镇居民区，包括文教科研区、医疗区、商业区、工业区、游览区等人口集中地区；</w:t>
      </w:r>
      <w:r>
        <w:rPr>
          <w:rFonts w:hint="eastAsia" w:ascii="Times New Roman" w:hAnsi="Times New Roman" w:eastAsia="宋体" w:cs="宋体"/>
          <w:color w:val="auto"/>
        </w:rPr>
        <w:t>③</w:t>
      </w:r>
      <w:r>
        <w:rPr>
          <w:rFonts w:ascii="Times New Roman" w:hAnsi="Times New Roman" w:cs="Times New Roman"/>
          <w:color w:val="auto"/>
        </w:rPr>
        <w:t>县级人民政府依法划定的禁养区域；</w:t>
      </w:r>
      <w:r>
        <w:rPr>
          <w:rFonts w:hint="eastAsia" w:ascii="Times New Roman" w:hAnsi="Times New Roman" w:eastAsia="宋体" w:cs="宋体"/>
          <w:color w:val="auto"/>
        </w:rPr>
        <w:t>④</w:t>
      </w:r>
      <w:r>
        <w:rPr>
          <w:rFonts w:ascii="Times New Roman" w:hAnsi="Times New Roman" w:cs="Times New Roman"/>
          <w:color w:val="auto"/>
        </w:rPr>
        <w:t>国家或地方</w:t>
      </w:r>
      <w:r>
        <w:rPr>
          <w:rFonts w:hint="eastAsia" w:ascii="Times New Roman" w:hAnsi="Times New Roman" w:cs="Times New Roman"/>
          <w:color w:val="auto"/>
          <w:lang w:eastAsia="zh-CN"/>
        </w:rPr>
        <w:t>法律法规</w:t>
      </w:r>
      <w:r>
        <w:rPr>
          <w:rFonts w:ascii="Times New Roman" w:hAnsi="Times New Roman" w:cs="Times New Roman"/>
          <w:color w:val="auto"/>
        </w:rPr>
        <w:t>规定需特殊保护的其他区域。”</w:t>
      </w:r>
    </w:p>
    <w:p w14:paraId="67A26D5F">
      <w:pPr>
        <w:ind w:firstLine="480"/>
        <w:rPr>
          <w:rFonts w:ascii="Times New Roman" w:hAnsi="Times New Roman" w:cs="Times New Roman"/>
          <w:color w:val="auto"/>
        </w:rPr>
      </w:pPr>
      <w:r>
        <w:rPr>
          <w:rFonts w:ascii="Times New Roman" w:hAnsi="Times New Roman" w:cs="Times New Roman"/>
          <w:color w:val="auto"/>
        </w:rPr>
        <w:t>根据《畜禽养殖污染技术防治规范》（HJ/T81-2001）3.2规定：“新建改建、扩建的畜禽</w:t>
      </w:r>
      <w:r>
        <w:rPr>
          <w:rFonts w:hint="eastAsia" w:cs="Times New Roman"/>
          <w:color w:val="auto"/>
          <w:lang w:eastAsia="zh-CN"/>
        </w:rPr>
        <w:t>养殖场</w:t>
      </w:r>
      <w:r>
        <w:rPr>
          <w:rFonts w:ascii="Times New Roman" w:hAnsi="Times New Roman" w:cs="Times New Roman"/>
          <w:color w:val="auto"/>
        </w:rPr>
        <w:t>选址应避开上述规定的禁建区域，在禁建区域附近建设的，应设在上述规定的禁建区域常年主导风向的下风向或侧风向处，场界与禁建区域边界的最小距离不得小于500m”。</w:t>
      </w:r>
    </w:p>
    <w:p w14:paraId="4D72B8CF">
      <w:pPr>
        <w:ind w:firstLine="480"/>
        <w:rPr>
          <w:rFonts w:ascii="Times New Roman" w:hAnsi="Times New Roman" w:cs="Times New Roman"/>
          <w:color w:val="auto"/>
        </w:rPr>
      </w:pPr>
      <w:r>
        <w:rPr>
          <w:rFonts w:ascii="Times New Roman" w:hAnsi="Times New Roman" w:cs="Times New Roman"/>
          <w:color w:val="auto"/>
        </w:rPr>
        <w:t>本环评确定该项目的卫生防护距离为500m，在本项目禁建区域范围内，不得规划建设居民区、学校、医院、机关、养老院等环境空气要求较高的项目。</w:t>
      </w:r>
    </w:p>
    <w:p w14:paraId="5EB5CAA6">
      <w:pPr>
        <w:ind w:firstLine="480"/>
        <w:rPr>
          <w:rFonts w:ascii="Times New Roman" w:hAnsi="Times New Roman" w:cs="Times New Roman"/>
          <w:color w:val="auto"/>
        </w:rPr>
      </w:pPr>
      <w:r>
        <w:rPr>
          <w:rFonts w:ascii="Times New Roman" w:hAnsi="Times New Roman" w:cs="Times New Roman"/>
          <w:color w:val="auto"/>
        </w:rPr>
        <w:t>根据现场调查，项目厂址周边500m内无居民区及其他人员聚集类建筑物，满足卫生防护距离的要求。</w:t>
      </w:r>
    </w:p>
    <w:p w14:paraId="2FC67B06">
      <w:pPr>
        <w:pStyle w:val="6"/>
        <w:ind w:left="240"/>
        <w:rPr>
          <w:rFonts w:ascii="Times New Roman" w:hAnsi="Times New Roman" w:cs="Times New Roman"/>
          <w:color w:val="auto"/>
        </w:rPr>
      </w:pPr>
      <w:bookmarkStart w:id="184" w:name="5.2.1.8大气防护距离的确定"/>
      <w:bookmarkEnd w:id="184"/>
      <w:bookmarkStart w:id="185" w:name="5.2.1.7对居民的影响"/>
      <w:bookmarkEnd w:id="185"/>
      <w:r>
        <w:rPr>
          <w:rFonts w:hint="eastAsia" w:cs="Times New Roman"/>
          <w:color w:val="auto"/>
          <w:lang w:val="en-US" w:eastAsia="zh-CN"/>
        </w:rPr>
        <w:t>5</w:t>
      </w:r>
      <w:r>
        <w:rPr>
          <w:rFonts w:ascii="Times New Roman" w:hAnsi="Times New Roman" w:cs="Times New Roman"/>
          <w:color w:val="auto"/>
        </w:rPr>
        <w:t>.2.1.</w:t>
      </w:r>
      <w:r>
        <w:rPr>
          <w:rFonts w:hint="eastAsia" w:ascii="Times New Roman" w:hAnsi="Times New Roman" w:cs="Times New Roman"/>
          <w:color w:val="auto"/>
          <w:lang w:val="en-US" w:eastAsia="zh-CN"/>
        </w:rPr>
        <w:t>7</w:t>
      </w:r>
      <w:r>
        <w:rPr>
          <w:rFonts w:ascii="Times New Roman" w:hAnsi="Times New Roman" w:cs="Times New Roman"/>
          <w:color w:val="auto"/>
        </w:rPr>
        <w:t>大气防护距离的确定</w:t>
      </w:r>
    </w:p>
    <w:p w14:paraId="696F502A">
      <w:pPr>
        <w:ind w:firstLine="480"/>
        <w:rPr>
          <w:rFonts w:ascii="Times New Roman" w:hAnsi="Times New Roman" w:cs="Times New Roman"/>
          <w:color w:val="auto"/>
        </w:rPr>
      </w:pPr>
      <w:r>
        <w:rPr>
          <w:rFonts w:ascii="Times New Roman" w:hAnsi="Times New Roman" w:cs="Times New Roman"/>
          <w:color w:val="auto"/>
        </w:rPr>
        <w:t>根据《环境影响评价技术导则大气环境》（HI2.2-2018）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预测，项目评价范围内污染物短期贡献浓度均满足《环境影响评价技术导则大气环境》</w:t>
      </w:r>
      <w:r>
        <w:rPr>
          <w:rFonts w:hint="eastAsia" w:cs="Times New Roman"/>
          <w:color w:val="auto"/>
          <w:lang w:eastAsia="zh-CN"/>
        </w:rPr>
        <w:t>（</w:t>
      </w:r>
      <w:r>
        <w:rPr>
          <w:rFonts w:ascii="Times New Roman" w:hAnsi="Times New Roman" w:cs="Times New Roman"/>
          <w:color w:val="auto"/>
        </w:rPr>
        <w:t>HJ2.2-2018）附录D标准及《环境空气质量标准》</w:t>
      </w:r>
      <w:r>
        <w:rPr>
          <w:rFonts w:hint="eastAsia" w:cs="Times New Roman"/>
          <w:color w:val="auto"/>
          <w:lang w:eastAsia="zh-CN"/>
        </w:rPr>
        <w:t>（</w:t>
      </w:r>
      <w:r>
        <w:rPr>
          <w:rFonts w:ascii="Times New Roman" w:hAnsi="Times New Roman" w:cs="Times New Roman"/>
          <w:color w:val="auto"/>
        </w:rPr>
        <w:t>GB3095-201</w:t>
      </w:r>
      <w:r>
        <w:rPr>
          <w:rFonts w:hint="eastAsia" w:cs="Times New Roman"/>
          <w:color w:val="auto"/>
          <w:lang w:val="en-US" w:eastAsia="zh-CN"/>
        </w:rPr>
        <w:t>6</w:t>
      </w:r>
      <w:r>
        <w:rPr>
          <w:rFonts w:ascii="Times New Roman" w:hAnsi="Times New Roman" w:cs="Times New Roman"/>
          <w:color w:val="auto"/>
        </w:rPr>
        <w:t>）中</w:t>
      </w:r>
      <w:r>
        <w:rPr>
          <w:rFonts w:hint="eastAsia" w:cs="Times New Roman"/>
          <w:color w:val="auto"/>
          <w:lang w:val="en-US" w:eastAsia="zh-CN"/>
        </w:rPr>
        <w:t>过渡阶段</w:t>
      </w:r>
      <w:r>
        <w:rPr>
          <w:rFonts w:ascii="Times New Roman" w:hAnsi="Times New Roman" w:cs="Times New Roman"/>
          <w:color w:val="auto"/>
        </w:rPr>
        <w:t>的二级标准要求，可不设置大气防护距离。</w:t>
      </w:r>
    </w:p>
    <w:p w14:paraId="7D04EFE9">
      <w:pPr>
        <w:pStyle w:val="6"/>
        <w:ind w:left="240"/>
        <w:rPr>
          <w:rFonts w:ascii="Times New Roman" w:hAnsi="Times New Roman" w:cs="Times New Roman"/>
          <w:color w:val="auto"/>
        </w:rPr>
      </w:pPr>
      <w:bookmarkStart w:id="186" w:name="5.2.1.9大气环境影响评价自查表"/>
      <w:bookmarkEnd w:id="186"/>
      <w:r>
        <w:rPr>
          <w:rFonts w:hint="eastAsia" w:cs="Times New Roman"/>
          <w:color w:val="auto"/>
          <w:lang w:val="en-US" w:eastAsia="zh-CN"/>
        </w:rPr>
        <w:t>5</w:t>
      </w:r>
      <w:r>
        <w:rPr>
          <w:rFonts w:ascii="Times New Roman" w:hAnsi="Times New Roman" w:cs="Times New Roman"/>
          <w:color w:val="auto"/>
        </w:rPr>
        <w:t>.2.1.</w:t>
      </w:r>
      <w:r>
        <w:rPr>
          <w:rFonts w:hint="eastAsia" w:ascii="Times New Roman" w:hAnsi="Times New Roman" w:cs="Times New Roman"/>
          <w:color w:val="auto"/>
          <w:lang w:val="en-US" w:eastAsia="zh-CN"/>
        </w:rPr>
        <w:t>8</w:t>
      </w:r>
      <w:r>
        <w:rPr>
          <w:rFonts w:ascii="Times New Roman" w:hAnsi="Times New Roman" w:cs="Times New Roman"/>
          <w:color w:val="auto"/>
        </w:rPr>
        <w:t>大气环境影响评价自查表</w:t>
      </w:r>
    </w:p>
    <w:p w14:paraId="7EDC29E2">
      <w:pPr>
        <w:pStyle w:val="13"/>
        <w:ind w:firstLine="480"/>
        <w:rPr>
          <w:rFonts w:ascii="Times New Roman" w:hAnsi="Times New Roman" w:cs="Times New Roman"/>
          <w:color w:val="auto"/>
        </w:rPr>
      </w:pPr>
      <w:r>
        <w:rPr>
          <w:rFonts w:ascii="Times New Roman" w:hAnsi="Times New Roman" w:cs="Times New Roman"/>
          <w:color w:val="auto"/>
        </w:rPr>
        <w:t>综上，本项目建成后，大气环境影响可接受，项目大气污染物排放方案可行。大气环境影响评价自查表见表</w:t>
      </w:r>
      <w:r>
        <w:rPr>
          <w:rFonts w:hint="eastAsia" w:cs="Times New Roman"/>
          <w:color w:val="auto"/>
          <w:lang w:val="en-US" w:eastAsia="zh-CN"/>
        </w:rPr>
        <w:t>5</w:t>
      </w:r>
      <w:r>
        <w:rPr>
          <w:rFonts w:ascii="Times New Roman" w:hAnsi="Times New Roman" w:cs="Times New Roman"/>
          <w:color w:val="auto"/>
        </w:rPr>
        <w:t>.2-1</w:t>
      </w:r>
      <w:r>
        <w:rPr>
          <w:rFonts w:hint="eastAsia" w:ascii="Times New Roman" w:hAnsi="Times New Roman" w:cs="Times New Roman"/>
          <w:color w:val="auto"/>
          <w:lang w:val="en-US" w:eastAsia="zh-CN"/>
        </w:rPr>
        <w:t>3</w:t>
      </w:r>
      <w:r>
        <w:rPr>
          <w:rFonts w:ascii="Times New Roman" w:hAnsi="Times New Roman" w:cs="Times New Roman"/>
          <w:color w:val="auto"/>
        </w:rPr>
        <w:t>。</w:t>
      </w:r>
    </w:p>
    <w:p w14:paraId="0D49E8D0">
      <w:pPr>
        <w:ind w:firstLine="0" w:firstLineChars="0"/>
        <w:jc w:val="center"/>
        <w:rPr>
          <w:rFonts w:ascii="Times New Roman" w:hAnsi="Times New Roman" w:cs="Times New Roman"/>
          <w:color w:val="auto"/>
        </w:rPr>
      </w:pPr>
      <w:r>
        <w:rPr>
          <w:rFonts w:ascii="Times New Roman" w:hAnsi="Times New Roman" w:cs="Times New Roman"/>
          <w:b/>
          <w:bCs/>
          <w:color w:val="auto"/>
        </w:rPr>
        <w:t>表</w:t>
      </w:r>
      <w:r>
        <w:rPr>
          <w:rFonts w:hint="eastAsia" w:cs="Times New Roman"/>
          <w:b/>
          <w:bCs/>
          <w:color w:val="auto"/>
          <w:lang w:val="en-US" w:eastAsia="zh-CN"/>
        </w:rPr>
        <w:t>5</w:t>
      </w:r>
      <w:r>
        <w:rPr>
          <w:rFonts w:ascii="Times New Roman" w:hAnsi="Times New Roman" w:cs="Times New Roman"/>
          <w:b/>
          <w:bCs/>
          <w:color w:val="auto"/>
        </w:rPr>
        <w:t>.2-1</w:t>
      </w:r>
      <w:r>
        <w:rPr>
          <w:rFonts w:hint="eastAsia" w:ascii="Times New Roman" w:hAnsi="Times New Roman" w:cs="Times New Roman"/>
          <w:b/>
          <w:bCs/>
          <w:color w:val="auto"/>
          <w:lang w:val="en-US" w:eastAsia="zh-CN"/>
        </w:rPr>
        <w:t>3</w:t>
      </w:r>
      <w:r>
        <w:rPr>
          <w:rFonts w:ascii="Times New Roman" w:hAnsi="Times New Roman" w:cs="Times New Roman"/>
          <w:b/>
          <w:bCs/>
          <w:color w:val="auto"/>
        </w:rPr>
        <w:t xml:space="preserve">    建设项目大气环境影响评价自查表</w:t>
      </w:r>
    </w:p>
    <w:tbl>
      <w:tblPr>
        <w:tblStyle w:val="35"/>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0"/>
        <w:gridCol w:w="1902"/>
        <w:gridCol w:w="921"/>
        <w:gridCol w:w="123"/>
        <w:gridCol w:w="244"/>
        <w:gridCol w:w="176"/>
        <w:gridCol w:w="205"/>
        <w:gridCol w:w="196"/>
        <w:gridCol w:w="261"/>
        <w:gridCol w:w="253"/>
        <w:gridCol w:w="255"/>
        <w:gridCol w:w="141"/>
        <w:gridCol w:w="396"/>
        <w:gridCol w:w="150"/>
        <w:gridCol w:w="264"/>
        <w:gridCol w:w="99"/>
        <w:gridCol w:w="162"/>
        <w:gridCol w:w="329"/>
        <w:gridCol w:w="169"/>
        <w:gridCol w:w="130"/>
        <w:gridCol w:w="131"/>
        <w:gridCol w:w="783"/>
        <w:gridCol w:w="554"/>
      </w:tblGrid>
      <w:tr w14:paraId="3B95F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2902" w:type="dxa"/>
            <w:gridSpan w:val="2"/>
            <w:tcBorders>
              <w:tl2br w:val="nil"/>
              <w:tr2bl w:val="nil"/>
            </w:tcBorders>
            <w:vAlign w:val="center"/>
          </w:tcPr>
          <w:p w14:paraId="058D3201">
            <w:pPr>
              <w:pStyle w:val="60"/>
              <w:rPr>
                <w:rFonts w:ascii="Times New Roman" w:hAnsi="Times New Roman" w:eastAsia="宋体" w:cs="Times New Roman"/>
                <w:color w:val="auto"/>
              </w:rPr>
            </w:pPr>
            <w:r>
              <w:rPr>
                <w:rFonts w:ascii="Times New Roman" w:hAnsi="Times New Roman" w:eastAsia="宋体" w:cs="Times New Roman"/>
                <w:color w:val="auto"/>
              </w:rPr>
              <w:t>工作内容</w:t>
            </w:r>
          </w:p>
        </w:tc>
        <w:tc>
          <w:tcPr>
            <w:tcW w:w="5942" w:type="dxa"/>
            <w:gridSpan w:val="21"/>
            <w:tcBorders>
              <w:tl2br w:val="nil"/>
              <w:tr2bl w:val="nil"/>
            </w:tcBorders>
            <w:vAlign w:val="center"/>
          </w:tcPr>
          <w:p w14:paraId="4EDCB398">
            <w:pPr>
              <w:pStyle w:val="60"/>
              <w:rPr>
                <w:rFonts w:ascii="Times New Roman" w:hAnsi="Times New Roman" w:eastAsia="宋体" w:cs="Times New Roman"/>
                <w:color w:val="auto"/>
              </w:rPr>
            </w:pPr>
            <w:r>
              <w:rPr>
                <w:rFonts w:ascii="Times New Roman" w:hAnsi="Times New Roman" w:eastAsia="宋体" w:cs="Times New Roman"/>
                <w:color w:val="auto"/>
              </w:rPr>
              <w:t>自查项目</w:t>
            </w:r>
          </w:p>
        </w:tc>
      </w:tr>
      <w:tr w14:paraId="12ED44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421C061A">
            <w:pPr>
              <w:pStyle w:val="60"/>
              <w:rPr>
                <w:rFonts w:ascii="Times New Roman" w:hAnsi="Times New Roman" w:eastAsia="宋体" w:cs="Times New Roman"/>
                <w:color w:val="auto"/>
              </w:rPr>
            </w:pPr>
            <w:r>
              <w:rPr>
                <w:rFonts w:ascii="Times New Roman" w:hAnsi="Times New Roman" w:eastAsia="宋体" w:cs="Times New Roman"/>
                <w:color w:val="auto"/>
              </w:rPr>
              <w:t>评价等级与范围</w:t>
            </w:r>
          </w:p>
        </w:tc>
        <w:tc>
          <w:tcPr>
            <w:tcW w:w="1902" w:type="dxa"/>
            <w:tcBorders>
              <w:tl2br w:val="nil"/>
              <w:tr2bl w:val="nil"/>
            </w:tcBorders>
            <w:vAlign w:val="center"/>
          </w:tcPr>
          <w:p w14:paraId="4C0ADF6E">
            <w:pPr>
              <w:pStyle w:val="60"/>
              <w:rPr>
                <w:rFonts w:ascii="Times New Roman" w:hAnsi="Times New Roman" w:eastAsia="宋体" w:cs="Times New Roman"/>
                <w:color w:val="auto"/>
              </w:rPr>
            </w:pPr>
            <w:r>
              <w:rPr>
                <w:rFonts w:ascii="Times New Roman" w:hAnsi="Times New Roman" w:eastAsia="宋体" w:cs="Times New Roman"/>
                <w:color w:val="auto"/>
              </w:rPr>
              <w:t>评价等级</w:t>
            </w:r>
          </w:p>
        </w:tc>
        <w:tc>
          <w:tcPr>
            <w:tcW w:w="1865" w:type="dxa"/>
            <w:gridSpan w:val="6"/>
            <w:tcBorders>
              <w:tl2br w:val="nil"/>
              <w:tr2bl w:val="nil"/>
            </w:tcBorders>
            <w:vAlign w:val="center"/>
          </w:tcPr>
          <w:p w14:paraId="229B7E5B">
            <w:pPr>
              <w:pStyle w:val="60"/>
              <w:rPr>
                <w:rFonts w:ascii="Times New Roman" w:hAnsi="Times New Roman" w:eastAsia="宋体" w:cs="Times New Roman"/>
                <w:color w:val="auto"/>
              </w:rPr>
            </w:pPr>
            <w:r>
              <w:rPr>
                <w:rFonts w:ascii="Times New Roman" w:hAnsi="Times New Roman" w:eastAsia="宋体" w:cs="Times New Roman"/>
                <w:color w:val="auto"/>
              </w:rPr>
              <w:t>一级</w:t>
            </w:r>
            <w:r>
              <w:rPr>
                <w:rFonts w:ascii="Times New Roman" w:hAnsi="Times New Roman" w:eastAsia="宋体" w:cs="Times New Roman"/>
                <w:color w:val="auto"/>
              </w:rPr>
              <w:sym w:font="Wingdings 2" w:char="00A3"/>
            </w:r>
          </w:p>
        </w:tc>
        <w:tc>
          <w:tcPr>
            <w:tcW w:w="1981" w:type="dxa"/>
            <w:gridSpan w:val="9"/>
            <w:tcBorders>
              <w:tl2br w:val="nil"/>
              <w:tr2bl w:val="nil"/>
            </w:tcBorders>
            <w:vAlign w:val="center"/>
          </w:tcPr>
          <w:p w14:paraId="1ED8B15E">
            <w:pPr>
              <w:pStyle w:val="60"/>
              <w:rPr>
                <w:rFonts w:ascii="Times New Roman" w:hAnsi="Times New Roman" w:eastAsia="宋体" w:cs="Times New Roman"/>
                <w:color w:val="auto"/>
              </w:rPr>
            </w:pPr>
            <w:r>
              <w:rPr>
                <w:rFonts w:ascii="Times New Roman" w:hAnsi="Times New Roman" w:eastAsia="宋体" w:cs="Times New Roman"/>
                <w:color w:val="auto"/>
              </w:rPr>
              <w:t>二级</w:t>
            </w:r>
            <w:r>
              <w:rPr>
                <w:rFonts w:ascii="Times New Roman" w:hAnsi="Times New Roman" w:eastAsia="宋体" w:cs="Times New Roman"/>
                <w:color w:val="auto"/>
              </w:rPr>
              <w:sym w:font="Wingdings 2" w:char="0052"/>
            </w:r>
          </w:p>
        </w:tc>
        <w:tc>
          <w:tcPr>
            <w:tcW w:w="2096" w:type="dxa"/>
            <w:gridSpan w:val="6"/>
            <w:tcBorders>
              <w:tl2br w:val="nil"/>
              <w:tr2bl w:val="nil"/>
            </w:tcBorders>
            <w:vAlign w:val="center"/>
          </w:tcPr>
          <w:p w14:paraId="279A5A50">
            <w:pPr>
              <w:pStyle w:val="60"/>
              <w:rPr>
                <w:rFonts w:ascii="Times New Roman" w:hAnsi="Times New Roman" w:eastAsia="宋体" w:cs="Times New Roman"/>
                <w:color w:val="auto"/>
              </w:rPr>
            </w:pPr>
            <w:r>
              <w:rPr>
                <w:rFonts w:ascii="Times New Roman" w:hAnsi="Times New Roman" w:eastAsia="宋体" w:cs="Times New Roman"/>
                <w:color w:val="auto"/>
              </w:rPr>
              <w:t>三级</w:t>
            </w:r>
            <w:r>
              <w:rPr>
                <w:rFonts w:ascii="Times New Roman" w:hAnsi="Times New Roman" w:eastAsia="宋体" w:cs="Times New Roman"/>
                <w:color w:val="auto"/>
              </w:rPr>
              <w:sym w:font="Wingdings 2" w:char="00A3"/>
            </w:r>
          </w:p>
        </w:tc>
      </w:tr>
      <w:tr w14:paraId="7EBA33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6377670E">
            <w:pPr>
              <w:pStyle w:val="60"/>
              <w:rPr>
                <w:rFonts w:ascii="Times New Roman" w:hAnsi="Times New Roman" w:eastAsia="宋体" w:cs="Times New Roman"/>
                <w:color w:val="auto"/>
              </w:rPr>
            </w:pPr>
          </w:p>
        </w:tc>
        <w:tc>
          <w:tcPr>
            <w:tcW w:w="1902" w:type="dxa"/>
            <w:tcBorders>
              <w:tl2br w:val="nil"/>
              <w:tr2bl w:val="nil"/>
            </w:tcBorders>
            <w:vAlign w:val="center"/>
          </w:tcPr>
          <w:p w14:paraId="543FCF1B">
            <w:pPr>
              <w:pStyle w:val="60"/>
              <w:rPr>
                <w:rFonts w:ascii="Times New Roman" w:hAnsi="Times New Roman" w:eastAsia="宋体" w:cs="Times New Roman"/>
                <w:color w:val="auto"/>
              </w:rPr>
            </w:pPr>
            <w:r>
              <w:rPr>
                <w:rFonts w:ascii="Times New Roman" w:hAnsi="Times New Roman" w:eastAsia="宋体" w:cs="Times New Roman"/>
                <w:color w:val="auto"/>
              </w:rPr>
              <w:t>评价范围</w:t>
            </w:r>
          </w:p>
        </w:tc>
        <w:tc>
          <w:tcPr>
            <w:tcW w:w="1865" w:type="dxa"/>
            <w:gridSpan w:val="6"/>
            <w:tcBorders>
              <w:tl2br w:val="nil"/>
              <w:tr2bl w:val="nil"/>
            </w:tcBorders>
            <w:vAlign w:val="center"/>
          </w:tcPr>
          <w:p w14:paraId="22D28373">
            <w:pPr>
              <w:pStyle w:val="60"/>
              <w:rPr>
                <w:rFonts w:ascii="Times New Roman" w:hAnsi="Times New Roman" w:eastAsia="宋体" w:cs="Times New Roman"/>
                <w:color w:val="auto"/>
              </w:rPr>
            </w:pPr>
            <w:r>
              <w:rPr>
                <w:rFonts w:ascii="Times New Roman" w:hAnsi="Times New Roman" w:eastAsia="宋体" w:cs="Times New Roman"/>
                <w:color w:val="auto"/>
              </w:rPr>
              <w:t>边长=50km</w:t>
            </w:r>
            <w:r>
              <w:rPr>
                <w:rFonts w:ascii="Times New Roman" w:hAnsi="Times New Roman" w:eastAsia="宋体" w:cs="Times New Roman"/>
                <w:color w:val="auto"/>
              </w:rPr>
              <w:sym w:font="Wingdings 2" w:char="00A3"/>
            </w:r>
          </w:p>
        </w:tc>
        <w:tc>
          <w:tcPr>
            <w:tcW w:w="1981" w:type="dxa"/>
            <w:gridSpan w:val="9"/>
            <w:tcBorders>
              <w:tl2br w:val="nil"/>
              <w:tr2bl w:val="nil"/>
            </w:tcBorders>
            <w:vAlign w:val="center"/>
          </w:tcPr>
          <w:p w14:paraId="7B61A9AF">
            <w:pPr>
              <w:pStyle w:val="60"/>
              <w:rPr>
                <w:rFonts w:ascii="Times New Roman" w:hAnsi="Times New Roman" w:eastAsia="宋体" w:cs="Times New Roman"/>
                <w:color w:val="auto"/>
              </w:rPr>
            </w:pPr>
            <w:r>
              <w:rPr>
                <w:rFonts w:ascii="Times New Roman" w:hAnsi="Times New Roman" w:eastAsia="宋体" w:cs="Times New Roman"/>
                <w:color w:val="auto"/>
              </w:rPr>
              <w:t>边长5</w:t>
            </w:r>
            <w:r>
              <w:rPr>
                <w:rFonts w:hint="eastAsia" w:eastAsia="宋体" w:cs="Times New Roman"/>
                <w:color w:val="auto"/>
                <w:lang w:eastAsia="zh-CN"/>
              </w:rPr>
              <w:t>—</w:t>
            </w:r>
            <w:r>
              <w:rPr>
                <w:rFonts w:ascii="Times New Roman" w:hAnsi="Times New Roman" w:eastAsia="宋体" w:cs="Times New Roman"/>
                <w:color w:val="auto"/>
              </w:rPr>
              <w:t>50km</w:t>
            </w:r>
            <w:r>
              <w:rPr>
                <w:rFonts w:ascii="Times New Roman" w:hAnsi="Times New Roman" w:eastAsia="宋体" w:cs="Times New Roman"/>
                <w:color w:val="auto"/>
              </w:rPr>
              <w:sym w:font="Wingdings 2" w:char="0052"/>
            </w:r>
          </w:p>
        </w:tc>
        <w:tc>
          <w:tcPr>
            <w:tcW w:w="2096" w:type="dxa"/>
            <w:gridSpan w:val="6"/>
            <w:tcBorders>
              <w:tl2br w:val="nil"/>
              <w:tr2bl w:val="nil"/>
            </w:tcBorders>
            <w:vAlign w:val="center"/>
          </w:tcPr>
          <w:p w14:paraId="64CF9933">
            <w:pPr>
              <w:pStyle w:val="60"/>
              <w:rPr>
                <w:rFonts w:ascii="Times New Roman" w:hAnsi="Times New Roman" w:eastAsia="宋体" w:cs="Times New Roman"/>
                <w:color w:val="auto"/>
              </w:rPr>
            </w:pPr>
            <w:r>
              <w:rPr>
                <w:rFonts w:ascii="Times New Roman" w:hAnsi="Times New Roman" w:eastAsia="宋体" w:cs="Times New Roman"/>
                <w:color w:val="auto"/>
              </w:rPr>
              <w:t>边长=5km</w:t>
            </w:r>
            <w:r>
              <w:rPr>
                <w:rFonts w:ascii="Times New Roman" w:hAnsi="Times New Roman" w:eastAsia="宋体" w:cs="Times New Roman"/>
                <w:color w:val="auto"/>
              </w:rPr>
              <w:sym w:font="Wingdings 2" w:char="00A3"/>
            </w:r>
          </w:p>
        </w:tc>
      </w:tr>
      <w:tr w14:paraId="27001B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73EBBF46">
            <w:pPr>
              <w:pStyle w:val="60"/>
              <w:rPr>
                <w:rFonts w:ascii="Times New Roman" w:hAnsi="Times New Roman" w:eastAsia="宋体" w:cs="Times New Roman"/>
                <w:color w:val="auto"/>
              </w:rPr>
            </w:pPr>
            <w:r>
              <w:rPr>
                <w:rFonts w:ascii="Times New Roman" w:hAnsi="Times New Roman" w:eastAsia="宋体" w:cs="Times New Roman"/>
                <w:color w:val="auto"/>
              </w:rPr>
              <w:t>评价因子</w:t>
            </w:r>
          </w:p>
        </w:tc>
        <w:tc>
          <w:tcPr>
            <w:tcW w:w="1902" w:type="dxa"/>
            <w:tcBorders>
              <w:tl2br w:val="nil"/>
              <w:tr2bl w:val="nil"/>
            </w:tcBorders>
            <w:vAlign w:val="center"/>
          </w:tcPr>
          <w:p w14:paraId="6B5E9484">
            <w:pPr>
              <w:pStyle w:val="60"/>
              <w:rPr>
                <w:rFonts w:ascii="Times New Roman" w:hAnsi="Times New Roman" w:eastAsia="宋体" w:cs="Times New Roman"/>
                <w:color w:val="auto"/>
              </w:rPr>
            </w:pPr>
            <w:r>
              <w:rPr>
                <w:rFonts w:ascii="Times New Roman" w:hAnsi="Times New Roman" w:eastAsia="宋体" w:cs="Times New Roman"/>
                <w:color w:val="auto"/>
              </w:rPr>
              <w:t>SO</w:t>
            </w:r>
            <w:r>
              <w:rPr>
                <w:rFonts w:ascii="Times New Roman" w:hAnsi="Times New Roman" w:eastAsia="宋体" w:cs="Times New Roman"/>
                <w:color w:val="auto"/>
                <w:vertAlign w:val="subscript"/>
              </w:rPr>
              <w:t>2</w:t>
            </w:r>
            <w:r>
              <w:rPr>
                <w:rFonts w:ascii="Times New Roman" w:hAnsi="Times New Roman" w:eastAsia="宋体" w:cs="Times New Roman"/>
                <w:color w:val="auto"/>
              </w:rPr>
              <w:t>+NO</w:t>
            </w:r>
            <w:r>
              <w:rPr>
                <w:rFonts w:ascii="Times New Roman" w:hAnsi="Times New Roman" w:eastAsia="宋体" w:cs="Times New Roman"/>
                <w:color w:val="auto"/>
                <w:vertAlign w:val="subscript"/>
              </w:rPr>
              <w:t>2</w:t>
            </w:r>
            <w:r>
              <w:rPr>
                <w:rFonts w:ascii="Times New Roman" w:hAnsi="Times New Roman" w:eastAsia="宋体" w:cs="Times New Roman"/>
                <w:color w:val="auto"/>
              </w:rPr>
              <w:t>排放量</w:t>
            </w:r>
          </w:p>
        </w:tc>
        <w:tc>
          <w:tcPr>
            <w:tcW w:w="1288" w:type="dxa"/>
            <w:gridSpan w:val="3"/>
            <w:tcBorders>
              <w:tl2br w:val="nil"/>
              <w:tr2bl w:val="nil"/>
            </w:tcBorders>
            <w:vAlign w:val="center"/>
          </w:tcPr>
          <w:p w14:paraId="3C741CA8">
            <w:pPr>
              <w:pStyle w:val="60"/>
              <w:rPr>
                <w:rFonts w:ascii="Times New Roman" w:hAnsi="Times New Roman" w:eastAsia="宋体" w:cs="Times New Roman"/>
                <w:color w:val="auto"/>
              </w:rPr>
            </w:pPr>
            <w:r>
              <w:rPr>
                <w:rFonts w:ascii="Times New Roman" w:hAnsi="Times New Roman" w:eastAsia="宋体" w:cs="Times New Roman"/>
                <w:color w:val="auto"/>
              </w:rPr>
              <w:t>≥2000t/a</w:t>
            </w:r>
            <w:r>
              <w:rPr>
                <w:rFonts w:ascii="Times New Roman" w:hAnsi="Times New Roman" w:eastAsia="宋体" w:cs="Times New Roman"/>
                <w:color w:val="auto"/>
              </w:rPr>
              <w:sym w:font="Wingdings 2" w:char="00A3"/>
            </w:r>
          </w:p>
        </w:tc>
        <w:tc>
          <w:tcPr>
            <w:tcW w:w="3317" w:type="dxa"/>
            <w:gridSpan w:val="16"/>
            <w:tcBorders>
              <w:tl2br w:val="nil"/>
              <w:tr2bl w:val="nil"/>
            </w:tcBorders>
            <w:vAlign w:val="center"/>
          </w:tcPr>
          <w:p w14:paraId="133ED7E0">
            <w:pPr>
              <w:pStyle w:val="60"/>
              <w:rPr>
                <w:rFonts w:ascii="Times New Roman" w:hAnsi="Times New Roman" w:eastAsia="宋体" w:cs="Times New Roman"/>
                <w:color w:val="auto"/>
              </w:rPr>
            </w:pPr>
            <w:r>
              <w:rPr>
                <w:rFonts w:ascii="Times New Roman" w:hAnsi="Times New Roman" w:eastAsia="宋体" w:cs="Times New Roman"/>
                <w:color w:val="auto"/>
              </w:rPr>
              <w:t>500</w:t>
            </w:r>
            <w:r>
              <w:rPr>
                <w:rFonts w:hint="eastAsia" w:eastAsia="宋体" w:cs="Times New Roman"/>
                <w:color w:val="auto"/>
                <w:lang w:eastAsia="zh-CN"/>
              </w:rPr>
              <w:t>—</w:t>
            </w:r>
            <w:r>
              <w:rPr>
                <w:rFonts w:ascii="Times New Roman" w:hAnsi="Times New Roman" w:eastAsia="宋体" w:cs="Times New Roman"/>
                <w:color w:val="auto"/>
              </w:rPr>
              <w:t>2000t/a</w:t>
            </w:r>
            <w:r>
              <w:rPr>
                <w:rFonts w:ascii="Times New Roman" w:hAnsi="Times New Roman" w:eastAsia="宋体" w:cs="Times New Roman"/>
                <w:color w:val="auto"/>
              </w:rPr>
              <w:sym w:font="Wingdings 2" w:char="00A3"/>
            </w:r>
          </w:p>
        </w:tc>
        <w:tc>
          <w:tcPr>
            <w:tcW w:w="1337" w:type="dxa"/>
            <w:gridSpan w:val="2"/>
            <w:tcBorders>
              <w:tl2br w:val="nil"/>
              <w:tr2bl w:val="nil"/>
            </w:tcBorders>
            <w:vAlign w:val="center"/>
          </w:tcPr>
          <w:p w14:paraId="7A798815">
            <w:pPr>
              <w:pStyle w:val="60"/>
              <w:rPr>
                <w:rFonts w:ascii="Times New Roman" w:hAnsi="Times New Roman" w:eastAsia="宋体" w:cs="Times New Roman"/>
                <w:color w:val="auto"/>
              </w:rPr>
            </w:pPr>
            <w:r>
              <w:rPr>
                <w:rFonts w:hint="eastAsia" w:eastAsia="宋体" w:cs="Times New Roman"/>
                <w:color w:val="auto"/>
                <w:lang w:eastAsia="zh-CN"/>
              </w:rPr>
              <w:t>&lt;</w:t>
            </w:r>
            <w:r>
              <w:rPr>
                <w:rFonts w:ascii="Times New Roman" w:hAnsi="Times New Roman" w:eastAsia="宋体" w:cs="Times New Roman"/>
                <w:color w:val="auto"/>
              </w:rPr>
              <w:t>500t/a</w:t>
            </w:r>
            <w:r>
              <w:rPr>
                <w:rFonts w:ascii="Times New Roman" w:hAnsi="Times New Roman" w:eastAsia="宋体" w:cs="Times New Roman"/>
                <w:color w:val="auto"/>
              </w:rPr>
              <w:sym w:font="Wingdings 2" w:char="0052"/>
            </w:r>
          </w:p>
        </w:tc>
      </w:tr>
      <w:tr w14:paraId="24DC3E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45C71EFD">
            <w:pPr>
              <w:pStyle w:val="60"/>
              <w:rPr>
                <w:rFonts w:ascii="Times New Roman" w:hAnsi="Times New Roman" w:eastAsia="宋体" w:cs="Times New Roman"/>
                <w:color w:val="auto"/>
              </w:rPr>
            </w:pPr>
          </w:p>
        </w:tc>
        <w:tc>
          <w:tcPr>
            <w:tcW w:w="1902" w:type="dxa"/>
            <w:vMerge w:val="restart"/>
            <w:tcBorders>
              <w:tl2br w:val="nil"/>
              <w:tr2bl w:val="nil"/>
            </w:tcBorders>
            <w:vAlign w:val="center"/>
          </w:tcPr>
          <w:p w14:paraId="13C05637">
            <w:pPr>
              <w:pStyle w:val="60"/>
              <w:rPr>
                <w:rFonts w:ascii="Times New Roman" w:hAnsi="Times New Roman" w:eastAsia="宋体" w:cs="Times New Roman"/>
                <w:color w:val="auto"/>
              </w:rPr>
            </w:pPr>
            <w:r>
              <w:rPr>
                <w:rFonts w:ascii="Times New Roman" w:hAnsi="Times New Roman" w:eastAsia="宋体" w:cs="Times New Roman"/>
                <w:color w:val="auto"/>
              </w:rPr>
              <w:t>评价因子</w:t>
            </w:r>
          </w:p>
        </w:tc>
        <w:tc>
          <w:tcPr>
            <w:tcW w:w="3684" w:type="dxa"/>
            <w:gridSpan w:val="14"/>
            <w:tcBorders>
              <w:tl2br w:val="nil"/>
              <w:tr2bl w:val="nil"/>
            </w:tcBorders>
            <w:vAlign w:val="center"/>
          </w:tcPr>
          <w:p w14:paraId="29591D24">
            <w:pPr>
              <w:pStyle w:val="60"/>
              <w:rPr>
                <w:rFonts w:ascii="Times New Roman" w:hAnsi="Times New Roman" w:eastAsia="宋体" w:cs="Times New Roman"/>
                <w:color w:val="auto"/>
              </w:rPr>
            </w:pPr>
            <w:r>
              <w:rPr>
                <w:rFonts w:ascii="Times New Roman" w:hAnsi="Times New Roman" w:eastAsia="宋体" w:cs="Times New Roman"/>
                <w:color w:val="auto"/>
              </w:rPr>
              <w:t>基本污染物（</w:t>
            </w:r>
            <w:r>
              <w:rPr>
                <w:rFonts w:ascii="Times New Roman" w:hAnsi="Times New Roman" w:cs="Times New Roman"/>
                <w:color w:val="auto"/>
              </w:rPr>
              <w:t>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color w:val="auto"/>
              </w:rPr>
              <w:t>、CO和O</w:t>
            </w:r>
            <w:r>
              <w:rPr>
                <w:rFonts w:ascii="Times New Roman" w:hAnsi="Times New Roman" w:cs="Times New Roman"/>
                <w:color w:val="auto"/>
                <w:vertAlign w:val="subscript"/>
              </w:rPr>
              <w:t>3</w:t>
            </w:r>
            <w:r>
              <w:rPr>
                <w:rFonts w:ascii="Times New Roman" w:hAnsi="Times New Roman" w:eastAsia="宋体" w:cs="Times New Roman"/>
                <w:color w:val="auto"/>
              </w:rPr>
              <w:t>）</w:t>
            </w:r>
          </w:p>
        </w:tc>
        <w:tc>
          <w:tcPr>
            <w:tcW w:w="2258" w:type="dxa"/>
            <w:gridSpan w:val="7"/>
            <w:tcBorders>
              <w:tl2br w:val="nil"/>
              <w:tr2bl w:val="nil"/>
            </w:tcBorders>
            <w:vAlign w:val="center"/>
          </w:tcPr>
          <w:p w14:paraId="70917449">
            <w:pPr>
              <w:pStyle w:val="60"/>
              <w:rPr>
                <w:rFonts w:ascii="Times New Roman" w:hAnsi="Times New Roman" w:eastAsia="宋体" w:cs="Times New Roman"/>
                <w:color w:val="auto"/>
              </w:rPr>
            </w:pPr>
            <w:r>
              <w:rPr>
                <w:rFonts w:ascii="Times New Roman" w:hAnsi="Times New Roman" w:eastAsia="宋体" w:cs="Times New Roman"/>
                <w:color w:val="auto"/>
              </w:rPr>
              <w:t>包括二次PM</w:t>
            </w:r>
            <w:r>
              <w:rPr>
                <w:rFonts w:ascii="Times New Roman" w:hAnsi="Times New Roman" w:eastAsia="宋体" w:cs="Times New Roman"/>
                <w:color w:val="auto"/>
                <w:vertAlign w:val="subscript"/>
              </w:rPr>
              <w:t>2.5</w:t>
            </w:r>
            <w:r>
              <w:rPr>
                <w:rFonts w:ascii="Times New Roman" w:hAnsi="Times New Roman" w:eastAsia="宋体" w:cs="Times New Roman"/>
                <w:color w:val="auto"/>
              </w:rPr>
              <w:sym w:font="Wingdings 2" w:char="00A3"/>
            </w:r>
          </w:p>
        </w:tc>
      </w:tr>
      <w:tr w14:paraId="3DC0EF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560F5B79">
            <w:pPr>
              <w:pStyle w:val="60"/>
              <w:rPr>
                <w:rFonts w:ascii="Times New Roman" w:hAnsi="Times New Roman" w:eastAsia="宋体" w:cs="Times New Roman"/>
                <w:color w:val="auto"/>
              </w:rPr>
            </w:pPr>
          </w:p>
        </w:tc>
        <w:tc>
          <w:tcPr>
            <w:tcW w:w="1902" w:type="dxa"/>
            <w:vMerge w:val="continue"/>
            <w:tcBorders>
              <w:tl2br w:val="nil"/>
              <w:tr2bl w:val="nil"/>
            </w:tcBorders>
            <w:vAlign w:val="center"/>
          </w:tcPr>
          <w:p w14:paraId="30A9B931">
            <w:pPr>
              <w:pStyle w:val="60"/>
              <w:rPr>
                <w:rFonts w:ascii="Times New Roman" w:hAnsi="Times New Roman" w:eastAsia="宋体" w:cs="Times New Roman"/>
                <w:color w:val="auto"/>
              </w:rPr>
            </w:pPr>
          </w:p>
        </w:tc>
        <w:tc>
          <w:tcPr>
            <w:tcW w:w="3684" w:type="dxa"/>
            <w:gridSpan w:val="14"/>
            <w:tcBorders>
              <w:tl2br w:val="nil"/>
              <w:tr2bl w:val="nil"/>
            </w:tcBorders>
            <w:vAlign w:val="center"/>
          </w:tcPr>
          <w:p w14:paraId="415C9BDB">
            <w:pPr>
              <w:pStyle w:val="60"/>
              <w:rPr>
                <w:rFonts w:ascii="Times New Roman" w:hAnsi="Times New Roman" w:eastAsia="宋体" w:cs="Times New Roman"/>
                <w:color w:val="auto"/>
              </w:rPr>
            </w:pPr>
            <w:r>
              <w:rPr>
                <w:rFonts w:ascii="Times New Roman" w:hAnsi="Times New Roman" w:eastAsia="宋体" w:cs="Times New Roman"/>
                <w:color w:val="auto"/>
              </w:rPr>
              <w:t>其他污染物（NH</w:t>
            </w:r>
            <w:r>
              <w:rPr>
                <w:rFonts w:ascii="Times New Roman" w:hAnsi="Times New Roman" w:eastAsia="宋体" w:cs="Times New Roman"/>
                <w:color w:val="auto"/>
                <w:vertAlign w:val="subscript"/>
              </w:rPr>
              <w:t>3</w:t>
            </w:r>
            <w:r>
              <w:rPr>
                <w:rFonts w:ascii="Times New Roman" w:hAnsi="Times New Roman" w:eastAsia="宋体" w:cs="Times New Roman"/>
                <w:color w:val="auto"/>
              </w:rPr>
              <w:t>、H</w:t>
            </w:r>
            <w:r>
              <w:rPr>
                <w:rFonts w:ascii="Times New Roman" w:hAnsi="Times New Roman" w:eastAsia="宋体" w:cs="Times New Roman"/>
                <w:color w:val="auto"/>
                <w:vertAlign w:val="subscript"/>
              </w:rPr>
              <w:t>2</w:t>
            </w:r>
            <w:r>
              <w:rPr>
                <w:rFonts w:ascii="Times New Roman" w:hAnsi="Times New Roman" w:eastAsia="宋体" w:cs="Times New Roman"/>
                <w:color w:val="auto"/>
              </w:rPr>
              <w:t>S）</w:t>
            </w:r>
          </w:p>
        </w:tc>
        <w:tc>
          <w:tcPr>
            <w:tcW w:w="2258" w:type="dxa"/>
            <w:gridSpan w:val="7"/>
            <w:tcBorders>
              <w:tl2br w:val="nil"/>
              <w:tr2bl w:val="nil"/>
            </w:tcBorders>
            <w:vAlign w:val="center"/>
          </w:tcPr>
          <w:p w14:paraId="38F594B8">
            <w:pPr>
              <w:pStyle w:val="60"/>
              <w:rPr>
                <w:rFonts w:ascii="Times New Roman" w:hAnsi="Times New Roman" w:eastAsia="宋体" w:cs="Times New Roman"/>
                <w:color w:val="auto"/>
              </w:rPr>
            </w:pPr>
            <w:r>
              <w:rPr>
                <w:rFonts w:ascii="Times New Roman" w:hAnsi="Times New Roman" w:eastAsia="宋体" w:cs="Times New Roman"/>
                <w:color w:val="auto"/>
              </w:rPr>
              <w:t>不包括二次PM2.5</w:t>
            </w:r>
            <w:r>
              <w:rPr>
                <w:rFonts w:ascii="Times New Roman" w:hAnsi="Times New Roman" w:eastAsia="宋体" w:cs="Times New Roman"/>
                <w:color w:val="auto"/>
              </w:rPr>
              <w:sym w:font="Wingdings 2" w:char="0052"/>
            </w:r>
          </w:p>
        </w:tc>
      </w:tr>
      <w:tr w14:paraId="68FE9E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tcBorders>
              <w:tl2br w:val="nil"/>
              <w:tr2bl w:val="nil"/>
            </w:tcBorders>
            <w:vAlign w:val="center"/>
          </w:tcPr>
          <w:p w14:paraId="68209E90">
            <w:pPr>
              <w:pStyle w:val="60"/>
              <w:rPr>
                <w:rFonts w:ascii="Times New Roman" w:hAnsi="Times New Roman" w:eastAsia="宋体" w:cs="Times New Roman"/>
                <w:color w:val="auto"/>
              </w:rPr>
            </w:pPr>
            <w:r>
              <w:rPr>
                <w:rFonts w:ascii="Times New Roman" w:hAnsi="Times New Roman" w:eastAsia="宋体" w:cs="Times New Roman"/>
                <w:color w:val="auto"/>
              </w:rPr>
              <w:t>评价标准</w:t>
            </w:r>
          </w:p>
        </w:tc>
        <w:tc>
          <w:tcPr>
            <w:tcW w:w="1902" w:type="dxa"/>
            <w:tcBorders>
              <w:tl2br w:val="nil"/>
              <w:tr2bl w:val="nil"/>
            </w:tcBorders>
            <w:vAlign w:val="center"/>
          </w:tcPr>
          <w:p w14:paraId="0C7803D8">
            <w:pPr>
              <w:pStyle w:val="60"/>
              <w:rPr>
                <w:rFonts w:ascii="Times New Roman" w:hAnsi="Times New Roman" w:eastAsia="宋体" w:cs="Times New Roman"/>
                <w:color w:val="auto"/>
              </w:rPr>
            </w:pPr>
            <w:r>
              <w:rPr>
                <w:rFonts w:ascii="Times New Roman" w:hAnsi="Times New Roman" w:eastAsia="宋体" w:cs="Times New Roman"/>
                <w:color w:val="auto"/>
              </w:rPr>
              <w:t>评价标准</w:t>
            </w:r>
          </w:p>
        </w:tc>
        <w:tc>
          <w:tcPr>
            <w:tcW w:w="1669" w:type="dxa"/>
            <w:gridSpan w:val="5"/>
            <w:tcBorders>
              <w:tl2br w:val="nil"/>
              <w:tr2bl w:val="nil"/>
            </w:tcBorders>
            <w:vAlign w:val="center"/>
          </w:tcPr>
          <w:p w14:paraId="05855D20">
            <w:pPr>
              <w:pStyle w:val="60"/>
              <w:rPr>
                <w:rFonts w:ascii="Times New Roman" w:hAnsi="Times New Roman" w:eastAsia="宋体" w:cs="Times New Roman"/>
                <w:color w:val="auto"/>
              </w:rPr>
            </w:pPr>
            <w:r>
              <w:rPr>
                <w:rFonts w:ascii="Times New Roman" w:hAnsi="Times New Roman" w:eastAsia="宋体" w:cs="Times New Roman"/>
                <w:color w:val="auto"/>
              </w:rPr>
              <w:t>国家标准</w:t>
            </w:r>
            <w:r>
              <w:rPr>
                <w:rFonts w:ascii="Times New Roman" w:hAnsi="Times New Roman" w:eastAsia="宋体" w:cs="Times New Roman"/>
                <w:color w:val="auto"/>
              </w:rPr>
              <w:sym w:font="Wingdings 2" w:char="0052"/>
            </w:r>
          </w:p>
        </w:tc>
        <w:tc>
          <w:tcPr>
            <w:tcW w:w="1106" w:type="dxa"/>
            <w:gridSpan w:val="5"/>
            <w:tcBorders>
              <w:tl2br w:val="nil"/>
              <w:tr2bl w:val="nil"/>
            </w:tcBorders>
            <w:vAlign w:val="center"/>
          </w:tcPr>
          <w:p w14:paraId="615CF524">
            <w:pPr>
              <w:pStyle w:val="60"/>
              <w:rPr>
                <w:rFonts w:ascii="Times New Roman" w:hAnsi="Times New Roman" w:eastAsia="宋体" w:cs="Times New Roman"/>
                <w:color w:val="auto"/>
              </w:rPr>
            </w:pPr>
            <w:r>
              <w:rPr>
                <w:rFonts w:ascii="Times New Roman" w:hAnsi="Times New Roman" w:eastAsia="宋体" w:cs="Times New Roman"/>
                <w:color w:val="auto"/>
              </w:rPr>
              <w:t>地方标准</w:t>
            </w:r>
            <w:r>
              <w:rPr>
                <w:rFonts w:ascii="Times New Roman" w:hAnsi="Times New Roman" w:eastAsia="宋体" w:cs="Times New Roman"/>
                <w:color w:val="auto"/>
              </w:rPr>
              <w:sym w:font="Wingdings 2" w:char="00A3"/>
            </w:r>
          </w:p>
        </w:tc>
        <w:tc>
          <w:tcPr>
            <w:tcW w:w="1400" w:type="dxa"/>
            <w:gridSpan w:val="6"/>
            <w:tcBorders>
              <w:tl2br w:val="nil"/>
              <w:tr2bl w:val="nil"/>
            </w:tcBorders>
            <w:vAlign w:val="center"/>
          </w:tcPr>
          <w:p w14:paraId="5B4E58F1">
            <w:pPr>
              <w:pStyle w:val="60"/>
              <w:rPr>
                <w:rFonts w:ascii="Times New Roman" w:hAnsi="Times New Roman" w:eastAsia="宋体" w:cs="Times New Roman"/>
                <w:color w:val="auto"/>
              </w:rPr>
            </w:pPr>
            <w:r>
              <w:rPr>
                <w:rFonts w:ascii="Times New Roman" w:hAnsi="Times New Roman" w:eastAsia="宋体" w:cs="Times New Roman"/>
                <w:color w:val="auto"/>
              </w:rPr>
              <w:t>附录</w:t>
            </w:r>
            <w:r>
              <w:rPr>
                <w:rFonts w:hint="eastAsia" w:ascii="Times New Roman" w:hAnsi="Times New Roman" w:eastAsia="宋体" w:cs="Times New Roman"/>
                <w:color w:val="auto"/>
                <w:lang w:val="en-US" w:eastAsia="zh-CN"/>
              </w:rPr>
              <w:t>D</w:t>
            </w:r>
            <w:r>
              <w:rPr>
                <w:rFonts w:ascii="Times New Roman" w:hAnsi="Times New Roman" w:eastAsia="宋体" w:cs="Times New Roman"/>
                <w:color w:val="auto"/>
              </w:rPr>
              <w:sym w:font="Wingdings 2" w:char="0052"/>
            </w:r>
          </w:p>
        </w:tc>
        <w:tc>
          <w:tcPr>
            <w:tcW w:w="1767" w:type="dxa"/>
            <w:gridSpan w:val="5"/>
            <w:tcBorders>
              <w:tl2br w:val="nil"/>
              <w:tr2bl w:val="nil"/>
            </w:tcBorders>
            <w:vAlign w:val="center"/>
          </w:tcPr>
          <w:p w14:paraId="4FEE8BA0">
            <w:pPr>
              <w:pStyle w:val="60"/>
              <w:rPr>
                <w:rFonts w:ascii="Times New Roman" w:hAnsi="Times New Roman" w:eastAsia="宋体" w:cs="Times New Roman"/>
                <w:color w:val="auto"/>
              </w:rPr>
            </w:pPr>
            <w:r>
              <w:rPr>
                <w:rFonts w:ascii="Times New Roman" w:hAnsi="Times New Roman" w:eastAsia="宋体" w:cs="Times New Roman"/>
                <w:color w:val="auto"/>
              </w:rPr>
              <w:t>其他标准</w:t>
            </w:r>
            <w:r>
              <w:rPr>
                <w:rFonts w:ascii="Times New Roman" w:hAnsi="Times New Roman" w:eastAsia="宋体" w:cs="Times New Roman"/>
                <w:color w:val="auto"/>
              </w:rPr>
              <w:sym w:font="Wingdings 2" w:char="00A3"/>
            </w:r>
          </w:p>
        </w:tc>
      </w:tr>
      <w:tr w14:paraId="303ED0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0D532257">
            <w:pPr>
              <w:pStyle w:val="60"/>
              <w:rPr>
                <w:rFonts w:ascii="Times New Roman" w:hAnsi="Times New Roman" w:eastAsia="宋体" w:cs="Times New Roman"/>
                <w:color w:val="auto"/>
              </w:rPr>
            </w:pPr>
            <w:r>
              <w:rPr>
                <w:rFonts w:ascii="Times New Roman" w:hAnsi="Times New Roman" w:eastAsia="宋体" w:cs="Times New Roman"/>
                <w:color w:val="auto"/>
              </w:rPr>
              <w:t>现状评价</w:t>
            </w:r>
          </w:p>
        </w:tc>
        <w:tc>
          <w:tcPr>
            <w:tcW w:w="1902" w:type="dxa"/>
            <w:tcBorders>
              <w:tl2br w:val="nil"/>
              <w:tr2bl w:val="nil"/>
            </w:tcBorders>
            <w:vAlign w:val="center"/>
          </w:tcPr>
          <w:p w14:paraId="57A1966A">
            <w:pPr>
              <w:pStyle w:val="60"/>
              <w:rPr>
                <w:rFonts w:ascii="Times New Roman" w:hAnsi="Times New Roman" w:eastAsia="宋体" w:cs="Times New Roman"/>
                <w:color w:val="auto"/>
              </w:rPr>
            </w:pPr>
            <w:r>
              <w:rPr>
                <w:rFonts w:ascii="Times New Roman" w:hAnsi="Times New Roman" w:eastAsia="宋体" w:cs="Times New Roman"/>
                <w:color w:val="auto"/>
              </w:rPr>
              <w:t>环境功能区</w:t>
            </w:r>
          </w:p>
        </w:tc>
        <w:tc>
          <w:tcPr>
            <w:tcW w:w="1865" w:type="dxa"/>
            <w:gridSpan w:val="6"/>
            <w:tcBorders>
              <w:tl2br w:val="nil"/>
              <w:tr2bl w:val="nil"/>
            </w:tcBorders>
            <w:vAlign w:val="center"/>
          </w:tcPr>
          <w:p w14:paraId="69581C0E">
            <w:pPr>
              <w:pStyle w:val="60"/>
              <w:rPr>
                <w:rFonts w:ascii="Times New Roman" w:hAnsi="Times New Roman" w:eastAsia="宋体" w:cs="Times New Roman"/>
                <w:color w:val="auto"/>
              </w:rPr>
            </w:pPr>
            <w:r>
              <w:rPr>
                <w:rFonts w:ascii="Times New Roman" w:hAnsi="Times New Roman" w:eastAsia="宋体" w:cs="Times New Roman"/>
                <w:color w:val="auto"/>
              </w:rPr>
              <w:t>一类区</w:t>
            </w:r>
            <w:r>
              <w:rPr>
                <w:rFonts w:ascii="Times New Roman" w:hAnsi="Times New Roman" w:eastAsia="宋体" w:cs="Times New Roman"/>
                <w:color w:val="auto"/>
              </w:rPr>
              <w:sym w:font="Wingdings 2" w:char="00A3"/>
            </w:r>
          </w:p>
        </w:tc>
        <w:tc>
          <w:tcPr>
            <w:tcW w:w="1981" w:type="dxa"/>
            <w:gridSpan w:val="9"/>
            <w:tcBorders>
              <w:tl2br w:val="nil"/>
              <w:tr2bl w:val="nil"/>
            </w:tcBorders>
            <w:vAlign w:val="center"/>
          </w:tcPr>
          <w:p w14:paraId="5BA4554B">
            <w:pPr>
              <w:pStyle w:val="60"/>
              <w:rPr>
                <w:rFonts w:ascii="Times New Roman" w:hAnsi="Times New Roman" w:eastAsia="宋体" w:cs="Times New Roman"/>
                <w:color w:val="auto"/>
              </w:rPr>
            </w:pPr>
            <w:r>
              <w:rPr>
                <w:rFonts w:ascii="Times New Roman" w:hAnsi="Times New Roman" w:eastAsia="宋体" w:cs="Times New Roman"/>
                <w:color w:val="auto"/>
              </w:rPr>
              <w:t>二类区</w:t>
            </w:r>
            <w:r>
              <w:rPr>
                <w:rFonts w:ascii="Times New Roman" w:hAnsi="Times New Roman" w:eastAsia="宋体" w:cs="Times New Roman"/>
                <w:color w:val="auto"/>
              </w:rPr>
              <w:sym w:font="Wingdings 2" w:char="0052"/>
            </w:r>
          </w:p>
        </w:tc>
        <w:tc>
          <w:tcPr>
            <w:tcW w:w="2096" w:type="dxa"/>
            <w:gridSpan w:val="6"/>
            <w:tcBorders>
              <w:tl2br w:val="nil"/>
              <w:tr2bl w:val="nil"/>
            </w:tcBorders>
            <w:vAlign w:val="center"/>
          </w:tcPr>
          <w:p w14:paraId="682D8755">
            <w:pPr>
              <w:pStyle w:val="60"/>
              <w:rPr>
                <w:rFonts w:ascii="Times New Roman" w:hAnsi="Times New Roman" w:eastAsia="宋体" w:cs="Times New Roman"/>
                <w:color w:val="auto"/>
              </w:rPr>
            </w:pPr>
            <w:r>
              <w:rPr>
                <w:rFonts w:ascii="Times New Roman" w:hAnsi="Times New Roman" w:eastAsia="宋体" w:cs="Times New Roman"/>
                <w:color w:val="auto"/>
              </w:rPr>
              <w:t>一类区和二类区</w:t>
            </w:r>
            <w:r>
              <w:rPr>
                <w:rFonts w:ascii="Times New Roman" w:hAnsi="Times New Roman" w:eastAsia="宋体" w:cs="Times New Roman"/>
                <w:color w:val="auto"/>
              </w:rPr>
              <w:sym w:font="Wingdings 2" w:char="00A3"/>
            </w:r>
          </w:p>
        </w:tc>
      </w:tr>
      <w:tr w14:paraId="244F0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BDD64A5">
            <w:pPr>
              <w:pStyle w:val="60"/>
              <w:rPr>
                <w:rFonts w:ascii="Times New Roman" w:hAnsi="Times New Roman" w:eastAsia="宋体" w:cs="Times New Roman"/>
                <w:color w:val="auto"/>
              </w:rPr>
            </w:pPr>
          </w:p>
        </w:tc>
        <w:tc>
          <w:tcPr>
            <w:tcW w:w="1902" w:type="dxa"/>
            <w:tcBorders>
              <w:tl2br w:val="nil"/>
              <w:tr2bl w:val="nil"/>
            </w:tcBorders>
            <w:vAlign w:val="center"/>
          </w:tcPr>
          <w:p w14:paraId="369597E6">
            <w:pPr>
              <w:pStyle w:val="60"/>
              <w:rPr>
                <w:rFonts w:ascii="Times New Roman" w:hAnsi="Times New Roman" w:eastAsia="宋体" w:cs="Times New Roman"/>
                <w:color w:val="auto"/>
              </w:rPr>
            </w:pPr>
            <w:r>
              <w:rPr>
                <w:rFonts w:ascii="Times New Roman" w:hAnsi="Times New Roman" w:eastAsia="宋体" w:cs="Times New Roman"/>
                <w:color w:val="auto"/>
              </w:rPr>
              <w:t>评价基准年</w:t>
            </w:r>
          </w:p>
        </w:tc>
        <w:tc>
          <w:tcPr>
            <w:tcW w:w="5942" w:type="dxa"/>
            <w:gridSpan w:val="21"/>
            <w:tcBorders>
              <w:tl2br w:val="nil"/>
              <w:tr2bl w:val="nil"/>
            </w:tcBorders>
            <w:vAlign w:val="center"/>
          </w:tcPr>
          <w:p w14:paraId="39A90A72">
            <w:pPr>
              <w:pStyle w:val="60"/>
              <w:rPr>
                <w:rFonts w:ascii="Times New Roman" w:hAnsi="Times New Roman" w:eastAsia="宋体" w:cs="Times New Roman"/>
                <w:color w:val="auto"/>
              </w:rPr>
            </w:pPr>
            <w:r>
              <w:rPr>
                <w:rFonts w:ascii="Times New Roman" w:hAnsi="Times New Roman" w:eastAsia="宋体" w:cs="Times New Roman"/>
                <w:color w:val="auto"/>
              </w:rPr>
              <w:t>（202</w:t>
            </w:r>
            <w:r>
              <w:rPr>
                <w:rFonts w:hint="eastAsia" w:eastAsia="宋体" w:cs="Times New Roman"/>
                <w:color w:val="auto"/>
                <w:lang w:val="en-US" w:eastAsia="zh-CN"/>
              </w:rPr>
              <w:t>3</w:t>
            </w:r>
            <w:r>
              <w:rPr>
                <w:rFonts w:ascii="Times New Roman" w:hAnsi="Times New Roman" w:eastAsia="宋体" w:cs="Times New Roman"/>
                <w:color w:val="auto"/>
              </w:rPr>
              <w:t>）年</w:t>
            </w:r>
          </w:p>
        </w:tc>
      </w:tr>
      <w:tr w14:paraId="56ACA0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07F68212">
            <w:pPr>
              <w:pStyle w:val="60"/>
              <w:rPr>
                <w:rFonts w:ascii="Times New Roman" w:hAnsi="Times New Roman" w:eastAsia="宋体" w:cs="Times New Roman"/>
                <w:color w:val="auto"/>
              </w:rPr>
            </w:pPr>
          </w:p>
        </w:tc>
        <w:tc>
          <w:tcPr>
            <w:tcW w:w="1902" w:type="dxa"/>
            <w:tcBorders>
              <w:tl2br w:val="nil"/>
              <w:tr2bl w:val="nil"/>
            </w:tcBorders>
            <w:vAlign w:val="center"/>
          </w:tcPr>
          <w:p w14:paraId="6269536B">
            <w:pPr>
              <w:pStyle w:val="60"/>
              <w:rPr>
                <w:rFonts w:ascii="Times New Roman" w:hAnsi="Times New Roman" w:eastAsia="宋体" w:cs="Times New Roman"/>
                <w:color w:val="auto"/>
              </w:rPr>
            </w:pPr>
            <w:r>
              <w:rPr>
                <w:rFonts w:ascii="Times New Roman" w:hAnsi="Times New Roman" w:eastAsia="宋体" w:cs="Times New Roman"/>
                <w:color w:val="auto"/>
              </w:rPr>
              <w:t>环境空气质量现状调查数据来源</w:t>
            </w:r>
          </w:p>
        </w:tc>
        <w:tc>
          <w:tcPr>
            <w:tcW w:w="1865" w:type="dxa"/>
            <w:gridSpan w:val="6"/>
            <w:tcBorders>
              <w:tl2br w:val="nil"/>
              <w:tr2bl w:val="nil"/>
            </w:tcBorders>
            <w:vAlign w:val="center"/>
          </w:tcPr>
          <w:p w14:paraId="648AFF89">
            <w:pPr>
              <w:pStyle w:val="60"/>
              <w:rPr>
                <w:rFonts w:ascii="Times New Roman" w:hAnsi="Times New Roman" w:eastAsia="宋体" w:cs="Times New Roman"/>
                <w:color w:val="auto"/>
              </w:rPr>
            </w:pPr>
            <w:r>
              <w:rPr>
                <w:rFonts w:ascii="Times New Roman" w:hAnsi="Times New Roman" w:eastAsia="宋体" w:cs="Times New Roman"/>
                <w:color w:val="auto"/>
              </w:rPr>
              <w:t>长期例行监测数据</w:t>
            </w:r>
            <w:r>
              <w:rPr>
                <w:rFonts w:ascii="Times New Roman" w:hAnsi="Times New Roman" w:eastAsia="宋体" w:cs="Times New Roman"/>
                <w:color w:val="auto"/>
              </w:rPr>
              <w:sym w:font="Wingdings 2" w:char="00A3"/>
            </w:r>
          </w:p>
        </w:tc>
        <w:tc>
          <w:tcPr>
            <w:tcW w:w="1981" w:type="dxa"/>
            <w:gridSpan w:val="9"/>
            <w:tcBorders>
              <w:tl2br w:val="nil"/>
              <w:tr2bl w:val="nil"/>
            </w:tcBorders>
            <w:vAlign w:val="center"/>
          </w:tcPr>
          <w:p w14:paraId="72E649F3">
            <w:pPr>
              <w:pStyle w:val="60"/>
              <w:rPr>
                <w:rFonts w:ascii="Times New Roman" w:hAnsi="Times New Roman" w:eastAsia="宋体" w:cs="Times New Roman"/>
                <w:color w:val="auto"/>
              </w:rPr>
            </w:pPr>
            <w:r>
              <w:rPr>
                <w:rFonts w:ascii="Times New Roman" w:hAnsi="Times New Roman" w:eastAsia="宋体" w:cs="Times New Roman"/>
                <w:color w:val="auto"/>
              </w:rPr>
              <w:t>主管部门发布的数据</w:t>
            </w:r>
            <w:r>
              <w:rPr>
                <w:rFonts w:ascii="Times New Roman" w:hAnsi="Times New Roman" w:eastAsia="宋体" w:cs="Times New Roman"/>
                <w:color w:val="auto"/>
              </w:rPr>
              <w:sym w:font="Wingdings 2" w:char="0052"/>
            </w:r>
          </w:p>
        </w:tc>
        <w:tc>
          <w:tcPr>
            <w:tcW w:w="2096" w:type="dxa"/>
            <w:gridSpan w:val="6"/>
            <w:tcBorders>
              <w:tl2br w:val="nil"/>
              <w:tr2bl w:val="nil"/>
            </w:tcBorders>
            <w:vAlign w:val="center"/>
          </w:tcPr>
          <w:p w14:paraId="75A18452">
            <w:pPr>
              <w:pStyle w:val="60"/>
              <w:rPr>
                <w:rFonts w:ascii="Times New Roman" w:hAnsi="Times New Roman" w:eastAsia="宋体" w:cs="Times New Roman"/>
                <w:color w:val="auto"/>
              </w:rPr>
            </w:pPr>
            <w:r>
              <w:rPr>
                <w:rFonts w:hint="eastAsia" w:eastAsia="宋体" w:cs="Times New Roman"/>
                <w:color w:val="auto"/>
                <w:lang w:val="en-US" w:eastAsia="zh-CN"/>
              </w:rPr>
              <w:t>类比</w:t>
            </w:r>
            <w:r>
              <w:rPr>
                <w:rFonts w:ascii="Times New Roman" w:hAnsi="Times New Roman" w:eastAsia="宋体" w:cs="Times New Roman"/>
                <w:color w:val="auto"/>
              </w:rPr>
              <w:t>监测</w:t>
            </w:r>
            <w:r>
              <w:rPr>
                <w:rFonts w:ascii="Times New Roman" w:hAnsi="Times New Roman" w:eastAsia="宋体" w:cs="Times New Roman"/>
                <w:color w:val="auto"/>
              </w:rPr>
              <w:sym w:font="Wingdings 2" w:char="0052"/>
            </w:r>
          </w:p>
        </w:tc>
      </w:tr>
      <w:tr w14:paraId="790607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0799F2DF">
            <w:pPr>
              <w:pStyle w:val="60"/>
              <w:rPr>
                <w:rFonts w:ascii="Times New Roman" w:hAnsi="Times New Roman" w:eastAsia="宋体" w:cs="Times New Roman"/>
                <w:color w:val="auto"/>
              </w:rPr>
            </w:pPr>
          </w:p>
        </w:tc>
        <w:tc>
          <w:tcPr>
            <w:tcW w:w="1902" w:type="dxa"/>
            <w:tcBorders>
              <w:tl2br w:val="nil"/>
              <w:tr2bl w:val="nil"/>
            </w:tcBorders>
            <w:vAlign w:val="center"/>
          </w:tcPr>
          <w:p w14:paraId="390C4386">
            <w:pPr>
              <w:pStyle w:val="60"/>
              <w:rPr>
                <w:rFonts w:ascii="Times New Roman" w:hAnsi="Times New Roman" w:eastAsia="宋体" w:cs="Times New Roman"/>
                <w:color w:val="auto"/>
              </w:rPr>
            </w:pPr>
            <w:r>
              <w:rPr>
                <w:rFonts w:ascii="Times New Roman" w:hAnsi="Times New Roman" w:eastAsia="宋体" w:cs="Times New Roman"/>
                <w:color w:val="auto"/>
              </w:rPr>
              <w:t>现状评价</w:t>
            </w:r>
          </w:p>
        </w:tc>
        <w:tc>
          <w:tcPr>
            <w:tcW w:w="2775" w:type="dxa"/>
            <w:gridSpan w:val="10"/>
            <w:tcBorders>
              <w:tl2br w:val="nil"/>
              <w:tr2bl w:val="nil"/>
            </w:tcBorders>
            <w:vAlign w:val="center"/>
          </w:tcPr>
          <w:p w14:paraId="286BB82C">
            <w:pPr>
              <w:pStyle w:val="60"/>
              <w:rPr>
                <w:rFonts w:ascii="Times New Roman" w:hAnsi="Times New Roman" w:eastAsia="宋体" w:cs="Times New Roman"/>
                <w:color w:val="auto"/>
              </w:rPr>
            </w:pPr>
            <w:r>
              <w:rPr>
                <w:rFonts w:ascii="Times New Roman" w:hAnsi="Times New Roman" w:eastAsia="宋体" w:cs="Times New Roman"/>
                <w:color w:val="auto"/>
              </w:rPr>
              <w:t>达标区</w:t>
            </w:r>
            <w:r>
              <w:rPr>
                <w:rFonts w:ascii="Times New Roman" w:hAnsi="Times New Roman" w:eastAsia="宋体" w:cs="Times New Roman"/>
                <w:color w:val="auto"/>
              </w:rPr>
              <w:sym w:font="Wingdings 2" w:char="0052"/>
            </w:r>
          </w:p>
        </w:tc>
        <w:tc>
          <w:tcPr>
            <w:tcW w:w="3167" w:type="dxa"/>
            <w:gridSpan w:val="11"/>
            <w:tcBorders>
              <w:tl2br w:val="nil"/>
              <w:tr2bl w:val="nil"/>
            </w:tcBorders>
            <w:vAlign w:val="center"/>
          </w:tcPr>
          <w:p w14:paraId="26EE1135">
            <w:pPr>
              <w:pStyle w:val="60"/>
              <w:rPr>
                <w:rFonts w:ascii="Times New Roman" w:hAnsi="Times New Roman" w:eastAsia="宋体" w:cs="Times New Roman"/>
                <w:color w:val="auto"/>
              </w:rPr>
            </w:pPr>
            <w:r>
              <w:rPr>
                <w:rFonts w:ascii="Times New Roman" w:hAnsi="Times New Roman" w:eastAsia="宋体" w:cs="Times New Roman"/>
                <w:color w:val="auto"/>
              </w:rPr>
              <w:t>不达标区</w:t>
            </w:r>
            <w:r>
              <w:rPr>
                <w:rFonts w:ascii="Times New Roman" w:hAnsi="Times New Roman" w:eastAsia="宋体" w:cs="Times New Roman"/>
                <w:color w:val="auto"/>
              </w:rPr>
              <w:sym w:font="Wingdings 2" w:char="00A3"/>
            </w:r>
          </w:p>
        </w:tc>
      </w:tr>
      <w:tr w14:paraId="48B23D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tcBorders>
              <w:tl2br w:val="nil"/>
              <w:tr2bl w:val="nil"/>
            </w:tcBorders>
            <w:vAlign w:val="center"/>
          </w:tcPr>
          <w:p w14:paraId="66A3BBA7">
            <w:pPr>
              <w:pStyle w:val="60"/>
              <w:rPr>
                <w:rFonts w:ascii="Times New Roman" w:hAnsi="Times New Roman" w:eastAsia="宋体" w:cs="Times New Roman"/>
                <w:color w:val="auto"/>
              </w:rPr>
            </w:pPr>
            <w:r>
              <w:rPr>
                <w:rFonts w:ascii="Times New Roman" w:hAnsi="Times New Roman" w:eastAsia="宋体" w:cs="Times New Roman"/>
                <w:color w:val="auto"/>
              </w:rPr>
              <w:t>污染源调查</w:t>
            </w:r>
          </w:p>
        </w:tc>
        <w:tc>
          <w:tcPr>
            <w:tcW w:w="1902" w:type="dxa"/>
            <w:tcBorders>
              <w:tl2br w:val="nil"/>
              <w:tr2bl w:val="nil"/>
            </w:tcBorders>
            <w:vAlign w:val="center"/>
          </w:tcPr>
          <w:p w14:paraId="31B1B6B3">
            <w:pPr>
              <w:pStyle w:val="60"/>
              <w:rPr>
                <w:rFonts w:ascii="Times New Roman" w:hAnsi="Times New Roman" w:eastAsia="宋体" w:cs="Times New Roman"/>
                <w:color w:val="auto"/>
              </w:rPr>
            </w:pPr>
            <w:r>
              <w:rPr>
                <w:rFonts w:ascii="Times New Roman" w:hAnsi="Times New Roman" w:eastAsia="宋体" w:cs="Times New Roman"/>
                <w:color w:val="auto"/>
              </w:rPr>
              <w:t>调查内容</w:t>
            </w:r>
          </w:p>
        </w:tc>
        <w:tc>
          <w:tcPr>
            <w:tcW w:w="2126" w:type="dxa"/>
            <w:gridSpan w:val="7"/>
            <w:tcBorders>
              <w:tl2br w:val="nil"/>
              <w:tr2bl w:val="nil"/>
            </w:tcBorders>
            <w:vAlign w:val="center"/>
          </w:tcPr>
          <w:p w14:paraId="108374AB">
            <w:pPr>
              <w:pStyle w:val="60"/>
              <w:rPr>
                <w:rFonts w:ascii="Times New Roman" w:hAnsi="Times New Roman" w:eastAsia="宋体" w:cs="Times New Roman"/>
                <w:color w:val="auto"/>
              </w:rPr>
            </w:pPr>
            <w:r>
              <w:rPr>
                <w:rFonts w:ascii="Times New Roman" w:hAnsi="Times New Roman" w:eastAsia="宋体" w:cs="Times New Roman"/>
                <w:color w:val="auto"/>
              </w:rPr>
              <w:t>本项目正常排放源</w:t>
            </w:r>
            <w:r>
              <w:rPr>
                <w:rFonts w:ascii="Times New Roman" w:hAnsi="Times New Roman" w:eastAsia="宋体" w:cs="Times New Roman"/>
                <w:color w:val="auto"/>
              </w:rPr>
              <w:sym w:font="Wingdings 2" w:char="0052"/>
            </w:r>
          </w:p>
          <w:p w14:paraId="09AF7F31">
            <w:pPr>
              <w:pStyle w:val="60"/>
              <w:rPr>
                <w:rFonts w:ascii="Times New Roman" w:hAnsi="Times New Roman" w:eastAsia="宋体" w:cs="Times New Roman"/>
                <w:color w:val="auto"/>
              </w:rPr>
            </w:pPr>
            <w:r>
              <w:rPr>
                <w:rFonts w:ascii="Times New Roman" w:hAnsi="Times New Roman" w:eastAsia="宋体" w:cs="Times New Roman"/>
                <w:color w:val="auto"/>
              </w:rPr>
              <w:t>本项目非正常排放源</w:t>
            </w:r>
            <w:r>
              <w:rPr>
                <w:rFonts w:ascii="Times New Roman" w:hAnsi="Times New Roman" w:eastAsia="宋体" w:cs="Times New Roman"/>
                <w:color w:val="auto"/>
              </w:rPr>
              <w:sym w:font="Wingdings 2" w:char="00A3"/>
            </w:r>
            <w:r>
              <w:rPr>
                <w:rFonts w:ascii="Times New Roman" w:hAnsi="Times New Roman" w:eastAsia="宋体" w:cs="Times New Roman"/>
                <w:color w:val="auto"/>
              </w:rPr>
              <w:t xml:space="preserve"> 现有污染源</w:t>
            </w:r>
            <w:r>
              <w:rPr>
                <w:rFonts w:ascii="Times New Roman" w:hAnsi="Times New Roman" w:eastAsia="宋体" w:cs="Times New Roman"/>
                <w:color w:val="auto"/>
              </w:rPr>
              <w:sym w:font="Wingdings 2" w:char="00A3"/>
            </w:r>
          </w:p>
        </w:tc>
        <w:tc>
          <w:tcPr>
            <w:tcW w:w="1045" w:type="dxa"/>
            <w:gridSpan w:val="4"/>
            <w:tcBorders>
              <w:tl2br w:val="nil"/>
              <w:tr2bl w:val="nil"/>
            </w:tcBorders>
            <w:vAlign w:val="center"/>
          </w:tcPr>
          <w:p w14:paraId="454B13FD">
            <w:pPr>
              <w:pStyle w:val="60"/>
              <w:rPr>
                <w:rFonts w:ascii="Times New Roman" w:hAnsi="Times New Roman" w:eastAsia="宋体" w:cs="Times New Roman"/>
                <w:color w:val="auto"/>
              </w:rPr>
            </w:pPr>
            <w:r>
              <w:rPr>
                <w:rFonts w:ascii="Times New Roman" w:hAnsi="Times New Roman" w:eastAsia="宋体" w:cs="Times New Roman"/>
                <w:color w:val="auto"/>
              </w:rPr>
              <w:t>拟替代的污染源</w:t>
            </w:r>
            <w:r>
              <w:rPr>
                <w:rFonts w:ascii="Times New Roman" w:hAnsi="Times New Roman" w:eastAsia="宋体" w:cs="Times New Roman"/>
                <w:color w:val="auto"/>
              </w:rPr>
              <w:sym w:font="Wingdings 2" w:char="00A3"/>
            </w:r>
          </w:p>
        </w:tc>
        <w:tc>
          <w:tcPr>
            <w:tcW w:w="1303" w:type="dxa"/>
            <w:gridSpan w:val="7"/>
            <w:tcBorders>
              <w:tl2br w:val="nil"/>
              <w:tr2bl w:val="nil"/>
            </w:tcBorders>
            <w:vAlign w:val="center"/>
          </w:tcPr>
          <w:p w14:paraId="7095980E">
            <w:pPr>
              <w:pStyle w:val="60"/>
              <w:rPr>
                <w:rFonts w:ascii="Times New Roman" w:hAnsi="Times New Roman" w:eastAsia="宋体" w:cs="Times New Roman"/>
                <w:color w:val="auto"/>
              </w:rPr>
            </w:pPr>
            <w:r>
              <w:rPr>
                <w:rFonts w:ascii="Times New Roman" w:hAnsi="Times New Roman" w:eastAsia="宋体" w:cs="Times New Roman"/>
                <w:color w:val="auto"/>
              </w:rPr>
              <w:t>其他在建、拟建项目污染源</w:t>
            </w:r>
            <w:r>
              <w:rPr>
                <w:rFonts w:ascii="Times New Roman" w:hAnsi="Times New Roman" w:eastAsia="宋体" w:cs="Times New Roman"/>
                <w:color w:val="auto"/>
              </w:rPr>
              <w:sym w:font="Wingdings 2" w:char="00A3"/>
            </w:r>
          </w:p>
        </w:tc>
        <w:tc>
          <w:tcPr>
            <w:tcW w:w="1468" w:type="dxa"/>
            <w:gridSpan w:val="3"/>
            <w:tcBorders>
              <w:tl2br w:val="nil"/>
              <w:tr2bl w:val="nil"/>
            </w:tcBorders>
            <w:vAlign w:val="center"/>
          </w:tcPr>
          <w:p w14:paraId="799BF3A5">
            <w:pPr>
              <w:pStyle w:val="60"/>
              <w:jc w:val="both"/>
              <w:rPr>
                <w:rFonts w:ascii="Times New Roman" w:hAnsi="Times New Roman" w:eastAsia="宋体" w:cs="Times New Roman"/>
                <w:color w:val="auto"/>
              </w:rPr>
            </w:pPr>
            <w:r>
              <w:rPr>
                <w:rFonts w:ascii="Times New Roman" w:hAnsi="Times New Roman" w:eastAsia="宋体" w:cs="Times New Roman"/>
                <w:color w:val="auto"/>
              </w:rPr>
              <w:t>区域污染源</w:t>
            </w:r>
            <w:r>
              <w:rPr>
                <w:rFonts w:ascii="Times New Roman" w:hAnsi="Times New Roman" w:eastAsia="宋体" w:cs="Times New Roman"/>
                <w:color w:val="auto"/>
              </w:rPr>
              <w:sym w:font="Wingdings 2" w:char="00A3"/>
            </w:r>
          </w:p>
        </w:tc>
      </w:tr>
      <w:tr w14:paraId="473BAD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060631B4">
            <w:pPr>
              <w:pStyle w:val="60"/>
              <w:rPr>
                <w:rFonts w:ascii="Times New Roman" w:hAnsi="Times New Roman" w:eastAsia="宋体" w:cs="Times New Roman"/>
                <w:color w:val="auto"/>
              </w:rPr>
            </w:pPr>
            <w:r>
              <w:rPr>
                <w:rFonts w:ascii="Times New Roman" w:hAnsi="Times New Roman" w:eastAsia="宋体" w:cs="Times New Roman"/>
                <w:color w:val="auto"/>
              </w:rPr>
              <w:t>大气环境影响预测与评价</w:t>
            </w:r>
          </w:p>
        </w:tc>
        <w:tc>
          <w:tcPr>
            <w:tcW w:w="1902" w:type="dxa"/>
            <w:tcBorders>
              <w:tl2br w:val="nil"/>
              <w:tr2bl w:val="nil"/>
            </w:tcBorders>
            <w:vAlign w:val="center"/>
          </w:tcPr>
          <w:p w14:paraId="42698726">
            <w:pPr>
              <w:pStyle w:val="60"/>
              <w:rPr>
                <w:rFonts w:ascii="Times New Roman" w:hAnsi="Times New Roman" w:eastAsia="宋体" w:cs="Times New Roman"/>
                <w:color w:val="auto"/>
              </w:rPr>
            </w:pPr>
            <w:r>
              <w:rPr>
                <w:rFonts w:ascii="Times New Roman" w:hAnsi="Times New Roman" w:eastAsia="宋体" w:cs="Times New Roman"/>
                <w:color w:val="auto"/>
              </w:rPr>
              <w:t>预测模型</w:t>
            </w:r>
          </w:p>
        </w:tc>
        <w:tc>
          <w:tcPr>
            <w:tcW w:w="921" w:type="dxa"/>
            <w:tcBorders>
              <w:tl2br w:val="nil"/>
              <w:tr2bl w:val="nil"/>
            </w:tcBorders>
            <w:vAlign w:val="center"/>
          </w:tcPr>
          <w:p w14:paraId="0222BC08">
            <w:pPr>
              <w:pStyle w:val="60"/>
              <w:rPr>
                <w:rFonts w:ascii="Times New Roman" w:hAnsi="Times New Roman" w:eastAsia="宋体" w:cs="Times New Roman"/>
                <w:color w:val="auto"/>
              </w:rPr>
            </w:pPr>
            <w:r>
              <w:rPr>
                <w:rFonts w:ascii="Times New Roman" w:hAnsi="Times New Roman" w:eastAsia="宋体" w:cs="Times New Roman"/>
                <w:color w:val="auto"/>
              </w:rPr>
              <w:t>AERMOD</w:t>
            </w:r>
          </w:p>
          <w:p w14:paraId="7613FA83">
            <w:pPr>
              <w:pStyle w:val="60"/>
              <w:rPr>
                <w:rFonts w:ascii="Times New Roman" w:hAnsi="Times New Roman" w:eastAsia="宋体" w:cs="Times New Roman"/>
                <w:color w:val="auto"/>
              </w:rPr>
            </w:pPr>
            <w:r>
              <w:rPr>
                <w:rFonts w:ascii="Times New Roman" w:hAnsi="Times New Roman" w:eastAsia="宋体" w:cs="Times New Roman"/>
                <w:color w:val="auto"/>
              </w:rPr>
              <w:sym w:font="Wingdings 2" w:char="00A3"/>
            </w:r>
          </w:p>
        </w:tc>
        <w:tc>
          <w:tcPr>
            <w:tcW w:w="748" w:type="dxa"/>
            <w:gridSpan w:val="4"/>
            <w:tcBorders>
              <w:tl2br w:val="nil"/>
              <w:tr2bl w:val="nil"/>
            </w:tcBorders>
            <w:vAlign w:val="center"/>
          </w:tcPr>
          <w:p w14:paraId="2E68349F">
            <w:pPr>
              <w:pStyle w:val="60"/>
              <w:rPr>
                <w:rFonts w:ascii="Times New Roman" w:hAnsi="Times New Roman" w:eastAsia="宋体" w:cs="Times New Roman"/>
                <w:color w:val="auto"/>
              </w:rPr>
            </w:pPr>
            <w:r>
              <w:rPr>
                <w:rFonts w:ascii="Times New Roman" w:hAnsi="Times New Roman" w:eastAsia="宋体" w:cs="Times New Roman"/>
                <w:color w:val="auto"/>
              </w:rPr>
              <w:t>ADMS</w:t>
            </w:r>
          </w:p>
          <w:p w14:paraId="338576C4">
            <w:pPr>
              <w:pStyle w:val="60"/>
              <w:rPr>
                <w:rFonts w:ascii="Times New Roman" w:hAnsi="Times New Roman" w:eastAsia="宋体" w:cs="Times New Roman"/>
                <w:color w:val="auto"/>
              </w:rPr>
            </w:pPr>
            <w:r>
              <w:rPr>
                <w:rFonts w:ascii="Times New Roman" w:hAnsi="Times New Roman" w:eastAsia="宋体" w:cs="Times New Roman"/>
                <w:color w:val="auto"/>
              </w:rPr>
              <w:sym w:font="Wingdings 2" w:char="00A3"/>
            </w:r>
          </w:p>
        </w:tc>
        <w:tc>
          <w:tcPr>
            <w:tcW w:w="1106" w:type="dxa"/>
            <w:gridSpan w:val="5"/>
            <w:tcBorders>
              <w:tl2br w:val="nil"/>
              <w:tr2bl w:val="nil"/>
            </w:tcBorders>
            <w:vAlign w:val="center"/>
          </w:tcPr>
          <w:p w14:paraId="24F8F825">
            <w:pPr>
              <w:pStyle w:val="60"/>
              <w:rPr>
                <w:rFonts w:ascii="Times New Roman" w:hAnsi="Times New Roman" w:eastAsia="宋体" w:cs="Times New Roman"/>
                <w:color w:val="auto"/>
              </w:rPr>
            </w:pPr>
            <w:r>
              <w:rPr>
                <w:rFonts w:ascii="Times New Roman" w:hAnsi="Times New Roman" w:eastAsia="宋体" w:cs="Times New Roman"/>
                <w:color w:val="auto"/>
              </w:rPr>
              <w:t>AUSTAL</w:t>
            </w:r>
          </w:p>
          <w:p w14:paraId="013CF247">
            <w:pPr>
              <w:pStyle w:val="60"/>
              <w:rPr>
                <w:rFonts w:ascii="Times New Roman" w:hAnsi="Times New Roman" w:eastAsia="宋体" w:cs="Times New Roman"/>
                <w:color w:val="auto"/>
              </w:rPr>
            </w:pPr>
            <w:r>
              <w:rPr>
                <w:rFonts w:ascii="Times New Roman" w:hAnsi="Times New Roman" w:eastAsia="宋体" w:cs="Times New Roman"/>
                <w:color w:val="auto"/>
              </w:rPr>
              <w:t>2000</w:t>
            </w:r>
            <w:r>
              <w:rPr>
                <w:rFonts w:ascii="Times New Roman" w:hAnsi="Times New Roman" w:eastAsia="宋体" w:cs="Times New Roman"/>
                <w:color w:val="auto"/>
              </w:rPr>
              <w:sym w:font="Wingdings 2" w:char="00A3"/>
            </w:r>
          </w:p>
        </w:tc>
        <w:tc>
          <w:tcPr>
            <w:tcW w:w="909" w:type="dxa"/>
            <w:gridSpan w:val="4"/>
            <w:tcBorders>
              <w:tl2br w:val="nil"/>
              <w:tr2bl w:val="nil"/>
            </w:tcBorders>
            <w:vAlign w:val="center"/>
          </w:tcPr>
          <w:p w14:paraId="2E948F53">
            <w:pPr>
              <w:pStyle w:val="60"/>
              <w:jc w:val="both"/>
              <w:rPr>
                <w:rFonts w:ascii="Times New Roman" w:hAnsi="Times New Roman" w:eastAsia="宋体" w:cs="Times New Roman"/>
                <w:color w:val="auto"/>
              </w:rPr>
            </w:pPr>
            <w:r>
              <w:rPr>
                <w:rFonts w:ascii="Times New Roman" w:hAnsi="Times New Roman" w:eastAsia="宋体" w:cs="Times New Roman"/>
                <w:color w:val="auto"/>
              </w:rPr>
              <w:t>EDMS/</w:t>
            </w:r>
          </w:p>
          <w:p w14:paraId="1813C91E">
            <w:pPr>
              <w:pStyle w:val="60"/>
              <w:rPr>
                <w:rFonts w:ascii="Times New Roman" w:hAnsi="Times New Roman" w:eastAsia="宋体" w:cs="Times New Roman"/>
                <w:color w:val="auto"/>
              </w:rPr>
            </w:pPr>
            <w:r>
              <w:rPr>
                <w:rFonts w:ascii="Times New Roman" w:hAnsi="Times New Roman" w:eastAsia="宋体" w:cs="Times New Roman"/>
                <w:color w:val="auto"/>
              </w:rPr>
              <w:t>AEDT</w:t>
            </w:r>
            <w:r>
              <w:rPr>
                <w:rFonts w:ascii="Times New Roman" w:hAnsi="Times New Roman" w:eastAsia="宋体" w:cs="Times New Roman"/>
                <w:color w:val="auto"/>
              </w:rPr>
              <w:sym w:font="Wingdings 2" w:char="00A3"/>
            </w:r>
          </w:p>
        </w:tc>
        <w:tc>
          <w:tcPr>
            <w:tcW w:w="921" w:type="dxa"/>
            <w:gridSpan w:val="5"/>
            <w:tcBorders>
              <w:tl2br w:val="nil"/>
              <w:tr2bl w:val="nil"/>
            </w:tcBorders>
            <w:vAlign w:val="center"/>
          </w:tcPr>
          <w:p w14:paraId="7C49E785">
            <w:pPr>
              <w:pStyle w:val="60"/>
              <w:rPr>
                <w:rFonts w:ascii="Times New Roman" w:hAnsi="Times New Roman" w:eastAsia="宋体" w:cs="Times New Roman"/>
                <w:color w:val="auto"/>
              </w:rPr>
            </w:pPr>
            <w:r>
              <w:rPr>
                <w:rFonts w:ascii="Times New Roman" w:hAnsi="Times New Roman" w:eastAsia="宋体" w:cs="Times New Roman"/>
                <w:color w:val="auto"/>
              </w:rPr>
              <w:t>CALPUF</w:t>
            </w:r>
          </w:p>
          <w:p w14:paraId="6EF8938F">
            <w:pPr>
              <w:pStyle w:val="60"/>
              <w:rPr>
                <w:rFonts w:ascii="Times New Roman" w:hAnsi="Times New Roman" w:eastAsia="宋体" w:cs="Times New Roman"/>
                <w:color w:val="auto"/>
              </w:rPr>
            </w:pPr>
            <w:r>
              <w:rPr>
                <w:rFonts w:ascii="Times New Roman" w:hAnsi="Times New Roman" w:eastAsia="宋体" w:cs="Times New Roman"/>
                <w:color w:val="auto"/>
              </w:rPr>
              <w:t>F</w:t>
            </w:r>
            <w:r>
              <w:rPr>
                <w:rFonts w:ascii="Times New Roman" w:hAnsi="Times New Roman" w:eastAsia="宋体" w:cs="Times New Roman"/>
                <w:color w:val="auto"/>
              </w:rPr>
              <w:sym w:font="Wingdings 2" w:char="00A3"/>
            </w:r>
          </w:p>
        </w:tc>
        <w:tc>
          <w:tcPr>
            <w:tcW w:w="783" w:type="dxa"/>
            <w:tcBorders>
              <w:tl2br w:val="nil"/>
              <w:tr2bl w:val="nil"/>
            </w:tcBorders>
            <w:vAlign w:val="center"/>
          </w:tcPr>
          <w:p w14:paraId="557E6AFE">
            <w:pPr>
              <w:pStyle w:val="60"/>
              <w:rPr>
                <w:rFonts w:ascii="Times New Roman" w:hAnsi="Times New Roman" w:eastAsia="宋体" w:cs="Times New Roman"/>
                <w:color w:val="auto"/>
              </w:rPr>
            </w:pPr>
            <w:r>
              <w:rPr>
                <w:rFonts w:ascii="Times New Roman" w:hAnsi="Times New Roman" w:eastAsia="宋体" w:cs="Times New Roman"/>
                <w:color w:val="auto"/>
              </w:rPr>
              <w:t>网络模型</w:t>
            </w:r>
            <w:r>
              <w:rPr>
                <w:rFonts w:ascii="Times New Roman" w:hAnsi="Times New Roman" w:eastAsia="宋体" w:cs="Times New Roman"/>
                <w:color w:val="auto"/>
              </w:rPr>
              <w:sym w:font="Wingdings 2" w:char="00A3"/>
            </w:r>
          </w:p>
        </w:tc>
        <w:tc>
          <w:tcPr>
            <w:tcW w:w="554" w:type="dxa"/>
            <w:tcBorders>
              <w:tl2br w:val="nil"/>
              <w:tr2bl w:val="nil"/>
            </w:tcBorders>
            <w:vAlign w:val="center"/>
          </w:tcPr>
          <w:p w14:paraId="3F77DF58">
            <w:pPr>
              <w:pStyle w:val="60"/>
              <w:rPr>
                <w:rFonts w:ascii="Times New Roman" w:hAnsi="Times New Roman" w:eastAsia="宋体" w:cs="Times New Roman"/>
                <w:color w:val="auto"/>
              </w:rPr>
            </w:pPr>
            <w:r>
              <w:rPr>
                <w:rFonts w:ascii="Times New Roman" w:hAnsi="Times New Roman" w:eastAsia="宋体" w:cs="Times New Roman"/>
                <w:color w:val="auto"/>
              </w:rPr>
              <w:t>其他</w:t>
            </w:r>
          </w:p>
          <w:p w14:paraId="0A682379">
            <w:pPr>
              <w:pStyle w:val="60"/>
              <w:rPr>
                <w:rFonts w:ascii="Times New Roman" w:hAnsi="Times New Roman" w:eastAsia="宋体" w:cs="Times New Roman"/>
                <w:color w:val="auto"/>
              </w:rPr>
            </w:pPr>
            <w:r>
              <w:rPr>
                <w:rFonts w:ascii="Times New Roman" w:hAnsi="Times New Roman" w:eastAsia="宋体" w:cs="Times New Roman"/>
                <w:color w:val="auto"/>
              </w:rPr>
              <w:sym w:font="Wingdings 2" w:char="0052"/>
            </w:r>
          </w:p>
        </w:tc>
      </w:tr>
      <w:tr w14:paraId="4AA95C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71575055">
            <w:pPr>
              <w:pStyle w:val="60"/>
              <w:rPr>
                <w:rFonts w:ascii="Times New Roman" w:hAnsi="Times New Roman" w:eastAsia="宋体" w:cs="Times New Roman"/>
                <w:color w:val="auto"/>
              </w:rPr>
            </w:pPr>
          </w:p>
        </w:tc>
        <w:tc>
          <w:tcPr>
            <w:tcW w:w="1902" w:type="dxa"/>
            <w:tcBorders>
              <w:tl2br w:val="nil"/>
              <w:tr2bl w:val="nil"/>
            </w:tcBorders>
            <w:vAlign w:val="center"/>
          </w:tcPr>
          <w:p w14:paraId="6DBF29A8">
            <w:pPr>
              <w:pStyle w:val="60"/>
              <w:rPr>
                <w:rFonts w:ascii="Times New Roman" w:hAnsi="Times New Roman" w:eastAsia="宋体" w:cs="Times New Roman"/>
                <w:color w:val="auto"/>
              </w:rPr>
            </w:pPr>
            <w:r>
              <w:rPr>
                <w:rFonts w:ascii="Times New Roman" w:hAnsi="Times New Roman" w:eastAsia="宋体" w:cs="Times New Roman"/>
                <w:color w:val="auto"/>
              </w:rPr>
              <w:t>预测范围</w:t>
            </w:r>
          </w:p>
        </w:tc>
        <w:tc>
          <w:tcPr>
            <w:tcW w:w="1865" w:type="dxa"/>
            <w:gridSpan w:val="6"/>
            <w:tcBorders>
              <w:tl2br w:val="nil"/>
              <w:tr2bl w:val="nil"/>
            </w:tcBorders>
            <w:vAlign w:val="center"/>
          </w:tcPr>
          <w:p w14:paraId="44EE2F28">
            <w:pPr>
              <w:pStyle w:val="60"/>
              <w:rPr>
                <w:rFonts w:ascii="Times New Roman" w:hAnsi="Times New Roman" w:eastAsia="宋体" w:cs="Times New Roman"/>
                <w:color w:val="auto"/>
              </w:rPr>
            </w:pPr>
            <w:r>
              <w:rPr>
                <w:rFonts w:ascii="Times New Roman" w:hAnsi="Times New Roman" w:eastAsia="宋体" w:cs="Times New Roman"/>
                <w:color w:val="auto"/>
              </w:rPr>
              <w:t>边长≥50km</w:t>
            </w:r>
            <w:r>
              <w:rPr>
                <w:rFonts w:ascii="Times New Roman" w:hAnsi="Times New Roman" w:eastAsia="宋体" w:cs="Times New Roman"/>
                <w:color w:val="auto"/>
              </w:rPr>
              <w:sym w:font="Wingdings 2" w:char="00A3"/>
            </w:r>
          </w:p>
        </w:tc>
        <w:tc>
          <w:tcPr>
            <w:tcW w:w="1720" w:type="dxa"/>
            <w:gridSpan w:val="7"/>
            <w:tcBorders>
              <w:tl2br w:val="nil"/>
              <w:tr2bl w:val="nil"/>
            </w:tcBorders>
            <w:vAlign w:val="center"/>
          </w:tcPr>
          <w:p w14:paraId="20CF3FE4">
            <w:pPr>
              <w:pStyle w:val="60"/>
              <w:rPr>
                <w:rFonts w:ascii="Times New Roman" w:hAnsi="Times New Roman" w:eastAsia="宋体" w:cs="Times New Roman"/>
                <w:color w:val="auto"/>
              </w:rPr>
            </w:pPr>
            <w:r>
              <w:rPr>
                <w:rFonts w:ascii="Times New Roman" w:hAnsi="Times New Roman" w:eastAsia="宋体" w:cs="Times New Roman"/>
                <w:color w:val="auto"/>
              </w:rPr>
              <w:t>边长5</w:t>
            </w:r>
            <w:r>
              <w:rPr>
                <w:rFonts w:hint="eastAsia" w:eastAsia="宋体" w:cs="Times New Roman"/>
                <w:color w:val="auto"/>
                <w:lang w:eastAsia="zh-CN"/>
              </w:rPr>
              <w:t>—</w:t>
            </w:r>
            <w:r>
              <w:rPr>
                <w:rFonts w:ascii="Times New Roman" w:hAnsi="Times New Roman" w:eastAsia="宋体" w:cs="Times New Roman"/>
                <w:color w:val="auto"/>
              </w:rPr>
              <w:t>50km</w:t>
            </w:r>
            <w:r>
              <w:rPr>
                <w:rFonts w:ascii="Times New Roman" w:hAnsi="Times New Roman" w:eastAsia="宋体" w:cs="Times New Roman"/>
                <w:color w:val="auto"/>
              </w:rPr>
              <w:sym w:font="Wingdings 2" w:char="00A3"/>
            </w:r>
          </w:p>
        </w:tc>
        <w:tc>
          <w:tcPr>
            <w:tcW w:w="2357" w:type="dxa"/>
            <w:gridSpan w:val="8"/>
            <w:tcBorders>
              <w:tl2br w:val="nil"/>
              <w:tr2bl w:val="nil"/>
            </w:tcBorders>
            <w:vAlign w:val="center"/>
          </w:tcPr>
          <w:p w14:paraId="6A3C8195">
            <w:pPr>
              <w:pStyle w:val="60"/>
              <w:rPr>
                <w:rFonts w:ascii="Times New Roman" w:hAnsi="Times New Roman" w:eastAsia="宋体" w:cs="Times New Roman"/>
                <w:color w:val="auto"/>
              </w:rPr>
            </w:pPr>
            <w:r>
              <w:rPr>
                <w:rFonts w:ascii="Times New Roman" w:hAnsi="Times New Roman" w:eastAsia="宋体" w:cs="Times New Roman"/>
                <w:color w:val="auto"/>
              </w:rPr>
              <w:t>边长=5km</w:t>
            </w:r>
            <w:r>
              <w:rPr>
                <w:rFonts w:ascii="Times New Roman" w:hAnsi="Times New Roman" w:eastAsia="宋体" w:cs="Times New Roman"/>
                <w:color w:val="auto"/>
              </w:rPr>
              <w:sym w:font="Wingdings 2" w:char="0052"/>
            </w:r>
          </w:p>
        </w:tc>
      </w:tr>
      <w:tr w14:paraId="118BC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1EB5C4BE">
            <w:pPr>
              <w:pStyle w:val="60"/>
              <w:rPr>
                <w:rFonts w:ascii="Times New Roman" w:hAnsi="Times New Roman" w:eastAsia="宋体" w:cs="Times New Roman"/>
                <w:color w:val="auto"/>
              </w:rPr>
            </w:pPr>
          </w:p>
        </w:tc>
        <w:tc>
          <w:tcPr>
            <w:tcW w:w="1902" w:type="dxa"/>
            <w:tcBorders>
              <w:tl2br w:val="nil"/>
              <w:tr2bl w:val="nil"/>
            </w:tcBorders>
            <w:vAlign w:val="center"/>
          </w:tcPr>
          <w:p w14:paraId="56610C44">
            <w:pPr>
              <w:pStyle w:val="60"/>
              <w:rPr>
                <w:rFonts w:ascii="Times New Roman" w:hAnsi="Times New Roman" w:eastAsia="宋体" w:cs="Times New Roman"/>
                <w:color w:val="auto"/>
              </w:rPr>
            </w:pPr>
            <w:r>
              <w:rPr>
                <w:rFonts w:ascii="Times New Roman" w:hAnsi="Times New Roman" w:eastAsia="宋体" w:cs="Times New Roman"/>
                <w:color w:val="auto"/>
              </w:rPr>
              <w:t>预测因子</w:t>
            </w:r>
          </w:p>
        </w:tc>
        <w:tc>
          <w:tcPr>
            <w:tcW w:w="2634" w:type="dxa"/>
            <w:gridSpan w:val="9"/>
            <w:tcBorders>
              <w:tl2br w:val="nil"/>
              <w:tr2bl w:val="nil"/>
            </w:tcBorders>
            <w:vAlign w:val="center"/>
          </w:tcPr>
          <w:p w14:paraId="1B5D42C0">
            <w:pPr>
              <w:pStyle w:val="60"/>
              <w:rPr>
                <w:rFonts w:ascii="Times New Roman" w:hAnsi="Times New Roman" w:eastAsia="宋体" w:cs="Times New Roman"/>
                <w:color w:val="auto"/>
              </w:rPr>
            </w:pPr>
            <w:r>
              <w:rPr>
                <w:rFonts w:ascii="Times New Roman" w:hAnsi="Times New Roman" w:eastAsia="宋体" w:cs="Times New Roman"/>
                <w:color w:val="auto"/>
              </w:rPr>
              <w:t>预测因子</w:t>
            </w:r>
          </w:p>
          <w:p w14:paraId="7B801CE4">
            <w:pPr>
              <w:pStyle w:val="60"/>
              <w:rPr>
                <w:rFonts w:ascii="Times New Roman" w:hAnsi="Times New Roman" w:eastAsia="宋体" w:cs="Times New Roman"/>
                <w:color w:val="auto"/>
              </w:rPr>
            </w:pP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ascii="Times New Roman" w:hAnsi="Times New Roman" w:eastAsia="宋体" w:cs="Times New Roman"/>
                <w:color w:val="auto"/>
              </w:rPr>
              <w:t>、H</w:t>
            </w:r>
            <w:r>
              <w:rPr>
                <w:rFonts w:ascii="Times New Roman" w:hAnsi="Times New Roman" w:eastAsia="宋体" w:cs="Times New Roman"/>
                <w:color w:val="auto"/>
                <w:vertAlign w:val="subscript"/>
              </w:rPr>
              <w:t>2</w:t>
            </w:r>
            <w:r>
              <w:rPr>
                <w:rFonts w:ascii="Times New Roman" w:hAnsi="Times New Roman" w:eastAsia="宋体" w:cs="Times New Roman"/>
                <w:color w:val="auto"/>
              </w:rPr>
              <w:t>S）</w:t>
            </w:r>
          </w:p>
        </w:tc>
        <w:tc>
          <w:tcPr>
            <w:tcW w:w="3308" w:type="dxa"/>
            <w:gridSpan w:val="12"/>
            <w:tcBorders>
              <w:tl2br w:val="nil"/>
              <w:tr2bl w:val="nil"/>
            </w:tcBorders>
            <w:vAlign w:val="center"/>
          </w:tcPr>
          <w:p w14:paraId="495D7855">
            <w:pPr>
              <w:pStyle w:val="60"/>
              <w:rPr>
                <w:rFonts w:ascii="Times New Roman" w:hAnsi="Times New Roman" w:eastAsia="宋体" w:cs="Times New Roman"/>
                <w:color w:val="auto"/>
              </w:rPr>
            </w:pPr>
            <w:r>
              <w:rPr>
                <w:rFonts w:ascii="Times New Roman" w:hAnsi="Times New Roman" w:eastAsia="宋体" w:cs="Times New Roman"/>
                <w:color w:val="auto"/>
              </w:rPr>
              <w:t>包括二次PM2.5</w:t>
            </w:r>
            <w:r>
              <w:rPr>
                <w:rFonts w:ascii="Times New Roman" w:hAnsi="Times New Roman" w:eastAsia="宋体" w:cs="Times New Roman"/>
                <w:color w:val="auto"/>
              </w:rPr>
              <w:sym w:font="Wingdings 2" w:char="00A3"/>
            </w:r>
          </w:p>
          <w:p w14:paraId="18D94F29">
            <w:pPr>
              <w:pStyle w:val="60"/>
              <w:rPr>
                <w:rFonts w:ascii="Times New Roman" w:hAnsi="Times New Roman" w:eastAsia="宋体" w:cs="Times New Roman"/>
                <w:color w:val="auto"/>
              </w:rPr>
            </w:pPr>
            <w:r>
              <w:rPr>
                <w:rFonts w:ascii="Times New Roman" w:hAnsi="Times New Roman" w:eastAsia="宋体" w:cs="Times New Roman"/>
                <w:color w:val="auto"/>
              </w:rPr>
              <w:t>不包括二次PM2.5</w:t>
            </w:r>
            <w:r>
              <w:rPr>
                <w:rFonts w:ascii="Times New Roman" w:hAnsi="Times New Roman" w:eastAsia="宋体" w:cs="Times New Roman"/>
                <w:color w:val="auto"/>
              </w:rPr>
              <w:sym w:font="Wingdings 2" w:char="0052"/>
            </w:r>
          </w:p>
        </w:tc>
      </w:tr>
      <w:tr w14:paraId="4E9C1D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58AA1EA1">
            <w:pPr>
              <w:pStyle w:val="60"/>
              <w:rPr>
                <w:rFonts w:ascii="Times New Roman" w:hAnsi="Times New Roman" w:eastAsia="宋体" w:cs="Times New Roman"/>
                <w:color w:val="auto"/>
              </w:rPr>
            </w:pPr>
          </w:p>
        </w:tc>
        <w:tc>
          <w:tcPr>
            <w:tcW w:w="1902" w:type="dxa"/>
            <w:tcBorders>
              <w:tl2br w:val="nil"/>
              <w:tr2bl w:val="nil"/>
            </w:tcBorders>
            <w:vAlign w:val="center"/>
          </w:tcPr>
          <w:p w14:paraId="63668932">
            <w:pPr>
              <w:pStyle w:val="60"/>
              <w:rPr>
                <w:rFonts w:ascii="Times New Roman" w:hAnsi="Times New Roman" w:eastAsia="宋体" w:cs="Times New Roman"/>
                <w:color w:val="auto"/>
              </w:rPr>
            </w:pPr>
            <w:r>
              <w:rPr>
                <w:rFonts w:ascii="Times New Roman" w:hAnsi="Times New Roman" w:eastAsia="宋体" w:cs="Times New Roman"/>
                <w:color w:val="auto"/>
              </w:rPr>
              <w:t>正常排放短期浓度贡献值</w:t>
            </w:r>
          </w:p>
        </w:tc>
        <w:tc>
          <w:tcPr>
            <w:tcW w:w="2634" w:type="dxa"/>
            <w:gridSpan w:val="9"/>
            <w:tcBorders>
              <w:tl2br w:val="nil"/>
              <w:tr2bl w:val="nil"/>
            </w:tcBorders>
            <w:vAlign w:val="center"/>
          </w:tcPr>
          <w:p w14:paraId="3864DF88">
            <w:pPr>
              <w:pStyle w:val="60"/>
              <w:rPr>
                <w:rFonts w:ascii="Times New Roman" w:hAnsi="Times New Roman" w:eastAsia="宋体" w:cs="Times New Roman"/>
                <w:color w:val="auto"/>
              </w:rPr>
            </w:pPr>
            <w:r>
              <w:rPr>
                <w:rFonts w:ascii="Times New Roman" w:hAnsi="Times New Roman" w:eastAsia="宋体" w:cs="Times New Roman"/>
                <w:color w:val="auto"/>
              </w:rPr>
              <w:t>C本项目最大占标率≤100%</w:t>
            </w:r>
            <w:r>
              <w:rPr>
                <w:rFonts w:ascii="Times New Roman" w:hAnsi="Times New Roman" w:eastAsia="宋体" w:cs="Times New Roman"/>
                <w:color w:val="auto"/>
              </w:rPr>
              <w:sym w:font="Wingdings 2" w:char="0052"/>
            </w:r>
          </w:p>
        </w:tc>
        <w:tc>
          <w:tcPr>
            <w:tcW w:w="3308" w:type="dxa"/>
            <w:gridSpan w:val="12"/>
            <w:tcBorders>
              <w:tl2br w:val="nil"/>
              <w:tr2bl w:val="nil"/>
            </w:tcBorders>
            <w:vAlign w:val="center"/>
          </w:tcPr>
          <w:p w14:paraId="4F294511">
            <w:pPr>
              <w:pStyle w:val="60"/>
              <w:rPr>
                <w:rFonts w:ascii="Times New Roman" w:hAnsi="Times New Roman" w:eastAsia="宋体" w:cs="Times New Roman"/>
                <w:color w:val="auto"/>
              </w:rPr>
            </w:pPr>
            <w:r>
              <w:rPr>
                <w:rFonts w:ascii="Times New Roman" w:hAnsi="Times New Roman" w:eastAsia="宋体" w:cs="Times New Roman"/>
                <w:color w:val="auto"/>
              </w:rPr>
              <w:t>C本项目最大占标率＞100%</w:t>
            </w:r>
            <w:r>
              <w:rPr>
                <w:rFonts w:ascii="Times New Roman" w:hAnsi="Times New Roman" w:eastAsia="宋体" w:cs="Times New Roman"/>
                <w:color w:val="auto"/>
              </w:rPr>
              <w:sym w:font="Wingdings 2" w:char="00A3"/>
            </w:r>
          </w:p>
        </w:tc>
      </w:tr>
      <w:tr w14:paraId="7FE4F2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6E997C5E">
            <w:pPr>
              <w:pStyle w:val="60"/>
              <w:rPr>
                <w:rFonts w:ascii="Times New Roman" w:hAnsi="Times New Roman" w:eastAsia="宋体" w:cs="Times New Roman"/>
                <w:color w:val="auto"/>
              </w:rPr>
            </w:pPr>
          </w:p>
        </w:tc>
        <w:tc>
          <w:tcPr>
            <w:tcW w:w="1902" w:type="dxa"/>
            <w:vMerge w:val="restart"/>
            <w:tcBorders>
              <w:tl2br w:val="nil"/>
              <w:tr2bl w:val="nil"/>
            </w:tcBorders>
            <w:vAlign w:val="center"/>
          </w:tcPr>
          <w:p w14:paraId="14135746">
            <w:pPr>
              <w:pStyle w:val="60"/>
              <w:rPr>
                <w:rFonts w:ascii="Times New Roman" w:hAnsi="Times New Roman" w:eastAsia="宋体" w:cs="Times New Roman"/>
                <w:color w:val="auto"/>
              </w:rPr>
            </w:pPr>
            <w:r>
              <w:rPr>
                <w:rFonts w:ascii="Times New Roman" w:hAnsi="Times New Roman" w:eastAsia="宋体" w:cs="Times New Roman"/>
                <w:color w:val="auto"/>
              </w:rPr>
              <w:t>正常排放年均浓度贡献值</w:t>
            </w:r>
          </w:p>
        </w:tc>
        <w:tc>
          <w:tcPr>
            <w:tcW w:w="1044" w:type="dxa"/>
            <w:gridSpan w:val="2"/>
            <w:tcBorders>
              <w:tl2br w:val="nil"/>
              <w:tr2bl w:val="nil"/>
            </w:tcBorders>
            <w:vAlign w:val="center"/>
          </w:tcPr>
          <w:p w14:paraId="4361D4D2">
            <w:pPr>
              <w:pStyle w:val="60"/>
              <w:rPr>
                <w:rFonts w:ascii="Times New Roman" w:hAnsi="Times New Roman" w:eastAsia="宋体" w:cs="Times New Roman"/>
                <w:color w:val="auto"/>
              </w:rPr>
            </w:pPr>
            <w:r>
              <w:rPr>
                <w:rFonts w:ascii="Times New Roman" w:hAnsi="Times New Roman" w:eastAsia="宋体" w:cs="Times New Roman"/>
                <w:color w:val="auto"/>
              </w:rPr>
              <w:t>一类区</w:t>
            </w:r>
          </w:p>
        </w:tc>
        <w:tc>
          <w:tcPr>
            <w:tcW w:w="2277" w:type="dxa"/>
            <w:gridSpan w:val="10"/>
            <w:tcBorders>
              <w:tl2br w:val="nil"/>
              <w:tr2bl w:val="nil"/>
            </w:tcBorders>
            <w:vAlign w:val="center"/>
          </w:tcPr>
          <w:p w14:paraId="0045DF51">
            <w:pPr>
              <w:pStyle w:val="60"/>
              <w:rPr>
                <w:rFonts w:ascii="Times New Roman" w:hAnsi="Times New Roman" w:eastAsia="宋体" w:cs="Times New Roman"/>
                <w:color w:val="auto"/>
              </w:rPr>
            </w:pPr>
            <w:r>
              <w:rPr>
                <w:rFonts w:ascii="Times New Roman" w:hAnsi="Times New Roman" w:eastAsia="宋体" w:cs="Times New Roman"/>
                <w:color w:val="auto"/>
              </w:rPr>
              <w:t>C 本项目最大占标率≤10%</w:t>
            </w:r>
            <w:r>
              <w:rPr>
                <w:rFonts w:ascii="Times New Roman" w:hAnsi="Times New Roman" w:eastAsia="宋体" w:cs="Times New Roman"/>
                <w:color w:val="auto"/>
              </w:rPr>
              <w:sym w:font="Wingdings 2" w:char="00A3"/>
            </w:r>
          </w:p>
        </w:tc>
        <w:tc>
          <w:tcPr>
            <w:tcW w:w="2621" w:type="dxa"/>
            <w:gridSpan w:val="9"/>
            <w:tcBorders>
              <w:tl2br w:val="nil"/>
              <w:tr2bl w:val="nil"/>
            </w:tcBorders>
            <w:vAlign w:val="center"/>
          </w:tcPr>
          <w:p w14:paraId="225CD8F7">
            <w:pPr>
              <w:pStyle w:val="60"/>
              <w:rPr>
                <w:rFonts w:ascii="Times New Roman" w:hAnsi="Times New Roman" w:eastAsia="宋体" w:cs="Times New Roman"/>
                <w:color w:val="auto"/>
              </w:rPr>
            </w:pPr>
            <w:r>
              <w:rPr>
                <w:rFonts w:ascii="Times New Roman" w:hAnsi="Times New Roman" w:eastAsia="宋体" w:cs="Times New Roman"/>
                <w:color w:val="auto"/>
              </w:rPr>
              <w:t>C 本项目最大占标率＞10%</w:t>
            </w:r>
            <w:r>
              <w:rPr>
                <w:rFonts w:ascii="Times New Roman" w:hAnsi="Times New Roman" w:eastAsia="宋体" w:cs="Times New Roman"/>
                <w:color w:val="auto"/>
              </w:rPr>
              <w:sym w:font="Wingdings 2" w:char="00A3"/>
            </w:r>
          </w:p>
        </w:tc>
      </w:tr>
      <w:tr w14:paraId="3A532F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4D9A07F3">
            <w:pPr>
              <w:pStyle w:val="60"/>
              <w:rPr>
                <w:rFonts w:ascii="Times New Roman" w:hAnsi="Times New Roman" w:eastAsia="宋体" w:cs="Times New Roman"/>
                <w:color w:val="auto"/>
              </w:rPr>
            </w:pPr>
          </w:p>
        </w:tc>
        <w:tc>
          <w:tcPr>
            <w:tcW w:w="1902" w:type="dxa"/>
            <w:vMerge w:val="continue"/>
            <w:tcBorders>
              <w:tl2br w:val="nil"/>
              <w:tr2bl w:val="nil"/>
            </w:tcBorders>
            <w:vAlign w:val="center"/>
          </w:tcPr>
          <w:p w14:paraId="192D7424">
            <w:pPr>
              <w:pStyle w:val="60"/>
              <w:rPr>
                <w:rFonts w:ascii="Times New Roman" w:hAnsi="Times New Roman" w:eastAsia="宋体" w:cs="Times New Roman"/>
                <w:color w:val="auto"/>
              </w:rPr>
            </w:pPr>
          </w:p>
        </w:tc>
        <w:tc>
          <w:tcPr>
            <w:tcW w:w="1044" w:type="dxa"/>
            <w:gridSpan w:val="2"/>
            <w:tcBorders>
              <w:tl2br w:val="nil"/>
              <w:tr2bl w:val="nil"/>
            </w:tcBorders>
            <w:vAlign w:val="center"/>
          </w:tcPr>
          <w:p w14:paraId="15B86DCC">
            <w:pPr>
              <w:pStyle w:val="60"/>
              <w:rPr>
                <w:rFonts w:ascii="Times New Roman" w:hAnsi="Times New Roman" w:eastAsia="宋体" w:cs="Times New Roman"/>
                <w:color w:val="auto"/>
              </w:rPr>
            </w:pPr>
            <w:r>
              <w:rPr>
                <w:rFonts w:ascii="Times New Roman" w:hAnsi="Times New Roman" w:eastAsia="宋体" w:cs="Times New Roman"/>
                <w:color w:val="auto"/>
              </w:rPr>
              <w:t>二类区</w:t>
            </w:r>
          </w:p>
        </w:tc>
        <w:tc>
          <w:tcPr>
            <w:tcW w:w="2277" w:type="dxa"/>
            <w:gridSpan w:val="10"/>
            <w:tcBorders>
              <w:tl2br w:val="nil"/>
              <w:tr2bl w:val="nil"/>
            </w:tcBorders>
            <w:vAlign w:val="center"/>
          </w:tcPr>
          <w:p w14:paraId="0268CF6B">
            <w:pPr>
              <w:pStyle w:val="60"/>
              <w:rPr>
                <w:rFonts w:ascii="Times New Roman" w:hAnsi="Times New Roman" w:eastAsia="宋体" w:cs="Times New Roman"/>
                <w:color w:val="auto"/>
              </w:rPr>
            </w:pPr>
            <w:r>
              <w:rPr>
                <w:rFonts w:ascii="Times New Roman" w:hAnsi="Times New Roman" w:eastAsia="宋体" w:cs="Times New Roman"/>
                <w:color w:val="auto"/>
              </w:rPr>
              <w:t>C 本项目最大占标率≤30%</w:t>
            </w:r>
            <w:r>
              <w:rPr>
                <w:rFonts w:ascii="Times New Roman" w:hAnsi="Times New Roman" w:eastAsia="宋体" w:cs="Times New Roman"/>
                <w:color w:val="auto"/>
              </w:rPr>
              <w:sym w:font="Wingdings 2" w:char="0052"/>
            </w:r>
          </w:p>
        </w:tc>
        <w:tc>
          <w:tcPr>
            <w:tcW w:w="2621" w:type="dxa"/>
            <w:gridSpan w:val="9"/>
            <w:tcBorders>
              <w:tl2br w:val="nil"/>
              <w:tr2bl w:val="nil"/>
            </w:tcBorders>
            <w:vAlign w:val="center"/>
          </w:tcPr>
          <w:p w14:paraId="7A9AABDD">
            <w:pPr>
              <w:pStyle w:val="60"/>
              <w:rPr>
                <w:rFonts w:ascii="Times New Roman" w:hAnsi="Times New Roman" w:eastAsia="宋体" w:cs="Times New Roman"/>
                <w:color w:val="auto"/>
              </w:rPr>
            </w:pPr>
            <w:r>
              <w:rPr>
                <w:rFonts w:ascii="Times New Roman" w:hAnsi="Times New Roman" w:eastAsia="宋体" w:cs="Times New Roman"/>
                <w:color w:val="auto"/>
              </w:rPr>
              <w:t>C 本项目最大占标率＞30%</w:t>
            </w:r>
            <w:r>
              <w:rPr>
                <w:rFonts w:ascii="Times New Roman" w:hAnsi="Times New Roman" w:eastAsia="宋体" w:cs="Times New Roman"/>
                <w:color w:val="auto"/>
              </w:rPr>
              <w:sym w:font="Wingdings 2" w:char="00A3"/>
            </w:r>
          </w:p>
        </w:tc>
      </w:tr>
      <w:tr w14:paraId="5AD4E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A85CC24">
            <w:pPr>
              <w:pStyle w:val="60"/>
              <w:rPr>
                <w:rFonts w:ascii="Times New Roman" w:hAnsi="Times New Roman" w:eastAsia="宋体" w:cs="Times New Roman"/>
                <w:color w:val="auto"/>
              </w:rPr>
            </w:pPr>
          </w:p>
        </w:tc>
        <w:tc>
          <w:tcPr>
            <w:tcW w:w="1902" w:type="dxa"/>
            <w:tcBorders>
              <w:tl2br w:val="nil"/>
              <w:tr2bl w:val="nil"/>
            </w:tcBorders>
            <w:vAlign w:val="center"/>
          </w:tcPr>
          <w:p w14:paraId="77150622">
            <w:pPr>
              <w:pStyle w:val="60"/>
              <w:rPr>
                <w:rFonts w:ascii="Times New Roman" w:hAnsi="Times New Roman" w:eastAsia="宋体" w:cs="Times New Roman"/>
                <w:color w:val="auto"/>
              </w:rPr>
            </w:pPr>
            <w:r>
              <w:rPr>
                <w:rFonts w:ascii="Times New Roman" w:hAnsi="Times New Roman" w:eastAsia="宋体" w:cs="Times New Roman"/>
                <w:color w:val="auto"/>
              </w:rPr>
              <w:t>非正常排放1h浓度贡献值</w:t>
            </w:r>
          </w:p>
        </w:tc>
        <w:tc>
          <w:tcPr>
            <w:tcW w:w="1669" w:type="dxa"/>
            <w:gridSpan w:val="5"/>
            <w:tcBorders>
              <w:tl2br w:val="nil"/>
              <w:tr2bl w:val="nil"/>
            </w:tcBorders>
            <w:vAlign w:val="center"/>
          </w:tcPr>
          <w:p w14:paraId="290B64E2">
            <w:pPr>
              <w:pStyle w:val="60"/>
              <w:rPr>
                <w:rFonts w:ascii="Times New Roman" w:hAnsi="Times New Roman" w:eastAsia="宋体" w:cs="Times New Roman"/>
                <w:color w:val="auto"/>
              </w:rPr>
            </w:pPr>
            <w:r>
              <w:rPr>
                <w:rFonts w:ascii="Times New Roman" w:hAnsi="Times New Roman" w:eastAsia="宋体" w:cs="Times New Roman"/>
                <w:color w:val="auto"/>
              </w:rPr>
              <w:t>非正常持续时长</w:t>
            </w:r>
          </w:p>
          <w:p w14:paraId="2FB372FF">
            <w:pPr>
              <w:pStyle w:val="60"/>
              <w:rPr>
                <w:rFonts w:ascii="Times New Roman" w:hAnsi="Times New Roman" w:eastAsia="宋体" w:cs="Times New Roman"/>
                <w:color w:val="auto"/>
              </w:rPr>
            </w:pPr>
            <w:r>
              <w:rPr>
                <w:rFonts w:ascii="Times New Roman" w:hAnsi="Times New Roman" w:eastAsia="宋体" w:cs="Times New Roman"/>
                <w:color w:val="auto"/>
              </w:rPr>
              <w:t>（）h</w:t>
            </w:r>
          </w:p>
        </w:tc>
        <w:tc>
          <w:tcPr>
            <w:tcW w:w="1916" w:type="dxa"/>
            <w:gridSpan w:val="8"/>
            <w:tcBorders>
              <w:tl2br w:val="nil"/>
              <w:tr2bl w:val="nil"/>
            </w:tcBorders>
            <w:vAlign w:val="center"/>
          </w:tcPr>
          <w:p w14:paraId="0CB899CE">
            <w:pPr>
              <w:pStyle w:val="60"/>
              <w:rPr>
                <w:rFonts w:ascii="Times New Roman" w:hAnsi="Times New Roman" w:eastAsia="宋体" w:cs="Times New Roman"/>
                <w:color w:val="auto"/>
              </w:rPr>
            </w:pPr>
            <w:r>
              <w:rPr>
                <w:rFonts w:ascii="Times New Roman" w:hAnsi="Times New Roman" w:eastAsia="宋体" w:cs="Times New Roman"/>
                <w:color w:val="auto"/>
              </w:rPr>
              <w:t>C非正常占标率</w:t>
            </w:r>
          </w:p>
          <w:p w14:paraId="31278173">
            <w:pPr>
              <w:pStyle w:val="60"/>
              <w:rPr>
                <w:rFonts w:ascii="Times New Roman" w:hAnsi="Times New Roman" w:eastAsia="宋体" w:cs="Times New Roman"/>
                <w:color w:val="auto"/>
              </w:rPr>
            </w:pPr>
            <w:r>
              <w:rPr>
                <w:rFonts w:ascii="Times New Roman" w:hAnsi="Times New Roman" w:eastAsia="宋体" w:cs="Times New Roman"/>
                <w:color w:val="auto"/>
              </w:rPr>
              <w:t>≤100%</w:t>
            </w:r>
            <w:r>
              <w:rPr>
                <w:rFonts w:ascii="Times New Roman" w:hAnsi="Times New Roman" w:eastAsia="宋体" w:cs="Times New Roman"/>
                <w:color w:val="auto"/>
              </w:rPr>
              <w:sym w:font="Wingdings 2" w:char="0052"/>
            </w:r>
          </w:p>
        </w:tc>
        <w:tc>
          <w:tcPr>
            <w:tcW w:w="2357" w:type="dxa"/>
            <w:gridSpan w:val="8"/>
            <w:tcBorders>
              <w:tl2br w:val="nil"/>
              <w:tr2bl w:val="nil"/>
            </w:tcBorders>
            <w:vAlign w:val="center"/>
          </w:tcPr>
          <w:p w14:paraId="20EE9AF1">
            <w:pPr>
              <w:pStyle w:val="60"/>
              <w:rPr>
                <w:rFonts w:ascii="Times New Roman" w:hAnsi="Times New Roman" w:eastAsia="宋体" w:cs="Times New Roman"/>
                <w:color w:val="auto"/>
              </w:rPr>
            </w:pPr>
            <w:r>
              <w:rPr>
                <w:rFonts w:ascii="Times New Roman" w:hAnsi="Times New Roman" w:eastAsia="宋体" w:cs="Times New Roman"/>
                <w:color w:val="auto"/>
              </w:rPr>
              <w:t>C非正常占标率大于 100%</w:t>
            </w:r>
            <w:r>
              <w:rPr>
                <w:rFonts w:ascii="Times New Roman" w:hAnsi="Times New Roman" w:eastAsia="宋体" w:cs="Times New Roman"/>
                <w:color w:val="auto"/>
              </w:rPr>
              <w:sym w:font="Wingdings 2" w:char="00A3"/>
            </w:r>
          </w:p>
        </w:tc>
      </w:tr>
      <w:tr w14:paraId="080057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106EB67A">
            <w:pPr>
              <w:pStyle w:val="60"/>
              <w:rPr>
                <w:rFonts w:ascii="Times New Roman" w:hAnsi="Times New Roman" w:eastAsia="宋体" w:cs="Times New Roman"/>
                <w:color w:val="auto"/>
              </w:rPr>
            </w:pPr>
          </w:p>
        </w:tc>
        <w:tc>
          <w:tcPr>
            <w:tcW w:w="1902" w:type="dxa"/>
            <w:tcBorders>
              <w:tl2br w:val="nil"/>
              <w:tr2bl w:val="nil"/>
            </w:tcBorders>
            <w:vAlign w:val="center"/>
          </w:tcPr>
          <w:p w14:paraId="24F41F01">
            <w:pPr>
              <w:pStyle w:val="60"/>
              <w:rPr>
                <w:rFonts w:ascii="Times New Roman" w:hAnsi="Times New Roman" w:eastAsia="宋体" w:cs="Times New Roman"/>
                <w:color w:val="auto"/>
              </w:rPr>
            </w:pPr>
            <w:r>
              <w:rPr>
                <w:rFonts w:ascii="Times New Roman" w:hAnsi="Times New Roman" w:eastAsia="宋体" w:cs="Times New Roman"/>
                <w:color w:val="auto"/>
              </w:rPr>
              <w:t>保证率日平均浓度和年平均浓度叠加值</w:t>
            </w:r>
          </w:p>
        </w:tc>
        <w:tc>
          <w:tcPr>
            <w:tcW w:w="2379" w:type="dxa"/>
            <w:gridSpan w:val="8"/>
            <w:tcBorders>
              <w:tl2br w:val="nil"/>
              <w:tr2bl w:val="nil"/>
            </w:tcBorders>
            <w:vAlign w:val="center"/>
          </w:tcPr>
          <w:p w14:paraId="3A6B18C3">
            <w:pPr>
              <w:pStyle w:val="60"/>
              <w:rPr>
                <w:rFonts w:ascii="Times New Roman" w:hAnsi="Times New Roman" w:eastAsia="宋体" w:cs="Times New Roman"/>
                <w:color w:val="auto"/>
              </w:rPr>
            </w:pPr>
            <w:r>
              <w:rPr>
                <w:rFonts w:ascii="Times New Roman" w:hAnsi="Times New Roman" w:eastAsia="宋体" w:cs="Times New Roman"/>
                <w:color w:val="auto"/>
              </w:rPr>
              <w:t>C 叠加达标</w:t>
            </w:r>
            <w:r>
              <w:rPr>
                <w:rFonts w:ascii="Times New Roman" w:hAnsi="Times New Roman" w:eastAsia="宋体" w:cs="Times New Roman"/>
                <w:color w:val="auto"/>
              </w:rPr>
              <w:sym w:font="Wingdings 2" w:char="0052"/>
            </w:r>
          </w:p>
        </w:tc>
        <w:tc>
          <w:tcPr>
            <w:tcW w:w="3563" w:type="dxa"/>
            <w:gridSpan w:val="13"/>
            <w:tcBorders>
              <w:tl2br w:val="nil"/>
              <w:tr2bl w:val="nil"/>
            </w:tcBorders>
            <w:vAlign w:val="center"/>
          </w:tcPr>
          <w:p w14:paraId="7345ACCE">
            <w:pPr>
              <w:pStyle w:val="60"/>
              <w:rPr>
                <w:rFonts w:ascii="Times New Roman" w:hAnsi="Times New Roman" w:eastAsia="宋体" w:cs="Times New Roman"/>
                <w:color w:val="auto"/>
              </w:rPr>
            </w:pPr>
            <w:r>
              <w:rPr>
                <w:rFonts w:ascii="Times New Roman" w:hAnsi="Times New Roman" w:eastAsia="宋体" w:cs="Times New Roman"/>
                <w:color w:val="auto"/>
              </w:rPr>
              <w:t>C 叠加不达标</w:t>
            </w:r>
            <w:r>
              <w:rPr>
                <w:rFonts w:ascii="Times New Roman" w:hAnsi="Times New Roman" w:eastAsia="宋体" w:cs="Times New Roman"/>
                <w:color w:val="auto"/>
              </w:rPr>
              <w:sym w:font="Wingdings 2" w:char="00A3"/>
            </w:r>
          </w:p>
        </w:tc>
      </w:tr>
      <w:tr w14:paraId="1CC952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60AA4283">
            <w:pPr>
              <w:pStyle w:val="60"/>
              <w:rPr>
                <w:rFonts w:ascii="Times New Roman" w:hAnsi="Times New Roman" w:eastAsia="宋体" w:cs="Times New Roman"/>
                <w:color w:val="auto"/>
              </w:rPr>
            </w:pPr>
          </w:p>
        </w:tc>
        <w:tc>
          <w:tcPr>
            <w:tcW w:w="1902" w:type="dxa"/>
            <w:tcBorders>
              <w:tl2br w:val="nil"/>
              <w:tr2bl w:val="nil"/>
            </w:tcBorders>
            <w:vAlign w:val="center"/>
          </w:tcPr>
          <w:p w14:paraId="58D8F661">
            <w:pPr>
              <w:pStyle w:val="60"/>
              <w:rPr>
                <w:rFonts w:ascii="Times New Roman" w:hAnsi="Times New Roman" w:eastAsia="宋体" w:cs="Times New Roman"/>
                <w:color w:val="auto"/>
              </w:rPr>
            </w:pPr>
            <w:r>
              <w:rPr>
                <w:rFonts w:ascii="Times New Roman" w:hAnsi="Times New Roman" w:eastAsia="宋体" w:cs="Times New Roman"/>
                <w:color w:val="auto"/>
              </w:rPr>
              <w:t>区域环境质量的整体变化情况</w:t>
            </w:r>
          </w:p>
        </w:tc>
        <w:tc>
          <w:tcPr>
            <w:tcW w:w="2379" w:type="dxa"/>
            <w:gridSpan w:val="8"/>
            <w:tcBorders>
              <w:tl2br w:val="nil"/>
              <w:tr2bl w:val="nil"/>
            </w:tcBorders>
            <w:vAlign w:val="center"/>
          </w:tcPr>
          <w:p w14:paraId="75530133">
            <w:pPr>
              <w:pStyle w:val="60"/>
              <w:rPr>
                <w:rFonts w:ascii="Times New Roman" w:hAnsi="Times New Roman" w:eastAsia="宋体" w:cs="Times New Roman"/>
                <w:color w:val="auto"/>
              </w:rPr>
            </w:pPr>
            <w:r>
              <w:rPr>
                <w:rFonts w:ascii="Times New Roman" w:hAnsi="Times New Roman" w:eastAsia="宋体" w:cs="Times New Roman"/>
                <w:color w:val="auto"/>
              </w:rPr>
              <w:t>K≤-20%□</w:t>
            </w:r>
          </w:p>
        </w:tc>
        <w:tc>
          <w:tcPr>
            <w:tcW w:w="3563" w:type="dxa"/>
            <w:gridSpan w:val="13"/>
            <w:tcBorders>
              <w:tl2br w:val="nil"/>
              <w:tr2bl w:val="nil"/>
            </w:tcBorders>
            <w:vAlign w:val="center"/>
          </w:tcPr>
          <w:p w14:paraId="0737719D">
            <w:pPr>
              <w:pStyle w:val="60"/>
              <w:rPr>
                <w:rFonts w:ascii="Times New Roman" w:hAnsi="Times New Roman" w:eastAsia="宋体" w:cs="Times New Roman"/>
                <w:color w:val="auto"/>
              </w:rPr>
            </w:pPr>
            <w:r>
              <w:rPr>
                <w:rFonts w:ascii="Times New Roman" w:hAnsi="Times New Roman" w:eastAsia="宋体" w:cs="Times New Roman"/>
                <w:color w:val="auto"/>
              </w:rPr>
              <w:t>K</w:t>
            </w:r>
            <w:r>
              <w:rPr>
                <w:rFonts w:hint="eastAsia" w:eastAsia="宋体" w:cs="Times New Roman"/>
                <w:color w:val="auto"/>
                <w:lang w:eastAsia="zh-CN"/>
              </w:rPr>
              <w:t>&gt;</w:t>
            </w:r>
            <w:r>
              <w:rPr>
                <w:rFonts w:ascii="Times New Roman" w:hAnsi="Times New Roman" w:eastAsia="宋体" w:cs="Times New Roman"/>
                <w:color w:val="auto"/>
              </w:rPr>
              <w:t>-20%</w:t>
            </w:r>
            <w:r>
              <w:rPr>
                <w:rFonts w:ascii="Times New Roman" w:hAnsi="Times New Roman" w:eastAsia="宋体" w:cs="Times New Roman"/>
                <w:color w:val="auto"/>
              </w:rPr>
              <w:sym w:font="Wingdings 2" w:char="00A3"/>
            </w:r>
          </w:p>
        </w:tc>
      </w:tr>
      <w:tr w14:paraId="5D34F7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3C4DE38E">
            <w:pPr>
              <w:pStyle w:val="60"/>
              <w:rPr>
                <w:rFonts w:ascii="Times New Roman" w:hAnsi="Times New Roman" w:eastAsia="宋体" w:cs="Times New Roman"/>
                <w:color w:val="auto"/>
              </w:rPr>
            </w:pPr>
            <w:r>
              <w:rPr>
                <w:rFonts w:ascii="Times New Roman" w:hAnsi="Times New Roman" w:eastAsia="宋体" w:cs="Times New Roman"/>
                <w:color w:val="auto"/>
              </w:rPr>
              <w:t>环境监测计划</w:t>
            </w:r>
          </w:p>
        </w:tc>
        <w:tc>
          <w:tcPr>
            <w:tcW w:w="1902" w:type="dxa"/>
            <w:tcBorders>
              <w:tl2br w:val="nil"/>
              <w:tr2bl w:val="nil"/>
            </w:tcBorders>
            <w:vAlign w:val="center"/>
          </w:tcPr>
          <w:p w14:paraId="637BF2FA">
            <w:pPr>
              <w:pStyle w:val="60"/>
              <w:rPr>
                <w:rFonts w:ascii="Times New Roman" w:hAnsi="Times New Roman" w:eastAsia="宋体" w:cs="Times New Roman"/>
                <w:color w:val="auto"/>
              </w:rPr>
            </w:pPr>
            <w:r>
              <w:rPr>
                <w:rFonts w:ascii="Times New Roman" w:hAnsi="Times New Roman" w:eastAsia="宋体" w:cs="Times New Roman"/>
                <w:color w:val="auto"/>
              </w:rPr>
              <w:t>污染源监测</w:t>
            </w:r>
          </w:p>
        </w:tc>
        <w:tc>
          <w:tcPr>
            <w:tcW w:w="1865" w:type="dxa"/>
            <w:gridSpan w:val="6"/>
            <w:tcBorders>
              <w:tl2br w:val="nil"/>
              <w:tr2bl w:val="nil"/>
            </w:tcBorders>
            <w:vAlign w:val="center"/>
          </w:tcPr>
          <w:p w14:paraId="695B55D5">
            <w:pPr>
              <w:pStyle w:val="60"/>
              <w:rPr>
                <w:rFonts w:ascii="Times New Roman" w:hAnsi="Times New Roman" w:eastAsia="宋体" w:cs="Times New Roman"/>
                <w:color w:val="auto"/>
              </w:rPr>
            </w:pPr>
            <w:r>
              <w:rPr>
                <w:rFonts w:ascii="Times New Roman" w:hAnsi="Times New Roman" w:eastAsia="宋体" w:cs="Times New Roman"/>
                <w:color w:val="auto"/>
              </w:rPr>
              <w:t>监测因子：（H</w:t>
            </w:r>
            <w:r>
              <w:rPr>
                <w:rFonts w:ascii="Times New Roman" w:hAnsi="Times New Roman" w:eastAsia="宋体" w:cs="Times New Roman"/>
                <w:color w:val="auto"/>
                <w:vertAlign w:val="subscript"/>
              </w:rPr>
              <w:t>2</w:t>
            </w:r>
            <w:r>
              <w:rPr>
                <w:rFonts w:ascii="Times New Roman" w:hAnsi="Times New Roman" w:eastAsia="宋体" w:cs="Times New Roman"/>
                <w:color w:val="auto"/>
              </w:rPr>
              <w:t>S和</w:t>
            </w:r>
          </w:p>
          <w:p w14:paraId="78D5DF25">
            <w:pPr>
              <w:pStyle w:val="60"/>
              <w:rPr>
                <w:rFonts w:ascii="Times New Roman" w:hAnsi="Times New Roman" w:eastAsia="宋体" w:cs="Times New Roman"/>
                <w:color w:val="auto"/>
              </w:rPr>
            </w:pP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ascii="Times New Roman" w:hAnsi="Times New Roman" w:eastAsia="宋体" w:cs="Times New Roman"/>
                <w:color w:val="auto"/>
              </w:rPr>
              <w:t>）</w:t>
            </w:r>
          </w:p>
        </w:tc>
        <w:tc>
          <w:tcPr>
            <w:tcW w:w="1981" w:type="dxa"/>
            <w:gridSpan w:val="9"/>
            <w:tcBorders>
              <w:tl2br w:val="nil"/>
              <w:tr2bl w:val="nil"/>
            </w:tcBorders>
            <w:vAlign w:val="center"/>
          </w:tcPr>
          <w:p w14:paraId="050A3E84">
            <w:pPr>
              <w:pStyle w:val="60"/>
              <w:rPr>
                <w:rFonts w:ascii="Times New Roman" w:hAnsi="Times New Roman" w:eastAsia="宋体" w:cs="Times New Roman"/>
                <w:color w:val="auto"/>
              </w:rPr>
            </w:pPr>
            <w:r>
              <w:rPr>
                <w:rFonts w:ascii="Times New Roman" w:hAnsi="Times New Roman" w:eastAsia="宋体" w:cs="Times New Roman"/>
                <w:color w:val="auto"/>
              </w:rPr>
              <w:t>有组织废气监测</w:t>
            </w:r>
            <w:r>
              <w:rPr>
                <w:rFonts w:ascii="Times New Roman" w:hAnsi="Times New Roman" w:eastAsia="宋体" w:cs="Times New Roman"/>
                <w:color w:val="auto"/>
              </w:rPr>
              <w:sym w:font="Wingdings 2" w:char="00A3"/>
            </w:r>
          </w:p>
          <w:p w14:paraId="0CB98C5B">
            <w:pPr>
              <w:pStyle w:val="60"/>
              <w:rPr>
                <w:rFonts w:ascii="Times New Roman" w:hAnsi="Times New Roman" w:eastAsia="宋体" w:cs="Times New Roman"/>
                <w:color w:val="auto"/>
              </w:rPr>
            </w:pPr>
            <w:r>
              <w:rPr>
                <w:rFonts w:ascii="Times New Roman" w:hAnsi="Times New Roman" w:eastAsia="宋体" w:cs="Times New Roman"/>
                <w:color w:val="auto"/>
              </w:rPr>
              <w:t>无组织废气监测</w:t>
            </w:r>
            <w:r>
              <w:rPr>
                <w:rFonts w:ascii="Times New Roman" w:hAnsi="Times New Roman" w:eastAsia="宋体" w:cs="Times New Roman"/>
                <w:color w:val="auto"/>
              </w:rPr>
              <w:sym w:font="Wingdings 2" w:char="0052"/>
            </w:r>
          </w:p>
        </w:tc>
        <w:tc>
          <w:tcPr>
            <w:tcW w:w="2096" w:type="dxa"/>
            <w:gridSpan w:val="6"/>
            <w:tcBorders>
              <w:tl2br w:val="nil"/>
              <w:tr2bl w:val="nil"/>
            </w:tcBorders>
            <w:vAlign w:val="center"/>
          </w:tcPr>
          <w:p w14:paraId="11777A4E">
            <w:pPr>
              <w:pStyle w:val="60"/>
              <w:rPr>
                <w:rFonts w:ascii="Times New Roman" w:hAnsi="Times New Roman" w:eastAsia="宋体" w:cs="Times New Roman"/>
                <w:color w:val="auto"/>
              </w:rPr>
            </w:pPr>
            <w:r>
              <w:rPr>
                <w:rFonts w:ascii="Times New Roman" w:hAnsi="Times New Roman" w:eastAsia="宋体" w:cs="Times New Roman"/>
                <w:color w:val="auto"/>
              </w:rPr>
              <w:t>无监测</w:t>
            </w:r>
          </w:p>
        </w:tc>
      </w:tr>
      <w:tr w14:paraId="080A7B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386E9EC6">
            <w:pPr>
              <w:pStyle w:val="60"/>
              <w:rPr>
                <w:rFonts w:ascii="Times New Roman" w:hAnsi="Times New Roman" w:eastAsia="宋体" w:cs="Times New Roman"/>
                <w:color w:val="auto"/>
              </w:rPr>
            </w:pPr>
          </w:p>
        </w:tc>
        <w:tc>
          <w:tcPr>
            <w:tcW w:w="1902" w:type="dxa"/>
            <w:tcBorders>
              <w:tl2br w:val="nil"/>
              <w:tr2bl w:val="nil"/>
            </w:tcBorders>
            <w:vAlign w:val="center"/>
          </w:tcPr>
          <w:p w14:paraId="0E2AB319">
            <w:pPr>
              <w:pStyle w:val="60"/>
              <w:rPr>
                <w:rFonts w:ascii="Times New Roman" w:hAnsi="Times New Roman" w:eastAsia="宋体" w:cs="Times New Roman"/>
                <w:color w:val="auto"/>
              </w:rPr>
            </w:pPr>
            <w:r>
              <w:rPr>
                <w:rFonts w:ascii="Times New Roman" w:hAnsi="Times New Roman" w:eastAsia="宋体" w:cs="Times New Roman"/>
                <w:color w:val="auto"/>
              </w:rPr>
              <w:t>环境质量监测</w:t>
            </w:r>
          </w:p>
        </w:tc>
        <w:tc>
          <w:tcPr>
            <w:tcW w:w="1865" w:type="dxa"/>
            <w:gridSpan w:val="6"/>
            <w:tcBorders>
              <w:tl2br w:val="nil"/>
              <w:tr2bl w:val="nil"/>
            </w:tcBorders>
            <w:vAlign w:val="center"/>
          </w:tcPr>
          <w:p w14:paraId="05CC4566">
            <w:pPr>
              <w:pStyle w:val="60"/>
              <w:rPr>
                <w:rFonts w:hint="eastAsia" w:ascii="Times New Roman" w:hAnsi="Times New Roman" w:eastAsia="宋体" w:cs="Times New Roman"/>
                <w:color w:val="auto"/>
                <w:lang w:eastAsia="zh-CN"/>
              </w:rPr>
            </w:pPr>
            <w:r>
              <w:rPr>
                <w:rFonts w:ascii="Times New Roman" w:hAnsi="Times New Roman" w:eastAsia="宋体" w:cs="Times New Roman"/>
                <w:color w:val="auto"/>
              </w:rPr>
              <w:t>监测因子：（H</w:t>
            </w:r>
            <w:r>
              <w:rPr>
                <w:rFonts w:ascii="Times New Roman" w:hAnsi="Times New Roman" w:eastAsia="宋体" w:cs="Times New Roman"/>
                <w:color w:val="auto"/>
                <w:vertAlign w:val="subscript"/>
              </w:rPr>
              <w:t>2</w:t>
            </w:r>
            <w:r>
              <w:rPr>
                <w:rFonts w:ascii="Times New Roman" w:hAnsi="Times New Roman" w:eastAsia="宋体" w:cs="Times New Roman"/>
                <w:color w:val="auto"/>
              </w:rPr>
              <w:t>S</w:t>
            </w:r>
            <w:r>
              <w:rPr>
                <w:rFonts w:hint="eastAsia" w:eastAsia="宋体" w:cs="Times New Roman"/>
                <w:color w:val="auto"/>
                <w:lang w:eastAsia="zh-CN"/>
              </w:rPr>
              <w:t>、</w:t>
            </w:r>
          </w:p>
          <w:p w14:paraId="16C87E8B">
            <w:pPr>
              <w:pStyle w:val="60"/>
              <w:rPr>
                <w:rFonts w:ascii="Times New Roman" w:hAnsi="Times New Roman" w:eastAsia="宋体" w:cs="Times New Roman"/>
                <w:color w:val="auto"/>
              </w:rPr>
            </w:pP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hint="eastAsia" w:eastAsia="宋体" w:cs="Times New Roman"/>
                <w:color w:val="auto"/>
                <w:lang w:eastAsia="zh-CN"/>
              </w:rPr>
              <w:t>、</w:t>
            </w:r>
            <w:r>
              <w:rPr>
                <w:rFonts w:hint="eastAsia" w:eastAsia="宋体" w:cs="Times New Roman"/>
                <w:color w:val="auto"/>
                <w:lang w:val="en-US" w:eastAsia="zh-CN"/>
              </w:rPr>
              <w:t>PM</w:t>
            </w:r>
            <w:r>
              <w:rPr>
                <w:rFonts w:hint="eastAsia" w:eastAsia="宋体" w:cs="Times New Roman"/>
                <w:color w:val="auto"/>
                <w:vertAlign w:val="subscript"/>
                <w:lang w:val="en-US" w:eastAsia="zh-CN"/>
              </w:rPr>
              <w:t>10</w:t>
            </w:r>
            <w:r>
              <w:rPr>
                <w:rFonts w:hint="eastAsia" w:eastAsia="宋体" w:cs="Times New Roman"/>
                <w:color w:val="auto"/>
                <w:lang w:eastAsia="zh-CN"/>
              </w:rPr>
              <w:t>、</w:t>
            </w:r>
            <w:r>
              <w:rPr>
                <w:rFonts w:hint="eastAsia" w:eastAsia="宋体" w:cs="Times New Roman"/>
                <w:color w:val="auto"/>
                <w:lang w:val="en-US" w:eastAsia="zh-CN"/>
              </w:rPr>
              <w:t>SO</w:t>
            </w:r>
            <w:r>
              <w:rPr>
                <w:rFonts w:hint="eastAsia" w:eastAsia="宋体" w:cs="Times New Roman"/>
                <w:color w:val="auto"/>
                <w:vertAlign w:val="subscript"/>
                <w:lang w:val="en-US" w:eastAsia="zh-CN"/>
              </w:rPr>
              <w:t>2</w:t>
            </w:r>
            <w:r>
              <w:rPr>
                <w:rFonts w:hint="eastAsia" w:eastAsia="宋体" w:cs="Times New Roman"/>
                <w:color w:val="auto"/>
                <w:lang w:eastAsia="zh-CN"/>
              </w:rPr>
              <w:t>、</w:t>
            </w:r>
            <w:r>
              <w:rPr>
                <w:rFonts w:hint="eastAsia" w:eastAsia="宋体" w:cs="Times New Roman"/>
                <w:color w:val="auto"/>
                <w:lang w:val="en-US" w:eastAsia="zh-CN"/>
              </w:rPr>
              <w:t>NO</w:t>
            </w:r>
            <w:r>
              <w:rPr>
                <w:rFonts w:hint="eastAsia" w:eastAsia="宋体" w:cs="Times New Roman"/>
                <w:color w:val="auto"/>
                <w:vertAlign w:val="subscript"/>
                <w:lang w:val="en-US" w:eastAsia="zh-CN"/>
              </w:rPr>
              <w:t>2</w:t>
            </w:r>
            <w:r>
              <w:rPr>
                <w:rFonts w:ascii="Times New Roman" w:hAnsi="Times New Roman" w:eastAsia="宋体" w:cs="Times New Roman"/>
                <w:color w:val="auto"/>
              </w:rPr>
              <w:t>）</w:t>
            </w:r>
          </w:p>
        </w:tc>
        <w:tc>
          <w:tcPr>
            <w:tcW w:w="1981" w:type="dxa"/>
            <w:gridSpan w:val="9"/>
            <w:tcBorders>
              <w:tl2br w:val="nil"/>
              <w:tr2bl w:val="nil"/>
            </w:tcBorders>
            <w:vAlign w:val="center"/>
          </w:tcPr>
          <w:p w14:paraId="2837646D">
            <w:pPr>
              <w:pStyle w:val="60"/>
              <w:rPr>
                <w:rFonts w:ascii="Times New Roman" w:hAnsi="Times New Roman" w:eastAsia="宋体" w:cs="Times New Roman"/>
                <w:color w:val="auto"/>
              </w:rPr>
            </w:pPr>
            <w:r>
              <w:rPr>
                <w:rFonts w:ascii="Times New Roman" w:hAnsi="Times New Roman" w:eastAsia="宋体" w:cs="Times New Roman"/>
                <w:color w:val="auto"/>
              </w:rPr>
              <w:t>监测点位数（</w:t>
            </w:r>
            <w:r>
              <w:rPr>
                <w:rFonts w:hint="eastAsia" w:eastAsia="宋体" w:cs="Times New Roman"/>
                <w:color w:val="auto"/>
                <w:lang w:val="en-US" w:eastAsia="zh-CN"/>
              </w:rPr>
              <w:t>1</w:t>
            </w:r>
            <w:r>
              <w:rPr>
                <w:rFonts w:ascii="Times New Roman" w:hAnsi="Times New Roman" w:eastAsia="宋体" w:cs="Times New Roman"/>
                <w:color w:val="auto"/>
              </w:rPr>
              <w:t>）</w:t>
            </w:r>
          </w:p>
        </w:tc>
        <w:tc>
          <w:tcPr>
            <w:tcW w:w="2096" w:type="dxa"/>
            <w:gridSpan w:val="6"/>
            <w:tcBorders>
              <w:tl2br w:val="nil"/>
              <w:tr2bl w:val="nil"/>
            </w:tcBorders>
            <w:vAlign w:val="center"/>
          </w:tcPr>
          <w:p w14:paraId="259F71D6">
            <w:pPr>
              <w:pStyle w:val="60"/>
              <w:rPr>
                <w:rFonts w:ascii="Times New Roman" w:hAnsi="Times New Roman" w:eastAsia="宋体" w:cs="Times New Roman"/>
                <w:color w:val="auto"/>
              </w:rPr>
            </w:pPr>
            <w:r>
              <w:rPr>
                <w:rFonts w:ascii="Times New Roman" w:hAnsi="Times New Roman" w:eastAsia="宋体" w:cs="Times New Roman"/>
                <w:color w:val="auto"/>
              </w:rPr>
              <w:t>无监测</w:t>
            </w:r>
            <w:r>
              <w:rPr>
                <w:rFonts w:ascii="Times New Roman" w:hAnsi="Times New Roman" w:eastAsia="宋体" w:cs="Times New Roman"/>
                <w:color w:val="auto"/>
              </w:rPr>
              <w:sym w:font="Wingdings 2" w:char="00A3"/>
            </w:r>
          </w:p>
        </w:tc>
      </w:tr>
      <w:tr w14:paraId="69E471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restart"/>
            <w:tcBorders>
              <w:tl2br w:val="nil"/>
              <w:tr2bl w:val="nil"/>
            </w:tcBorders>
            <w:vAlign w:val="center"/>
          </w:tcPr>
          <w:p w14:paraId="57D13FD4">
            <w:pPr>
              <w:pStyle w:val="60"/>
              <w:rPr>
                <w:rFonts w:ascii="Times New Roman" w:hAnsi="Times New Roman" w:eastAsia="宋体" w:cs="Times New Roman"/>
                <w:color w:val="auto"/>
              </w:rPr>
            </w:pPr>
            <w:r>
              <w:rPr>
                <w:rFonts w:ascii="Times New Roman" w:hAnsi="Times New Roman" w:eastAsia="宋体" w:cs="Times New Roman"/>
                <w:color w:val="auto"/>
              </w:rPr>
              <w:t>评价结论</w:t>
            </w:r>
          </w:p>
        </w:tc>
        <w:tc>
          <w:tcPr>
            <w:tcW w:w="1902" w:type="dxa"/>
            <w:tcBorders>
              <w:tl2br w:val="nil"/>
              <w:tr2bl w:val="nil"/>
            </w:tcBorders>
            <w:vAlign w:val="center"/>
          </w:tcPr>
          <w:p w14:paraId="42C362D2">
            <w:pPr>
              <w:pStyle w:val="60"/>
              <w:rPr>
                <w:rFonts w:ascii="Times New Roman" w:hAnsi="Times New Roman" w:eastAsia="宋体" w:cs="Times New Roman"/>
                <w:color w:val="auto"/>
              </w:rPr>
            </w:pPr>
            <w:r>
              <w:rPr>
                <w:rFonts w:ascii="Times New Roman" w:hAnsi="Times New Roman" w:eastAsia="宋体" w:cs="Times New Roman"/>
                <w:color w:val="auto"/>
              </w:rPr>
              <w:t>环境影响</w:t>
            </w:r>
          </w:p>
        </w:tc>
        <w:tc>
          <w:tcPr>
            <w:tcW w:w="5942" w:type="dxa"/>
            <w:gridSpan w:val="21"/>
            <w:tcBorders>
              <w:tl2br w:val="nil"/>
              <w:tr2bl w:val="nil"/>
            </w:tcBorders>
            <w:vAlign w:val="center"/>
          </w:tcPr>
          <w:p w14:paraId="6F5DC6AC">
            <w:pPr>
              <w:pStyle w:val="60"/>
              <w:rPr>
                <w:rFonts w:ascii="Times New Roman" w:hAnsi="Times New Roman" w:eastAsia="宋体" w:cs="Times New Roman"/>
                <w:color w:val="auto"/>
              </w:rPr>
            </w:pPr>
            <w:r>
              <w:rPr>
                <w:rFonts w:ascii="Times New Roman" w:hAnsi="Times New Roman" w:eastAsia="宋体" w:cs="Times New Roman"/>
                <w:color w:val="auto"/>
              </w:rPr>
              <w:t>可以接受</w:t>
            </w:r>
            <w:r>
              <w:rPr>
                <w:rFonts w:ascii="Times New Roman" w:hAnsi="Times New Roman" w:eastAsia="宋体" w:cs="Times New Roman"/>
                <w:color w:val="auto"/>
              </w:rPr>
              <w:sym w:font="Wingdings 2" w:char="0052"/>
            </w:r>
            <w:r>
              <w:rPr>
                <w:rFonts w:ascii="Times New Roman" w:hAnsi="Times New Roman" w:eastAsia="宋体" w:cs="Times New Roman"/>
                <w:color w:val="auto"/>
              </w:rPr>
              <w:tab/>
            </w:r>
            <w:r>
              <w:rPr>
                <w:rFonts w:ascii="Times New Roman" w:hAnsi="Times New Roman" w:eastAsia="宋体" w:cs="Times New Roman"/>
                <w:color w:val="auto"/>
              </w:rPr>
              <w:t>不可以接受</w:t>
            </w:r>
            <w:r>
              <w:rPr>
                <w:rFonts w:ascii="Times New Roman" w:hAnsi="Times New Roman" w:eastAsia="宋体" w:cs="Times New Roman"/>
                <w:color w:val="auto"/>
              </w:rPr>
              <w:sym w:font="Wingdings 2" w:char="00A3"/>
            </w:r>
          </w:p>
        </w:tc>
      </w:tr>
      <w:tr w14:paraId="4367D7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2E3F6757">
            <w:pPr>
              <w:pStyle w:val="60"/>
              <w:rPr>
                <w:rFonts w:ascii="Times New Roman" w:hAnsi="Times New Roman" w:eastAsia="宋体" w:cs="Times New Roman"/>
                <w:color w:val="auto"/>
              </w:rPr>
            </w:pPr>
          </w:p>
        </w:tc>
        <w:tc>
          <w:tcPr>
            <w:tcW w:w="1902" w:type="dxa"/>
            <w:tcBorders>
              <w:tl2br w:val="nil"/>
              <w:tr2bl w:val="nil"/>
            </w:tcBorders>
            <w:vAlign w:val="center"/>
          </w:tcPr>
          <w:p w14:paraId="736A4587">
            <w:pPr>
              <w:pStyle w:val="60"/>
              <w:rPr>
                <w:rFonts w:ascii="Times New Roman" w:hAnsi="Times New Roman" w:eastAsia="宋体" w:cs="Times New Roman"/>
                <w:color w:val="auto"/>
              </w:rPr>
            </w:pPr>
            <w:r>
              <w:rPr>
                <w:rFonts w:ascii="Times New Roman" w:hAnsi="Times New Roman" w:eastAsia="宋体" w:cs="Times New Roman"/>
                <w:color w:val="auto"/>
              </w:rPr>
              <w:t>大气环境防护距离</w:t>
            </w:r>
          </w:p>
        </w:tc>
        <w:tc>
          <w:tcPr>
            <w:tcW w:w="5942" w:type="dxa"/>
            <w:gridSpan w:val="21"/>
            <w:tcBorders>
              <w:tl2br w:val="nil"/>
              <w:tr2bl w:val="nil"/>
            </w:tcBorders>
            <w:vAlign w:val="center"/>
          </w:tcPr>
          <w:p w14:paraId="60240805">
            <w:pPr>
              <w:pStyle w:val="60"/>
              <w:rPr>
                <w:rFonts w:ascii="Times New Roman" w:hAnsi="Times New Roman" w:eastAsia="宋体" w:cs="Times New Roman"/>
                <w:color w:val="auto"/>
              </w:rPr>
            </w:pPr>
            <w:r>
              <w:rPr>
                <w:rFonts w:ascii="Times New Roman" w:hAnsi="Times New Roman" w:eastAsia="宋体" w:cs="Times New Roman"/>
                <w:color w:val="auto"/>
              </w:rPr>
              <w:t>距（/）厂界最远（/）m</w:t>
            </w:r>
          </w:p>
        </w:tc>
      </w:tr>
      <w:tr w14:paraId="0A8AE7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000" w:type="dxa"/>
            <w:vMerge w:val="continue"/>
            <w:tcBorders>
              <w:tl2br w:val="nil"/>
              <w:tr2bl w:val="nil"/>
            </w:tcBorders>
            <w:vAlign w:val="center"/>
          </w:tcPr>
          <w:p w14:paraId="33687602">
            <w:pPr>
              <w:pStyle w:val="60"/>
              <w:rPr>
                <w:rFonts w:ascii="Times New Roman" w:hAnsi="Times New Roman" w:eastAsia="宋体" w:cs="Times New Roman"/>
                <w:color w:val="auto"/>
              </w:rPr>
            </w:pPr>
          </w:p>
        </w:tc>
        <w:tc>
          <w:tcPr>
            <w:tcW w:w="1902" w:type="dxa"/>
            <w:tcBorders>
              <w:tl2br w:val="nil"/>
              <w:tr2bl w:val="nil"/>
            </w:tcBorders>
            <w:vAlign w:val="center"/>
          </w:tcPr>
          <w:p w14:paraId="6B58EFA7">
            <w:pPr>
              <w:pStyle w:val="60"/>
              <w:rPr>
                <w:rFonts w:ascii="Times New Roman" w:hAnsi="Times New Roman" w:eastAsia="宋体" w:cs="Times New Roman"/>
                <w:color w:val="auto"/>
              </w:rPr>
            </w:pPr>
            <w:r>
              <w:rPr>
                <w:rFonts w:ascii="Times New Roman" w:hAnsi="Times New Roman" w:eastAsia="宋体" w:cs="Times New Roman"/>
                <w:color w:val="auto"/>
              </w:rPr>
              <w:t>污染源年排放量</w:t>
            </w:r>
          </w:p>
        </w:tc>
        <w:tc>
          <w:tcPr>
            <w:tcW w:w="1464" w:type="dxa"/>
            <w:gridSpan w:val="4"/>
            <w:tcBorders>
              <w:tl2br w:val="nil"/>
              <w:tr2bl w:val="nil"/>
            </w:tcBorders>
            <w:vAlign w:val="center"/>
          </w:tcPr>
          <w:p w14:paraId="615FA482">
            <w:pPr>
              <w:pStyle w:val="60"/>
              <w:rPr>
                <w:rFonts w:ascii="Times New Roman" w:hAnsi="Times New Roman" w:eastAsia="宋体" w:cs="Times New Roman"/>
                <w:color w:val="auto"/>
              </w:rPr>
            </w:pPr>
            <w:r>
              <w:rPr>
                <w:rFonts w:ascii="Times New Roman" w:hAnsi="Times New Roman" w:eastAsia="宋体" w:cs="Times New Roman"/>
                <w:color w:val="auto"/>
              </w:rPr>
              <w:t>SO</w:t>
            </w:r>
            <w:r>
              <w:rPr>
                <w:rFonts w:ascii="Times New Roman" w:hAnsi="Times New Roman" w:eastAsia="宋体" w:cs="Times New Roman"/>
                <w:color w:val="auto"/>
                <w:vertAlign w:val="subscript"/>
              </w:rPr>
              <w:t>2</w:t>
            </w:r>
            <w:r>
              <w:rPr>
                <w:rFonts w:ascii="Times New Roman" w:hAnsi="Times New Roman" w:eastAsia="宋体" w:cs="Times New Roman"/>
                <w:color w:val="auto"/>
              </w:rPr>
              <w:t>：（</w:t>
            </w:r>
            <w:r>
              <w:rPr>
                <w:rFonts w:hint="eastAsia" w:eastAsia="宋体" w:cs="Times New Roman"/>
                <w:color w:val="auto"/>
                <w:lang w:val="en-US" w:eastAsia="zh-CN"/>
              </w:rPr>
              <w:t>0.0818</w:t>
            </w:r>
            <w:r>
              <w:rPr>
                <w:rFonts w:ascii="Times New Roman" w:hAnsi="Times New Roman" w:eastAsia="宋体" w:cs="Times New Roman"/>
                <w:color w:val="auto"/>
              </w:rPr>
              <w:t>）t/a</w:t>
            </w:r>
          </w:p>
        </w:tc>
        <w:tc>
          <w:tcPr>
            <w:tcW w:w="1311" w:type="dxa"/>
            <w:gridSpan w:val="6"/>
            <w:tcBorders>
              <w:tl2br w:val="nil"/>
              <w:tr2bl w:val="nil"/>
            </w:tcBorders>
            <w:vAlign w:val="center"/>
          </w:tcPr>
          <w:p w14:paraId="7CE28BC8">
            <w:pPr>
              <w:pStyle w:val="60"/>
              <w:rPr>
                <w:rFonts w:ascii="Times New Roman" w:hAnsi="Times New Roman" w:eastAsia="宋体" w:cs="Times New Roman"/>
                <w:color w:val="auto"/>
              </w:rPr>
            </w:pPr>
            <w:r>
              <w:rPr>
                <w:rFonts w:ascii="Times New Roman" w:hAnsi="Times New Roman" w:eastAsia="宋体" w:cs="Times New Roman"/>
                <w:color w:val="auto"/>
              </w:rPr>
              <w:t>NO</w:t>
            </w:r>
            <w:r>
              <w:rPr>
                <w:rFonts w:hint="eastAsia" w:eastAsia="宋体" w:cs="Times New Roman"/>
                <w:color w:val="auto"/>
                <w:vertAlign w:val="subscript"/>
                <w:lang w:val="en-US" w:eastAsia="zh-CN"/>
              </w:rPr>
              <w:t>2</w:t>
            </w:r>
            <w:r>
              <w:rPr>
                <w:rFonts w:ascii="Times New Roman" w:hAnsi="Times New Roman" w:eastAsia="宋体" w:cs="Times New Roman"/>
                <w:color w:val="auto"/>
              </w:rPr>
              <w:t>：（</w:t>
            </w:r>
            <w:r>
              <w:rPr>
                <w:rFonts w:hint="eastAsia" w:eastAsia="宋体" w:cs="Times New Roman"/>
                <w:color w:val="auto"/>
                <w:lang w:val="en-US" w:eastAsia="zh-CN"/>
              </w:rPr>
              <w:t>0.306</w:t>
            </w:r>
            <w:r>
              <w:rPr>
                <w:rFonts w:ascii="Times New Roman" w:hAnsi="Times New Roman" w:eastAsia="宋体" w:cs="Times New Roman"/>
                <w:color w:val="auto"/>
              </w:rPr>
              <w:t>）t/a</w:t>
            </w:r>
          </w:p>
        </w:tc>
        <w:tc>
          <w:tcPr>
            <w:tcW w:w="1569" w:type="dxa"/>
            <w:gridSpan w:val="7"/>
            <w:tcBorders>
              <w:tl2br w:val="nil"/>
              <w:tr2bl w:val="nil"/>
            </w:tcBorders>
            <w:vAlign w:val="center"/>
          </w:tcPr>
          <w:p w14:paraId="5A5FBBA7">
            <w:pPr>
              <w:pStyle w:val="60"/>
              <w:rPr>
                <w:rFonts w:ascii="Times New Roman" w:hAnsi="Times New Roman" w:eastAsia="宋体" w:cs="Times New Roman"/>
                <w:color w:val="auto"/>
              </w:rPr>
            </w:pPr>
            <w:r>
              <w:rPr>
                <w:rFonts w:hint="eastAsia" w:eastAsia="宋体" w:cs="Times New Roman"/>
                <w:color w:val="auto"/>
                <w:lang w:val="en-US" w:eastAsia="zh-CN"/>
              </w:rPr>
              <w:t>PM</w:t>
            </w:r>
            <w:r>
              <w:rPr>
                <w:rFonts w:hint="eastAsia" w:eastAsia="宋体" w:cs="Times New Roman"/>
                <w:color w:val="auto"/>
                <w:vertAlign w:val="subscript"/>
                <w:lang w:val="en-US" w:eastAsia="zh-CN"/>
              </w:rPr>
              <w:t>10</w:t>
            </w:r>
            <w:r>
              <w:rPr>
                <w:rFonts w:ascii="Times New Roman" w:hAnsi="Times New Roman" w:eastAsia="宋体" w:cs="Times New Roman"/>
                <w:color w:val="auto"/>
              </w:rPr>
              <w:t>：（</w:t>
            </w:r>
            <w:r>
              <w:rPr>
                <w:rFonts w:hint="eastAsia" w:eastAsia="宋体" w:cs="Times New Roman"/>
                <w:color w:val="auto"/>
                <w:lang w:val="en-US" w:eastAsia="zh-CN"/>
              </w:rPr>
              <w:t>0.065</w:t>
            </w:r>
            <w:r>
              <w:rPr>
                <w:rFonts w:ascii="Times New Roman" w:hAnsi="Times New Roman" w:eastAsia="宋体" w:cs="Times New Roman"/>
                <w:color w:val="auto"/>
              </w:rPr>
              <w:t>）t/a</w:t>
            </w:r>
          </w:p>
        </w:tc>
        <w:tc>
          <w:tcPr>
            <w:tcW w:w="1598" w:type="dxa"/>
            <w:gridSpan w:val="4"/>
            <w:tcBorders>
              <w:tl2br w:val="nil"/>
              <w:tr2bl w:val="nil"/>
            </w:tcBorders>
            <w:vAlign w:val="center"/>
          </w:tcPr>
          <w:p w14:paraId="3BEB0C21">
            <w:pPr>
              <w:pStyle w:val="60"/>
              <w:rPr>
                <w:rFonts w:ascii="Times New Roman" w:hAnsi="Times New Roman" w:eastAsia="宋体" w:cs="Times New Roman"/>
                <w:color w:val="auto"/>
              </w:rPr>
            </w:pPr>
            <w:r>
              <w:rPr>
                <w:rFonts w:ascii="Times New Roman" w:hAnsi="Times New Roman" w:eastAsia="宋体" w:cs="Times New Roman"/>
                <w:color w:val="auto"/>
              </w:rPr>
              <w:t>VOCs（/）t/a</w:t>
            </w:r>
          </w:p>
        </w:tc>
      </w:tr>
      <w:tr w14:paraId="4FF4FF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844" w:type="dxa"/>
            <w:gridSpan w:val="23"/>
            <w:tcBorders>
              <w:tl2br w:val="nil"/>
              <w:tr2bl w:val="nil"/>
            </w:tcBorders>
            <w:vAlign w:val="center"/>
          </w:tcPr>
          <w:p w14:paraId="123A735B">
            <w:pPr>
              <w:pStyle w:val="60"/>
              <w:rPr>
                <w:rFonts w:ascii="Times New Roman" w:hAnsi="Times New Roman" w:eastAsia="宋体" w:cs="Times New Roman"/>
                <w:color w:val="auto"/>
              </w:rPr>
            </w:pPr>
            <w:r>
              <w:rPr>
                <w:rFonts w:ascii="Times New Roman" w:hAnsi="Times New Roman" w:eastAsia="宋体" w:cs="Times New Roman"/>
                <w:color w:val="auto"/>
              </w:rPr>
              <w:t>注：“□”为勾选项，填“√”；“（</w:t>
            </w:r>
            <w:r>
              <w:rPr>
                <w:rFonts w:ascii="Times New Roman" w:hAnsi="Times New Roman" w:eastAsia="宋体" w:cs="Times New Roman"/>
                <w:color w:val="auto"/>
              </w:rPr>
              <w:tab/>
            </w:r>
            <w:r>
              <w:rPr>
                <w:rFonts w:ascii="Times New Roman" w:hAnsi="Times New Roman" w:eastAsia="宋体" w:cs="Times New Roman"/>
                <w:color w:val="auto"/>
              </w:rPr>
              <w:t>）”为内容填写项</w:t>
            </w:r>
          </w:p>
        </w:tc>
      </w:tr>
    </w:tbl>
    <w:p w14:paraId="3F27C239">
      <w:pPr>
        <w:pStyle w:val="5"/>
        <w:numPr>
          <w:ilvl w:val="2"/>
          <w:numId w:val="1"/>
        </w:numPr>
        <w:ind w:left="120"/>
        <w:rPr>
          <w:rFonts w:ascii="Times New Roman" w:hAnsi="Times New Roman" w:cs="Times New Roman"/>
          <w:color w:val="auto"/>
        </w:rPr>
      </w:pPr>
      <w:bookmarkStart w:id="187" w:name="_Toc23520"/>
      <w:r>
        <w:rPr>
          <w:rFonts w:ascii="Times New Roman" w:hAnsi="Times New Roman" w:cs="Times New Roman"/>
          <w:color w:val="auto"/>
        </w:rPr>
        <w:t>水环境影响分析与评价</w:t>
      </w:r>
      <w:bookmarkEnd w:id="187"/>
    </w:p>
    <w:p w14:paraId="743164FC">
      <w:pPr>
        <w:pStyle w:val="6"/>
        <w:ind w:left="240"/>
        <w:rPr>
          <w:rFonts w:ascii="Times New Roman" w:hAnsi="Times New Roman" w:cs="Times New Roman"/>
          <w:color w:val="auto"/>
        </w:rPr>
      </w:pPr>
      <w:bookmarkStart w:id="188" w:name="5.2.2.1地表水环境影响分析"/>
      <w:bookmarkEnd w:id="188"/>
      <w:r>
        <w:rPr>
          <w:rFonts w:hint="eastAsia" w:cs="Times New Roman"/>
          <w:color w:val="auto"/>
          <w:lang w:val="en-US" w:eastAsia="zh-CN"/>
        </w:rPr>
        <w:t>5</w:t>
      </w:r>
      <w:r>
        <w:rPr>
          <w:rFonts w:ascii="Times New Roman" w:hAnsi="Times New Roman" w:cs="Times New Roman"/>
          <w:color w:val="auto"/>
        </w:rPr>
        <w:t>.2.2.1地表水环境影响分析</w:t>
      </w:r>
    </w:p>
    <w:p w14:paraId="4A4516F5">
      <w:pPr>
        <w:ind w:firstLine="480"/>
        <w:rPr>
          <w:rFonts w:hint="default" w:ascii="Times New Roman" w:hAnsi="Times New Roman" w:cs="Times New Roman" w:eastAsiaTheme="minorEastAsia"/>
          <w:color w:val="auto"/>
          <w:lang w:val="en-US" w:eastAsia="zh-CN"/>
        </w:rPr>
      </w:pPr>
      <w:r>
        <w:rPr>
          <w:rFonts w:hint="eastAsia" w:cs="Times New Roman"/>
          <w:color w:val="auto"/>
          <w:lang w:val="en-US" w:eastAsia="zh-CN"/>
        </w:rPr>
        <w:t>根据工程分析，本项目产生生活废水</w:t>
      </w:r>
      <w:r>
        <w:rPr>
          <w:rFonts w:hint="eastAsia"/>
          <w:color w:val="000000" w:themeColor="text1"/>
          <w:lang w:val="en-US" w:eastAsia="zh-CN"/>
          <w14:textFill>
            <w14:solidFill>
              <w14:schemeClr w14:val="tx1"/>
            </w14:solidFill>
          </w14:textFill>
        </w:rPr>
        <w:t>336</w:t>
      </w:r>
      <w:r>
        <w:rPr>
          <w:rFonts w:ascii="Times New Roman" w:hAnsi="Times New Roman"/>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自然散失90%，预计33.6</w:t>
      </w:r>
      <w:r>
        <w:rPr>
          <w:rFonts w:ascii="Times New Roman" w:hAnsi="Times New Roman"/>
          <w:color w:val="000000" w:themeColor="text1"/>
          <w14:textFill>
            <w14:solidFill>
              <w14:schemeClr w14:val="tx1"/>
            </w14:solidFill>
          </w14:textFill>
        </w:rPr>
        <w:t>t/a</w:t>
      </w:r>
      <w:r>
        <w:rPr>
          <w:rFonts w:hint="eastAsia"/>
          <w:color w:val="000000" w:themeColor="text1"/>
          <w:lang w:val="en-US" w:eastAsia="zh-CN"/>
          <w14:textFill>
            <w14:solidFill>
              <w14:schemeClr w14:val="tx1"/>
            </w14:solidFill>
          </w14:textFill>
        </w:rPr>
        <w:t>抽排到63团污水处理厂，63团污水处理厂为生活污水处理厂，本项目抽排量很少，不会影响污水处理厂负荷，且废水污染性质适合污水处理厂工艺，因此处理方式合理</w:t>
      </w:r>
      <w:r>
        <w:rPr>
          <w:rFonts w:hint="eastAsia" w:ascii="Times New Roman" w:hAnsi="Times New Roman" w:cs="Times New Roman"/>
          <w:color w:val="auto"/>
          <w:lang w:val="en-US" w:eastAsia="zh-CN"/>
        </w:rPr>
        <w:t>。</w:t>
      </w:r>
      <w:r>
        <w:rPr>
          <w:rFonts w:hint="eastAsia" w:cs="Times New Roman"/>
          <w:color w:val="auto"/>
          <w:lang w:val="en-US" w:eastAsia="zh-CN"/>
        </w:rPr>
        <w:t>本项目养殖废水</w:t>
      </w:r>
      <w:r>
        <w:rPr>
          <w:rFonts w:hint="eastAsia"/>
          <w:color w:val="000000" w:themeColor="text1"/>
          <w:lang w:val="en-US" w:eastAsia="zh-CN"/>
          <w14:textFill>
            <w14:solidFill>
              <w14:schemeClr w14:val="tx1"/>
            </w14:solidFill>
          </w14:textFill>
        </w:rPr>
        <w:t>1762.5</w:t>
      </w:r>
      <w:r>
        <w:rPr>
          <w:rFonts w:ascii="Times New Roman" w:hAnsi="Times New Roman"/>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废水污染物主要为BOD、COD、氨氮等，无累积性污染物，适合绿化浇灌，通过鸭场污水处理设施处理后回用于场区绿化浇灌，处理方式合理。</w:t>
      </w:r>
    </w:p>
    <w:p w14:paraId="2D70A911">
      <w:pPr>
        <w:pStyle w:val="6"/>
        <w:ind w:left="240"/>
        <w:rPr>
          <w:rFonts w:ascii="Times New Roman" w:hAnsi="Times New Roman" w:cs="Times New Roman"/>
          <w:color w:val="auto"/>
        </w:rPr>
      </w:pPr>
      <w:bookmarkStart w:id="189" w:name="5.2.2.2地下水环境影响分析"/>
      <w:bookmarkEnd w:id="189"/>
      <w:r>
        <w:rPr>
          <w:rFonts w:hint="eastAsia" w:cs="Times New Roman"/>
          <w:color w:val="auto"/>
          <w:lang w:val="en-US" w:eastAsia="zh-CN"/>
        </w:rPr>
        <w:t>5</w:t>
      </w:r>
      <w:r>
        <w:rPr>
          <w:rFonts w:ascii="Times New Roman" w:hAnsi="Times New Roman" w:cs="Times New Roman"/>
          <w:color w:val="auto"/>
        </w:rPr>
        <w:t>.2.2.2地下水环境影响分析</w:t>
      </w:r>
    </w:p>
    <w:p w14:paraId="285D8611">
      <w:pPr>
        <w:ind w:firstLine="480"/>
        <w:rPr>
          <w:rFonts w:ascii="Times New Roman" w:hAnsi="Times New Roman" w:cs="Times New Roman"/>
          <w:color w:val="auto"/>
        </w:rPr>
      </w:pPr>
      <w:r>
        <w:rPr>
          <w:rFonts w:hint="eastAsia" w:cs="Times New Roman"/>
          <w:color w:val="auto"/>
          <w:lang w:eastAsia="zh-CN"/>
        </w:rPr>
        <w:t>1.</w:t>
      </w:r>
      <w:r>
        <w:rPr>
          <w:rFonts w:ascii="Times New Roman" w:hAnsi="Times New Roman" w:cs="Times New Roman"/>
          <w:color w:val="auto"/>
        </w:rPr>
        <w:t>评价区水文地质概况</w:t>
      </w:r>
    </w:p>
    <w:p w14:paraId="71C6A6F1">
      <w:pPr>
        <w:ind w:firstLine="480"/>
        <w:rPr>
          <w:rFonts w:ascii="Times New Roman" w:hAnsi="Times New Roman" w:cs="Times New Roman"/>
          <w:color w:val="auto"/>
        </w:rPr>
      </w:pPr>
      <w:bookmarkStart w:id="190" w:name="_Toc918"/>
      <w:r>
        <w:rPr>
          <w:rFonts w:ascii="Times New Roman" w:hAnsi="Times New Roman" w:cs="Times New Roman"/>
          <w:color w:val="auto"/>
        </w:rPr>
        <w:t>（1）区域地质</w:t>
      </w:r>
      <w:bookmarkEnd w:id="190"/>
    </w:p>
    <w:p w14:paraId="6299FA91">
      <w:pPr>
        <w:ind w:firstLine="480"/>
        <w:rPr>
          <w:rFonts w:ascii="Times New Roman" w:hAnsi="Times New Roman" w:eastAsia="宋体" w:cs="Times New Roman"/>
          <w:color w:val="auto"/>
          <w:szCs w:val="24"/>
        </w:rPr>
      </w:pPr>
      <w:bookmarkStart w:id="191" w:name="_Toc30348"/>
      <w:r>
        <w:rPr>
          <w:rFonts w:hint="eastAsia" w:ascii="Times New Roman" w:hAnsi="Times New Roman" w:eastAsia="宋体" w:cs="Times New Roman"/>
          <w:color w:val="auto"/>
          <w:szCs w:val="24"/>
        </w:rPr>
        <w:t>63团位于中天山海西褶皱伊犁盆地中部伊犁河北岸沙漠边缘，具有内陆地自流盆地的性质和半干燥型气候条件，决定团场的外地质作用，</w:t>
      </w:r>
      <w:r>
        <w:rPr>
          <w:rFonts w:hint="eastAsia" w:eastAsia="宋体" w:cs="Times New Roman"/>
          <w:color w:val="auto"/>
          <w:szCs w:val="24"/>
          <w:lang w:eastAsia="zh-CN"/>
        </w:rPr>
        <w:t>是以物理分化作用和堆积形式为主</w:t>
      </w:r>
      <w:r>
        <w:rPr>
          <w:rFonts w:hint="eastAsia" w:ascii="Times New Roman" w:hAnsi="Times New Roman" w:eastAsia="宋体" w:cs="Times New Roman"/>
          <w:color w:val="auto"/>
          <w:szCs w:val="24"/>
        </w:rPr>
        <w:t>。因中天山是海西褶皱带，在燕山期及喜马拉雅山期的洼陷盆地，从第四纪以来一直以下降运动为主，因此沉积了巨厚的第四纪堆积物。</w:t>
      </w:r>
      <w:r>
        <w:rPr>
          <w:rFonts w:hint="eastAsia" w:ascii="Times New Roman" w:hAnsi="Times New Roman" w:eastAsia="宋体" w:cs="Times New Roman"/>
          <w:color w:val="auto"/>
          <w:szCs w:val="24"/>
          <w:lang w:eastAsia="zh-CN"/>
        </w:rPr>
        <w:t>63团</w:t>
      </w:r>
      <w:r>
        <w:rPr>
          <w:rFonts w:hint="eastAsia" w:ascii="Times New Roman" w:hAnsi="Times New Roman" w:eastAsia="宋体" w:cs="Times New Roman"/>
          <w:color w:val="auto"/>
          <w:szCs w:val="24"/>
        </w:rPr>
        <w:t>位于伊犁河冲洪积平原上，为巨厚的第四系冲洪积细粒土覆盖，无区域性构造通过</w:t>
      </w:r>
      <w:r>
        <w:rPr>
          <w:rFonts w:ascii="Times New Roman" w:hAnsi="Times New Roman" w:eastAsia="宋体" w:cs="Times New Roman"/>
          <w:color w:val="auto"/>
          <w:szCs w:val="24"/>
        </w:rPr>
        <w:t>。</w:t>
      </w:r>
      <w:bookmarkEnd w:id="191"/>
    </w:p>
    <w:p w14:paraId="71FE831C">
      <w:pPr>
        <w:ind w:firstLine="480"/>
        <w:rPr>
          <w:rFonts w:ascii="Times New Roman" w:hAnsi="Times New Roman" w:cs="Times New Roman"/>
          <w:color w:val="auto"/>
        </w:rPr>
      </w:pPr>
      <w:bookmarkStart w:id="192" w:name="_Toc31653"/>
      <w:r>
        <w:rPr>
          <w:rFonts w:ascii="Times New Roman" w:hAnsi="Times New Roman" w:cs="Times New Roman"/>
          <w:color w:val="auto"/>
        </w:rPr>
        <w:t>（2）评价区地层概况</w:t>
      </w:r>
      <w:bookmarkEnd w:id="192"/>
    </w:p>
    <w:p w14:paraId="0A9D6CDB">
      <w:pPr>
        <w:ind w:firstLine="480"/>
        <w:rPr>
          <w:rFonts w:ascii="Times New Roman" w:hAnsi="Times New Roman" w:eastAsia="宋体" w:cs="Times New Roman"/>
          <w:color w:val="auto"/>
          <w:szCs w:val="24"/>
        </w:rPr>
      </w:pPr>
      <w:r>
        <w:rPr>
          <w:rFonts w:ascii="Times New Roman" w:hAnsi="Times New Roman" w:eastAsia="宋体" w:cs="Times New Roman"/>
          <w:color w:val="auto"/>
          <w:szCs w:val="24"/>
        </w:rPr>
        <w:t>在勘探范围内，场地地层</w:t>
      </w:r>
      <w:r>
        <w:rPr>
          <w:rFonts w:hint="eastAsia" w:ascii="Times New Roman" w:hAnsi="Times New Roman" w:eastAsia="宋体" w:cs="Times New Roman"/>
          <w:color w:val="auto"/>
          <w:szCs w:val="24"/>
          <w:lang w:eastAsia="zh-CN"/>
        </w:rPr>
        <w:t>主要</w:t>
      </w:r>
      <w:r>
        <w:rPr>
          <w:rFonts w:ascii="Times New Roman" w:hAnsi="Times New Roman" w:eastAsia="宋体" w:cs="Times New Roman"/>
          <w:color w:val="auto"/>
          <w:szCs w:val="24"/>
        </w:rPr>
        <w:t>由第四系全新统冲积</w:t>
      </w:r>
      <w:r>
        <w:rPr>
          <w:rFonts w:hint="eastAsia" w:ascii="Times New Roman" w:hAnsi="Times New Roman" w:eastAsia="宋体" w:cs="Times New Roman"/>
          <w:color w:val="auto"/>
          <w:szCs w:val="24"/>
          <w:lang w:val="en-US" w:eastAsia="zh-CN"/>
        </w:rPr>
        <w:t>细砂</w:t>
      </w:r>
      <w:r>
        <w:rPr>
          <w:rFonts w:ascii="Times New Roman" w:hAnsi="Times New Roman" w:eastAsia="宋体" w:cs="Times New Roman"/>
          <w:color w:val="auto"/>
          <w:szCs w:val="24"/>
        </w:rPr>
        <w:t>层组成，按地层岩性划分地基土，土层自上而下分述如下：</w:t>
      </w:r>
    </w:p>
    <w:p w14:paraId="26EF021D">
      <w:pPr>
        <w:ind w:firstLine="480"/>
        <w:rPr>
          <w:rFonts w:ascii="Times New Roman" w:hAnsi="Times New Roman" w:eastAsia="宋体" w:cs="Times New Roman"/>
          <w:color w:val="auto"/>
          <w:szCs w:val="24"/>
          <w:lang w:val="en-US" w:eastAsia="zh-CN"/>
        </w:rPr>
      </w:pPr>
      <w:r>
        <w:rPr>
          <w:rFonts w:ascii="Times New Roman" w:hAnsi="Times New Roman" w:eastAsia="宋体" w:cs="Times New Roman"/>
          <w:color w:val="auto"/>
          <w:szCs w:val="24"/>
          <w:lang w:val="en-US" w:eastAsia="zh-CN"/>
        </w:rPr>
        <w:t>在勘察深度范围内，该场地地表为①细砂（Q</w:t>
      </w:r>
      <w:r>
        <w:rPr>
          <w:rFonts w:ascii="Times New Roman" w:hAnsi="Times New Roman" w:eastAsia="宋体" w:cs="Times New Roman"/>
          <w:color w:val="auto"/>
          <w:szCs w:val="24"/>
          <w:vertAlign w:val="subscript"/>
          <w:lang w:val="en-US" w:eastAsia="zh-CN"/>
        </w:rPr>
        <w:t>4</w:t>
      </w:r>
      <w:r>
        <w:rPr>
          <w:rFonts w:ascii="Times New Roman" w:hAnsi="Times New Roman" w:eastAsia="宋体" w:cs="Times New Roman"/>
          <w:color w:val="auto"/>
          <w:szCs w:val="24"/>
          <w:vertAlign w:val="superscript"/>
          <w:lang w:val="en-US" w:eastAsia="zh-CN"/>
        </w:rPr>
        <w:t>eol</w:t>
      </w:r>
      <w:r>
        <w:rPr>
          <w:rFonts w:ascii="Times New Roman" w:hAnsi="Times New Roman" w:eastAsia="宋体" w:cs="Times New Roman"/>
          <w:color w:val="auto"/>
          <w:szCs w:val="24"/>
          <w:lang w:val="en-US" w:eastAsia="zh-CN"/>
        </w:rPr>
        <w:t>）、②细砂（Q</w:t>
      </w:r>
      <w:r>
        <w:rPr>
          <w:rFonts w:ascii="Times New Roman" w:hAnsi="Times New Roman" w:eastAsia="宋体" w:cs="Times New Roman"/>
          <w:color w:val="auto"/>
          <w:szCs w:val="24"/>
          <w:vertAlign w:val="subscript"/>
          <w:lang w:val="en-US" w:eastAsia="zh-CN"/>
        </w:rPr>
        <w:t>4</w:t>
      </w:r>
      <w:r>
        <w:rPr>
          <w:rFonts w:ascii="Times New Roman" w:hAnsi="Times New Roman" w:eastAsia="宋体" w:cs="Times New Roman"/>
          <w:color w:val="auto"/>
          <w:szCs w:val="24"/>
          <w:vertAlign w:val="superscript"/>
          <w:lang w:val="en-US" w:eastAsia="zh-CN"/>
        </w:rPr>
        <w:t>al+pl</w:t>
      </w:r>
      <w:r>
        <w:rPr>
          <w:rFonts w:ascii="Times New Roman" w:hAnsi="Times New Roman" w:eastAsia="宋体" w:cs="Times New Roman"/>
          <w:color w:val="auto"/>
          <w:szCs w:val="24"/>
          <w:lang w:val="en-US" w:eastAsia="zh-CN"/>
        </w:rPr>
        <w:t>）</w:t>
      </w:r>
      <w:r>
        <w:rPr>
          <w:rFonts w:hint="eastAsia" w:ascii="Times New Roman" w:hAnsi="Times New Roman" w:eastAsia="宋体" w:cs="Times New Roman"/>
          <w:color w:val="auto"/>
          <w:szCs w:val="24"/>
          <w:lang w:val="en-US" w:eastAsia="zh-CN"/>
        </w:rPr>
        <w:t>，</w:t>
      </w:r>
      <w:r>
        <w:rPr>
          <w:rFonts w:ascii="Times New Roman" w:hAnsi="Times New Roman" w:eastAsia="宋体" w:cs="Times New Roman"/>
          <w:color w:val="auto"/>
          <w:szCs w:val="24"/>
          <w:lang w:val="en-US" w:eastAsia="zh-CN"/>
        </w:rPr>
        <w:t>分布比较稳定。</w:t>
      </w:r>
    </w:p>
    <w:p w14:paraId="425422CE">
      <w:pPr>
        <w:ind w:firstLine="480"/>
        <w:rPr>
          <w:rFonts w:ascii="Times New Roman" w:hAnsi="Times New Roman" w:eastAsia="宋体" w:cs="Times New Roman"/>
          <w:color w:val="auto"/>
          <w:szCs w:val="24"/>
          <w:lang w:val="en-US" w:eastAsia="zh-CN"/>
        </w:rPr>
      </w:pPr>
      <w:r>
        <w:rPr>
          <w:rFonts w:ascii="Times New Roman" w:hAnsi="Times New Roman" w:eastAsia="宋体" w:cs="Times New Roman"/>
          <w:color w:val="auto"/>
          <w:szCs w:val="24"/>
          <w:lang w:val="en-US" w:eastAsia="zh-CN"/>
        </w:rPr>
        <w:t>①细砂（Q</w:t>
      </w:r>
      <w:r>
        <w:rPr>
          <w:rFonts w:ascii="Times New Roman" w:hAnsi="Times New Roman" w:eastAsia="宋体" w:cs="Times New Roman"/>
          <w:color w:val="auto"/>
          <w:szCs w:val="24"/>
          <w:vertAlign w:val="subscript"/>
          <w:lang w:val="en-US" w:eastAsia="zh-CN"/>
        </w:rPr>
        <w:t>4</w:t>
      </w:r>
      <w:r>
        <w:rPr>
          <w:rFonts w:ascii="Times New Roman" w:hAnsi="Times New Roman" w:eastAsia="宋体" w:cs="Times New Roman"/>
          <w:color w:val="auto"/>
          <w:szCs w:val="24"/>
          <w:vertAlign w:val="superscript"/>
          <w:lang w:val="en-US" w:eastAsia="zh-CN"/>
        </w:rPr>
        <w:t>eol</w:t>
      </w:r>
      <w:r>
        <w:rPr>
          <w:rFonts w:ascii="Times New Roman" w:hAnsi="Times New Roman" w:eastAsia="宋体" w:cs="Times New Roman"/>
          <w:color w:val="auto"/>
          <w:szCs w:val="24"/>
          <w:lang w:val="en-US" w:eastAsia="zh-CN"/>
        </w:rPr>
        <w:t>）：土黄色，整个场地均有分布，为第四系风积所形成，厚度1.0</w:t>
      </w:r>
      <w:r>
        <w:rPr>
          <w:rFonts w:hint="eastAsia" w:eastAsia="宋体" w:cs="Times New Roman"/>
          <w:color w:val="auto"/>
          <w:szCs w:val="24"/>
          <w:lang w:val="en-US" w:eastAsia="zh-CN"/>
        </w:rPr>
        <w:t>—</w:t>
      </w:r>
      <w:r>
        <w:rPr>
          <w:rFonts w:ascii="Times New Roman" w:hAnsi="Times New Roman" w:eastAsia="宋体" w:cs="Times New Roman"/>
          <w:color w:val="auto"/>
          <w:szCs w:val="24"/>
          <w:lang w:val="en-US" w:eastAsia="zh-CN"/>
        </w:rPr>
        <w:t>1.2m，母岩成分主要以石英、长石及云母等矿物质组成，分选性一般，级配较差含少量粉土，表层含植物根系，松散，干燥～稍湿。</w:t>
      </w:r>
    </w:p>
    <w:p w14:paraId="7B7CF3BD">
      <w:pPr>
        <w:ind w:firstLine="480"/>
        <w:rPr>
          <w:rFonts w:ascii="Times New Roman" w:hAnsi="Times New Roman" w:eastAsia="宋体" w:cs="Times New Roman"/>
          <w:color w:val="auto"/>
          <w:szCs w:val="24"/>
          <w:lang w:val="en-US" w:eastAsia="zh-CN"/>
        </w:rPr>
      </w:pPr>
      <w:r>
        <w:rPr>
          <w:rFonts w:ascii="Times New Roman" w:hAnsi="Times New Roman" w:eastAsia="宋体" w:cs="Times New Roman"/>
          <w:color w:val="auto"/>
          <w:szCs w:val="24"/>
          <w:lang w:val="en-US" w:eastAsia="zh-CN"/>
        </w:rPr>
        <w:t>②细砂</w:t>
      </w:r>
      <w:r>
        <w:rPr>
          <w:rFonts w:hint="eastAsia" w:ascii="Times New Roman" w:hAnsi="Times New Roman" w:eastAsia="宋体" w:cs="Times New Roman"/>
          <w:color w:val="auto"/>
          <w:szCs w:val="24"/>
          <w:lang w:val="en-US" w:eastAsia="zh-CN"/>
        </w:rPr>
        <w:t>（</w:t>
      </w:r>
      <w:r>
        <w:rPr>
          <w:rFonts w:ascii="Times New Roman" w:hAnsi="Times New Roman" w:eastAsia="宋体" w:cs="Times New Roman"/>
          <w:color w:val="auto"/>
          <w:szCs w:val="24"/>
          <w:lang w:val="en-US" w:eastAsia="zh-CN"/>
        </w:rPr>
        <w:t>Q</w:t>
      </w:r>
      <w:r>
        <w:rPr>
          <w:rFonts w:ascii="Times New Roman" w:hAnsi="Times New Roman" w:eastAsia="宋体" w:cs="Times New Roman"/>
          <w:color w:val="auto"/>
          <w:szCs w:val="24"/>
          <w:vertAlign w:val="subscript"/>
          <w:lang w:val="en-US" w:eastAsia="zh-CN"/>
        </w:rPr>
        <w:t>4</w:t>
      </w:r>
      <w:r>
        <w:rPr>
          <w:rFonts w:ascii="Times New Roman" w:hAnsi="Times New Roman" w:eastAsia="宋体" w:cs="Times New Roman"/>
          <w:color w:val="auto"/>
          <w:szCs w:val="24"/>
          <w:vertAlign w:val="superscript"/>
          <w:lang w:val="en-US" w:eastAsia="zh-CN"/>
        </w:rPr>
        <w:t>al+pl</w:t>
      </w:r>
      <w:r>
        <w:rPr>
          <w:rFonts w:hint="eastAsia" w:ascii="Times New Roman" w:hAnsi="Times New Roman" w:eastAsia="宋体" w:cs="Times New Roman"/>
          <w:color w:val="auto"/>
          <w:szCs w:val="24"/>
          <w:lang w:val="en-US" w:eastAsia="zh-CN"/>
        </w:rPr>
        <w:t>）</w:t>
      </w:r>
      <w:r>
        <w:rPr>
          <w:rFonts w:ascii="Times New Roman" w:hAnsi="Times New Roman" w:eastAsia="宋体" w:cs="Times New Roman"/>
          <w:color w:val="auto"/>
          <w:szCs w:val="24"/>
          <w:lang w:val="en-US" w:eastAsia="zh-CN"/>
        </w:rPr>
        <w:t>：土黄色～褐黄色，整个场地均有分布，为第四系冲洪积所形成，埋深1.0</w:t>
      </w:r>
      <w:r>
        <w:rPr>
          <w:rFonts w:hint="eastAsia" w:eastAsia="宋体" w:cs="Times New Roman"/>
          <w:color w:val="auto"/>
          <w:szCs w:val="24"/>
          <w:lang w:val="en-US" w:eastAsia="zh-CN"/>
        </w:rPr>
        <w:t>—</w:t>
      </w:r>
      <w:r>
        <w:rPr>
          <w:rFonts w:ascii="Times New Roman" w:hAnsi="Times New Roman" w:eastAsia="宋体" w:cs="Times New Roman"/>
          <w:color w:val="auto"/>
          <w:szCs w:val="24"/>
          <w:lang w:val="en-US" w:eastAsia="zh-CN"/>
        </w:rPr>
        <w:t>1.2m，厚度为0.3</w:t>
      </w:r>
      <w:r>
        <w:rPr>
          <w:rFonts w:hint="eastAsia" w:eastAsia="宋体" w:cs="Times New Roman"/>
          <w:color w:val="auto"/>
          <w:szCs w:val="24"/>
          <w:lang w:val="en-US" w:eastAsia="zh-CN"/>
        </w:rPr>
        <w:t>—</w:t>
      </w:r>
      <w:r>
        <w:rPr>
          <w:rFonts w:ascii="Times New Roman" w:hAnsi="Times New Roman" w:eastAsia="宋体" w:cs="Times New Roman"/>
          <w:color w:val="auto"/>
          <w:szCs w:val="24"/>
          <w:lang w:val="en-US" w:eastAsia="zh-CN"/>
        </w:rPr>
        <w:t>8.4m，母岩成分主要以石英、长石及云母等矿物质组成，分选性一般，级配较差含少量粉土，稍密～中密，稍湿～湿。</w:t>
      </w:r>
    </w:p>
    <w:p w14:paraId="169A3C88">
      <w:pPr>
        <w:ind w:firstLine="480"/>
        <w:rPr>
          <w:rFonts w:ascii="Times New Roman" w:hAnsi="Times New Roman" w:eastAsia="宋体" w:cs="Times New Roman"/>
          <w:color w:val="auto"/>
          <w:szCs w:val="24"/>
        </w:rPr>
      </w:pPr>
      <w:r>
        <w:rPr>
          <w:rFonts w:ascii="Times New Roman" w:hAnsi="Times New Roman" w:eastAsia="宋体" w:cs="Times New Roman"/>
          <w:color w:val="auto"/>
          <w:szCs w:val="24"/>
        </w:rPr>
        <w:t>拟建场地内无崩塌、滑坡、地面沉降或塌陷、地下采空区及地震断裂带或地裂缝等不良地质作用和地质灾害。</w:t>
      </w:r>
    </w:p>
    <w:p w14:paraId="5EBBBCA3">
      <w:pPr>
        <w:ind w:firstLine="480"/>
        <w:rPr>
          <w:rFonts w:ascii="Times New Roman" w:hAnsi="Times New Roman" w:cs="Times New Roman"/>
          <w:color w:val="auto"/>
        </w:rPr>
      </w:pPr>
      <w:bookmarkStart w:id="193" w:name="_Toc19879"/>
      <w:r>
        <w:rPr>
          <w:rFonts w:ascii="Times New Roman" w:hAnsi="Times New Roman" w:cs="Times New Roman"/>
          <w:color w:val="auto"/>
        </w:rPr>
        <w:t>（3）评价区域水文地质条件</w:t>
      </w:r>
      <w:bookmarkEnd w:id="193"/>
    </w:p>
    <w:p w14:paraId="16D40DF3">
      <w:pPr>
        <w:ind w:firstLine="480"/>
        <w:rPr>
          <w:rFonts w:ascii="Times New Roman" w:hAnsi="Times New Roman" w:cs="Times New Roman"/>
          <w:color w:val="auto"/>
        </w:rPr>
      </w:pPr>
      <w:r>
        <w:rPr>
          <w:rFonts w:hint="eastAsia" w:cs="Times New Roman"/>
          <w:color w:val="auto"/>
          <w:lang w:eastAsia="zh-CN"/>
        </w:rPr>
        <w:t>据区域水文地质资料</w:t>
      </w:r>
      <w:r>
        <w:rPr>
          <w:rFonts w:ascii="Times New Roman" w:hAnsi="Times New Roman" w:cs="Times New Roman"/>
          <w:color w:val="auto"/>
        </w:rPr>
        <w:t>，</w:t>
      </w:r>
      <w:r>
        <w:rPr>
          <w:rFonts w:hint="eastAsia" w:ascii="Times New Roman" w:hAnsi="Times New Roman" w:eastAsia="宋体" w:cs="宋体"/>
          <w:sz w:val="24"/>
        </w:rPr>
        <w:t>山区降水通过基岩风化裂隙，构造裂隙补给深层地下，形成孔隙、裂隙水。平原区由于气候干燥，降水少，平原区降水对地下水的直接补给有限，地下水的补给来源主要是地表水的渗漏补给。平原区地下水储存于具备储水条件的第四纪松散沉积物中，形成第四系孔隙潜水或承压水</w:t>
      </w:r>
      <w:r>
        <w:rPr>
          <w:rFonts w:ascii="Times New Roman" w:hAnsi="Times New Roman" w:cs="Times New Roman"/>
          <w:color w:val="auto"/>
        </w:rPr>
        <w:t>，地下水埋深</w:t>
      </w:r>
      <w:r>
        <w:rPr>
          <w:rFonts w:hint="eastAsia" w:ascii="Times New Roman" w:hAnsi="Times New Roman" w:eastAsia="宋体" w:cs="宋体"/>
          <w:sz w:val="24"/>
        </w:rPr>
        <w:t>2.6～11.7m</w:t>
      </w:r>
      <w:r>
        <w:rPr>
          <w:rFonts w:ascii="Times New Roman" w:hAnsi="Times New Roman" w:cs="Times New Roman"/>
          <w:color w:val="auto"/>
        </w:rPr>
        <w:t>左右，水位随季节变化幅度</w:t>
      </w:r>
      <w:r>
        <w:rPr>
          <w:rFonts w:hint="eastAsia" w:ascii="Times New Roman" w:hAnsi="Times New Roman" w:cs="Times New Roman"/>
          <w:color w:val="auto"/>
          <w:lang w:val="en-US" w:eastAsia="zh-CN"/>
        </w:rPr>
        <w:t>较大</w:t>
      </w:r>
      <w:r>
        <w:rPr>
          <w:rFonts w:ascii="Times New Roman" w:hAnsi="Times New Roman" w:cs="Times New Roman"/>
          <w:color w:val="auto"/>
        </w:rPr>
        <w:t>，地下水的年变化幅度在</w:t>
      </w:r>
      <w:r>
        <w:rPr>
          <w:rFonts w:hint="eastAsia" w:ascii="Times New Roman" w:hAnsi="Times New Roman" w:cs="Times New Roman"/>
          <w:color w:val="auto"/>
          <w:lang w:val="en-US" w:eastAsia="zh-CN"/>
        </w:rPr>
        <w:t>3</w:t>
      </w:r>
      <w:r>
        <w:rPr>
          <w:rFonts w:ascii="Times New Roman" w:hAnsi="Times New Roman" w:cs="Times New Roman"/>
          <w:color w:val="auto"/>
        </w:rPr>
        <w:t>m左右。</w:t>
      </w:r>
    </w:p>
    <w:p w14:paraId="283BA9E8">
      <w:pPr>
        <w:ind w:firstLine="480"/>
        <w:rPr>
          <w:rFonts w:ascii="Times New Roman" w:hAnsi="Times New Roman" w:cs="Times New Roman"/>
          <w:color w:val="auto"/>
        </w:rPr>
      </w:pPr>
      <w:r>
        <w:rPr>
          <w:rFonts w:ascii="Times New Roman" w:hAnsi="Times New Roman" w:cs="Times New Roman"/>
          <w:color w:val="auto"/>
        </w:rPr>
        <w:t>项目区所在为平原区</w:t>
      </w:r>
      <w:r>
        <w:rPr>
          <w:rFonts w:hint="eastAsia" w:cs="Times New Roman"/>
          <w:color w:val="auto"/>
          <w:lang w:val="en-US" w:eastAsia="zh-CN"/>
        </w:rPr>
        <w:t>沙地</w:t>
      </w:r>
      <w:r>
        <w:rPr>
          <w:rFonts w:ascii="Times New Roman" w:hAnsi="Times New Roman" w:cs="Times New Roman"/>
          <w:color w:val="auto"/>
        </w:rPr>
        <w:t>，</w:t>
      </w:r>
      <w:r>
        <w:rPr>
          <w:rFonts w:hint="eastAsia" w:ascii="Times New Roman" w:hAnsi="Times New Roman" w:eastAsia="宋体" w:cs="宋体"/>
          <w:snapToGrid w:val="0"/>
          <w:kern w:val="0"/>
          <w:sz w:val="24"/>
        </w:rPr>
        <w:t>地下水埋深由北向南逐渐变深的趋势，埋深大于</w:t>
      </w:r>
      <w:r>
        <w:rPr>
          <w:rFonts w:hint="eastAsia" w:eastAsia="宋体" w:cs="宋体"/>
          <w:snapToGrid w:val="0"/>
          <w:kern w:val="0"/>
          <w:sz w:val="24"/>
          <w:lang w:val="en-US" w:eastAsia="zh-CN"/>
        </w:rPr>
        <w:t>10</w:t>
      </w:r>
      <w:r>
        <w:rPr>
          <w:rFonts w:hint="eastAsia" w:ascii="Times New Roman" w:hAnsi="Times New Roman" w:eastAsia="宋体" w:cs="宋体"/>
          <w:snapToGrid w:val="0"/>
          <w:kern w:val="0"/>
          <w:sz w:val="24"/>
        </w:rPr>
        <w:t>.0m</w:t>
      </w:r>
      <w:r>
        <w:rPr>
          <w:rFonts w:ascii="Times New Roman" w:hAnsi="Times New Roman" w:cs="Times New Roman"/>
          <w:color w:val="auto"/>
        </w:rPr>
        <w:t>。</w:t>
      </w:r>
      <w:r>
        <w:rPr>
          <w:rFonts w:hint="eastAsia" w:ascii="Times New Roman" w:hAnsi="Times New Roman" w:eastAsia="宋体" w:cs="宋体"/>
          <w:sz w:val="24"/>
        </w:rPr>
        <w:t>含水层岩性为细砂，钻孔涌水量10.2～11.2m</w:t>
      </w:r>
      <w:r>
        <w:rPr>
          <w:rFonts w:hint="eastAsia" w:ascii="Times New Roman" w:hAnsi="Times New Roman" w:eastAsia="宋体" w:cs="宋体"/>
          <w:sz w:val="24"/>
          <w:vertAlign w:val="superscript"/>
        </w:rPr>
        <w:t>3</w:t>
      </w:r>
      <w:r>
        <w:rPr>
          <w:rFonts w:hint="eastAsia" w:ascii="Times New Roman" w:hAnsi="Times New Roman" w:eastAsia="宋体" w:cs="宋体"/>
          <w:sz w:val="24"/>
        </w:rPr>
        <w:t>/h·m，属强富水区，渗透系数5.0～5.4m/d</w:t>
      </w:r>
      <w:r>
        <w:rPr>
          <w:rFonts w:ascii="Times New Roman" w:hAnsi="Times New Roman" w:cs="Times New Roman"/>
          <w:color w:val="auto"/>
        </w:rPr>
        <w:t>。</w:t>
      </w:r>
    </w:p>
    <w:p w14:paraId="09F1466F">
      <w:pPr>
        <w:ind w:firstLine="480"/>
        <w:rPr>
          <w:rFonts w:ascii="Times New Roman" w:hAnsi="Times New Roman" w:cs="Times New Roman"/>
          <w:color w:val="auto"/>
        </w:rPr>
      </w:pPr>
      <w:r>
        <w:rPr>
          <w:rFonts w:ascii="Times New Roman" w:hAnsi="Times New Roman" w:cs="Times New Roman"/>
          <w:color w:val="auto"/>
        </w:rPr>
        <w:t>（4）地下水补给、径流、排泄条件</w:t>
      </w:r>
    </w:p>
    <w:p w14:paraId="275D970C">
      <w:pPr>
        <w:ind w:firstLine="480"/>
        <w:rPr>
          <w:rFonts w:ascii="Times New Roman" w:hAnsi="Times New Roman" w:cs="Times New Roman"/>
          <w:color w:val="auto"/>
        </w:rPr>
      </w:pPr>
      <w:r>
        <w:rPr>
          <w:rFonts w:ascii="Times New Roman" w:hAnsi="Times New Roman" w:cs="Times New Roman"/>
          <w:color w:val="auto"/>
        </w:rPr>
        <w:t>项目区属温带大陆性半干旱气候，降</w:t>
      </w:r>
      <w:r>
        <w:rPr>
          <w:rFonts w:hint="eastAsia" w:ascii="Times New Roman" w:hAnsi="Times New Roman" w:eastAsia="宋体" w:cs="宋体"/>
          <w:snapToGrid w:val="0"/>
          <w:kern w:val="0"/>
          <w:sz w:val="24"/>
        </w:rPr>
        <w:t>潜水补给以地表水、农灌水的入渗补给为主，次为侧向径流补给，地下水的排泄途径主要有潜水的蒸发蒸腾、地下水的侧向水平径流流出、排渠排出以及人工开采等</w:t>
      </w:r>
      <w:r>
        <w:rPr>
          <w:rFonts w:ascii="Times New Roman" w:hAnsi="Times New Roman" w:cs="Times New Roman"/>
          <w:color w:val="auto"/>
        </w:rPr>
        <w:t>。</w:t>
      </w:r>
    </w:p>
    <w:p w14:paraId="659939E6">
      <w:pPr>
        <w:ind w:firstLine="480"/>
        <w:rPr>
          <w:rFonts w:ascii="Times New Roman" w:hAnsi="Times New Roman" w:cs="Times New Roman"/>
          <w:color w:val="auto"/>
        </w:rPr>
      </w:pPr>
      <w:bookmarkStart w:id="194" w:name="_Toc17081"/>
      <w:r>
        <w:rPr>
          <w:rFonts w:hint="eastAsia" w:cs="Times New Roman"/>
          <w:color w:val="auto"/>
          <w:lang w:eastAsia="zh-CN"/>
        </w:rPr>
        <w:t>2.</w:t>
      </w:r>
      <w:r>
        <w:rPr>
          <w:rFonts w:ascii="Times New Roman" w:hAnsi="Times New Roman" w:cs="Times New Roman"/>
          <w:color w:val="auto"/>
        </w:rPr>
        <w:t>地下水影响分析</w:t>
      </w:r>
      <w:bookmarkEnd w:id="194"/>
    </w:p>
    <w:p w14:paraId="363D5DE4">
      <w:pPr>
        <w:ind w:firstLine="480"/>
        <w:rPr>
          <w:rFonts w:ascii="Times New Roman" w:hAnsi="Times New Roman" w:cs="Times New Roman"/>
          <w:color w:val="auto"/>
        </w:rPr>
      </w:pPr>
      <w:r>
        <w:rPr>
          <w:rFonts w:ascii="Times New Roman" w:hAnsi="Times New Roman" w:cs="Times New Roman"/>
          <w:color w:val="auto"/>
        </w:rPr>
        <w:t>本项目可能对地下水造成污染的途径主要有：圈舍</w:t>
      </w:r>
      <w:r>
        <w:rPr>
          <w:rFonts w:hint="eastAsia" w:cs="Times New Roman"/>
          <w:color w:val="auto"/>
          <w:lang w:eastAsia="zh-CN"/>
        </w:rPr>
        <w:t>、</w:t>
      </w:r>
      <w:r>
        <w:rPr>
          <w:rFonts w:hint="eastAsia" w:cs="Times New Roman"/>
          <w:color w:val="auto"/>
          <w:lang w:val="en-US" w:eastAsia="zh-CN"/>
        </w:rPr>
        <w:t>污水收集池、污水处理设施</w:t>
      </w:r>
      <w:r>
        <w:rPr>
          <w:rFonts w:ascii="Times New Roman" w:hAnsi="Times New Roman" w:cs="Times New Roman"/>
          <w:color w:val="auto"/>
        </w:rPr>
        <w:t>等</w:t>
      </w:r>
      <w:r>
        <w:rPr>
          <w:rFonts w:hint="eastAsia" w:cs="Times New Roman"/>
          <w:color w:val="auto"/>
          <w:lang w:val="en-US" w:eastAsia="zh-CN"/>
        </w:rPr>
        <w:t>渗漏以及处理后的回用水浇灌使含有污染物的废水渗入地下</w:t>
      </w:r>
      <w:r>
        <w:rPr>
          <w:rFonts w:ascii="Times New Roman" w:hAnsi="Times New Roman" w:cs="Times New Roman"/>
          <w:color w:val="auto"/>
        </w:rPr>
        <w:t>，污染的途径是溶液渗漏入表层土壤</w:t>
      </w:r>
      <w:r>
        <w:rPr>
          <w:rFonts w:hint="eastAsia" w:cs="Times New Roman"/>
          <w:color w:val="auto"/>
          <w:lang w:eastAsia="zh-CN"/>
        </w:rPr>
        <w:t>进而</w:t>
      </w:r>
      <w:r>
        <w:rPr>
          <w:rFonts w:ascii="Times New Roman" w:hAnsi="Times New Roman" w:cs="Times New Roman"/>
          <w:color w:val="auto"/>
        </w:rPr>
        <w:t>迁移入深层的地下水层，从而可能影响地下水的水质。本项目</w:t>
      </w:r>
      <w:r>
        <w:rPr>
          <w:rFonts w:hint="eastAsia" w:cs="Times New Roman"/>
          <w:color w:val="auto"/>
          <w:lang w:val="en-US" w:eastAsia="zh-CN"/>
        </w:rPr>
        <w:t>不直接向外环境排放污水</w:t>
      </w:r>
      <w:r>
        <w:rPr>
          <w:rFonts w:ascii="Times New Roman" w:hAnsi="Times New Roman" w:cs="Times New Roman"/>
          <w:color w:val="auto"/>
        </w:rPr>
        <w:t>。</w:t>
      </w:r>
    </w:p>
    <w:p w14:paraId="31A3F1FB">
      <w:pPr>
        <w:ind w:firstLine="480"/>
        <w:rPr>
          <w:rFonts w:ascii="Times New Roman" w:hAnsi="Times New Roman" w:cs="Times New Roman"/>
          <w:color w:val="auto"/>
        </w:rPr>
      </w:pPr>
      <w:r>
        <w:rPr>
          <w:rFonts w:ascii="Times New Roman" w:hAnsi="Times New Roman" w:cs="Times New Roman"/>
          <w:color w:val="auto"/>
        </w:rPr>
        <w:t>其污染影响机理主要为：</w:t>
      </w:r>
    </w:p>
    <w:p w14:paraId="59ABAA9B">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污染物经过防渗层进入包气带（不饱和含水层）：正常情况下如防渗层完好无损，污染物经过防渗层渗透量是微乎其微的，但如出现防渗层破损的非正常情况，污染物就会泄漏下渗进入包气带，再加上降水对包气带的入渗淋溶作用，就可能使污染物随降水进入地下水中。</w:t>
      </w:r>
    </w:p>
    <w:p w14:paraId="10ECEE8C">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污染物在包气带中的运移：经过防渗层的截留作用后，污染物沿着包气带向下移动。进入包气带中物质很难被淋滤洗脱出来，一般其中90%以上被吸附并保留在包气带中，仅有10%以下随入渗水进入地下水中，此外进入包气带中的油状物质会在化学、生物等作用下发生降解。当包气带土层吸附一定数量的有机物质后，其再次吸附的能力将会降低，故持续渗漏将使污染物质进入地下水中而污染地下水，但因包气带土层经过一段时间的降解后可重新恢复部分吸附能力，因此间歇渗漏将使污染物对地下水的污染影响降低。</w:t>
      </w:r>
    </w:p>
    <w:p w14:paraId="63FE51B1">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污染物在含水层中的运移：经过包气带的吸附作用后，部分污染物进入潜水含水层后随着地下水的运动而发生相应的运移。进入地下水中物质主要为重金属类离子，化合物一般由于土壤吸附作用而滞留在土壤中。污染物在地下水中主要运移方式包括对流、水动力弥散、吸附、降解、衰减、交换、化学反应、溶解等，其中以对流－水动力弥散和吸附为主。</w:t>
      </w:r>
    </w:p>
    <w:p w14:paraId="02BA6D20">
      <w:pPr>
        <w:ind w:firstLine="480"/>
        <w:rPr>
          <w:rFonts w:ascii="Times New Roman" w:hAnsi="Times New Roman" w:cs="Times New Roman"/>
          <w:color w:val="auto"/>
        </w:rPr>
      </w:pPr>
      <w:bookmarkStart w:id="195" w:name="_Toc28326"/>
      <w:r>
        <w:rPr>
          <w:rFonts w:hint="eastAsia" w:cs="Times New Roman"/>
          <w:color w:val="auto"/>
          <w:lang w:eastAsia="zh-CN"/>
        </w:rPr>
        <w:t>3.</w:t>
      </w:r>
      <w:r>
        <w:rPr>
          <w:rFonts w:ascii="Times New Roman" w:hAnsi="Times New Roman" w:cs="Times New Roman"/>
          <w:color w:val="auto"/>
        </w:rPr>
        <w:t>地下水环境影响预测</w:t>
      </w:r>
      <w:bookmarkEnd w:id="195"/>
    </w:p>
    <w:p w14:paraId="70ED735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本项目采用干清粪工艺，圈舍中</w:t>
      </w:r>
      <w:r>
        <w:rPr>
          <w:rFonts w:hint="eastAsia" w:ascii="Times New Roman" w:hAnsi="Times New Roman" w:cs="Times New Roman"/>
          <w:color w:val="000000" w:themeColor="text1"/>
          <w:lang w:val="en-US" w:eastAsia="zh-CN"/>
          <w14:textFill>
            <w14:solidFill>
              <w14:schemeClr w14:val="tx1"/>
            </w14:solidFill>
          </w14:textFill>
        </w:rPr>
        <w:t>鸭粪，鸭只饮用漏水等</w:t>
      </w:r>
      <w:r>
        <w:rPr>
          <w:rFonts w:ascii="Times New Roman" w:hAnsi="Times New Roman" w:cs="Times New Roman"/>
          <w:color w:val="000000" w:themeColor="text1"/>
          <w14:textFill>
            <w14:solidFill>
              <w14:schemeClr w14:val="tx1"/>
            </w14:solidFill>
          </w14:textFill>
        </w:rPr>
        <w:t>全部进入铺设的垫草料中，</w:t>
      </w:r>
      <w:r>
        <w:rPr>
          <w:rFonts w:hint="eastAsia" w:ascii="Times New Roman" w:hAnsi="Times New Roman" w:cs="Times New Roman"/>
          <w:color w:val="000000" w:themeColor="text1"/>
          <w:lang w:val="en-US" w:eastAsia="zh-CN"/>
          <w14:textFill>
            <w14:solidFill>
              <w14:schemeClr w14:val="tx1"/>
            </w14:solidFill>
          </w14:textFill>
        </w:rPr>
        <w:t>草甸下</w:t>
      </w:r>
      <w:r>
        <w:rPr>
          <w:rFonts w:ascii="Times New Roman" w:hAnsi="Times New Roman" w:cs="Times New Roman"/>
          <w:color w:val="000000" w:themeColor="text1"/>
          <w14:textFill>
            <w14:solidFill>
              <w14:schemeClr w14:val="tx1"/>
            </w14:solidFill>
          </w14:textFill>
        </w:rPr>
        <w:t>按标准要求设计了地下水污染防渗措施，正常状况下不会对区域地下水造成不良影响。本项目地下水预测主要考虑在非正常状况下，由于</w:t>
      </w:r>
      <w:r>
        <w:rPr>
          <w:rFonts w:hint="eastAsia" w:ascii="Times New Roman" w:hAnsi="Times New Roman" w:cs="Times New Roman"/>
          <w:color w:val="000000" w:themeColor="text1"/>
          <w:lang w:val="en-US" w:eastAsia="zh-CN"/>
          <w14:textFill>
            <w14:solidFill>
              <w14:schemeClr w14:val="tx1"/>
            </w14:solidFill>
          </w14:textFill>
        </w:rPr>
        <w:t>垫草料区域下</w:t>
      </w:r>
      <w:r>
        <w:rPr>
          <w:rFonts w:ascii="Times New Roman" w:hAnsi="Times New Roman" w:cs="Times New Roman"/>
          <w:color w:val="000000" w:themeColor="text1"/>
          <w14:textFill>
            <w14:solidFill>
              <w14:schemeClr w14:val="tx1"/>
            </w14:solidFill>
          </w14:textFill>
        </w:rPr>
        <w:t>地面或四周发生裂缝渗漏，造成粪便收集</w:t>
      </w:r>
      <w:r>
        <w:rPr>
          <w:rFonts w:hint="eastAsia" w:ascii="Times New Roman" w:hAnsi="Times New Roman" w:cs="Times New Roman"/>
          <w:color w:val="000000" w:themeColor="text1"/>
          <w:lang w:val="en-US" w:eastAsia="zh-CN"/>
          <w14:textFill>
            <w14:solidFill>
              <w14:schemeClr w14:val="tx1"/>
            </w14:solidFill>
          </w14:textFill>
        </w:rPr>
        <w:t>过程</w:t>
      </w:r>
      <w:r>
        <w:rPr>
          <w:rFonts w:ascii="Times New Roman" w:hAnsi="Times New Roman" w:cs="Times New Roman"/>
          <w:color w:val="000000" w:themeColor="text1"/>
          <w14:textFill>
            <w14:solidFill>
              <w14:schemeClr w14:val="tx1"/>
            </w14:solidFill>
          </w14:textFill>
        </w:rPr>
        <w:t>中少量水分下渗对浅层地下水造成的影响。</w:t>
      </w:r>
    </w:p>
    <w:p w14:paraId="15ADB836">
      <w:pPr>
        <w:ind w:firstLine="480"/>
        <w:rPr>
          <w:rFonts w:ascii="Times New Roman" w:hAnsi="Times New Roman" w:cs="Times New Roman"/>
          <w:color w:val="auto"/>
        </w:rPr>
      </w:pPr>
      <w:bookmarkStart w:id="196" w:name="_Toc2150"/>
      <w:r>
        <w:rPr>
          <w:rFonts w:ascii="Times New Roman" w:hAnsi="Times New Roman" w:cs="Times New Roman"/>
          <w:color w:val="auto"/>
        </w:rPr>
        <w:t>（1）预测情景分析</w:t>
      </w:r>
      <w:bookmarkEnd w:id="196"/>
    </w:p>
    <w:p w14:paraId="329C902C">
      <w:pPr>
        <w:ind w:firstLine="480"/>
        <w:rPr>
          <w:rFonts w:ascii="Times New Roman" w:hAnsi="Times New Roman" w:cs="Times New Roman"/>
          <w:color w:val="auto"/>
        </w:rPr>
      </w:pPr>
      <w:r>
        <w:rPr>
          <w:rFonts w:ascii="Times New Roman" w:hAnsi="Times New Roman" w:cs="Times New Roman"/>
          <w:color w:val="auto"/>
        </w:rPr>
        <w:t>预测情景主要分为正常工况和非正常工况情景。</w:t>
      </w:r>
    </w:p>
    <w:p w14:paraId="019EDB1F">
      <w:pPr>
        <w:ind w:firstLine="480"/>
        <w:rPr>
          <w:rFonts w:ascii="Times New Roman" w:hAnsi="Times New Roman" w:cs="Times New Roman"/>
          <w:color w:val="auto"/>
        </w:rPr>
      </w:pPr>
      <w:r>
        <w:rPr>
          <w:rFonts w:hint="eastAsia" w:cs="Times New Roman"/>
          <w:color w:val="auto"/>
          <w:lang w:eastAsia="zh-CN"/>
        </w:rPr>
        <w:t>a.</w:t>
      </w:r>
      <w:r>
        <w:rPr>
          <w:rFonts w:ascii="Times New Roman" w:hAnsi="Times New Roman" w:cs="Times New Roman"/>
          <w:color w:val="auto"/>
        </w:rPr>
        <w:t>正常工况</w:t>
      </w:r>
    </w:p>
    <w:p w14:paraId="69D205E3">
      <w:pPr>
        <w:ind w:firstLine="480"/>
        <w:rPr>
          <w:rFonts w:ascii="Times New Roman" w:hAnsi="Times New Roman" w:cs="Times New Roman"/>
          <w:color w:val="auto"/>
        </w:rPr>
      </w:pPr>
      <w:r>
        <w:rPr>
          <w:rFonts w:ascii="Times New Roman" w:hAnsi="Times New Roman" w:cs="Times New Roman"/>
          <w:color w:val="auto"/>
        </w:rPr>
        <w:t>在正常状况下，建设项目各区域均按标准要求设计了地下水污染防渗措施，采取防渗措施后，基本切断了</w:t>
      </w:r>
      <w:r>
        <w:rPr>
          <w:rFonts w:hint="eastAsia" w:ascii="Times New Roman" w:hAnsi="Times New Roman" w:cs="Times New Roman"/>
          <w:color w:val="auto"/>
          <w:lang w:eastAsia="zh-CN"/>
        </w:rPr>
        <w:t>粪</w:t>
      </w:r>
      <w:r>
        <w:rPr>
          <w:rFonts w:ascii="Times New Roman" w:hAnsi="Times New Roman" w:cs="Times New Roman"/>
          <w:color w:val="auto"/>
        </w:rPr>
        <w:t>中污染物进入土壤和地下水的途径，污染物一般不会直接渗入地下土壤进而污染地下水，按照《环境影响评价技术导则地下水环境》（HJ610-2016）相关要求不再对正常状况下的地下水影响进行预测。</w:t>
      </w:r>
    </w:p>
    <w:p w14:paraId="6DD9F917">
      <w:pPr>
        <w:ind w:firstLine="480"/>
        <w:rPr>
          <w:rFonts w:ascii="Times New Roman" w:hAnsi="Times New Roman" w:cs="Times New Roman"/>
          <w:color w:val="auto"/>
        </w:rPr>
      </w:pPr>
      <w:r>
        <w:rPr>
          <w:rFonts w:hint="eastAsia" w:cs="Times New Roman"/>
          <w:color w:val="auto"/>
          <w:lang w:eastAsia="zh-CN"/>
        </w:rPr>
        <w:t>b.</w:t>
      </w:r>
      <w:r>
        <w:rPr>
          <w:rFonts w:ascii="Times New Roman" w:hAnsi="Times New Roman" w:cs="Times New Roman"/>
          <w:color w:val="auto"/>
        </w:rPr>
        <w:t>非正常工况</w:t>
      </w:r>
    </w:p>
    <w:p w14:paraId="630F0228">
      <w:pPr>
        <w:ind w:firstLine="480"/>
        <w:rPr>
          <w:rFonts w:ascii="Times New Roman" w:hAnsi="Times New Roman" w:cs="Times New Roman"/>
          <w:color w:val="auto"/>
        </w:rPr>
      </w:pPr>
      <w:r>
        <w:rPr>
          <w:rFonts w:ascii="Times New Roman" w:hAnsi="Times New Roman" w:eastAsia="宋体" w:cs="Times New Roman"/>
          <w:color w:val="auto"/>
        </w:rPr>
        <w:t>对本项目而言，</w:t>
      </w:r>
      <w:r>
        <w:rPr>
          <w:rFonts w:hint="eastAsia" w:ascii="Times New Roman" w:hAnsi="Times New Roman" w:eastAsia="宋体" w:cs="Times New Roman"/>
          <w:color w:val="auto"/>
          <w:lang w:val="en-US" w:eastAsia="zh-CN"/>
        </w:rPr>
        <w:t>环保化粪池和</w:t>
      </w:r>
      <w:r>
        <w:rPr>
          <w:rFonts w:hint="eastAsia" w:eastAsia="宋体" w:cs="Times New Roman"/>
          <w:color w:val="auto"/>
          <w:lang w:val="en-US" w:eastAsia="zh-CN"/>
        </w:rPr>
        <w:t>鸭舍</w:t>
      </w:r>
      <w:r>
        <w:rPr>
          <w:rFonts w:hint="eastAsia" w:ascii="Times New Roman" w:hAnsi="Times New Roman" w:eastAsia="宋体" w:cs="Times New Roman"/>
          <w:color w:val="auto"/>
          <w:lang w:val="en-US" w:eastAsia="zh-CN"/>
        </w:rPr>
        <w:t>下垫草料区域</w:t>
      </w:r>
      <w:r>
        <w:rPr>
          <w:rFonts w:ascii="Times New Roman" w:hAnsi="Times New Roman" w:eastAsia="宋体" w:cs="Times New Roman"/>
          <w:color w:val="auto"/>
        </w:rPr>
        <w:t>是地下水的主要潜在污染源，</w:t>
      </w:r>
      <w:r>
        <w:rPr>
          <w:rFonts w:hint="eastAsia" w:ascii="Times New Roman" w:hAnsi="Times New Roman" w:eastAsia="宋体" w:cs="Times New Roman"/>
          <w:color w:val="auto"/>
          <w:lang w:val="en-US" w:eastAsia="zh-CN"/>
        </w:rPr>
        <w:t>环保化粪池和垫草料区域</w:t>
      </w:r>
      <w:r>
        <w:rPr>
          <w:rFonts w:ascii="Times New Roman" w:hAnsi="Times New Roman" w:eastAsia="宋体" w:cs="Times New Roman"/>
          <w:color w:val="auto"/>
        </w:rPr>
        <w:t>地面或四周发生裂缝渗漏，可能导致粪污中少量水分（主要污染物COD、NH</w:t>
      </w:r>
      <w:r>
        <w:rPr>
          <w:rFonts w:ascii="Times New Roman" w:hAnsi="Times New Roman" w:eastAsia="宋体" w:cs="Times New Roman"/>
          <w:color w:val="auto"/>
          <w:vertAlign w:val="subscript"/>
        </w:rPr>
        <w:t>3</w:t>
      </w:r>
      <w:r>
        <w:rPr>
          <w:rFonts w:ascii="Times New Roman" w:hAnsi="Times New Roman" w:eastAsia="宋体" w:cs="Times New Roman"/>
          <w:color w:val="auto"/>
        </w:rPr>
        <w:t>-N等）下渗污染地下水。因此，本项目主要分析</w:t>
      </w:r>
      <w:r>
        <w:rPr>
          <w:rFonts w:hint="eastAsia" w:ascii="Times New Roman" w:hAnsi="Times New Roman" w:eastAsia="宋体" w:cs="Times New Roman"/>
          <w:color w:val="auto"/>
          <w:lang w:val="en-US" w:eastAsia="zh-CN"/>
        </w:rPr>
        <w:t>环保化粪池和垫草料区域</w:t>
      </w:r>
      <w:r>
        <w:rPr>
          <w:rFonts w:ascii="Times New Roman" w:hAnsi="Times New Roman" w:eastAsia="宋体" w:cs="Times New Roman"/>
          <w:color w:val="auto"/>
        </w:rPr>
        <w:t>构筑物裂缝，粪污中少量水分渗漏对地下水的影响。</w:t>
      </w:r>
    </w:p>
    <w:p w14:paraId="71EEA838">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根据工程分析内容，并结合地下水环境现状调查评价，本项目运用解析法进行地下水水质影响预测。</w:t>
      </w:r>
    </w:p>
    <w:p w14:paraId="2AAD8656">
      <w:pPr>
        <w:pStyle w:val="13"/>
        <w:autoSpaceDE w:val="0"/>
        <w:autoSpaceDN w:val="0"/>
        <w:spacing w:after="0" w:line="520" w:lineRule="exact"/>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auto"/>
        </w:rPr>
        <w:t>（2）</w:t>
      </w:r>
      <w:r>
        <w:rPr>
          <w:rFonts w:ascii="Times New Roman" w:hAnsi="Times New Roman" w:eastAsia="宋体" w:cs="Times New Roman"/>
          <w:color w:val="auto"/>
        </w:rPr>
        <w:t>预测范围</w:t>
      </w:r>
    </w:p>
    <w:p w14:paraId="492DA475">
      <w:pPr>
        <w:pStyle w:val="13"/>
        <w:autoSpaceDE w:val="0"/>
        <w:autoSpaceDN w:val="0"/>
        <w:spacing w:after="0" w:line="520" w:lineRule="exact"/>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通过区域水文地质资料，结合现场调查，确定本次评价范围与调查范围一致，预测范围为</w:t>
      </w:r>
      <w:r>
        <w:rPr>
          <w:rFonts w:ascii="Times New Roman" w:hAnsi="Times New Roman" w:cs="Times New Roman"/>
          <w:color w:val="000000" w:themeColor="text1"/>
          <w:szCs w:val="24"/>
          <w14:textFill>
            <w14:solidFill>
              <w14:schemeClr w14:val="tx1"/>
            </w14:solidFill>
          </w14:textFill>
        </w:rPr>
        <w:t>养殖区为中心，以地下水流向（南—北）为中轴线，</w:t>
      </w:r>
      <w:r>
        <w:rPr>
          <w:rFonts w:hint="eastAsia" w:cs="Times New Roman"/>
          <w:color w:val="000000" w:themeColor="text1"/>
          <w:szCs w:val="24"/>
          <w:lang w:val="en-US" w:eastAsia="zh-CN"/>
          <w14:textFill>
            <w14:solidFill>
              <w14:schemeClr w14:val="tx1"/>
            </w14:solidFill>
          </w14:textFill>
        </w:rPr>
        <w:t>南</w:t>
      </w:r>
      <w:r>
        <w:rPr>
          <w:rFonts w:ascii="Times New Roman" w:hAnsi="Times New Roman" w:cs="Times New Roman"/>
          <w:color w:val="000000" w:themeColor="text1"/>
          <w:szCs w:val="24"/>
          <w14:textFill>
            <w14:solidFill>
              <w14:schemeClr w14:val="tx1"/>
            </w14:solidFill>
          </w14:textFill>
        </w:rPr>
        <w:t>侧边界向外延2km，东、西、</w:t>
      </w:r>
      <w:r>
        <w:rPr>
          <w:rFonts w:hint="eastAsia" w:cs="Times New Roman"/>
          <w:color w:val="000000" w:themeColor="text1"/>
          <w:szCs w:val="24"/>
          <w:lang w:val="en-US" w:eastAsia="zh-CN"/>
          <w14:textFill>
            <w14:solidFill>
              <w14:schemeClr w14:val="tx1"/>
            </w14:solidFill>
          </w14:textFill>
        </w:rPr>
        <w:t>北</w:t>
      </w:r>
      <w:r>
        <w:rPr>
          <w:rFonts w:ascii="Times New Roman" w:hAnsi="Times New Roman" w:cs="Times New Roman"/>
          <w:color w:val="000000" w:themeColor="text1"/>
          <w:szCs w:val="24"/>
          <w14:textFill>
            <w14:solidFill>
              <w14:schemeClr w14:val="tx1"/>
            </w14:solidFill>
          </w14:textFill>
        </w:rPr>
        <w:t>边界各外延1km，面积约为6km</w:t>
      </w:r>
      <w:r>
        <w:rPr>
          <w:rFonts w:ascii="Times New Roman" w:hAnsi="Times New Roman" w:cs="Times New Roman"/>
          <w:color w:val="000000" w:themeColor="text1"/>
          <w:szCs w:val="24"/>
          <w:vertAlign w:val="super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的矩形区域</w:t>
      </w:r>
      <w:r>
        <w:rPr>
          <w:rFonts w:ascii="Times New Roman" w:hAnsi="Times New Roman" w:eastAsia="宋体" w:cs="Times New Roman"/>
          <w:color w:val="000000" w:themeColor="text1"/>
          <w14:textFill>
            <w14:solidFill>
              <w14:schemeClr w14:val="tx1"/>
            </w14:solidFill>
          </w14:textFill>
        </w:rPr>
        <w:t>。</w:t>
      </w:r>
    </w:p>
    <w:p w14:paraId="1D9A0D56">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cs="Times New Roman"/>
          <w:color w:val="auto"/>
        </w:rPr>
        <w:t>（2）</w:t>
      </w:r>
      <w:r>
        <w:rPr>
          <w:rFonts w:ascii="Times New Roman" w:hAnsi="Times New Roman" w:eastAsia="宋体" w:cs="Times New Roman"/>
          <w:color w:val="auto"/>
        </w:rPr>
        <w:t>预测时段</w:t>
      </w:r>
    </w:p>
    <w:p w14:paraId="5F5E7D61">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结合地下水跟踪监测的频率（1次/半年），预测时段设定为</w:t>
      </w:r>
      <w:r>
        <w:rPr>
          <w:rFonts w:hint="eastAsia" w:ascii="Times New Roman" w:hAnsi="Times New Roman" w:eastAsia="宋体" w:cs="Times New Roman"/>
          <w:color w:val="auto"/>
          <w:lang w:val="en-US" w:eastAsia="zh-CN"/>
        </w:rPr>
        <w:t>环保化粪池和垫草料区域</w:t>
      </w:r>
      <w:r>
        <w:rPr>
          <w:rFonts w:ascii="Times New Roman" w:hAnsi="Times New Roman" w:eastAsia="宋体" w:cs="Times New Roman"/>
          <w:color w:val="auto"/>
        </w:rPr>
        <w:t>发生泄漏后的100天。</w:t>
      </w:r>
    </w:p>
    <w:p w14:paraId="40488CB1">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w:t>
      </w:r>
      <w:r>
        <w:rPr>
          <w:rFonts w:ascii="Times New Roman" w:hAnsi="Times New Roman" w:cs="Times New Roman"/>
          <w:color w:val="auto"/>
        </w:rPr>
        <w:t>3</w:t>
      </w:r>
      <w:r>
        <w:rPr>
          <w:rFonts w:ascii="Times New Roman" w:hAnsi="Times New Roman" w:eastAsia="宋体" w:cs="Times New Roman"/>
          <w:color w:val="auto"/>
        </w:rPr>
        <w:t>）预测因子及源强</w:t>
      </w:r>
    </w:p>
    <w:p w14:paraId="77D83842">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预测因子及浓度：综合分析根据本项目特征，非正常状况下选取COD和氨氮作为特征污染物进行预测，</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根据《畜禽养殖业污染治理工程技术规范》（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HJ497-2009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）附录A，鸭粪</w:t>
      </w:r>
      <w:r>
        <w:rPr>
          <w:rFonts w:ascii="Times New Roman" w:hAnsi="Times New Roman" w:eastAsia="宋体" w:cs="Times New Roman"/>
          <w:color w:val="auto"/>
        </w:rPr>
        <w:t>中氨氮浓度为</w:t>
      </w:r>
      <w:r>
        <w:rPr>
          <w:rFonts w:hint="eastAsia" w:ascii="Times New Roman" w:hAnsi="Times New Roman" w:eastAsia="宋体" w:cs="Times New Roman"/>
          <w:color w:val="auto"/>
          <w:lang w:val="en-US" w:eastAsia="zh-CN"/>
        </w:rPr>
        <w:t>1.85</w:t>
      </w:r>
      <w:r>
        <w:rPr>
          <w:rFonts w:ascii="Times New Roman" w:hAnsi="Times New Roman" w:eastAsia="宋体" w:cs="Times New Roman"/>
          <w:color w:val="auto"/>
        </w:rPr>
        <w:t>mg/L，COD浓度为</w:t>
      </w:r>
      <w:r>
        <w:rPr>
          <w:rFonts w:hint="eastAsia" w:ascii="Times New Roman" w:hAnsi="Times New Roman" w:eastAsia="宋体" w:cs="Times New Roman"/>
          <w:color w:val="auto"/>
          <w:lang w:val="en-US" w:eastAsia="zh-CN"/>
        </w:rPr>
        <w:t>27</w:t>
      </w:r>
      <w:r>
        <w:rPr>
          <w:rFonts w:ascii="Times New Roman" w:hAnsi="Times New Roman" w:eastAsia="宋体" w:cs="Times New Roman"/>
          <w:color w:val="auto"/>
        </w:rPr>
        <w:t>mg/L</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本项目</w:t>
      </w:r>
      <w:r>
        <w:rPr>
          <w:rFonts w:hint="eastAsia" w:eastAsia="宋体" w:cs="Times New Roman"/>
          <w:color w:val="auto"/>
          <w:lang w:val="en-US" w:eastAsia="zh-CN"/>
        </w:rPr>
        <w:t>污水处理设施</w:t>
      </w:r>
      <w:r>
        <w:rPr>
          <w:rFonts w:ascii="Times New Roman" w:hAnsi="Times New Roman" w:eastAsia="宋体" w:cs="Times New Roman"/>
          <w:color w:val="auto"/>
        </w:rPr>
        <w:t>氨氮浓度为</w:t>
      </w:r>
      <w:r>
        <w:rPr>
          <w:rFonts w:hint="eastAsia" w:ascii="Times New Roman" w:hAnsi="Times New Roman" w:eastAsia="宋体" w:cs="Times New Roman"/>
          <w:color w:val="auto"/>
          <w:lang w:val="en-US" w:eastAsia="zh-CN"/>
        </w:rPr>
        <w:t>45</w:t>
      </w:r>
      <w:r>
        <w:rPr>
          <w:rFonts w:ascii="Times New Roman" w:hAnsi="Times New Roman" w:eastAsia="宋体" w:cs="Times New Roman"/>
          <w:color w:val="auto"/>
        </w:rPr>
        <w:t>mg/L，COD浓度为</w:t>
      </w:r>
      <w:r>
        <w:rPr>
          <w:rFonts w:hint="eastAsia" w:eastAsia="宋体" w:cs="Times New Roman"/>
          <w:color w:val="auto"/>
          <w:lang w:val="en-US" w:eastAsia="zh-CN"/>
        </w:rPr>
        <w:t>400mg/L</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本项目以最不利浓度进行预测分析。</w:t>
      </w:r>
      <w:r>
        <w:rPr>
          <w:rFonts w:hint="default" w:ascii="Times New Roman" w:hAnsi="Times New Roman" w:eastAsia="宋体" w:cs="Times New Roman"/>
          <w:snapToGrid w:val="0"/>
          <w:color w:val="auto"/>
          <w:kern w:val="0"/>
          <w:sz w:val="24"/>
          <w:szCs w:val="24"/>
          <w:highlight w:val="none"/>
        </w:rPr>
        <w:t>COD不属于《地下水质量标准》（GB/T14848-2017）水质指标的评价因子</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选取COD作为预测因子</w:t>
      </w:r>
      <w:r>
        <w:rPr>
          <w:rFonts w:hint="eastAsia" w:ascii="Times New Roman" w:hAnsi="Times New Roman" w:eastAsia="宋体" w:cs="Times New Roman"/>
          <w:snapToGrid w:val="0"/>
          <w:color w:val="auto"/>
          <w:kern w:val="0"/>
          <w:sz w:val="24"/>
          <w:szCs w:val="24"/>
          <w:highlight w:val="none"/>
          <w:lang w:val="en-US" w:eastAsia="zh-CN"/>
        </w:rPr>
        <w:t>不合适，因此选取耗氧量（</w:t>
      </w:r>
      <w:r>
        <w:rPr>
          <w:rFonts w:hint="default" w:ascii="Times New Roman" w:hAnsi="Times New Roman" w:eastAsia="宋体" w:cs="Times New Roman"/>
          <w:snapToGrid w:val="0"/>
          <w:color w:val="auto"/>
          <w:kern w:val="0"/>
          <w:sz w:val="24"/>
          <w:szCs w:val="24"/>
          <w:highlight w:val="none"/>
        </w:rPr>
        <w:t>COD</w:t>
      </w:r>
      <w:r>
        <w:rPr>
          <w:rFonts w:hint="eastAsia" w:ascii="Times New Roman" w:hAnsi="Times New Roman" w:eastAsia="宋体" w:cs="Times New Roman"/>
          <w:snapToGrid w:val="0"/>
          <w:color w:val="auto"/>
          <w:kern w:val="0"/>
          <w:sz w:val="24"/>
          <w:szCs w:val="24"/>
          <w:highlight w:val="none"/>
          <w:vertAlign w:val="subscript"/>
          <w:lang w:val="en-US" w:eastAsia="zh-CN"/>
        </w:rPr>
        <w:t>Mn</w:t>
      </w:r>
      <w:r>
        <w:rPr>
          <w:rFonts w:hint="eastAsia" w:ascii="Times New Roman" w:hAnsi="Times New Roman" w:eastAsia="宋体" w:cs="Times New Roman"/>
          <w:snapToGrid w:val="0"/>
          <w:color w:val="auto"/>
          <w:kern w:val="0"/>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rPr>
        <w:t>作为预测因子</w:t>
      </w:r>
      <w:r>
        <w:rPr>
          <w:rFonts w:ascii="Times New Roman" w:hAnsi="Times New Roman" w:eastAsia="宋体" w:cs="Times New Roman"/>
          <w:color w:val="auto"/>
        </w:rPr>
        <w:t>，为使污染因子COD与评价因子COD</w:t>
      </w:r>
      <w:r>
        <w:rPr>
          <w:rFonts w:ascii="Times New Roman" w:hAnsi="Times New Roman" w:eastAsia="宋体" w:cs="Times New Roman"/>
          <w:color w:val="auto"/>
          <w:vertAlign w:val="subscript"/>
        </w:rPr>
        <w:t>Mn</w:t>
      </w:r>
      <w:r>
        <w:rPr>
          <w:rFonts w:ascii="Times New Roman" w:hAnsi="Times New Roman" w:eastAsia="宋体" w:cs="Times New Roman"/>
          <w:color w:val="auto"/>
        </w:rPr>
        <w:t>在数值关系上对应统一，故在模型计算过程中，本次评价参照国内学者胡大琼</w:t>
      </w:r>
      <w:r>
        <w:rPr>
          <w:rFonts w:hint="eastAsia" w:eastAsia="宋体" w:cs="Times New Roman"/>
          <w:color w:val="auto"/>
          <w:lang w:eastAsia="zh-CN"/>
        </w:rPr>
        <w:t>（</w:t>
      </w:r>
      <w:r>
        <w:rPr>
          <w:rFonts w:ascii="Times New Roman" w:hAnsi="Times New Roman" w:eastAsia="宋体" w:cs="Times New Roman"/>
          <w:color w:val="auto"/>
        </w:rPr>
        <w:t>云南省水文水资源局普洱分局</w:t>
      </w:r>
      <w:r>
        <w:rPr>
          <w:rFonts w:hint="eastAsia" w:eastAsia="宋体" w:cs="Times New Roman"/>
          <w:color w:val="auto"/>
          <w:lang w:eastAsia="zh-CN"/>
        </w:rPr>
        <w:t>）</w:t>
      </w:r>
      <w:r>
        <w:rPr>
          <w:rFonts w:ascii="Times New Roman" w:hAnsi="Times New Roman" w:eastAsia="宋体" w:cs="Times New Roman"/>
          <w:color w:val="auto"/>
        </w:rPr>
        <w:t>《高锰酸盐指数与化学需氧量相关关系探讨》一文得出的耗氧量与COD线性回归方程Y=4.76X+2.61(X为COD</w:t>
      </w:r>
      <w:r>
        <w:rPr>
          <w:rFonts w:ascii="Times New Roman" w:hAnsi="Times New Roman" w:eastAsia="宋体" w:cs="Times New Roman"/>
          <w:color w:val="auto"/>
          <w:vertAlign w:val="subscript"/>
        </w:rPr>
        <w:t>Mn</w:t>
      </w:r>
      <w:r>
        <w:rPr>
          <w:rFonts w:ascii="Times New Roman" w:hAnsi="Times New Roman" w:eastAsia="宋体" w:cs="Times New Roman"/>
          <w:color w:val="auto"/>
        </w:rPr>
        <w:t>，Y为COD</w:t>
      </w:r>
      <w:r>
        <w:rPr>
          <w:rFonts w:hint="eastAsia" w:eastAsia="宋体" w:cs="Times New Roman"/>
          <w:color w:val="auto"/>
          <w:lang w:eastAsia="zh-CN"/>
        </w:rPr>
        <w:t>）</w:t>
      </w:r>
      <w:r>
        <w:rPr>
          <w:rFonts w:ascii="Times New Roman" w:hAnsi="Times New Roman" w:eastAsia="宋体" w:cs="Times New Roman"/>
          <w:color w:val="auto"/>
        </w:rPr>
        <w:t>进行换算。本次评价COD浓度取</w:t>
      </w:r>
      <w:r>
        <w:rPr>
          <w:rFonts w:hint="eastAsia" w:eastAsia="宋体" w:cs="Times New Roman"/>
          <w:color w:val="auto"/>
          <w:lang w:val="en-US" w:eastAsia="zh-CN"/>
        </w:rPr>
        <w:t>400mg/L</w:t>
      </w:r>
      <w:r>
        <w:rPr>
          <w:rFonts w:ascii="Times New Roman" w:hAnsi="Times New Roman" w:eastAsia="宋体" w:cs="Times New Roman"/>
          <w:color w:val="auto"/>
        </w:rPr>
        <w:t>，则COD</w:t>
      </w:r>
      <w:r>
        <w:rPr>
          <w:rFonts w:ascii="Times New Roman" w:hAnsi="Times New Roman" w:eastAsia="宋体" w:cs="Times New Roman"/>
          <w:color w:val="auto"/>
          <w:vertAlign w:val="subscript"/>
        </w:rPr>
        <w:t>Mn</w:t>
      </w:r>
      <w:r>
        <w:rPr>
          <w:rFonts w:ascii="Times New Roman" w:hAnsi="Times New Roman" w:eastAsia="宋体" w:cs="Times New Roman"/>
          <w:color w:val="auto"/>
        </w:rPr>
        <w:t>浓度为</w:t>
      </w:r>
      <w:r>
        <w:rPr>
          <w:rFonts w:hint="eastAsia" w:eastAsia="宋体" w:cs="Times New Roman"/>
          <w:color w:val="auto"/>
          <w:lang w:val="en-US" w:eastAsia="zh-CN"/>
        </w:rPr>
        <w:t>85</w:t>
      </w:r>
      <w:r>
        <w:rPr>
          <w:rFonts w:ascii="Times New Roman" w:hAnsi="Times New Roman" w:eastAsia="宋体" w:cs="Times New Roman"/>
          <w:color w:val="auto"/>
        </w:rPr>
        <w:t>mg/L。</w:t>
      </w:r>
    </w:p>
    <w:p w14:paraId="48293ABD">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w:t>
      </w:r>
      <w:r>
        <w:rPr>
          <w:rFonts w:ascii="Times New Roman" w:hAnsi="Times New Roman" w:cs="Times New Roman"/>
          <w:color w:val="auto"/>
        </w:rPr>
        <w:t>5</w:t>
      </w:r>
      <w:r>
        <w:rPr>
          <w:rFonts w:ascii="Times New Roman" w:hAnsi="Times New Roman" w:eastAsia="宋体" w:cs="Times New Roman"/>
          <w:color w:val="auto"/>
        </w:rPr>
        <w:t>）参数选择</w:t>
      </w:r>
    </w:p>
    <w:p w14:paraId="3BAECEE1">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根据上述计算公式所需参数，结合场地相关水文地质资料进行选择。根据项目地勘资料可知，项目区地层主要由细砂层组成。</w:t>
      </w:r>
    </w:p>
    <w:p w14:paraId="3726F6D1">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项目区水文地质条件较简单，本次评价选用的水文地质参数主要通过查阅以往成果资料获取，水力梯度的选取等利用对水文地质条件类比获得。有效孔隙度、含水层渗透系数及弥散系数选取经验值。</w:t>
      </w:r>
    </w:p>
    <w:p w14:paraId="62B09705">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1）有效孔隙度（n）和渗透系数（K）</w:t>
      </w:r>
    </w:p>
    <w:p w14:paraId="577009AF">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根据《地下水》（弗里泽Freeze，R.A.</w:t>
      </w:r>
      <w:r>
        <w:rPr>
          <w:rFonts w:hint="eastAsia" w:eastAsia="宋体" w:cs="Times New Roman"/>
          <w:color w:val="auto"/>
          <w:lang w:eastAsia="zh-CN"/>
        </w:rPr>
        <w:t>）</w:t>
      </w:r>
      <w:r>
        <w:rPr>
          <w:rFonts w:ascii="Times New Roman" w:hAnsi="Times New Roman" w:eastAsia="宋体" w:cs="Times New Roman"/>
          <w:color w:val="auto"/>
        </w:rPr>
        <w:t>，彻里</w:t>
      </w:r>
      <w:r>
        <w:rPr>
          <w:rFonts w:hint="eastAsia" w:eastAsia="宋体" w:cs="Times New Roman"/>
          <w:color w:val="auto"/>
          <w:lang w:eastAsia="zh-CN"/>
        </w:rPr>
        <w:t>（</w:t>
      </w:r>
      <w:r>
        <w:rPr>
          <w:rFonts w:ascii="Times New Roman" w:hAnsi="Times New Roman" w:eastAsia="宋体" w:cs="Times New Roman"/>
          <w:color w:val="auto"/>
        </w:rPr>
        <w:t>Cherry，J.A.</w:t>
      </w:r>
      <w:r>
        <w:rPr>
          <w:rFonts w:hint="eastAsia" w:eastAsia="宋体" w:cs="Times New Roman"/>
          <w:color w:val="auto"/>
          <w:lang w:eastAsia="zh-CN"/>
        </w:rPr>
        <w:t>）</w:t>
      </w:r>
      <w:r>
        <w:rPr>
          <w:rFonts w:ascii="Times New Roman" w:hAnsi="Times New Roman" w:eastAsia="宋体" w:cs="Times New Roman"/>
          <w:color w:val="auto"/>
        </w:rPr>
        <w:t>，地震出版社，1987），孔隙度变化区间砾石为</w:t>
      </w:r>
      <w:r>
        <w:rPr>
          <w:rFonts w:hint="eastAsia" w:eastAsia="宋体" w:cs="Times New Roman"/>
          <w:color w:val="auto"/>
          <w:lang w:eastAsia="zh-CN"/>
        </w:rPr>
        <w:t>25%～40%</w:t>
      </w:r>
      <w:r>
        <w:rPr>
          <w:rFonts w:ascii="Times New Roman" w:hAnsi="Times New Roman" w:eastAsia="宋体" w:cs="Times New Roman"/>
          <w:color w:val="auto"/>
        </w:rPr>
        <w:t>，砂为25</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50%，本项目区含水层由细砂组成，本项目有效孔隙度取值40%。</w:t>
      </w:r>
    </w:p>
    <w:p w14:paraId="041A7E94">
      <w:pPr>
        <w:pStyle w:val="13"/>
        <w:autoSpaceDE w:val="0"/>
        <w:autoSpaceDN w:val="0"/>
        <w:spacing w:after="0" w:line="520" w:lineRule="exact"/>
        <w:ind w:firstLine="480"/>
        <w:rPr>
          <w:rFonts w:ascii="Times New Roman" w:hAnsi="Times New Roman" w:cs="Times New Roman"/>
          <w:color w:val="auto"/>
        </w:rPr>
      </w:pPr>
      <w:r>
        <w:rPr>
          <w:rFonts w:ascii="Times New Roman" w:hAnsi="Times New Roman" w:eastAsia="宋体" w:cs="Times New Roman"/>
          <w:color w:val="auto"/>
        </w:rPr>
        <w:t>对比《环境影响评价技术导则 地下水环境》（HJ610-2016）表 B.1渗透系数经验值表，细砂渗透系数为5.0m/d~10m/d，本项目含水层岩性以</w:t>
      </w:r>
      <w:bookmarkStart w:id="197" w:name="_Hlk123231856"/>
      <w:r>
        <w:rPr>
          <w:rFonts w:ascii="Times New Roman" w:hAnsi="Times New Roman" w:eastAsia="宋体" w:cs="Times New Roman"/>
          <w:color w:val="auto"/>
        </w:rPr>
        <w:t>细砂</w:t>
      </w:r>
      <w:bookmarkEnd w:id="197"/>
      <w:r>
        <w:rPr>
          <w:rFonts w:ascii="Times New Roman" w:hAnsi="Times New Roman" w:eastAsia="宋体" w:cs="Times New Roman"/>
          <w:color w:val="auto"/>
        </w:rPr>
        <w:t>等组成，含水层渗透系数取8.0m/d。</w:t>
      </w:r>
    </w:p>
    <w:p w14:paraId="44E026DC">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2）地下水流速（u）</w:t>
      </w:r>
    </w:p>
    <w:p w14:paraId="72769881">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水文地质条件类比，水力坡度I=0.3%，因此地下水的渗透流速为：</w:t>
      </w:r>
    </w:p>
    <w:p w14:paraId="46E3EE60">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v=Ki=8.0×0.3%=0.024m/d</w:t>
      </w:r>
    </w:p>
    <w:p w14:paraId="1BBC310F">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地下水的实际流速为：</w:t>
      </w:r>
    </w:p>
    <w:p w14:paraId="5BDB1859">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u=Ki/n</w:t>
      </w:r>
      <w:r>
        <w:rPr>
          <w:rFonts w:ascii="Times New Roman" w:hAnsi="Times New Roman" w:eastAsia="宋体" w:cs="Times New Roman"/>
          <w:color w:val="auto"/>
          <w:vertAlign w:val="subscript"/>
        </w:rPr>
        <w:t>e</w:t>
      </w:r>
      <w:r>
        <w:rPr>
          <w:rFonts w:ascii="Times New Roman" w:hAnsi="Times New Roman" w:eastAsia="宋体" w:cs="Times New Roman"/>
          <w:color w:val="auto"/>
        </w:rPr>
        <w:t>=（8.0×0.3%）/40%=0.06m/d</w:t>
      </w:r>
      <w:r>
        <w:rPr>
          <w:rFonts w:hint="eastAsia" w:eastAsia="宋体" w:cs="Times New Roman"/>
          <w:color w:val="auto"/>
          <w:lang w:eastAsia="zh-CN"/>
        </w:rPr>
        <w:t>;</w:t>
      </w:r>
    </w:p>
    <w:p w14:paraId="1A471F4B">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3）弥散系数</w:t>
      </w:r>
    </w:p>
    <w:p w14:paraId="66604731">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根据《地下水弥散系数的测定》（宋树林，1998年）研究表明，细砂纵向弥散系数为0.05~0.5m</w:t>
      </w:r>
      <w:r>
        <w:rPr>
          <w:rFonts w:ascii="Times New Roman" w:hAnsi="Times New Roman" w:eastAsia="宋体" w:cs="Times New Roman"/>
          <w:color w:val="auto"/>
          <w:vertAlign w:val="superscript"/>
        </w:rPr>
        <w:t>2</w:t>
      </w:r>
      <w:r>
        <w:rPr>
          <w:rFonts w:ascii="Times New Roman" w:hAnsi="Times New Roman" w:eastAsia="宋体" w:cs="Times New Roman"/>
          <w:color w:val="auto"/>
        </w:rPr>
        <w:t>/d，</w:t>
      </w:r>
      <w:bookmarkStart w:id="198" w:name="_Hlk123229708"/>
      <w:r>
        <w:rPr>
          <w:rFonts w:ascii="Times New Roman" w:hAnsi="Times New Roman" w:eastAsia="宋体" w:cs="Times New Roman"/>
          <w:color w:val="auto"/>
        </w:rPr>
        <w:t>本项目含水层岩性以细砂等组成</w:t>
      </w:r>
      <w:bookmarkEnd w:id="198"/>
      <w:r>
        <w:rPr>
          <w:rFonts w:ascii="Times New Roman" w:hAnsi="Times New Roman" w:eastAsia="宋体" w:cs="Times New Roman"/>
          <w:color w:val="auto"/>
        </w:rPr>
        <w:t>，本次取值D</w:t>
      </w:r>
      <w:r>
        <w:rPr>
          <w:rFonts w:ascii="Times New Roman" w:hAnsi="Times New Roman" w:eastAsia="宋体" w:cs="Times New Roman"/>
          <w:color w:val="auto"/>
          <w:vertAlign w:val="subscript"/>
        </w:rPr>
        <w:t>L</w:t>
      </w:r>
      <w:r>
        <w:rPr>
          <w:rFonts w:ascii="Times New Roman" w:hAnsi="Times New Roman" w:eastAsia="宋体" w:cs="Times New Roman"/>
          <w:color w:val="auto"/>
        </w:rPr>
        <w:t>=0.3m</w:t>
      </w:r>
      <w:r>
        <w:rPr>
          <w:rFonts w:ascii="Times New Roman" w:hAnsi="Times New Roman" w:eastAsia="宋体" w:cs="Times New Roman"/>
          <w:color w:val="auto"/>
          <w:vertAlign w:val="superscript"/>
        </w:rPr>
        <w:t>2</w:t>
      </w:r>
      <w:r>
        <w:rPr>
          <w:rFonts w:ascii="Times New Roman" w:hAnsi="Times New Roman" w:eastAsia="宋体" w:cs="Times New Roman"/>
          <w:color w:val="auto"/>
        </w:rPr>
        <w:t>/d。</w:t>
      </w:r>
    </w:p>
    <w:p w14:paraId="1A6C7C39">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综上，本项目各参数取值见下表。</w:t>
      </w:r>
    </w:p>
    <w:p w14:paraId="7C77CB6C">
      <w:pPr>
        <w:pStyle w:val="13"/>
        <w:spacing w:after="0"/>
        <w:ind w:firstLine="0" w:firstLineChars="0"/>
        <w:jc w:val="center"/>
        <w:rPr>
          <w:rFonts w:ascii="Times New Roman" w:hAnsi="Times New Roman" w:eastAsia="宋体" w:cs="Times New Roman"/>
          <w:b/>
          <w:color w:val="auto"/>
        </w:rPr>
      </w:pPr>
      <w:r>
        <w:rPr>
          <w:rFonts w:ascii="Times New Roman" w:hAnsi="Times New Roman" w:eastAsia="宋体" w:cs="Times New Roman"/>
          <w:b/>
          <w:color w:val="auto"/>
        </w:rPr>
        <w:t>表</w:t>
      </w:r>
      <w:r>
        <w:rPr>
          <w:rFonts w:hint="eastAsia" w:eastAsia="宋体" w:cs="Times New Roman"/>
          <w:b/>
          <w:color w:val="auto"/>
          <w:lang w:val="en-US" w:eastAsia="zh-CN"/>
        </w:rPr>
        <w:t>5</w:t>
      </w:r>
      <w:r>
        <w:rPr>
          <w:rFonts w:ascii="Times New Roman" w:hAnsi="Times New Roman" w:eastAsia="宋体" w:cs="Times New Roman"/>
          <w:b/>
          <w:color w:val="auto"/>
        </w:rPr>
        <w:t>.</w:t>
      </w:r>
      <w:r>
        <w:rPr>
          <w:rFonts w:ascii="Times New Roman" w:hAnsi="Times New Roman" w:cs="Times New Roman"/>
          <w:b/>
          <w:color w:val="auto"/>
        </w:rPr>
        <w:t>2</w:t>
      </w:r>
      <w:r>
        <w:rPr>
          <w:rFonts w:ascii="Times New Roman" w:hAnsi="Times New Roman" w:eastAsia="宋体" w:cs="Times New Roman"/>
          <w:b/>
          <w:color w:val="auto"/>
        </w:rPr>
        <w:t>-1</w:t>
      </w:r>
      <w:r>
        <w:rPr>
          <w:rFonts w:hint="eastAsia" w:ascii="Times New Roman" w:hAnsi="Times New Roman" w:eastAsia="宋体" w:cs="Times New Roman"/>
          <w:b/>
          <w:color w:val="auto"/>
          <w:lang w:val="en-US" w:eastAsia="zh-CN"/>
        </w:rPr>
        <w:t>4</w:t>
      </w:r>
      <w:r>
        <w:rPr>
          <w:rFonts w:ascii="Times New Roman" w:hAnsi="Times New Roman" w:eastAsia="宋体" w:cs="Times New Roman"/>
          <w:b/>
          <w:color w:val="auto"/>
        </w:rPr>
        <w:t xml:space="preserve">     模型所需参数一览表</w:t>
      </w:r>
    </w:p>
    <w:tbl>
      <w:tblPr>
        <w:tblStyle w:val="81"/>
        <w:tblW w:w="895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737"/>
        <w:gridCol w:w="1216"/>
        <w:gridCol w:w="1645"/>
        <w:gridCol w:w="1580"/>
        <w:gridCol w:w="3780"/>
      </w:tblGrid>
      <w:tr w14:paraId="0C2457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6B299798">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序号</w:t>
            </w:r>
          </w:p>
        </w:tc>
        <w:tc>
          <w:tcPr>
            <w:tcW w:w="1216" w:type="dxa"/>
            <w:tcBorders>
              <w:tl2br w:val="nil"/>
              <w:tr2bl w:val="nil"/>
            </w:tcBorders>
            <w:vAlign w:val="center"/>
          </w:tcPr>
          <w:p w14:paraId="05C20E1D">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参数符号</w:t>
            </w:r>
          </w:p>
        </w:tc>
        <w:tc>
          <w:tcPr>
            <w:tcW w:w="1645" w:type="dxa"/>
            <w:tcBorders>
              <w:tl2br w:val="nil"/>
              <w:tr2bl w:val="nil"/>
            </w:tcBorders>
            <w:vAlign w:val="center"/>
          </w:tcPr>
          <w:p w14:paraId="41F93A4C">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参数名称</w:t>
            </w:r>
          </w:p>
        </w:tc>
        <w:tc>
          <w:tcPr>
            <w:tcW w:w="1580" w:type="dxa"/>
            <w:tcBorders>
              <w:tl2br w:val="nil"/>
              <w:tr2bl w:val="nil"/>
            </w:tcBorders>
            <w:vAlign w:val="center"/>
          </w:tcPr>
          <w:p w14:paraId="48C81DD3">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参数数值</w:t>
            </w:r>
          </w:p>
        </w:tc>
        <w:tc>
          <w:tcPr>
            <w:tcW w:w="3780" w:type="dxa"/>
            <w:tcBorders>
              <w:tl2br w:val="nil"/>
              <w:tr2bl w:val="nil"/>
            </w:tcBorders>
            <w:vAlign w:val="center"/>
          </w:tcPr>
          <w:p w14:paraId="1796FAE9">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数值来源</w:t>
            </w:r>
          </w:p>
        </w:tc>
      </w:tr>
      <w:tr w14:paraId="72CF95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0C2054C1">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1</w:t>
            </w:r>
          </w:p>
        </w:tc>
        <w:tc>
          <w:tcPr>
            <w:tcW w:w="1216" w:type="dxa"/>
            <w:tcBorders>
              <w:tl2br w:val="nil"/>
              <w:tr2bl w:val="nil"/>
            </w:tcBorders>
            <w:vAlign w:val="center"/>
          </w:tcPr>
          <w:p w14:paraId="0BDD325F">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n</w:t>
            </w:r>
            <w:r>
              <w:rPr>
                <w:rFonts w:ascii="Times New Roman" w:hAnsi="Times New Roman" w:cs="Times New Roman"/>
                <w:color w:val="auto"/>
                <w:vertAlign w:val="subscript"/>
                <w:lang w:eastAsia="en-US"/>
              </w:rPr>
              <w:t>e</w:t>
            </w:r>
          </w:p>
        </w:tc>
        <w:tc>
          <w:tcPr>
            <w:tcW w:w="1645" w:type="dxa"/>
            <w:tcBorders>
              <w:tl2br w:val="nil"/>
              <w:tr2bl w:val="nil"/>
            </w:tcBorders>
            <w:vAlign w:val="center"/>
          </w:tcPr>
          <w:p w14:paraId="795E84B2">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有效孔隙度</w:t>
            </w:r>
          </w:p>
        </w:tc>
        <w:tc>
          <w:tcPr>
            <w:tcW w:w="1580" w:type="dxa"/>
            <w:tcBorders>
              <w:tl2br w:val="nil"/>
              <w:tr2bl w:val="nil"/>
            </w:tcBorders>
            <w:vAlign w:val="center"/>
          </w:tcPr>
          <w:p w14:paraId="6BA5C9AF">
            <w:pPr>
              <w:pStyle w:val="60"/>
              <w:autoSpaceDE w:val="0"/>
              <w:autoSpaceDN w:val="0"/>
              <w:rPr>
                <w:rFonts w:ascii="Times New Roman" w:hAnsi="Times New Roman" w:eastAsia="宋体" w:cs="Times New Roman"/>
                <w:color w:val="auto"/>
                <w:lang w:eastAsia="en-US" w:bidi="zh-CN"/>
              </w:rPr>
            </w:pPr>
            <w:r>
              <w:rPr>
                <w:rFonts w:ascii="Times New Roman" w:hAnsi="Times New Roman" w:cs="Times New Roman"/>
                <w:color w:val="auto"/>
                <w:lang w:eastAsia="en-US"/>
              </w:rPr>
              <w:t>40%</w:t>
            </w:r>
          </w:p>
        </w:tc>
        <w:tc>
          <w:tcPr>
            <w:tcW w:w="3780" w:type="dxa"/>
            <w:tcBorders>
              <w:tl2br w:val="nil"/>
              <w:tr2bl w:val="nil"/>
            </w:tcBorders>
            <w:vAlign w:val="center"/>
          </w:tcPr>
          <w:p w14:paraId="236E3168">
            <w:pPr>
              <w:pStyle w:val="60"/>
              <w:autoSpaceDE w:val="0"/>
              <w:autoSpaceDN w:val="0"/>
              <w:rPr>
                <w:rFonts w:ascii="Times New Roman" w:hAnsi="Times New Roman" w:eastAsia="宋体" w:cs="Times New Roman"/>
                <w:color w:val="auto"/>
                <w:lang w:eastAsia="zh-CN" w:bidi="zh-CN"/>
              </w:rPr>
            </w:pPr>
            <w:r>
              <w:rPr>
                <w:rFonts w:ascii="Times New Roman" w:hAnsi="Times New Roman" w:cs="Times New Roman"/>
                <w:color w:val="auto"/>
                <w:lang w:eastAsia="zh-CN"/>
              </w:rPr>
              <w:t>砂为</w:t>
            </w:r>
            <w:r>
              <w:rPr>
                <w:rFonts w:hint="eastAsia" w:cs="Times New Roman"/>
                <w:color w:val="auto"/>
                <w:lang w:eastAsia="zh-CN"/>
              </w:rPr>
              <w:t>25%～50%</w:t>
            </w:r>
            <w:r>
              <w:rPr>
                <w:rFonts w:ascii="Times New Roman" w:hAnsi="Times New Roman" w:cs="Times New Roman"/>
                <w:color w:val="auto"/>
                <w:lang w:eastAsia="zh-CN"/>
              </w:rPr>
              <w:t>，本项目区含水层由细砂组成，则本项目有效孔隙度取平均值40%。</w:t>
            </w:r>
          </w:p>
        </w:tc>
      </w:tr>
      <w:tr w14:paraId="5C6B65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5C30A04E">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2</w:t>
            </w:r>
          </w:p>
        </w:tc>
        <w:tc>
          <w:tcPr>
            <w:tcW w:w="1216" w:type="dxa"/>
            <w:tcBorders>
              <w:tl2br w:val="nil"/>
              <w:tr2bl w:val="nil"/>
            </w:tcBorders>
            <w:vAlign w:val="center"/>
          </w:tcPr>
          <w:p w14:paraId="23ABC804">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u</w:t>
            </w:r>
          </w:p>
        </w:tc>
        <w:tc>
          <w:tcPr>
            <w:tcW w:w="1645" w:type="dxa"/>
            <w:tcBorders>
              <w:tl2br w:val="nil"/>
              <w:tr2bl w:val="nil"/>
            </w:tcBorders>
            <w:vAlign w:val="center"/>
          </w:tcPr>
          <w:p w14:paraId="7B579C41">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水流速度</w:t>
            </w:r>
          </w:p>
        </w:tc>
        <w:tc>
          <w:tcPr>
            <w:tcW w:w="1580" w:type="dxa"/>
            <w:tcBorders>
              <w:tl2br w:val="nil"/>
              <w:tr2bl w:val="nil"/>
            </w:tcBorders>
            <w:vAlign w:val="center"/>
          </w:tcPr>
          <w:p w14:paraId="6838E120">
            <w:pPr>
              <w:pStyle w:val="60"/>
              <w:autoSpaceDE w:val="0"/>
              <w:autoSpaceDN w:val="0"/>
              <w:rPr>
                <w:rFonts w:ascii="Times New Roman" w:hAnsi="Times New Roman" w:eastAsia="宋体" w:cs="Times New Roman"/>
                <w:color w:val="auto"/>
                <w:lang w:eastAsia="en-US" w:bidi="zh-CN"/>
              </w:rPr>
            </w:pPr>
            <w:r>
              <w:rPr>
                <w:rFonts w:ascii="Times New Roman" w:hAnsi="Times New Roman" w:cs="Times New Roman"/>
                <w:color w:val="auto"/>
                <w:lang w:eastAsia="en-US"/>
              </w:rPr>
              <w:t>0.06m/d</w:t>
            </w:r>
          </w:p>
        </w:tc>
        <w:tc>
          <w:tcPr>
            <w:tcW w:w="3780" w:type="dxa"/>
            <w:tcBorders>
              <w:tl2br w:val="nil"/>
              <w:tr2bl w:val="nil"/>
            </w:tcBorders>
            <w:vAlign w:val="center"/>
          </w:tcPr>
          <w:p w14:paraId="7304AF8F">
            <w:pPr>
              <w:pStyle w:val="60"/>
              <w:autoSpaceDE w:val="0"/>
              <w:autoSpaceDN w:val="0"/>
              <w:rPr>
                <w:rFonts w:ascii="Times New Roman" w:hAnsi="Times New Roman" w:cs="Times New Roman"/>
                <w:color w:val="auto"/>
                <w:lang w:eastAsia="zh-CN"/>
              </w:rPr>
            </w:pPr>
            <w:r>
              <w:rPr>
                <w:rFonts w:ascii="Times New Roman" w:hAnsi="Times New Roman" w:cs="Times New Roman"/>
                <w:color w:val="auto"/>
                <w:lang w:eastAsia="zh-CN"/>
              </w:rPr>
              <w:t>u=Ki/n，本区潜水含水层平均渗透系数</w:t>
            </w:r>
          </w:p>
          <w:p w14:paraId="64554A0C">
            <w:pPr>
              <w:pStyle w:val="60"/>
              <w:autoSpaceDE w:val="0"/>
              <w:autoSpaceDN w:val="0"/>
              <w:rPr>
                <w:rFonts w:ascii="Times New Roman" w:hAnsi="Times New Roman" w:eastAsia="宋体" w:cs="Times New Roman"/>
                <w:color w:val="auto"/>
                <w:lang w:eastAsia="zh-CN" w:bidi="zh-CN"/>
              </w:rPr>
            </w:pPr>
            <w:r>
              <w:rPr>
                <w:rFonts w:ascii="Times New Roman" w:hAnsi="Times New Roman" w:cs="Times New Roman"/>
                <w:color w:val="auto"/>
                <w:lang w:eastAsia="zh-CN"/>
              </w:rPr>
              <w:t>K=8m/d，i为0.3%，n</w:t>
            </w:r>
            <w:r>
              <w:rPr>
                <w:rFonts w:ascii="Times New Roman" w:hAnsi="Times New Roman" w:cs="Times New Roman"/>
                <w:color w:val="auto"/>
                <w:vertAlign w:val="subscript"/>
                <w:lang w:eastAsia="zh-CN"/>
              </w:rPr>
              <w:t>e</w:t>
            </w:r>
            <w:r>
              <w:rPr>
                <w:rFonts w:ascii="Times New Roman" w:hAnsi="Times New Roman" w:cs="Times New Roman"/>
                <w:color w:val="auto"/>
                <w:lang w:eastAsia="zh-CN"/>
              </w:rPr>
              <w:t>为40%</w:t>
            </w:r>
          </w:p>
        </w:tc>
      </w:tr>
      <w:tr w14:paraId="3E5D06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700EB9F3">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3</w:t>
            </w:r>
          </w:p>
        </w:tc>
        <w:tc>
          <w:tcPr>
            <w:tcW w:w="1216" w:type="dxa"/>
            <w:tcBorders>
              <w:tl2br w:val="nil"/>
              <w:tr2bl w:val="nil"/>
            </w:tcBorders>
            <w:vAlign w:val="center"/>
          </w:tcPr>
          <w:p w14:paraId="1DADADFF">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DL</w:t>
            </w:r>
          </w:p>
        </w:tc>
        <w:tc>
          <w:tcPr>
            <w:tcW w:w="1645" w:type="dxa"/>
            <w:tcBorders>
              <w:tl2br w:val="nil"/>
              <w:tr2bl w:val="nil"/>
            </w:tcBorders>
            <w:vAlign w:val="center"/>
          </w:tcPr>
          <w:p w14:paraId="586D8E01">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纵向弥散系数</w:t>
            </w:r>
          </w:p>
        </w:tc>
        <w:tc>
          <w:tcPr>
            <w:tcW w:w="1580" w:type="dxa"/>
            <w:tcBorders>
              <w:tl2br w:val="nil"/>
              <w:tr2bl w:val="nil"/>
            </w:tcBorders>
            <w:vAlign w:val="center"/>
          </w:tcPr>
          <w:p w14:paraId="5DE145F6">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0.3m</w:t>
            </w:r>
            <w:r>
              <w:rPr>
                <w:rFonts w:ascii="Times New Roman" w:hAnsi="Times New Roman" w:cs="Times New Roman"/>
                <w:color w:val="auto"/>
                <w:vertAlign w:val="superscript"/>
                <w:lang w:eastAsia="en-US"/>
              </w:rPr>
              <w:t>2</w:t>
            </w:r>
            <w:r>
              <w:rPr>
                <w:rFonts w:ascii="Times New Roman" w:hAnsi="Times New Roman" w:cs="Times New Roman"/>
                <w:color w:val="auto"/>
                <w:lang w:eastAsia="en-US"/>
              </w:rPr>
              <w:t>/d</w:t>
            </w:r>
          </w:p>
        </w:tc>
        <w:tc>
          <w:tcPr>
            <w:tcW w:w="3780" w:type="dxa"/>
            <w:tcBorders>
              <w:tl2br w:val="nil"/>
              <w:tr2bl w:val="nil"/>
            </w:tcBorders>
            <w:vAlign w:val="center"/>
          </w:tcPr>
          <w:p w14:paraId="5A17DCF8">
            <w:pPr>
              <w:pStyle w:val="60"/>
              <w:autoSpaceDE w:val="0"/>
              <w:autoSpaceDN w:val="0"/>
              <w:rPr>
                <w:rFonts w:ascii="Times New Roman" w:hAnsi="Times New Roman" w:cs="Times New Roman"/>
                <w:color w:val="auto"/>
                <w:lang w:eastAsia="zh-CN"/>
              </w:rPr>
            </w:pPr>
            <w:r>
              <w:rPr>
                <w:rFonts w:ascii="Times New Roman" w:hAnsi="Times New Roman" w:cs="Times New Roman"/>
                <w:color w:val="auto"/>
                <w:lang w:eastAsia="zh-CN"/>
              </w:rPr>
              <w:t>根据《地下水弥散系数的测定》（宋树林，1998 年）研究表明，细砂纵向弥散系数为0.05~0.5m</w:t>
            </w:r>
            <w:r>
              <w:rPr>
                <w:rFonts w:ascii="Times New Roman" w:hAnsi="Times New Roman" w:cs="Times New Roman"/>
                <w:color w:val="auto"/>
                <w:vertAlign w:val="superscript"/>
                <w:lang w:eastAsia="zh-CN"/>
              </w:rPr>
              <w:t>2</w:t>
            </w:r>
            <w:r>
              <w:rPr>
                <w:rFonts w:ascii="Times New Roman" w:hAnsi="Times New Roman" w:cs="Times New Roman"/>
                <w:color w:val="auto"/>
                <w:lang w:eastAsia="zh-CN"/>
              </w:rPr>
              <w:t>/d，本项目含水层</w:t>
            </w:r>
            <w:r>
              <w:rPr>
                <w:rFonts w:hint="eastAsia" w:ascii="Times New Roman" w:hAnsi="Times New Roman" w:cs="Times New Roman"/>
                <w:color w:val="auto"/>
                <w:lang w:val="en-US" w:eastAsia="zh-CN"/>
              </w:rPr>
              <w:t>为</w:t>
            </w:r>
            <w:r>
              <w:rPr>
                <w:rFonts w:ascii="Times New Roman" w:hAnsi="Times New Roman" w:cs="Times New Roman"/>
                <w:color w:val="auto"/>
                <w:lang w:eastAsia="zh-CN"/>
              </w:rPr>
              <w:t>细砂，本次取值D</w:t>
            </w:r>
            <w:r>
              <w:rPr>
                <w:rFonts w:ascii="Times New Roman" w:hAnsi="Times New Roman" w:cs="Times New Roman"/>
                <w:color w:val="auto"/>
                <w:vertAlign w:val="subscript"/>
                <w:lang w:eastAsia="zh-CN"/>
              </w:rPr>
              <w:t>L</w:t>
            </w:r>
            <w:r>
              <w:rPr>
                <w:rFonts w:ascii="Times New Roman" w:hAnsi="Times New Roman" w:cs="Times New Roman"/>
                <w:color w:val="auto"/>
                <w:lang w:eastAsia="zh-CN"/>
              </w:rPr>
              <w:t>=0.3m</w:t>
            </w:r>
            <w:r>
              <w:rPr>
                <w:rFonts w:ascii="Times New Roman" w:hAnsi="Times New Roman" w:cs="Times New Roman"/>
                <w:color w:val="auto"/>
                <w:vertAlign w:val="superscript"/>
                <w:lang w:eastAsia="zh-CN"/>
              </w:rPr>
              <w:t>2</w:t>
            </w:r>
            <w:r>
              <w:rPr>
                <w:rFonts w:ascii="Times New Roman" w:hAnsi="Times New Roman" w:cs="Times New Roman"/>
                <w:color w:val="auto"/>
                <w:lang w:eastAsia="zh-CN"/>
              </w:rPr>
              <w:t>/d。</w:t>
            </w:r>
          </w:p>
        </w:tc>
      </w:tr>
      <w:tr w14:paraId="297288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6" w:hRule="atLeast"/>
          <w:jc w:val="center"/>
        </w:trPr>
        <w:tc>
          <w:tcPr>
            <w:tcW w:w="737" w:type="dxa"/>
            <w:tcBorders>
              <w:tl2br w:val="nil"/>
              <w:tr2bl w:val="nil"/>
            </w:tcBorders>
            <w:vAlign w:val="center"/>
          </w:tcPr>
          <w:p w14:paraId="05EB58AD">
            <w:pPr>
              <w:pStyle w:val="60"/>
              <w:autoSpaceDE w:val="0"/>
              <w:autoSpaceDN w:val="0"/>
              <w:rPr>
                <w:rFonts w:ascii="Times New Roman" w:hAnsi="Times New Roman" w:cs="Times New Roman"/>
                <w:color w:val="auto"/>
                <w:lang w:eastAsia="en-US"/>
              </w:rPr>
            </w:pPr>
            <w:r>
              <w:rPr>
                <w:rFonts w:ascii="Times New Roman" w:hAnsi="Times New Roman" w:cs="Times New Roman"/>
                <w:color w:val="auto"/>
                <w:lang w:eastAsia="en-US"/>
              </w:rPr>
              <w:t>4</w:t>
            </w:r>
          </w:p>
        </w:tc>
        <w:tc>
          <w:tcPr>
            <w:tcW w:w="1216" w:type="dxa"/>
            <w:tcBorders>
              <w:tl2br w:val="nil"/>
              <w:tr2bl w:val="nil"/>
            </w:tcBorders>
            <w:vAlign w:val="center"/>
          </w:tcPr>
          <w:p w14:paraId="4C0BE3B2">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t</w:t>
            </w:r>
          </w:p>
        </w:tc>
        <w:tc>
          <w:tcPr>
            <w:tcW w:w="1645" w:type="dxa"/>
            <w:tcBorders>
              <w:tl2br w:val="nil"/>
              <w:tr2bl w:val="nil"/>
            </w:tcBorders>
            <w:vAlign w:val="center"/>
          </w:tcPr>
          <w:p w14:paraId="7E61AA6E">
            <w:pPr>
              <w:pStyle w:val="60"/>
              <w:autoSpaceDE w:val="0"/>
              <w:autoSpaceDN w:val="0"/>
              <w:rPr>
                <w:rFonts w:ascii="Times New Roman" w:hAnsi="Times New Roman" w:eastAsia="宋体" w:cs="Times New Roman"/>
                <w:color w:val="auto"/>
                <w:lang w:val="zh-CN" w:eastAsia="en-US" w:bidi="zh-CN"/>
              </w:rPr>
            </w:pPr>
            <w:r>
              <w:rPr>
                <w:rFonts w:ascii="Times New Roman" w:hAnsi="Times New Roman" w:cs="Times New Roman"/>
                <w:color w:val="auto"/>
                <w:lang w:eastAsia="en-US"/>
              </w:rPr>
              <w:t>时段</w:t>
            </w:r>
          </w:p>
        </w:tc>
        <w:tc>
          <w:tcPr>
            <w:tcW w:w="5360" w:type="dxa"/>
            <w:gridSpan w:val="2"/>
            <w:tcBorders>
              <w:tl2br w:val="nil"/>
              <w:tr2bl w:val="nil"/>
            </w:tcBorders>
            <w:vAlign w:val="center"/>
          </w:tcPr>
          <w:p w14:paraId="03E0BDC7">
            <w:pPr>
              <w:pStyle w:val="60"/>
              <w:autoSpaceDE w:val="0"/>
              <w:autoSpaceDN w:val="0"/>
              <w:rPr>
                <w:rFonts w:ascii="Times New Roman" w:hAnsi="Times New Roman" w:cs="Times New Roman"/>
                <w:color w:val="auto"/>
                <w:lang w:eastAsia="zh-CN"/>
              </w:rPr>
            </w:pPr>
            <w:r>
              <w:rPr>
                <w:rFonts w:ascii="Times New Roman" w:hAnsi="Times New Roman" w:cs="Times New Roman"/>
                <w:color w:val="auto"/>
                <w:lang w:eastAsia="zh-CN"/>
              </w:rPr>
              <w:t>结合地下水跟踪监测的频率（1次/半年），预测时段设定为粪污暂存池发生泄漏后的100天。</w:t>
            </w:r>
          </w:p>
        </w:tc>
      </w:tr>
    </w:tbl>
    <w:p w14:paraId="09E7C426">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w:t>
      </w:r>
      <w:r>
        <w:rPr>
          <w:rFonts w:ascii="Times New Roman" w:hAnsi="Times New Roman" w:cs="Times New Roman"/>
          <w:color w:val="auto"/>
        </w:rPr>
        <w:t>4</w:t>
      </w:r>
      <w:r>
        <w:rPr>
          <w:rFonts w:ascii="Times New Roman" w:hAnsi="Times New Roman" w:eastAsia="宋体" w:cs="Times New Roman"/>
          <w:color w:val="auto"/>
        </w:rPr>
        <w:t>）数学模型的建立</w:t>
      </w:r>
    </w:p>
    <w:p w14:paraId="32AF6602">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本项目为地下水三级评价，根据《环境影响评价技术导则 地下水环境》（HJ610-2016）要求，地下水环境影响评价三级评价预测方法可以选用解析法。根据本项目地下水的污染特性选用“一维半无限长多孔介质柱体，一端为定浓度边界”预测模型，公式如下</w:t>
      </w:r>
      <w:r>
        <w:rPr>
          <w:rFonts w:ascii="Times New Roman" w:hAnsi="Times New Roman" w:cs="Times New Roman"/>
          <w:color w:val="auto"/>
        </w:rPr>
        <w:t>：</w:t>
      </w:r>
    </w:p>
    <w:p w14:paraId="4CE49B57">
      <w:pPr>
        <w:pStyle w:val="13"/>
        <w:autoSpaceDE w:val="0"/>
        <w:autoSpaceDN w:val="0"/>
        <w:spacing w:after="0" w:line="240" w:lineRule="auto"/>
        <w:ind w:firstLine="480"/>
        <w:jc w:val="center"/>
        <w:rPr>
          <w:rFonts w:ascii="Times New Roman" w:hAnsi="Times New Roman" w:eastAsia="宋体" w:cs="Times New Roman"/>
          <w:snapToGrid w:val="0"/>
          <w:color w:val="auto"/>
          <w:kern w:val="0"/>
          <w:szCs w:val="24"/>
        </w:rPr>
      </w:pPr>
      <w:r>
        <w:rPr>
          <w:rFonts w:ascii="Times New Roman" w:hAnsi="Times New Roman" w:eastAsia="宋体" w:cs="Times New Roman"/>
          <w:snapToGrid w:val="0"/>
          <w:color w:val="auto"/>
          <w:kern w:val="0"/>
          <w:szCs w:val="24"/>
        </w:rPr>
        <w:drawing>
          <wp:inline distT="0" distB="0" distL="114300" distR="114300">
            <wp:extent cx="2997200" cy="709295"/>
            <wp:effectExtent l="0" t="0" r="1270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2997200" cy="709295"/>
                    </a:xfrm>
                    <a:prstGeom prst="rect">
                      <a:avLst/>
                    </a:prstGeom>
                    <a:noFill/>
                    <a:ln>
                      <a:noFill/>
                    </a:ln>
                  </pic:spPr>
                </pic:pic>
              </a:graphicData>
            </a:graphic>
          </wp:inline>
        </w:drawing>
      </w:r>
    </w:p>
    <w:p w14:paraId="58C2B67B">
      <w:pPr>
        <w:pStyle w:val="13"/>
        <w:autoSpaceDE w:val="0"/>
        <w:autoSpaceDN w:val="0"/>
        <w:spacing w:after="0"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式中：x—距注入点的距离，m；</w:t>
      </w:r>
    </w:p>
    <w:p w14:paraId="7B9379B8">
      <w:pPr>
        <w:pStyle w:val="13"/>
        <w:autoSpaceDE w:val="0"/>
        <w:autoSpaceDN w:val="0"/>
        <w:spacing w:after="0" w:line="520" w:lineRule="exact"/>
        <w:ind w:firstLine="1200" w:firstLineChars="500"/>
        <w:rPr>
          <w:rFonts w:ascii="Times New Roman" w:hAnsi="Times New Roman" w:eastAsia="宋体" w:cs="Times New Roman"/>
          <w:color w:val="auto"/>
        </w:rPr>
      </w:pPr>
      <w:r>
        <w:rPr>
          <w:rFonts w:ascii="Times New Roman" w:hAnsi="Times New Roman" w:eastAsia="宋体" w:cs="Times New Roman"/>
          <w:color w:val="auto"/>
        </w:rPr>
        <w:t>t—时间，d；</w:t>
      </w:r>
    </w:p>
    <w:p w14:paraId="5AF7435E">
      <w:pPr>
        <w:pStyle w:val="13"/>
        <w:autoSpaceDE w:val="0"/>
        <w:autoSpaceDN w:val="0"/>
        <w:spacing w:after="0" w:line="520" w:lineRule="exact"/>
        <w:ind w:firstLine="1200" w:firstLineChars="500"/>
        <w:rPr>
          <w:rFonts w:ascii="Times New Roman" w:hAnsi="Times New Roman" w:eastAsia="宋体" w:cs="Times New Roman"/>
          <w:color w:val="auto"/>
        </w:rPr>
      </w:pPr>
      <w:r>
        <w:rPr>
          <w:rFonts w:ascii="Times New Roman" w:hAnsi="Times New Roman" w:eastAsia="宋体" w:cs="Times New Roman"/>
          <w:color w:val="auto"/>
        </w:rPr>
        <w:t>C(x,t)—t时刻点x处的示踪剂浓度，g/L；</w:t>
      </w:r>
    </w:p>
    <w:p w14:paraId="01581A2F">
      <w:pPr>
        <w:pStyle w:val="13"/>
        <w:autoSpaceDE w:val="0"/>
        <w:autoSpaceDN w:val="0"/>
        <w:spacing w:after="0" w:line="520" w:lineRule="exact"/>
        <w:ind w:firstLine="1200" w:firstLineChars="500"/>
        <w:rPr>
          <w:rFonts w:ascii="Times New Roman" w:hAnsi="Times New Roman" w:eastAsia="宋体" w:cs="Times New Roman"/>
          <w:color w:val="auto"/>
        </w:rPr>
      </w:pPr>
      <w:r>
        <w:rPr>
          <w:rFonts w:ascii="Times New Roman" w:hAnsi="Times New Roman" w:eastAsia="宋体" w:cs="Times New Roman"/>
          <w:color w:val="auto"/>
        </w:rPr>
        <w:t>C0—注入示踪剂浓度，g/L；</w:t>
      </w:r>
    </w:p>
    <w:p w14:paraId="6DCB8818">
      <w:pPr>
        <w:pStyle w:val="13"/>
        <w:autoSpaceDE w:val="0"/>
        <w:autoSpaceDN w:val="0"/>
        <w:spacing w:after="0" w:line="520" w:lineRule="exact"/>
        <w:ind w:firstLine="1200" w:firstLineChars="500"/>
        <w:rPr>
          <w:rFonts w:ascii="Times New Roman" w:hAnsi="Times New Roman" w:eastAsia="宋体" w:cs="Times New Roman"/>
          <w:color w:val="auto"/>
        </w:rPr>
      </w:pPr>
      <w:r>
        <w:rPr>
          <w:rFonts w:ascii="Times New Roman" w:hAnsi="Times New Roman" w:eastAsia="宋体" w:cs="Times New Roman"/>
          <w:color w:val="auto"/>
        </w:rPr>
        <w:t>u—水流速度，m/d；</w:t>
      </w:r>
    </w:p>
    <w:p w14:paraId="3A3E3A92">
      <w:pPr>
        <w:pStyle w:val="13"/>
        <w:autoSpaceDE w:val="0"/>
        <w:autoSpaceDN w:val="0"/>
        <w:spacing w:after="0" w:line="520" w:lineRule="exact"/>
        <w:ind w:firstLine="1200" w:firstLineChars="500"/>
        <w:rPr>
          <w:rFonts w:ascii="Times New Roman" w:hAnsi="Times New Roman" w:eastAsia="宋体" w:cs="Times New Roman"/>
          <w:color w:val="auto"/>
        </w:rPr>
      </w:pPr>
      <w:r>
        <w:rPr>
          <w:rFonts w:ascii="Times New Roman" w:hAnsi="Times New Roman" w:eastAsia="宋体" w:cs="Times New Roman"/>
          <w:color w:val="auto"/>
        </w:rPr>
        <w:t>DL—纵向弥散系数，m</w:t>
      </w:r>
      <w:r>
        <w:rPr>
          <w:rFonts w:ascii="Times New Roman" w:hAnsi="Times New Roman" w:eastAsia="宋体" w:cs="Times New Roman"/>
          <w:color w:val="auto"/>
          <w:vertAlign w:val="superscript"/>
        </w:rPr>
        <w:t>2/</w:t>
      </w:r>
      <w:r>
        <w:rPr>
          <w:rFonts w:ascii="Times New Roman" w:hAnsi="Times New Roman" w:eastAsia="宋体" w:cs="Times New Roman"/>
          <w:color w:val="auto"/>
        </w:rPr>
        <w:t>d；</w:t>
      </w:r>
    </w:p>
    <w:p w14:paraId="1BC64A29">
      <w:pPr>
        <w:pStyle w:val="13"/>
        <w:autoSpaceDE w:val="0"/>
        <w:autoSpaceDN w:val="0"/>
        <w:spacing w:after="0" w:line="520" w:lineRule="exact"/>
        <w:ind w:firstLine="1200" w:firstLineChars="500"/>
        <w:rPr>
          <w:rFonts w:ascii="Times New Roman" w:hAnsi="Times New Roman" w:eastAsia="宋体" w:cs="Times New Roman"/>
          <w:color w:val="auto"/>
        </w:rPr>
      </w:pPr>
      <w:r>
        <w:rPr>
          <w:rFonts w:ascii="Times New Roman" w:hAnsi="Times New Roman" w:eastAsia="宋体" w:cs="Times New Roman"/>
          <w:color w:val="auto"/>
        </w:rPr>
        <w:t>Erfc（）—余差数函数；</w:t>
      </w:r>
    </w:p>
    <w:p w14:paraId="229D5B1B">
      <w:pPr>
        <w:pStyle w:val="13"/>
        <w:autoSpaceDE w:val="0"/>
        <w:autoSpaceDN w:val="0"/>
        <w:spacing w:after="0" w:line="520" w:lineRule="exact"/>
        <w:ind w:firstLine="480"/>
        <w:rPr>
          <w:rFonts w:ascii="Times New Roman" w:hAnsi="Times New Roman" w:eastAsia="宋体" w:cs="Times New Roman"/>
          <w:color w:val="auto"/>
          <w:lang w:bidi="zh-CN"/>
        </w:rPr>
      </w:pPr>
      <w:r>
        <w:rPr>
          <w:rFonts w:ascii="Times New Roman" w:hAnsi="Times New Roman" w:eastAsia="宋体" w:cs="Times New Roman"/>
          <w:color w:val="auto"/>
          <w:lang w:bidi="zh-CN"/>
        </w:rPr>
        <w:t>（</w:t>
      </w:r>
      <w:r>
        <w:rPr>
          <w:rFonts w:ascii="Times New Roman" w:hAnsi="Times New Roman" w:cs="Times New Roman"/>
          <w:color w:val="auto"/>
          <w:lang w:bidi="zh-CN"/>
        </w:rPr>
        <w:t>6</w:t>
      </w:r>
      <w:r>
        <w:rPr>
          <w:rFonts w:ascii="Times New Roman" w:hAnsi="Times New Roman" w:eastAsia="宋体" w:cs="Times New Roman"/>
          <w:color w:val="auto"/>
          <w:lang w:bidi="zh-CN"/>
        </w:rPr>
        <w:t>）预测结果与分析</w:t>
      </w:r>
    </w:p>
    <w:p w14:paraId="6EFFCA4E">
      <w:pPr>
        <w:pStyle w:val="13"/>
        <w:autoSpaceDE w:val="0"/>
        <w:autoSpaceDN w:val="0"/>
        <w:ind w:firstLine="480"/>
        <w:rPr>
          <w:rFonts w:ascii="Times New Roman" w:hAnsi="Times New Roman" w:eastAsia="宋体" w:cs="Times New Roman"/>
          <w:color w:val="auto"/>
          <w:lang w:val="zh-TW" w:bidi="zh-CN"/>
        </w:rPr>
      </w:pPr>
      <w:r>
        <w:drawing>
          <wp:anchor distT="0" distB="0" distL="114935" distR="114935" simplePos="0" relativeHeight="251677696" behindDoc="0" locked="0" layoutInCell="1" allowOverlap="1">
            <wp:simplePos x="0" y="0"/>
            <wp:positionH relativeFrom="column">
              <wp:posOffset>238125</wp:posOffset>
            </wp:positionH>
            <wp:positionV relativeFrom="page">
              <wp:posOffset>6018530</wp:posOffset>
            </wp:positionV>
            <wp:extent cx="5158105" cy="3038475"/>
            <wp:effectExtent l="4445" t="4445" r="19050" b="50800"/>
            <wp:wrapTopAndBottom/>
            <wp:docPr id="44" name="图表 1" descr="7b0a202020202263686172745265734964223a202232303437353634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ascii="Times New Roman" w:hAnsi="Times New Roman" w:eastAsia="宋体" w:cs="Times New Roman"/>
          <w:color w:val="auto"/>
          <w:lang w:val="zh-TW" w:bidi="zh-CN"/>
        </w:rPr>
        <w:t>事故工况设计为</w:t>
      </w:r>
      <w:r>
        <w:rPr>
          <w:rFonts w:hint="eastAsia" w:ascii="Times New Roman" w:hAnsi="Times New Roman" w:eastAsia="宋体" w:cs="Times New Roman"/>
          <w:color w:val="auto"/>
          <w:lang w:val="en-US" w:bidi="zh-CN"/>
        </w:rPr>
        <w:t>化粪池</w:t>
      </w:r>
      <w:r>
        <w:rPr>
          <w:rFonts w:ascii="Times New Roman" w:hAnsi="Times New Roman" w:eastAsia="宋体" w:cs="Times New Roman"/>
          <w:color w:val="auto"/>
          <w:lang w:val="zh-TW" w:bidi="zh-CN"/>
        </w:rPr>
        <w:t>防渗系统完全失效，覆盖系统对污染物入渗的阻隔作用减弱，下渗量明显增加。发生风险事故，应及时采取措施。本次模拟设计</w:t>
      </w:r>
      <w:r>
        <w:rPr>
          <w:rFonts w:ascii="Times New Roman" w:hAnsi="Times New Roman" w:eastAsia="宋体" w:cs="Times New Roman"/>
          <w:color w:val="auto"/>
          <w:lang w:bidi="zh-CN"/>
        </w:rPr>
        <w:t>10d</w:t>
      </w:r>
      <w:r>
        <w:rPr>
          <w:rFonts w:ascii="Times New Roman" w:hAnsi="Times New Roman" w:eastAsia="宋体" w:cs="Times New Roman"/>
          <w:color w:val="auto"/>
          <w:lang w:val="zh-TW" w:bidi="zh-CN"/>
        </w:rPr>
        <w:t>的抢险时间，之后恢复为正常工况，对地下水环境的影响预测。预测过程不考虑污染物的吸附和降解，各种风险事故情况下，污染物迁移具有相似性，因此本次选择</w:t>
      </w:r>
      <w:r>
        <w:rPr>
          <w:rFonts w:ascii="Times New Roman" w:hAnsi="Times New Roman" w:eastAsia="宋体" w:cs="Times New Roman"/>
          <w:color w:val="auto"/>
          <w:lang w:bidi="zh-CN"/>
        </w:rPr>
        <w:t>COD</w:t>
      </w:r>
      <w:r>
        <w:rPr>
          <w:rFonts w:ascii="Times New Roman" w:hAnsi="Times New Roman" w:eastAsia="宋体" w:cs="Times New Roman"/>
          <w:color w:val="auto"/>
          <w:lang w:val="zh-TW" w:bidi="zh-CN"/>
        </w:rPr>
        <w:t>及</w:t>
      </w:r>
      <w:r>
        <w:rPr>
          <w:rFonts w:ascii="Times New Roman" w:hAnsi="Times New Roman" w:eastAsia="宋体" w:cs="Times New Roman"/>
          <w:color w:val="auto"/>
          <w:lang w:bidi="zh-CN"/>
        </w:rPr>
        <w:t>NH</w:t>
      </w:r>
      <w:r>
        <w:rPr>
          <w:rFonts w:ascii="Times New Roman" w:hAnsi="Times New Roman" w:eastAsia="宋体" w:cs="Times New Roman"/>
          <w:color w:val="auto"/>
          <w:vertAlign w:val="subscript"/>
          <w:lang w:bidi="zh-CN"/>
        </w:rPr>
        <w:t>3</w:t>
      </w:r>
      <w:r>
        <w:rPr>
          <w:rFonts w:ascii="Times New Roman" w:hAnsi="Times New Roman" w:eastAsia="宋体" w:cs="Times New Roman"/>
          <w:color w:val="auto"/>
          <w:lang w:bidi="zh-CN"/>
        </w:rPr>
        <w:t>-N</w:t>
      </w:r>
      <w:r>
        <w:rPr>
          <w:rFonts w:ascii="Times New Roman" w:hAnsi="Times New Roman" w:eastAsia="宋体" w:cs="Times New Roman"/>
          <w:color w:val="auto"/>
          <w:lang w:val="zh-TW" w:bidi="zh-CN"/>
        </w:rPr>
        <w:t>为代表在事故泄漏30天（一个月）、180天（半年）、365天（一年）、1095天（三年）、</w:t>
      </w:r>
      <w:r>
        <w:rPr>
          <w:rFonts w:hint="eastAsia" w:ascii="Times New Roman" w:hAnsi="Times New Roman" w:eastAsia="宋体" w:cs="Times New Roman"/>
          <w:color w:val="auto"/>
          <w:lang w:val="en-US" w:bidi="zh-CN"/>
        </w:rPr>
        <w:t>1825天（五年）、</w:t>
      </w:r>
      <w:r>
        <w:rPr>
          <w:rFonts w:ascii="Times New Roman" w:hAnsi="Times New Roman" w:eastAsia="宋体" w:cs="Times New Roman"/>
          <w:color w:val="auto"/>
          <w:lang w:val="zh-TW" w:bidi="zh-CN"/>
        </w:rPr>
        <w:t>3650天（十年）分别进行预测。</w:t>
      </w:r>
    </w:p>
    <w:p w14:paraId="6A0D40DD">
      <w:pPr>
        <w:pStyle w:val="13"/>
        <w:autoSpaceDE w:val="0"/>
        <w:autoSpaceDN w:val="0"/>
        <w:ind w:firstLine="48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1）COD</w:t>
      </w:r>
      <w:r>
        <w:rPr>
          <w:rFonts w:ascii="Times New Roman" w:hAnsi="Times New Roman" w:eastAsia="宋体" w:cs="Times New Roman"/>
          <w:color w:val="000000" w:themeColor="text1"/>
          <w:lang w:val="zh-TW" w:bidi="zh-CN"/>
          <w14:textFill>
            <w14:solidFill>
              <w14:schemeClr w14:val="tx1"/>
            </w14:solidFill>
          </w14:textFill>
        </w:rPr>
        <w:t>预测</w:t>
      </w:r>
      <w:r>
        <w:rPr>
          <w:rFonts w:ascii="Times New Roman" w:hAnsi="Times New Roman" w:eastAsia="宋体" w:cs="Times New Roman"/>
          <w:color w:val="000000" w:themeColor="text1"/>
          <w:lang w:bidi="zh-CN"/>
          <w14:textFill>
            <w14:solidFill>
              <w14:schemeClr w14:val="tx1"/>
            </w14:solidFill>
          </w14:textFill>
        </w:rPr>
        <w:t>结果</w:t>
      </w:r>
    </w:p>
    <w:p w14:paraId="64F4585A">
      <w:pPr>
        <w:pStyle w:val="29"/>
        <w:ind w:firstLine="0" w:firstLineChars="0"/>
        <w:rPr>
          <w:rFonts w:ascii="Times New Roman" w:hAnsi="Times New Roman" w:cs="Times New Roman"/>
          <w:color w:val="auto"/>
          <w:lang w:val="zh-TW" w:bidi="zh-CN"/>
        </w:rPr>
      </w:pPr>
      <w:r>
        <w:rPr>
          <w:rFonts w:ascii="Times New Roman" w:hAnsi="Times New Roman" w:eastAsia="宋体" w:cs="Times New Roman"/>
          <w:b/>
          <w:color w:val="auto"/>
          <w:szCs w:val="24"/>
        </w:rPr>
        <w:t>图</w:t>
      </w:r>
      <w:r>
        <w:rPr>
          <w:rFonts w:hint="eastAsia" w:ascii="Times New Roman" w:eastAsia="宋体" w:cs="Times New Roman"/>
          <w:b/>
          <w:color w:val="auto"/>
          <w:szCs w:val="24"/>
          <w:lang w:val="en-US" w:eastAsia="zh-CN"/>
        </w:rPr>
        <w:t>5</w:t>
      </w:r>
      <w:r>
        <w:rPr>
          <w:rFonts w:ascii="Times New Roman" w:hAnsi="Times New Roman" w:eastAsia="宋体" w:cs="Times New Roman"/>
          <w:b/>
          <w:color w:val="auto"/>
          <w:szCs w:val="24"/>
        </w:rPr>
        <w:t>.2-1     COD</w:t>
      </w:r>
      <w:r>
        <w:rPr>
          <w:rFonts w:ascii="Times New Roman" w:hAnsi="Times New Roman" w:eastAsia="宋体" w:cs="Times New Roman"/>
          <w:b/>
          <w:color w:val="auto"/>
          <w:szCs w:val="24"/>
          <w:lang w:val="zh-CN"/>
        </w:rPr>
        <w:t>运移</w:t>
      </w:r>
      <w:r>
        <w:rPr>
          <w:rFonts w:hint="eastAsia" w:ascii="Times New Roman" w:hAnsi="Times New Roman" w:eastAsia="宋体" w:cs="Times New Roman"/>
          <w:b/>
          <w:color w:val="auto"/>
          <w:szCs w:val="24"/>
          <w:lang w:val="en-US" w:eastAsia="zh-CN"/>
        </w:rPr>
        <w:t>不同天数</w:t>
      </w:r>
      <w:r>
        <w:rPr>
          <w:rFonts w:ascii="Times New Roman" w:hAnsi="Times New Roman" w:eastAsia="宋体" w:cs="Times New Roman"/>
          <w:b/>
          <w:color w:val="auto"/>
          <w:szCs w:val="24"/>
          <w:lang w:val="zh-CN"/>
        </w:rPr>
        <w:t>随距离变化图</w:t>
      </w:r>
    </w:p>
    <w:p w14:paraId="69563FC1">
      <w:pPr>
        <w:pStyle w:val="11"/>
        <w:ind w:firstLine="0" w:firstLineChars="0"/>
        <w:jc w:val="center"/>
        <w:rPr>
          <w:rFonts w:ascii="Times New Roman" w:hAnsi="Times New Roman" w:cs="Times New Roman"/>
          <w:b/>
          <w:bCs/>
          <w:color w:val="auto"/>
          <w:lang w:val="zh-TW" w:bidi="zh-CN"/>
        </w:rPr>
      </w:pPr>
      <w:r>
        <w:rPr>
          <w:rFonts w:ascii="Times New Roman" w:hAnsi="Times New Roman" w:cs="Times New Roman"/>
          <w:b/>
          <w:bCs/>
          <w:color w:val="auto"/>
          <w:lang w:val="zh-TW" w:bidi="zh-CN"/>
        </w:rPr>
        <w:t>表</w:t>
      </w:r>
      <w:r>
        <w:rPr>
          <w:rFonts w:hint="eastAsia" w:ascii="Times New Roman" w:hAnsi="Times New Roman" w:cs="Times New Roman"/>
          <w:b/>
          <w:bCs/>
          <w:color w:val="auto"/>
          <w:lang w:val="en-US" w:bidi="zh-CN"/>
        </w:rPr>
        <w:t>5</w:t>
      </w:r>
      <w:r>
        <w:rPr>
          <w:rFonts w:ascii="Times New Roman" w:hAnsi="Times New Roman" w:eastAsia="PMingLiU" w:cs="Times New Roman"/>
          <w:b/>
          <w:bCs/>
          <w:color w:val="auto"/>
          <w:lang w:val="zh-TW" w:eastAsia="zh-TW" w:bidi="zh-CN"/>
        </w:rPr>
        <w:t>.2-1</w:t>
      </w:r>
      <w:r>
        <w:rPr>
          <w:rFonts w:hint="eastAsia" w:ascii="Times New Roman" w:hAnsi="Times New Roman" w:eastAsia="PMingLiU" w:cs="Times New Roman"/>
          <w:b/>
          <w:bCs/>
          <w:color w:val="auto"/>
          <w:lang w:val="en-US" w:eastAsia="zh-TW" w:bidi="zh-CN"/>
        </w:rPr>
        <w:t>5</w:t>
      </w:r>
      <w:r>
        <w:rPr>
          <w:rFonts w:ascii="Times New Roman" w:hAnsi="Times New Roman" w:cs="Times New Roman"/>
          <w:b/>
          <w:bCs/>
          <w:color w:val="auto"/>
          <w:lang w:val="zh-TW" w:bidi="zh-CN"/>
        </w:rPr>
        <w:t xml:space="preserve">   事故工况下COD对潜水含水层的影响范围</w:t>
      </w:r>
    </w:p>
    <w:tbl>
      <w:tblPr>
        <w:tblStyle w:val="3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1793"/>
        <w:gridCol w:w="2011"/>
        <w:gridCol w:w="2529"/>
        <w:gridCol w:w="2529"/>
      </w:tblGrid>
      <w:tr w14:paraId="0D5F3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5B500049">
            <w:pPr>
              <w:pStyle w:val="6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预测期</w:t>
            </w:r>
          </w:p>
        </w:tc>
        <w:tc>
          <w:tcPr>
            <w:tcW w:w="1134" w:type="pct"/>
            <w:tcBorders>
              <w:tl2br w:val="nil"/>
              <w:tr2bl w:val="nil"/>
            </w:tcBorders>
            <w:shd w:val="clear" w:color="auto" w:fill="FFFFFF"/>
            <w:vAlign w:val="center"/>
          </w:tcPr>
          <w:p w14:paraId="5E4FD740">
            <w:pPr>
              <w:pStyle w:val="6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最大影响距离（m）</w:t>
            </w:r>
          </w:p>
        </w:tc>
        <w:tc>
          <w:tcPr>
            <w:tcW w:w="1426" w:type="pct"/>
            <w:tcBorders>
              <w:tl2br w:val="nil"/>
              <w:tr2bl w:val="nil"/>
            </w:tcBorders>
            <w:shd w:val="clear" w:color="auto" w:fill="FFFFFF"/>
            <w:vAlign w:val="center"/>
          </w:tcPr>
          <w:p w14:paraId="69C3BCA3">
            <w:pPr>
              <w:pStyle w:val="60"/>
              <w:rPr>
                <w:rFonts w:ascii="Times New Roman" w:hAnsi="Times New Roman" w:eastAsia="宋体" w:cs="Times New Roman"/>
                <w:color w:val="000000" w:themeColor="text1"/>
                <w:lang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预测</w:t>
            </w:r>
            <w:r>
              <w:rPr>
                <w:rFonts w:ascii="Times New Roman" w:hAnsi="Times New Roman" w:eastAsia="宋体" w:cs="Times New Roman"/>
                <w:color w:val="000000" w:themeColor="text1"/>
                <w:lang w:bidi="zh-CN"/>
                <w14:textFill>
                  <w14:solidFill>
                    <w14:schemeClr w14:val="tx1"/>
                  </w14:solidFill>
                </w14:textFill>
              </w:rPr>
              <w:t>最大浓度（mg/L）</w:t>
            </w:r>
          </w:p>
        </w:tc>
        <w:tc>
          <w:tcPr>
            <w:tcW w:w="1426" w:type="pct"/>
            <w:tcBorders>
              <w:tl2br w:val="nil"/>
              <w:tr2bl w:val="nil"/>
            </w:tcBorders>
            <w:shd w:val="clear" w:color="auto" w:fill="FFFFFF"/>
            <w:vAlign w:val="center"/>
          </w:tcPr>
          <w:p w14:paraId="673E9E21">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预测超标最远距离（m）</w:t>
            </w:r>
          </w:p>
        </w:tc>
      </w:tr>
      <w:tr w14:paraId="7987B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7E98E9E9">
            <w:pPr>
              <w:pStyle w:val="6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30d</w:t>
            </w:r>
          </w:p>
        </w:tc>
        <w:tc>
          <w:tcPr>
            <w:tcW w:w="1134" w:type="pct"/>
            <w:tcBorders>
              <w:tl2br w:val="nil"/>
              <w:tr2bl w:val="nil"/>
            </w:tcBorders>
            <w:shd w:val="clear" w:color="auto" w:fill="FFFFFF"/>
            <w:vAlign w:val="center"/>
          </w:tcPr>
          <w:p w14:paraId="090060EE">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14</w:t>
            </w:r>
          </w:p>
        </w:tc>
        <w:tc>
          <w:tcPr>
            <w:tcW w:w="1426" w:type="pct"/>
            <w:tcBorders>
              <w:tl2br w:val="nil"/>
              <w:tr2bl w:val="nil"/>
            </w:tcBorders>
            <w:shd w:val="clear" w:color="auto" w:fill="FFFFFF"/>
            <w:vAlign w:val="center"/>
          </w:tcPr>
          <w:p w14:paraId="48B20BDF">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9.67</w:t>
            </w:r>
          </w:p>
        </w:tc>
        <w:tc>
          <w:tcPr>
            <w:tcW w:w="1426" w:type="pct"/>
            <w:tcBorders>
              <w:tl2br w:val="nil"/>
              <w:tr2bl w:val="nil"/>
            </w:tcBorders>
            <w:shd w:val="clear" w:color="auto" w:fill="FFFFFF"/>
            <w:vAlign w:val="center"/>
          </w:tcPr>
          <w:p w14:paraId="5A4623BD">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eastAsia="宋体" w:cs="Times New Roman"/>
                <w:color w:val="000000" w:themeColor="text1"/>
                <w:lang w:val="en-US" w:bidi="zh-CN"/>
                <w14:textFill>
                  <w14:solidFill>
                    <w14:schemeClr w14:val="tx1"/>
                  </w14:solidFill>
                </w14:textFill>
              </w:rPr>
              <w:t>/</w:t>
            </w:r>
          </w:p>
        </w:tc>
      </w:tr>
      <w:tr w14:paraId="002E8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3A6C0713">
            <w:pPr>
              <w:pStyle w:val="6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180d</w:t>
            </w:r>
          </w:p>
        </w:tc>
        <w:tc>
          <w:tcPr>
            <w:tcW w:w="1134" w:type="pct"/>
            <w:tcBorders>
              <w:tl2br w:val="nil"/>
              <w:tr2bl w:val="nil"/>
            </w:tcBorders>
            <w:shd w:val="clear" w:color="auto" w:fill="FFFFFF"/>
            <w:vAlign w:val="center"/>
          </w:tcPr>
          <w:p w14:paraId="1F265E94">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39</w:t>
            </w:r>
          </w:p>
        </w:tc>
        <w:tc>
          <w:tcPr>
            <w:tcW w:w="1426" w:type="pct"/>
            <w:tcBorders>
              <w:tl2br w:val="nil"/>
              <w:tr2bl w:val="nil"/>
            </w:tcBorders>
            <w:shd w:val="clear" w:color="auto" w:fill="FFFFFF"/>
            <w:vAlign w:val="center"/>
          </w:tcPr>
          <w:p w14:paraId="11435606">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2.69</w:t>
            </w:r>
          </w:p>
        </w:tc>
        <w:tc>
          <w:tcPr>
            <w:tcW w:w="1426" w:type="pct"/>
            <w:tcBorders>
              <w:tl2br w:val="nil"/>
              <w:tr2bl w:val="nil"/>
            </w:tcBorders>
            <w:shd w:val="clear" w:color="auto" w:fill="FFFFFF"/>
            <w:vAlign w:val="center"/>
          </w:tcPr>
          <w:p w14:paraId="132E6DCF">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eastAsia="宋体" w:cs="Times New Roman"/>
                <w:color w:val="000000" w:themeColor="text1"/>
                <w:lang w:val="en-US" w:bidi="zh-CN"/>
                <w14:textFill>
                  <w14:solidFill>
                    <w14:schemeClr w14:val="tx1"/>
                  </w14:solidFill>
                </w14:textFill>
              </w:rPr>
              <w:t>30</w:t>
            </w:r>
          </w:p>
        </w:tc>
      </w:tr>
      <w:tr w14:paraId="07174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1A81FE1A">
            <w:pPr>
              <w:pStyle w:val="6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365d</w:t>
            </w:r>
          </w:p>
        </w:tc>
        <w:tc>
          <w:tcPr>
            <w:tcW w:w="1134" w:type="pct"/>
            <w:tcBorders>
              <w:tl2br w:val="nil"/>
              <w:tr2bl w:val="nil"/>
            </w:tcBorders>
            <w:shd w:val="clear" w:color="auto" w:fill="FFFFFF"/>
            <w:vAlign w:val="center"/>
          </w:tcPr>
          <w:p w14:paraId="03794957">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60</w:t>
            </w:r>
          </w:p>
        </w:tc>
        <w:tc>
          <w:tcPr>
            <w:tcW w:w="1426" w:type="pct"/>
            <w:tcBorders>
              <w:tl2br w:val="nil"/>
              <w:tr2bl w:val="nil"/>
            </w:tcBorders>
            <w:shd w:val="clear" w:color="auto" w:fill="FFFFFF"/>
            <w:vAlign w:val="center"/>
          </w:tcPr>
          <w:p w14:paraId="400DD41A">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1.79</w:t>
            </w:r>
          </w:p>
        </w:tc>
        <w:tc>
          <w:tcPr>
            <w:tcW w:w="1426" w:type="pct"/>
            <w:tcBorders>
              <w:tl2br w:val="nil"/>
              <w:tr2bl w:val="nil"/>
            </w:tcBorders>
            <w:shd w:val="clear" w:color="auto" w:fill="FFFFFF"/>
            <w:vAlign w:val="center"/>
          </w:tcPr>
          <w:p w14:paraId="2BCD3F23">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0</w:t>
            </w:r>
          </w:p>
        </w:tc>
      </w:tr>
      <w:tr w14:paraId="54674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257D5BC7">
            <w:pPr>
              <w:pStyle w:val="6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1095d</w:t>
            </w:r>
          </w:p>
        </w:tc>
        <w:tc>
          <w:tcPr>
            <w:tcW w:w="1134" w:type="pct"/>
            <w:tcBorders>
              <w:tl2br w:val="nil"/>
              <w:tr2bl w:val="nil"/>
            </w:tcBorders>
            <w:shd w:val="clear" w:color="auto" w:fill="FFFFFF"/>
            <w:vAlign w:val="center"/>
          </w:tcPr>
          <w:p w14:paraId="1638FFB8">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124</w:t>
            </w:r>
          </w:p>
        </w:tc>
        <w:tc>
          <w:tcPr>
            <w:tcW w:w="1426" w:type="pct"/>
            <w:tcBorders>
              <w:tl2br w:val="nil"/>
              <w:tr2bl w:val="nil"/>
            </w:tcBorders>
            <w:shd w:val="clear" w:color="auto" w:fill="FFFFFF"/>
            <w:vAlign w:val="center"/>
          </w:tcPr>
          <w:p w14:paraId="188C0ADF">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0.99</w:t>
            </w:r>
          </w:p>
        </w:tc>
        <w:tc>
          <w:tcPr>
            <w:tcW w:w="1426" w:type="pct"/>
            <w:tcBorders>
              <w:tl2br w:val="nil"/>
              <w:tr2bl w:val="nil"/>
            </w:tcBorders>
            <w:shd w:val="clear" w:color="auto" w:fill="FFFFFF"/>
            <w:vAlign w:val="center"/>
          </w:tcPr>
          <w:p w14:paraId="0B94CA36">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0</w:t>
            </w:r>
          </w:p>
        </w:tc>
      </w:tr>
      <w:tr w14:paraId="621C3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34C498DD">
            <w:pPr>
              <w:pStyle w:val="60"/>
              <w:rPr>
                <w:rFonts w:ascii="Times New Roman" w:hAnsi="Times New Roman" w:eastAsia="宋体" w:cs="Times New Roman"/>
                <w:color w:val="000000" w:themeColor="text1"/>
                <w:lang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1825</w:t>
            </w:r>
            <w:r>
              <w:rPr>
                <w:rFonts w:hint="eastAsia" w:ascii="Times New Roman" w:hAnsi="Times New Roman" w:eastAsia="宋体" w:cs="Times New Roman"/>
                <w:color w:val="000000" w:themeColor="text1"/>
                <w:lang w:bidi="zh-CN"/>
                <w14:textFill>
                  <w14:solidFill>
                    <w14:schemeClr w14:val="tx1"/>
                  </w14:solidFill>
                </w14:textFill>
              </w:rPr>
              <w:t>d</w:t>
            </w:r>
          </w:p>
        </w:tc>
        <w:tc>
          <w:tcPr>
            <w:tcW w:w="1134" w:type="pct"/>
            <w:tcBorders>
              <w:tl2br w:val="nil"/>
              <w:tr2bl w:val="nil"/>
            </w:tcBorders>
            <w:shd w:val="clear" w:color="auto" w:fill="FFFFFF"/>
            <w:vAlign w:val="center"/>
          </w:tcPr>
          <w:p w14:paraId="467636AC">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180</w:t>
            </w:r>
          </w:p>
        </w:tc>
        <w:tc>
          <w:tcPr>
            <w:tcW w:w="1426" w:type="pct"/>
            <w:tcBorders>
              <w:tl2br w:val="nil"/>
              <w:tr2bl w:val="nil"/>
            </w:tcBorders>
            <w:shd w:val="clear" w:color="auto" w:fill="FFFFFF"/>
            <w:vAlign w:val="center"/>
          </w:tcPr>
          <w:p w14:paraId="74072DF3">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0.76</w:t>
            </w:r>
          </w:p>
        </w:tc>
        <w:tc>
          <w:tcPr>
            <w:tcW w:w="1426" w:type="pct"/>
            <w:tcBorders>
              <w:tl2br w:val="nil"/>
              <w:tr2bl w:val="nil"/>
            </w:tcBorders>
            <w:shd w:val="clear" w:color="auto" w:fill="FFFFFF"/>
            <w:vAlign w:val="center"/>
          </w:tcPr>
          <w:p w14:paraId="5821BC7B">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0</w:t>
            </w:r>
          </w:p>
        </w:tc>
      </w:tr>
      <w:tr w14:paraId="7DBCF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2" w:type="pct"/>
            <w:tcBorders>
              <w:tl2br w:val="nil"/>
              <w:tr2bl w:val="nil"/>
            </w:tcBorders>
            <w:shd w:val="clear" w:color="auto" w:fill="FFFFFF"/>
            <w:vAlign w:val="center"/>
          </w:tcPr>
          <w:p w14:paraId="5DB1F3D0">
            <w:pPr>
              <w:pStyle w:val="6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3650d</w:t>
            </w:r>
          </w:p>
        </w:tc>
        <w:tc>
          <w:tcPr>
            <w:tcW w:w="1134" w:type="pct"/>
            <w:tcBorders>
              <w:tl2br w:val="nil"/>
              <w:tr2bl w:val="nil"/>
            </w:tcBorders>
            <w:shd w:val="clear" w:color="auto" w:fill="FFFFFF"/>
            <w:vAlign w:val="center"/>
          </w:tcPr>
          <w:p w14:paraId="644039A1">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309</w:t>
            </w:r>
          </w:p>
        </w:tc>
        <w:tc>
          <w:tcPr>
            <w:tcW w:w="1426" w:type="pct"/>
            <w:tcBorders>
              <w:tl2br w:val="nil"/>
              <w:tr2bl w:val="nil"/>
            </w:tcBorders>
            <w:shd w:val="clear" w:color="auto" w:fill="FFFFFF"/>
            <w:vAlign w:val="center"/>
          </w:tcPr>
          <w:p w14:paraId="1159947B">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0.53</w:t>
            </w:r>
          </w:p>
        </w:tc>
        <w:tc>
          <w:tcPr>
            <w:tcW w:w="1426" w:type="pct"/>
            <w:tcBorders>
              <w:tl2br w:val="nil"/>
              <w:tr2bl w:val="nil"/>
            </w:tcBorders>
            <w:shd w:val="clear" w:color="auto" w:fill="FFFFFF"/>
            <w:vAlign w:val="center"/>
          </w:tcPr>
          <w:p w14:paraId="2518C7A8">
            <w:pPr>
              <w:pStyle w:val="60"/>
              <w:rPr>
                <w:rFonts w:hint="default" w:ascii="Times New Roman" w:hAnsi="Times New Roman" w:eastAsia="宋体"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lang w:val="en-US" w:bidi="zh-CN"/>
                <w14:textFill>
                  <w14:solidFill>
                    <w14:schemeClr w14:val="tx1"/>
                  </w14:solidFill>
                </w14:textFill>
              </w:rPr>
              <w:t>0</w:t>
            </w:r>
          </w:p>
        </w:tc>
      </w:tr>
    </w:tbl>
    <w:p w14:paraId="2A9DD1CA">
      <w:pPr>
        <w:pStyle w:val="11"/>
        <w:rPr>
          <w:rFonts w:ascii="Times New Roman" w:hAnsi="Times New Roman" w:cs="Times New Roman"/>
          <w:color w:val="auto"/>
          <w:lang w:bidi="zh-CN"/>
        </w:rPr>
      </w:pPr>
      <w:r>
        <w:rPr>
          <w:rFonts w:ascii="Times New Roman" w:hAnsi="Times New Roman" w:cs="Times New Roman"/>
          <w:color w:val="auto"/>
          <w:lang w:val="zh-TW" w:bidi="zh-CN"/>
        </w:rPr>
        <w:t>根据以上模型预测结果可知：因受项目区水文地质影响，地下水运移迟缓，水替作用弱，故导致渗滤液泄漏后最大浓度始终位于</w:t>
      </w:r>
      <w:r>
        <w:rPr>
          <w:rFonts w:hint="eastAsia" w:ascii="Times New Roman" w:hAnsi="Times New Roman" w:cs="Times New Roman"/>
          <w:color w:val="auto"/>
          <w:lang w:val="zh-TW" w:bidi="zh-CN"/>
        </w:rPr>
        <w:t>初始</w:t>
      </w:r>
      <w:r>
        <w:rPr>
          <w:rFonts w:ascii="Times New Roman" w:hAnsi="Times New Roman" w:cs="Times New Roman"/>
          <w:color w:val="auto"/>
          <w:lang w:val="zh-TW" w:bidi="zh-CN"/>
        </w:rPr>
        <w:t>泄漏位置处。但随泄漏后时间增加而浓度逐渐降低，30天（一个月）、180天（半年）、365天（一年）、1095天（三年）、</w:t>
      </w:r>
      <w:r>
        <w:rPr>
          <w:rFonts w:hint="eastAsia" w:ascii="Times New Roman" w:hAnsi="Times New Roman" w:cs="Times New Roman"/>
          <w:color w:val="auto"/>
          <w:lang w:val="en-US" w:bidi="zh-CN"/>
        </w:rPr>
        <w:t>1825天（五年）、</w:t>
      </w:r>
      <w:r>
        <w:rPr>
          <w:rFonts w:ascii="Times New Roman" w:hAnsi="Times New Roman" w:cs="Times New Roman"/>
          <w:color w:val="auto"/>
          <w:lang w:val="zh-TW" w:bidi="zh-CN"/>
        </w:rPr>
        <w:t>3650天（十年）后</w:t>
      </w:r>
      <w:r>
        <w:rPr>
          <w:rFonts w:ascii="Times New Roman" w:hAnsi="Times New Roman" w:cs="Times New Roman"/>
          <w:color w:val="auto"/>
          <w:lang w:bidi="zh-CN"/>
        </w:rPr>
        <w:t>COD</w:t>
      </w:r>
      <w:r>
        <w:rPr>
          <w:rFonts w:ascii="Times New Roman" w:hAnsi="Times New Roman" w:cs="Times New Roman"/>
          <w:color w:val="auto"/>
          <w:lang w:val="zh-TW" w:bidi="zh-CN"/>
        </w:rPr>
        <w:t>最大浓度分别为：</w:t>
      </w:r>
      <w:r>
        <w:rPr>
          <w:rFonts w:hint="eastAsia" w:ascii="Times New Roman" w:hAnsi="Times New Roman" w:cs="Times New Roman"/>
          <w:color w:val="auto"/>
          <w:lang w:val="en-US" w:bidi="zh-CN"/>
        </w:rPr>
        <w:t>9.67</w:t>
      </w:r>
      <w:r>
        <w:rPr>
          <w:rFonts w:ascii="Times New Roman" w:hAnsi="Times New Roman" w:cs="Times New Roman"/>
          <w:color w:val="auto"/>
          <w:lang w:bidi="zh-CN"/>
        </w:rPr>
        <w:t>mg/L、</w:t>
      </w:r>
      <w:r>
        <w:rPr>
          <w:rFonts w:hint="eastAsia" w:ascii="Times New Roman" w:hAnsi="Times New Roman" w:cs="Times New Roman"/>
          <w:color w:val="auto"/>
          <w:lang w:val="en-US" w:bidi="zh-CN"/>
        </w:rPr>
        <w:t>2.69</w:t>
      </w:r>
      <w:r>
        <w:rPr>
          <w:rFonts w:ascii="Times New Roman" w:hAnsi="Times New Roman" w:cs="Times New Roman"/>
          <w:color w:val="auto"/>
          <w:lang w:bidi="zh-CN"/>
        </w:rPr>
        <w:t>mg/L、</w:t>
      </w:r>
      <w:r>
        <w:rPr>
          <w:rFonts w:hint="eastAsia" w:ascii="Times New Roman" w:hAnsi="Times New Roman" w:cs="Times New Roman"/>
          <w:color w:val="auto"/>
          <w:lang w:val="en-US" w:bidi="zh-CN"/>
        </w:rPr>
        <w:t>1.79</w:t>
      </w:r>
      <w:r>
        <w:rPr>
          <w:rFonts w:ascii="Times New Roman" w:hAnsi="Times New Roman" w:cs="Times New Roman"/>
          <w:color w:val="auto"/>
          <w:lang w:bidi="zh-CN"/>
        </w:rPr>
        <w:t>mg/L、</w:t>
      </w:r>
      <w:r>
        <w:rPr>
          <w:rFonts w:hint="eastAsia" w:ascii="Times New Roman" w:hAnsi="Times New Roman" w:cs="Times New Roman"/>
          <w:color w:val="auto"/>
          <w:lang w:val="en-US" w:bidi="zh-CN"/>
        </w:rPr>
        <w:t>0.99</w:t>
      </w:r>
      <w:r>
        <w:rPr>
          <w:rFonts w:ascii="Times New Roman" w:hAnsi="Times New Roman" w:cs="Times New Roman"/>
          <w:color w:val="auto"/>
          <w:lang w:bidi="zh-CN"/>
        </w:rPr>
        <w:t>mg/L、</w:t>
      </w:r>
      <w:r>
        <w:rPr>
          <w:rFonts w:hint="eastAsia" w:ascii="Times New Roman" w:hAnsi="Times New Roman" w:cs="Times New Roman"/>
          <w:color w:val="auto"/>
          <w:lang w:val="en-US" w:bidi="zh-CN"/>
        </w:rPr>
        <w:t>0.76</w:t>
      </w:r>
      <w:r>
        <w:rPr>
          <w:rFonts w:ascii="Times New Roman" w:hAnsi="Times New Roman" w:cs="Times New Roman"/>
          <w:color w:val="auto"/>
          <w:lang w:bidi="zh-CN"/>
        </w:rPr>
        <w:t>mg/L</w:t>
      </w:r>
      <w:r>
        <w:rPr>
          <w:rFonts w:hint="eastAsia" w:ascii="Times New Roman" w:hAnsi="Times New Roman" w:cs="Times New Roman"/>
          <w:color w:val="auto"/>
          <w:lang w:bidi="zh-CN"/>
        </w:rPr>
        <w:t>、</w:t>
      </w:r>
      <w:r>
        <w:rPr>
          <w:rFonts w:hint="eastAsia" w:ascii="Times New Roman" w:hAnsi="Times New Roman" w:cs="Times New Roman"/>
          <w:color w:val="auto"/>
          <w:lang w:val="en-US" w:bidi="zh-CN"/>
        </w:rPr>
        <w:t>0.53</w:t>
      </w:r>
      <w:r>
        <w:rPr>
          <w:rFonts w:ascii="Times New Roman" w:hAnsi="Times New Roman" w:cs="Times New Roman"/>
          <w:color w:val="auto"/>
          <w:lang w:bidi="zh-CN"/>
        </w:rPr>
        <w:t>mg/L</w:t>
      </w:r>
      <w:r>
        <w:rPr>
          <w:rFonts w:hint="eastAsia" w:ascii="Times New Roman" w:hAnsi="Times New Roman" w:cs="Times New Roman"/>
          <w:color w:val="auto"/>
          <w:lang w:bidi="zh-CN"/>
        </w:rPr>
        <w:t>，</w:t>
      </w:r>
      <w:r>
        <w:rPr>
          <w:rFonts w:ascii="Times New Roman" w:hAnsi="Times New Roman" w:cs="Times New Roman"/>
          <w:color w:val="auto"/>
          <w:lang w:val="zh-TW" w:bidi="zh-CN"/>
        </w:rPr>
        <w:t>最大影响距离也随之增加</w:t>
      </w:r>
      <w:r>
        <w:rPr>
          <w:rFonts w:hint="eastAsia" w:ascii="Times New Roman" w:hAnsi="Times New Roman" w:cs="Times New Roman"/>
          <w:color w:val="auto"/>
          <w:lang w:bidi="zh-CN"/>
        </w:rPr>
        <w:t>，</w:t>
      </w:r>
      <w:r>
        <w:rPr>
          <w:rFonts w:ascii="Times New Roman" w:hAnsi="Times New Roman" w:cs="Times New Roman"/>
          <w:color w:val="auto"/>
        </w:rPr>
        <w:t>预测结果表明，COD渗漏</w:t>
      </w:r>
      <w:r>
        <w:rPr>
          <w:rFonts w:hint="eastAsia" w:ascii="Times New Roman" w:hAnsi="Times New Roman" w:cs="Times New Roman"/>
          <w:color w:val="auto"/>
          <w:lang w:val="en-US" w:eastAsia="zh-CN"/>
        </w:rPr>
        <w:t>约150</w:t>
      </w:r>
      <w:r>
        <w:rPr>
          <w:rFonts w:ascii="Times New Roman" w:hAnsi="Times New Roman" w:cs="Times New Roman"/>
          <w:color w:val="auto"/>
        </w:rPr>
        <w:t>天后的最大</w:t>
      </w:r>
      <w:r>
        <w:rPr>
          <w:rFonts w:hint="eastAsia" w:ascii="Times New Roman" w:hAnsi="Times New Roman" w:cs="Times New Roman"/>
          <w:color w:val="auto"/>
        </w:rPr>
        <w:t>浓度为2</w:t>
      </w:r>
      <w:r>
        <w:rPr>
          <w:rFonts w:ascii="Times New Roman" w:hAnsi="Times New Roman" w:cs="Times New Roman"/>
          <w:color w:val="auto"/>
        </w:rPr>
        <w:t>.99</w:t>
      </w:r>
      <w:r>
        <w:rPr>
          <w:rFonts w:ascii="Times New Roman" w:hAnsi="Times New Roman" w:cs="Times New Roman"/>
          <w:color w:val="auto"/>
          <w:lang w:bidi="zh-CN"/>
        </w:rPr>
        <w:t>mg/L</w:t>
      </w:r>
      <w:r>
        <w:rPr>
          <w:rFonts w:hint="eastAsia" w:ascii="Times New Roman" w:hAnsi="Times New Roman" w:cs="Times New Roman"/>
          <w:color w:val="auto"/>
        </w:rPr>
        <w:t>，满足</w:t>
      </w:r>
      <w:r>
        <w:rPr>
          <w:rFonts w:ascii="Times New Roman" w:hAnsi="Times New Roman" w:cs="Times New Roman"/>
          <w:color w:val="auto"/>
        </w:rPr>
        <w:t>《地下水质量标准》（GB/T14848-2017</w:t>
      </w:r>
      <w:r>
        <w:rPr>
          <w:rFonts w:hint="eastAsia" w:ascii="Times New Roman" w:hAnsi="Times New Roman" w:cs="Times New Roman"/>
          <w:color w:val="auto"/>
          <w:lang w:eastAsia="zh-CN"/>
        </w:rPr>
        <w:t>）</w:t>
      </w:r>
      <w:r>
        <w:rPr>
          <w:rFonts w:ascii="Times New Roman" w:hAnsi="Times New Roman" w:cs="Times New Roman"/>
          <w:color w:val="auto"/>
        </w:rPr>
        <w:t>中Ⅲ类标准</w:t>
      </w:r>
      <w:r>
        <w:rPr>
          <w:rFonts w:hint="eastAsia" w:ascii="Times New Roman" w:hAnsi="Times New Roman" w:cs="Times New Roman"/>
          <w:color w:val="auto"/>
        </w:rPr>
        <w:t>（</w:t>
      </w:r>
      <w:r>
        <w:rPr>
          <w:rFonts w:ascii="Times New Roman" w:hAnsi="Times New Roman" w:cs="Times New Roman"/>
          <w:color w:val="auto"/>
        </w:rPr>
        <w:t>COD</w:t>
      </w:r>
      <w:r>
        <w:rPr>
          <w:rFonts w:ascii="Times New Roman" w:hAnsi="Times New Roman" w:cs="Times New Roman"/>
          <w:color w:val="auto"/>
          <w:vertAlign w:val="subscript"/>
        </w:rPr>
        <w:t>M</w:t>
      </w:r>
      <w:r>
        <w:rPr>
          <w:rFonts w:hint="eastAsia" w:ascii="Times New Roman" w:hAnsi="Times New Roman" w:cs="Times New Roman"/>
          <w:color w:val="auto"/>
          <w:vertAlign w:val="subscript"/>
        </w:rPr>
        <w:t>n</w:t>
      </w:r>
      <w:r>
        <w:rPr>
          <w:rFonts w:ascii="Times New Roman" w:hAnsi="Times New Roman" w:cs="Times New Roman"/>
          <w:color w:val="auto"/>
        </w:rPr>
        <w:t>≤3.00</w:t>
      </w:r>
      <w:r>
        <w:rPr>
          <w:rFonts w:ascii="Times New Roman" w:hAnsi="Times New Roman" w:cs="Times New Roman"/>
          <w:color w:val="auto"/>
          <w:lang w:bidi="zh-CN"/>
        </w:rPr>
        <w:t>mg/L</w:t>
      </w:r>
      <w:r>
        <w:rPr>
          <w:rFonts w:hint="eastAsia" w:ascii="Times New Roman" w:hAnsi="Times New Roman" w:cs="Times New Roman"/>
          <w:color w:val="auto"/>
        </w:rPr>
        <w:t>）</w:t>
      </w:r>
      <w:r>
        <w:rPr>
          <w:rFonts w:ascii="Times New Roman" w:hAnsi="Times New Roman" w:cs="Times New Roman"/>
          <w:color w:val="auto"/>
        </w:rPr>
        <w:t>，</w:t>
      </w:r>
      <w:r>
        <w:rPr>
          <w:rFonts w:hint="eastAsia" w:ascii="Times New Roman" w:hAnsi="Times New Roman" w:cs="Times New Roman"/>
          <w:color w:val="auto"/>
          <w:lang w:val="en-US" w:eastAsia="zh-CN"/>
        </w:rPr>
        <w:t>预测超标最远</w:t>
      </w:r>
      <w:r>
        <w:rPr>
          <w:rFonts w:ascii="Times New Roman" w:hAnsi="Times New Roman" w:cs="Times New Roman"/>
          <w:color w:val="auto"/>
        </w:rPr>
        <w:t>距离不超过</w:t>
      </w:r>
      <w:r>
        <w:rPr>
          <w:rFonts w:hint="eastAsia" w:ascii="Times New Roman" w:hAnsi="Times New Roman" w:cs="Times New Roman"/>
          <w:color w:val="auto"/>
          <w:lang w:val="en-US" w:eastAsia="zh-CN"/>
        </w:rPr>
        <w:t>30</w:t>
      </w:r>
      <w:r>
        <w:rPr>
          <w:rFonts w:ascii="Times New Roman" w:hAnsi="Times New Roman" w:cs="Times New Roman"/>
          <w:color w:val="auto"/>
        </w:rPr>
        <w:t>m，</w:t>
      </w:r>
      <w:r>
        <w:rPr>
          <w:rFonts w:hint="eastAsia" w:ascii="Times New Roman" w:hAnsi="Times New Roman" w:cs="Times New Roman"/>
          <w:color w:val="auto"/>
          <w:lang w:val="en-US" w:eastAsia="zh-CN"/>
        </w:rPr>
        <w:t>180</w:t>
      </w:r>
      <w:r>
        <w:rPr>
          <w:rFonts w:ascii="Times New Roman" w:hAnsi="Times New Roman" w:cs="Times New Roman"/>
          <w:color w:val="auto"/>
        </w:rPr>
        <w:t>天后污染物不存在超标，因此，</w:t>
      </w:r>
      <w:r>
        <w:rPr>
          <w:rFonts w:hint="eastAsia" w:ascii="Times New Roman" w:hAnsi="Times New Roman" w:cs="Times New Roman"/>
          <w:color w:val="auto"/>
          <w:lang w:val="en-US" w:eastAsia="zh-CN"/>
        </w:rPr>
        <w:t>采取防渗措施后区域</w:t>
      </w:r>
      <w:r>
        <w:rPr>
          <w:rFonts w:ascii="Times New Roman" w:hAnsi="Times New Roman" w:cs="Times New Roman"/>
          <w:color w:val="auto"/>
        </w:rPr>
        <w:t>COD渗漏对地下水的影响范围较小。</w:t>
      </w:r>
    </w:p>
    <w:p w14:paraId="4707B5AD">
      <w:pPr>
        <w:pStyle w:val="13"/>
        <w:autoSpaceDE w:val="0"/>
        <w:autoSpaceDN w:val="0"/>
        <w:spacing w:after="0" w:line="520" w:lineRule="exact"/>
        <w:ind w:firstLine="480"/>
        <w:rPr>
          <w:rFonts w:ascii="Times New Roman" w:hAnsi="Times New Roman" w:eastAsia="宋体" w:cs="Times New Roman"/>
          <w:color w:val="auto"/>
          <w:lang w:bidi="zh-CN"/>
        </w:rPr>
      </w:pPr>
      <w:r>
        <w:rPr>
          <w:rFonts w:ascii="Times New Roman" w:hAnsi="Times New Roman" w:eastAsia="宋体" w:cs="Times New Roman"/>
          <w:color w:val="auto"/>
          <w:lang w:bidi="zh-CN"/>
        </w:rPr>
        <w:t>2）NH</w:t>
      </w:r>
      <w:r>
        <w:rPr>
          <w:rFonts w:ascii="Times New Roman" w:hAnsi="Times New Roman" w:eastAsia="宋体" w:cs="Times New Roman"/>
          <w:color w:val="auto"/>
          <w:vertAlign w:val="subscript"/>
          <w:lang w:bidi="zh-CN"/>
        </w:rPr>
        <w:t>3</w:t>
      </w:r>
      <w:r>
        <w:rPr>
          <w:rFonts w:ascii="Times New Roman" w:hAnsi="Times New Roman" w:eastAsia="宋体" w:cs="Times New Roman"/>
          <w:color w:val="auto"/>
          <w:lang w:bidi="zh-CN"/>
        </w:rPr>
        <w:t>-N</w:t>
      </w:r>
      <w:r>
        <w:rPr>
          <w:rFonts w:ascii="Times New Roman" w:hAnsi="Times New Roman" w:eastAsia="宋体" w:cs="Times New Roman"/>
          <w:color w:val="auto"/>
          <w:lang w:val="zh-TW" w:bidi="zh-CN"/>
        </w:rPr>
        <w:t>预测</w:t>
      </w:r>
      <w:r>
        <w:rPr>
          <w:rFonts w:ascii="Times New Roman" w:hAnsi="Times New Roman" w:eastAsia="宋体" w:cs="Times New Roman"/>
          <w:color w:val="auto"/>
          <w:lang w:bidi="zh-CN"/>
        </w:rPr>
        <w:t>结果</w:t>
      </w:r>
    </w:p>
    <w:p w14:paraId="40A9A5D5">
      <w:pPr>
        <w:pStyle w:val="29"/>
        <w:ind w:firstLine="199" w:firstLineChars="83"/>
        <w:rPr>
          <w:rFonts w:ascii="Times New Roman" w:hAnsi="Times New Roman" w:cs="Times New Roman"/>
          <w:color w:val="auto"/>
          <w:lang w:bidi="zh-CN"/>
        </w:rPr>
      </w:pPr>
      <w:r>
        <w:rPr>
          <w:rFonts w:ascii="Times New Roman" w:hAnsi="Times New Roman"/>
        </w:rPr>
        <w:drawing>
          <wp:inline distT="0" distB="0" distL="114300" distR="114300">
            <wp:extent cx="4826000" cy="2743200"/>
            <wp:effectExtent l="4445" t="4445" r="8255" b="52705"/>
            <wp:docPr id="45" name="图表 1" descr="7b0a202020202263686172745265734964223a202232303437353634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ED2ECB">
      <w:pPr>
        <w:ind w:firstLine="482"/>
        <w:jc w:val="center"/>
        <w:rPr>
          <w:rFonts w:ascii="Times New Roman" w:hAnsi="Times New Roman" w:cs="Times New Roman"/>
          <w:b/>
          <w:color w:val="auto"/>
          <w:lang w:val="zh-CN"/>
        </w:rPr>
      </w:pPr>
      <w:r>
        <w:rPr>
          <w:rFonts w:ascii="Times New Roman" w:hAnsi="Times New Roman" w:eastAsia="宋体" w:cs="Times New Roman"/>
          <w:b/>
          <w:color w:val="auto"/>
          <w:szCs w:val="24"/>
        </w:rPr>
        <w:t>图</w:t>
      </w:r>
      <w:r>
        <w:rPr>
          <w:rFonts w:hint="eastAsia" w:eastAsia="宋体" w:cs="Times New Roman"/>
          <w:b/>
          <w:color w:val="auto"/>
          <w:szCs w:val="24"/>
          <w:lang w:val="en-US" w:eastAsia="zh-CN"/>
        </w:rPr>
        <w:t>5</w:t>
      </w:r>
      <w:r>
        <w:rPr>
          <w:rFonts w:ascii="Times New Roman" w:hAnsi="Times New Roman" w:eastAsia="宋体" w:cs="Times New Roman"/>
          <w:b/>
          <w:color w:val="auto"/>
          <w:szCs w:val="24"/>
        </w:rPr>
        <w:t>.2-</w:t>
      </w:r>
      <w:r>
        <w:rPr>
          <w:rFonts w:hint="eastAsia" w:ascii="Times New Roman" w:hAnsi="Times New Roman" w:eastAsia="宋体" w:cs="Times New Roman"/>
          <w:b/>
          <w:color w:val="auto"/>
          <w:szCs w:val="24"/>
          <w:lang w:val="en-US" w:eastAsia="zh-CN"/>
        </w:rPr>
        <w:t>2</w:t>
      </w:r>
      <w:r>
        <w:rPr>
          <w:rFonts w:ascii="Times New Roman" w:hAnsi="Times New Roman" w:eastAsia="宋体" w:cs="Times New Roman"/>
          <w:b/>
          <w:color w:val="auto"/>
          <w:szCs w:val="24"/>
        </w:rPr>
        <w:t xml:space="preserve">     </w:t>
      </w:r>
      <w:r>
        <w:rPr>
          <w:rFonts w:ascii="Times New Roman" w:hAnsi="Times New Roman" w:eastAsia="宋体" w:cs="Times New Roman"/>
          <w:b/>
          <w:bCs/>
          <w:color w:val="auto"/>
          <w:szCs w:val="20"/>
        </w:rPr>
        <w:t>NH</w:t>
      </w:r>
      <w:r>
        <w:rPr>
          <w:rFonts w:ascii="Times New Roman" w:hAnsi="Times New Roman" w:eastAsia="宋体" w:cs="Times New Roman"/>
          <w:b/>
          <w:bCs/>
          <w:color w:val="auto"/>
          <w:szCs w:val="20"/>
          <w:vertAlign w:val="subscript"/>
        </w:rPr>
        <w:t>3</w:t>
      </w:r>
      <w:r>
        <w:rPr>
          <w:rFonts w:ascii="Times New Roman" w:hAnsi="Times New Roman" w:eastAsia="宋体" w:cs="Times New Roman"/>
          <w:b/>
          <w:bCs/>
          <w:color w:val="auto"/>
          <w:szCs w:val="20"/>
        </w:rPr>
        <w:t>-N</w:t>
      </w:r>
      <w:r>
        <w:rPr>
          <w:rFonts w:ascii="Times New Roman" w:hAnsi="Times New Roman" w:eastAsia="宋体" w:cs="Times New Roman"/>
          <w:b/>
          <w:color w:val="auto"/>
          <w:szCs w:val="24"/>
          <w:lang w:val="zh-CN"/>
        </w:rPr>
        <w:t>运移</w:t>
      </w:r>
      <w:r>
        <w:rPr>
          <w:rFonts w:hint="eastAsia" w:ascii="Times New Roman" w:hAnsi="Times New Roman" w:eastAsia="宋体" w:cs="Times New Roman"/>
          <w:b/>
          <w:color w:val="auto"/>
          <w:szCs w:val="24"/>
          <w:lang w:val="en-US" w:eastAsia="zh-CN"/>
        </w:rPr>
        <w:t>不同时间</w:t>
      </w:r>
      <w:r>
        <w:rPr>
          <w:rFonts w:ascii="Times New Roman" w:hAnsi="Times New Roman" w:eastAsia="宋体" w:cs="Times New Roman"/>
          <w:b/>
          <w:color w:val="auto"/>
          <w:szCs w:val="24"/>
          <w:lang w:val="zh-CN"/>
        </w:rPr>
        <w:t>随距离变化图</w:t>
      </w:r>
    </w:p>
    <w:p w14:paraId="2F673BE3">
      <w:pPr>
        <w:ind w:firstLine="0" w:firstLineChars="0"/>
        <w:jc w:val="center"/>
        <w:rPr>
          <w:rFonts w:ascii="Times New Roman" w:hAnsi="Times New Roman" w:cs="Times New Roman"/>
          <w:b/>
          <w:color w:val="auto"/>
        </w:rPr>
      </w:pPr>
      <w:r>
        <w:rPr>
          <w:rFonts w:ascii="Times New Roman" w:hAnsi="Times New Roman" w:eastAsia="宋体" w:cs="Times New Roman"/>
          <w:b/>
          <w:color w:val="auto"/>
          <w:szCs w:val="24"/>
          <w:lang w:val="zh-TW"/>
        </w:rPr>
        <w:t>表</w:t>
      </w:r>
      <w:r>
        <w:rPr>
          <w:rFonts w:hint="eastAsia" w:eastAsia="宋体" w:cs="Times New Roman"/>
          <w:b/>
          <w:color w:val="auto"/>
          <w:szCs w:val="24"/>
          <w:lang w:val="en-US" w:eastAsia="zh-CN"/>
        </w:rPr>
        <w:t>5</w:t>
      </w:r>
      <w:r>
        <w:rPr>
          <w:rFonts w:ascii="Times New Roman" w:hAnsi="Times New Roman" w:eastAsia="宋体" w:cs="Times New Roman"/>
          <w:b/>
          <w:color w:val="auto"/>
          <w:szCs w:val="24"/>
        </w:rPr>
        <w:t>.2-1</w:t>
      </w:r>
      <w:r>
        <w:rPr>
          <w:rFonts w:hint="eastAsia" w:ascii="Times New Roman" w:hAnsi="Times New Roman" w:eastAsia="宋体" w:cs="Times New Roman"/>
          <w:b/>
          <w:color w:val="auto"/>
          <w:szCs w:val="24"/>
          <w:lang w:val="en-US" w:eastAsia="zh-CN"/>
        </w:rPr>
        <w:t>6</w:t>
      </w:r>
      <w:r>
        <w:rPr>
          <w:rFonts w:ascii="Times New Roman" w:hAnsi="Times New Roman" w:eastAsia="宋体" w:cs="Times New Roman"/>
          <w:b/>
          <w:color w:val="auto"/>
          <w:szCs w:val="24"/>
        </w:rPr>
        <w:t xml:space="preserve">     </w:t>
      </w:r>
      <w:r>
        <w:rPr>
          <w:rFonts w:ascii="Times New Roman" w:hAnsi="Times New Roman" w:eastAsia="宋体" w:cs="Times New Roman"/>
          <w:b/>
          <w:color w:val="auto"/>
          <w:szCs w:val="24"/>
          <w:lang w:val="zh-TW"/>
        </w:rPr>
        <w:t>事</w:t>
      </w:r>
      <w:r>
        <w:rPr>
          <w:rFonts w:ascii="Times New Roman" w:hAnsi="Times New Roman" w:eastAsia="宋体" w:cs="Times New Roman"/>
          <w:b/>
          <w:color w:val="auto"/>
          <w:szCs w:val="24"/>
        </w:rPr>
        <w:t>故工况下</w:t>
      </w:r>
      <w:r>
        <w:rPr>
          <w:rFonts w:ascii="Times New Roman" w:hAnsi="Times New Roman" w:eastAsia="宋体" w:cs="Times New Roman"/>
          <w:b/>
          <w:bCs/>
          <w:color w:val="auto"/>
          <w:szCs w:val="20"/>
        </w:rPr>
        <w:t>NH</w:t>
      </w:r>
      <w:r>
        <w:rPr>
          <w:rFonts w:ascii="Times New Roman" w:hAnsi="Times New Roman" w:eastAsia="宋体" w:cs="Times New Roman"/>
          <w:b/>
          <w:bCs/>
          <w:color w:val="auto"/>
          <w:szCs w:val="20"/>
          <w:vertAlign w:val="subscript"/>
        </w:rPr>
        <w:t>3</w:t>
      </w:r>
      <w:r>
        <w:rPr>
          <w:rFonts w:ascii="Times New Roman" w:hAnsi="Times New Roman" w:eastAsia="宋体" w:cs="Times New Roman"/>
          <w:b/>
          <w:bCs/>
          <w:color w:val="auto"/>
          <w:szCs w:val="20"/>
        </w:rPr>
        <w:t>-N</w:t>
      </w:r>
      <w:r>
        <w:rPr>
          <w:rFonts w:ascii="Times New Roman" w:hAnsi="Times New Roman" w:eastAsia="宋体" w:cs="Times New Roman"/>
          <w:b/>
          <w:color w:val="auto"/>
          <w:szCs w:val="24"/>
        </w:rPr>
        <w:t>对潜水含水层的影响范围</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1793"/>
        <w:gridCol w:w="2011"/>
        <w:gridCol w:w="2528"/>
        <w:gridCol w:w="2528"/>
      </w:tblGrid>
      <w:tr w14:paraId="1F4EE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FFFFFF"/>
            <w:vAlign w:val="center"/>
          </w:tcPr>
          <w:p w14:paraId="782980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预测期</w:t>
            </w:r>
          </w:p>
        </w:tc>
        <w:tc>
          <w:tcPr>
            <w:tcW w:w="1134" w:type="pct"/>
            <w:tcBorders>
              <w:tl2br w:val="nil"/>
              <w:tr2bl w:val="nil"/>
            </w:tcBorders>
            <w:shd w:val="clear" w:color="auto" w:fill="FFFFFF"/>
            <w:vAlign w:val="center"/>
          </w:tcPr>
          <w:p w14:paraId="67C5D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最大影响距离（m）</w:t>
            </w:r>
          </w:p>
        </w:tc>
        <w:tc>
          <w:tcPr>
            <w:tcW w:w="1426" w:type="pct"/>
            <w:tcBorders>
              <w:tl2br w:val="nil"/>
              <w:tr2bl w:val="nil"/>
            </w:tcBorders>
            <w:shd w:val="clear" w:color="auto" w:fill="FFFFFF"/>
            <w:vAlign w:val="center"/>
          </w:tcPr>
          <w:p w14:paraId="2295EF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最大浓度（mg/L）</w:t>
            </w:r>
          </w:p>
        </w:tc>
        <w:tc>
          <w:tcPr>
            <w:tcW w:w="1426" w:type="pct"/>
            <w:tcBorders>
              <w:tl2br w:val="nil"/>
              <w:tr2bl w:val="nil"/>
            </w:tcBorders>
            <w:shd w:val="clear" w:color="auto" w:fill="FFFFFF"/>
            <w:vAlign w:val="center"/>
          </w:tcPr>
          <w:p w14:paraId="421645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hint="eastAsia" w:ascii="Times New Roman" w:hAnsi="Times New Roman" w:eastAsia="宋体" w:cs="Times New Roman"/>
                <w:color w:val="auto"/>
                <w:sz w:val="21"/>
                <w:szCs w:val="21"/>
                <w:lang w:val="en-US" w:eastAsia="en-US"/>
              </w:rPr>
              <w:t>预测超标最远距离（m）</w:t>
            </w:r>
          </w:p>
        </w:tc>
      </w:tr>
      <w:tr w14:paraId="36677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FFFFFF"/>
            <w:vAlign w:val="center"/>
          </w:tcPr>
          <w:p w14:paraId="11467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30d</w:t>
            </w:r>
          </w:p>
        </w:tc>
        <w:tc>
          <w:tcPr>
            <w:tcW w:w="1134" w:type="pct"/>
            <w:tcBorders>
              <w:tl2br w:val="nil"/>
              <w:tr2bl w:val="nil"/>
            </w:tcBorders>
            <w:shd w:val="clear" w:color="auto" w:fill="FFFFFF"/>
            <w:vAlign w:val="center"/>
          </w:tcPr>
          <w:p w14:paraId="3B3DF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426" w:type="pct"/>
            <w:tcBorders>
              <w:tl2br w:val="nil"/>
              <w:tr2bl w:val="nil"/>
            </w:tcBorders>
            <w:shd w:val="clear" w:color="auto" w:fill="FFFFFF"/>
            <w:vAlign w:val="center"/>
          </w:tcPr>
          <w:p w14:paraId="702571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2.49</w:t>
            </w:r>
          </w:p>
        </w:tc>
        <w:tc>
          <w:tcPr>
            <w:tcW w:w="1426" w:type="pct"/>
            <w:tcBorders>
              <w:tl2br w:val="nil"/>
              <w:tr2bl w:val="nil"/>
            </w:tcBorders>
            <w:shd w:val="clear" w:color="auto" w:fill="FFFFFF"/>
            <w:vAlign w:val="center"/>
          </w:tcPr>
          <w:p w14:paraId="27381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49DDC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FFFFFF"/>
            <w:vAlign w:val="center"/>
          </w:tcPr>
          <w:p w14:paraId="5715F2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180d</w:t>
            </w:r>
          </w:p>
        </w:tc>
        <w:tc>
          <w:tcPr>
            <w:tcW w:w="1134" w:type="pct"/>
            <w:tcBorders>
              <w:tl2br w:val="nil"/>
              <w:tr2bl w:val="nil"/>
            </w:tcBorders>
            <w:shd w:val="clear" w:color="auto" w:fill="FFFFFF"/>
            <w:vAlign w:val="center"/>
          </w:tcPr>
          <w:p w14:paraId="177743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1426" w:type="pct"/>
            <w:tcBorders>
              <w:tl2br w:val="nil"/>
              <w:tr2bl w:val="nil"/>
            </w:tcBorders>
            <w:shd w:val="clear" w:color="auto" w:fill="FFFFFF"/>
            <w:vAlign w:val="center"/>
          </w:tcPr>
          <w:p w14:paraId="3806C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0.69</w:t>
            </w:r>
          </w:p>
        </w:tc>
        <w:tc>
          <w:tcPr>
            <w:tcW w:w="1426" w:type="pct"/>
            <w:tcBorders>
              <w:tl2br w:val="nil"/>
              <w:tr2bl w:val="nil"/>
            </w:tcBorders>
            <w:shd w:val="clear" w:color="auto" w:fill="FFFFFF"/>
            <w:vAlign w:val="center"/>
          </w:tcPr>
          <w:p w14:paraId="35F3C3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r>
      <w:tr w14:paraId="78C61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FFFFFF"/>
            <w:vAlign w:val="center"/>
          </w:tcPr>
          <w:p w14:paraId="45A127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365d</w:t>
            </w:r>
          </w:p>
        </w:tc>
        <w:tc>
          <w:tcPr>
            <w:tcW w:w="1134" w:type="pct"/>
            <w:tcBorders>
              <w:tl2br w:val="nil"/>
              <w:tr2bl w:val="nil"/>
            </w:tcBorders>
            <w:shd w:val="clear" w:color="auto" w:fill="FFFFFF"/>
            <w:vAlign w:val="center"/>
          </w:tcPr>
          <w:p w14:paraId="6E271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1426" w:type="pct"/>
            <w:tcBorders>
              <w:tl2br w:val="nil"/>
              <w:tr2bl w:val="nil"/>
            </w:tcBorders>
            <w:shd w:val="clear" w:color="auto" w:fill="FFFFFF"/>
            <w:vAlign w:val="center"/>
          </w:tcPr>
          <w:p w14:paraId="27EC88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0.46</w:t>
            </w:r>
          </w:p>
        </w:tc>
        <w:tc>
          <w:tcPr>
            <w:tcW w:w="1426" w:type="pct"/>
            <w:tcBorders>
              <w:tl2br w:val="nil"/>
              <w:tr2bl w:val="nil"/>
            </w:tcBorders>
            <w:shd w:val="clear" w:color="auto" w:fill="FFFFFF"/>
            <w:vAlign w:val="center"/>
          </w:tcPr>
          <w:p w14:paraId="4BF05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628C9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FFFFFF"/>
            <w:vAlign w:val="center"/>
          </w:tcPr>
          <w:p w14:paraId="2CA7E7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1095d</w:t>
            </w:r>
          </w:p>
        </w:tc>
        <w:tc>
          <w:tcPr>
            <w:tcW w:w="1134" w:type="pct"/>
            <w:tcBorders>
              <w:tl2br w:val="nil"/>
              <w:tr2bl w:val="nil"/>
            </w:tcBorders>
            <w:shd w:val="clear" w:color="auto" w:fill="FFFFFF"/>
            <w:vAlign w:val="center"/>
          </w:tcPr>
          <w:p w14:paraId="2F8F48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134</w:t>
            </w:r>
          </w:p>
        </w:tc>
        <w:tc>
          <w:tcPr>
            <w:tcW w:w="1426" w:type="pct"/>
            <w:tcBorders>
              <w:tl2br w:val="nil"/>
              <w:tr2bl w:val="nil"/>
            </w:tcBorders>
            <w:shd w:val="clear" w:color="auto" w:fill="FFFFFF"/>
            <w:vAlign w:val="center"/>
          </w:tcPr>
          <w:p w14:paraId="41A47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w:t>
            </w:r>
          </w:p>
        </w:tc>
        <w:tc>
          <w:tcPr>
            <w:tcW w:w="1426" w:type="pct"/>
            <w:tcBorders>
              <w:tl2br w:val="nil"/>
              <w:tr2bl w:val="nil"/>
            </w:tcBorders>
            <w:shd w:val="clear" w:color="auto" w:fill="FFFFFF"/>
            <w:vAlign w:val="center"/>
          </w:tcPr>
          <w:p w14:paraId="4DE6E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6325B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FFFFFF"/>
            <w:vAlign w:val="center"/>
          </w:tcPr>
          <w:p w14:paraId="00F24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hint="eastAsia" w:ascii="Times New Roman" w:hAnsi="Times New Roman" w:eastAsia="宋体" w:cs="Times New Roman"/>
                <w:color w:val="auto"/>
                <w:sz w:val="21"/>
                <w:szCs w:val="21"/>
                <w:lang w:val="en-US" w:eastAsia="zh-CN"/>
              </w:rPr>
              <w:t>1825</w:t>
            </w:r>
            <w:r>
              <w:rPr>
                <w:rFonts w:hint="eastAsia" w:ascii="Times New Roman" w:hAnsi="Times New Roman" w:eastAsia="宋体" w:cs="Times New Roman"/>
                <w:color w:val="auto"/>
                <w:sz w:val="21"/>
                <w:szCs w:val="21"/>
                <w:lang w:eastAsia="en-US"/>
              </w:rPr>
              <w:t>d</w:t>
            </w:r>
          </w:p>
        </w:tc>
        <w:tc>
          <w:tcPr>
            <w:tcW w:w="1134" w:type="pct"/>
            <w:tcBorders>
              <w:tl2br w:val="nil"/>
              <w:tr2bl w:val="nil"/>
            </w:tcBorders>
            <w:shd w:val="clear" w:color="auto" w:fill="FFFFFF"/>
            <w:vAlign w:val="center"/>
          </w:tcPr>
          <w:p w14:paraId="4C0C5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194</w:t>
            </w:r>
          </w:p>
        </w:tc>
        <w:tc>
          <w:tcPr>
            <w:tcW w:w="1426" w:type="pct"/>
            <w:tcBorders>
              <w:tl2br w:val="nil"/>
              <w:tr2bl w:val="nil"/>
            </w:tcBorders>
            <w:shd w:val="clear" w:color="auto" w:fill="FFFFFF"/>
            <w:vAlign w:val="center"/>
          </w:tcPr>
          <w:p w14:paraId="5D5547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w:t>
            </w:r>
          </w:p>
        </w:tc>
        <w:tc>
          <w:tcPr>
            <w:tcW w:w="1426" w:type="pct"/>
            <w:tcBorders>
              <w:tl2br w:val="nil"/>
              <w:tr2bl w:val="nil"/>
            </w:tcBorders>
            <w:shd w:val="clear" w:color="auto" w:fill="FFFFFF"/>
            <w:vAlign w:val="center"/>
          </w:tcPr>
          <w:p w14:paraId="7512D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62DEE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11" w:type="pct"/>
            <w:tcBorders>
              <w:tl2br w:val="nil"/>
              <w:tr2bl w:val="nil"/>
            </w:tcBorders>
            <w:shd w:val="clear" w:color="auto" w:fill="FFFFFF"/>
            <w:vAlign w:val="center"/>
          </w:tcPr>
          <w:p w14:paraId="1570D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3650d</w:t>
            </w:r>
          </w:p>
        </w:tc>
        <w:tc>
          <w:tcPr>
            <w:tcW w:w="1134" w:type="pct"/>
            <w:tcBorders>
              <w:tl2br w:val="nil"/>
              <w:tr2bl w:val="nil"/>
            </w:tcBorders>
            <w:shd w:val="clear" w:color="auto" w:fill="FFFFFF"/>
            <w:vAlign w:val="center"/>
          </w:tcPr>
          <w:p w14:paraId="66D22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330</w:t>
            </w:r>
          </w:p>
        </w:tc>
        <w:tc>
          <w:tcPr>
            <w:tcW w:w="1426" w:type="pct"/>
            <w:tcBorders>
              <w:tl2br w:val="nil"/>
              <w:tr2bl w:val="nil"/>
            </w:tcBorders>
            <w:shd w:val="clear" w:color="auto" w:fill="FFFFFF"/>
            <w:vAlign w:val="center"/>
          </w:tcPr>
          <w:p w14:paraId="398CF1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1426" w:type="pct"/>
            <w:tcBorders>
              <w:tl2br w:val="nil"/>
              <w:tr2bl w:val="nil"/>
            </w:tcBorders>
            <w:shd w:val="clear" w:color="auto" w:fill="FFFFFF"/>
            <w:vAlign w:val="center"/>
          </w:tcPr>
          <w:p w14:paraId="32BDB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bl>
    <w:p w14:paraId="588D7B7F">
      <w:pPr>
        <w:ind w:firstLine="480"/>
        <w:rPr>
          <w:rFonts w:ascii="Times New Roman" w:hAnsi="Times New Roman" w:eastAsia="宋体" w:cs="Times New Roman"/>
          <w:color w:val="auto"/>
          <w:szCs w:val="18"/>
          <w:lang w:val="zh-TW" w:bidi="zh-CN"/>
        </w:rPr>
      </w:pPr>
      <w:r>
        <w:rPr>
          <w:rFonts w:ascii="Times New Roman" w:hAnsi="Times New Roman" w:eastAsia="宋体" w:cs="Times New Roman"/>
          <w:color w:val="auto"/>
          <w:szCs w:val="18"/>
          <w:lang w:val="zh-TW" w:bidi="zh-CN"/>
        </w:rPr>
        <w:t>根据以上模型预测结果可知：因受项目区水文地质影响，地下水运移迟缓，水替作用弱，故导致渗滤液泄漏后最大浓度始终位于</w:t>
      </w:r>
      <w:r>
        <w:rPr>
          <w:rFonts w:hint="eastAsia" w:ascii="Times New Roman" w:hAnsi="Times New Roman" w:eastAsia="宋体" w:cs="Times New Roman"/>
          <w:color w:val="auto"/>
          <w:szCs w:val="18"/>
          <w:lang w:val="zh-TW" w:bidi="zh-CN"/>
        </w:rPr>
        <w:t>初始</w:t>
      </w:r>
      <w:r>
        <w:rPr>
          <w:rFonts w:ascii="Times New Roman" w:hAnsi="Times New Roman" w:eastAsia="宋体" w:cs="Times New Roman"/>
          <w:color w:val="auto"/>
          <w:szCs w:val="18"/>
          <w:lang w:val="zh-TW" w:bidi="zh-CN"/>
        </w:rPr>
        <w:t>泄漏位置处。但随泄漏后时间增加而浓度逐渐降低，30天（一个月）、180天（半年）、365天（一年）、1095天（三年）、</w:t>
      </w:r>
      <w:r>
        <w:rPr>
          <w:rFonts w:hint="eastAsia" w:ascii="Times New Roman" w:hAnsi="Times New Roman" w:eastAsia="宋体" w:cs="Times New Roman"/>
          <w:color w:val="auto"/>
          <w:szCs w:val="18"/>
          <w:lang w:val="en-US" w:bidi="zh-CN"/>
        </w:rPr>
        <w:t>1825天（5年）、</w:t>
      </w:r>
      <w:r>
        <w:rPr>
          <w:rFonts w:ascii="Times New Roman" w:hAnsi="Times New Roman" w:eastAsia="宋体" w:cs="Times New Roman"/>
          <w:color w:val="auto"/>
          <w:szCs w:val="18"/>
          <w:lang w:val="zh-TW" w:bidi="zh-CN"/>
        </w:rPr>
        <w:t>3650天（十年）后NH</w:t>
      </w:r>
      <w:r>
        <w:rPr>
          <w:rFonts w:ascii="Times New Roman" w:hAnsi="Times New Roman" w:eastAsia="宋体" w:cs="Times New Roman"/>
          <w:color w:val="auto"/>
          <w:szCs w:val="18"/>
          <w:vertAlign w:val="subscript"/>
          <w:lang w:val="zh-TW" w:bidi="zh-CN"/>
        </w:rPr>
        <w:t>3</w:t>
      </w:r>
      <w:r>
        <w:rPr>
          <w:rFonts w:ascii="Times New Roman" w:hAnsi="Times New Roman" w:eastAsia="宋体" w:cs="Times New Roman"/>
          <w:color w:val="auto"/>
          <w:szCs w:val="18"/>
          <w:lang w:val="zh-TW" w:bidi="zh-CN"/>
        </w:rPr>
        <w:t>-N最大浓度分别为：</w:t>
      </w:r>
      <w:r>
        <w:rPr>
          <w:rFonts w:hint="eastAsia" w:ascii="Times New Roman" w:hAnsi="Times New Roman" w:eastAsia="PMingLiU" w:cs="Times New Roman"/>
          <w:color w:val="auto"/>
          <w:szCs w:val="18"/>
          <w:lang w:val="en-US" w:eastAsia="zh-TW" w:bidi="zh-CN"/>
        </w:rPr>
        <w:t>2.49</w:t>
      </w:r>
      <w:r>
        <w:rPr>
          <w:rFonts w:ascii="Times New Roman" w:hAnsi="Times New Roman" w:eastAsia="宋体" w:cs="Times New Roman"/>
          <w:color w:val="auto"/>
          <w:szCs w:val="18"/>
          <w:lang w:val="zh-TW" w:bidi="zh-CN"/>
        </w:rPr>
        <w:t>mg/L、</w:t>
      </w:r>
      <w:r>
        <w:rPr>
          <w:rFonts w:hint="eastAsia" w:ascii="Times New Roman" w:hAnsi="Times New Roman" w:eastAsia="PMingLiU" w:cs="Times New Roman"/>
          <w:color w:val="auto"/>
          <w:szCs w:val="18"/>
          <w:lang w:val="en-US" w:eastAsia="zh-TW" w:bidi="zh-CN"/>
        </w:rPr>
        <w:t>0.69</w:t>
      </w:r>
      <w:r>
        <w:rPr>
          <w:rFonts w:ascii="Times New Roman" w:hAnsi="Times New Roman" w:eastAsia="宋体" w:cs="Times New Roman"/>
          <w:color w:val="auto"/>
          <w:szCs w:val="18"/>
          <w:lang w:val="zh-TW" w:bidi="zh-CN"/>
        </w:rPr>
        <w:t>mg/L、</w:t>
      </w:r>
      <w:r>
        <w:rPr>
          <w:rFonts w:hint="eastAsia" w:ascii="Times New Roman" w:hAnsi="Times New Roman" w:eastAsia="PMingLiU" w:cs="Times New Roman"/>
          <w:color w:val="auto"/>
          <w:szCs w:val="18"/>
          <w:lang w:val="en-US" w:eastAsia="zh-TW" w:bidi="zh-CN"/>
        </w:rPr>
        <w:t>0.46</w:t>
      </w:r>
      <w:r>
        <w:rPr>
          <w:rFonts w:ascii="Times New Roman" w:hAnsi="Times New Roman" w:eastAsia="宋体" w:cs="Times New Roman"/>
          <w:color w:val="auto"/>
          <w:szCs w:val="18"/>
          <w:lang w:val="zh-TW" w:bidi="zh-CN"/>
        </w:rPr>
        <w:t>mg/L、</w:t>
      </w:r>
      <w:r>
        <w:rPr>
          <w:rFonts w:hint="eastAsia" w:ascii="Times New Roman" w:hAnsi="Times New Roman" w:eastAsia="PMingLiU" w:cs="Times New Roman"/>
          <w:color w:val="auto"/>
          <w:szCs w:val="18"/>
          <w:lang w:val="en-US" w:eastAsia="zh-TW" w:bidi="zh-CN"/>
        </w:rPr>
        <w:t>0.25</w:t>
      </w:r>
      <w:r>
        <w:rPr>
          <w:rFonts w:ascii="Times New Roman" w:hAnsi="Times New Roman" w:eastAsia="宋体" w:cs="Times New Roman"/>
          <w:color w:val="auto"/>
          <w:szCs w:val="18"/>
          <w:lang w:val="zh-TW" w:bidi="zh-CN"/>
        </w:rPr>
        <w:t>mg/L、</w:t>
      </w:r>
      <w:r>
        <w:rPr>
          <w:rFonts w:hint="eastAsia" w:ascii="Times New Roman" w:hAnsi="Times New Roman" w:eastAsia="PMingLiU" w:cs="Times New Roman"/>
          <w:color w:val="auto"/>
          <w:szCs w:val="18"/>
          <w:lang w:val="en-US" w:eastAsia="zh-TW" w:bidi="zh-CN"/>
        </w:rPr>
        <w:t>0.19</w:t>
      </w:r>
      <w:r>
        <w:rPr>
          <w:rFonts w:ascii="Times New Roman" w:hAnsi="Times New Roman" w:eastAsia="宋体" w:cs="Times New Roman"/>
          <w:color w:val="auto"/>
          <w:szCs w:val="18"/>
          <w:lang w:val="zh-TW" w:bidi="zh-CN"/>
        </w:rPr>
        <w:t>mg/L</w:t>
      </w:r>
      <w:r>
        <w:rPr>
          <w:rFonts w:hint="eastAsia" w:ascii="Times New Roman" w:hAnsi="Times New Roman" w:eastAsia="宋体" w:cs="Times New Roman"/>
          <w:color w:val="auto"/>
          <w:szCs w:val="18"/>
          <w:lang w:val="zh-TW" w:bidi="zh-CN"/>
        </w:rPr>
        <w:t>、</w:t>
      </w:r>
      <w:r>
        <w:rPr>
          <w:rFonts w:hint="eastAsia" w:ascii="Times New Roman" w:hAnsi="Times New Roman" w:eastAsia="宋体" w:cs="Times New Roman"/>
          <w:color w:val="auto"/>
          <w:szCs w:val="18"/>
          <w:lang w:val="en-US" w:bidi="zh-CN"/>
        </w:rPr>
        <w:t>0.13</w:t>
      </w:r>
      <w:r>
        <w:rPr>
          <w:rFonts w:ascii="Times New Roman" w:hAnsi="Times New Roman" w:eastAsia="宋体" w:cs="Times New Roman"/>
          <w:color w:val="auto"/>
          <w:szCs w:val="18"/>
          <w:lang w:val="zh-TW" w:bidi="zh-CN"/>
        </w:rPr>
        <w:t>mg/L；最大影响距离也随之</w:t>
      </w:r>
      <w:r>
        <w:rPr>
          <w:rFonts w:hint="eastAsia" w:eastAsia="宋体" w:cs="Times New Roman"/>
          <w:color w:val="auto"/>
          <w:szCs w:val="18"/>
          <w:lang w:val="zh-TW" w:bidi="zh-CN"/>
        </w:rPr>
        <w:t>增</w:t>
      </w:r>
      <w:r>
        <w:rPr>
          <w:rFonts w:ascii="Times New Roman" w:hAnsi="Times New Roman" w:eastAsia="宋体" w:cs="Times New Roman"/>
          <w:color w:val="auto"/>
          <w:szCs w:val="18"/>
          <w:lang w:val="zh-TW" w:bidi="zh-CN"/>
        </w:rPr>
        <w:t>加，</w:t>
      </w:r>
      <w:r>
        <w:rPr>
          <w:rFonts w:ascii="Times New Roman" w:hAnsi="Times New Roman" w:eastAsia="宋体" w:cs="Times New Roman"/>
          <w:color w:val="auto"/>
          <w:szCs w:val="18"/>
          <w:lang w:bidi="zh-CN"/>
        </w:rPr>
        <w:t>预测结果表明，</w:t>
      </w:r>
      <w:r>
        <w:rPr>
          <w:rFonts w:ascii="Times New Roman" w:hAnsi="Times New Roman" w:eastAsia="宋体" w:cs="Times New Roman"/>
          <w:color w:val="auto"/>
          <w:szCs w:val="18"/>
          <w:lang w:val="zh-TW" w:bidi="zh-CN"/>
        </w:rPr>
        <w:t>NH</w:t>
      </w:r>
      <w:r>
        <w:rPr>
          <w:rFonts w:ascii="Times New Roman" w:hAnsi="Times New Roman" w:eastAsia="宋体" w:cs="Times New Roman"/>
          <w:color w:val="auto"/>
          <w:szCs w:val="18"/>
          <w:vertAlign w:val="subscript"/>
          <w:lang w:val="zh-TW" w:bidi="zh-CN"/>
        </w:rPr>
        <w:t>3</w:t>
      </w:r>
      <w:r>
        <w:rPr>
          <w:rFonts w:ascii="Times New Roman" w:hAnsi="Times New Roman" w:eastAsia="宋体" w:cs="Times New Roman"/>
          <w:color w:val="auto"/>
          <w:szCs w:val="18"/>
          <w:lang w:val="zh-TW" w:bidi="zh-CN"/>
        </w:rPr>
        <w:t>-N</w:t>
      </w:r>
      <w:r>
        <w:rPr>
          <w:rFonts w:ascii="Times New Roman" w:hAnsi="Times New Roman" w:eastAsia="宋体" w:cs="Times New Roman"/>
          <w:color w:val="auto"/>
          <w:szCs w:val="18"/>
          <w:lang w:bidi="zh-CN"/>
        </w:rPr>
        <w:t>渗漏</w:t>
      </w:r>
      <w:r>
        <w:rPr>
          <w:rFonts w:hint="eastAsia" w:ascii="Times New Roman" w:hAnsi="Times New Roman" w:eastAsia="宋体" w:cs="Times New Roman"/>
          <w:color w:val="auto"/>
          <w:szCs w:val="18"/>
          <w:lang w:val="en-US" w:bidi="zh-CN"/>
        </w:rPr>
        <w:t>365</w:t>
      </w:r>
      <w:r>
        <w:rPr>
          <w:rFonts w:ascii="Times New Roman" w:hAnsi="Times New Roman" w:eastAsia="宋体" w:cs="Times New Roman"/>
          <w:color w:val="auto"/>
          <w:szCs w:val="18"/>
          <w:lang w:bidi="zh-CN"/>
        </w:rPr>
        <w:t>天后的</w:t>
      </w:r>
      <w:r>
        <w:rPr>
          <w:rFonts w:hint="eastAsia" w:ascii="Times New Roman" w:hAnsi="Times New Roman" w:eastAsia="宋体" w:cs="Times New Roman"/>
          <w:color w:val="auto"/>
          <w:szCs w:val="18"/>
          <w:lang w:bidi="zh-CN"/>
        </w:rPr>
        <w:t>最大浓度为</w:t>
      </w:r>
      <w:r>
        <w:rPr>
          <w:rFonts w:hint="eastAsia" w:ascii="Times New Roman" w:hAnsi="Times New Roman" w:eastAsia="宋体" w:cs="Times New Roman"/>
          <w:color w:val="auto"/>
          <w:szCs w:val="18"/>
          <w:lang w:val="en-US" w:bidi="zh-CN"/>
        </w:rPr>
        <w:t>0.46</w:t>
      </w:r>
      <w:r>
        <w:rPr>
          <w:rFonts w:ascii="Times New Roman" w:hAnsi="Times New Roman" w:eastAsia="宋体" w:cs="Times New Roman"/>
          <w:color w:val="auto"/>
          <w:szCs w:val="18"/>
          <w:lang w:val="zh-TW" w:bidi="zh-CN"/>
        </w:rPr>
        <w:t>mg/L</w:t>
      </w:r>
      <w:r>
        <w:rPr>
          <w:rFonts w:hint="eastAsia" w:ascii="Times New Roman" w:hAnsi="Times New Roman" w:eastAsia="宋体" w:cs="Times New Roman"/>
          <w:color w:val="auto"/>
          <w:szCs w:val="18"/>
          <w:lang w:val="zh-TW" w:bidi="zh-CN"/>
        </w:rPr>
        <w:t>，</w:t>
      </w:r>
      <w:r>
        <w:rPr>
          <w:rFonts w:hint="eastAsia" w:ascii="Times New Roman" w:hAnsi="Times New Roman" w:cs="Times New Roman"/>
          <w:color w:val="auto"/>
        </w:rPr>
        <w:t>满足</w:t>
      </w:r>
      <w:r>
        <w:rPr>
          <w:rFonts w:ascii="Times New Roman" w:hAnsi="Times New Roman" w:cs="Times New Roman"/>
          <w:color w:val="auto"/>
        </w:rPr>
        <w:t>《地下水质量标准》（GB/T14848-2017</w:t>
      </w:r>
      <w:r>
        <w:rPr>
          <w:rFonts w:hint="eastAsia" w:cs="Times New Roman"/>
          <w:color w:val="auto"/>
          <w:lang w:eastAsia="zh-CN"/>
        </w:rPr>
        <w:t>）</w:t>
      </w:r>
      <w:r>
        <w:rPr>
          <w:rFonts w:ascii="Times New Roman" w:hAnsi="Times New Roman" w:cs="Times New Roman"/>
          <w:color w:val="auto"/>
        </w:rPr>
        <w:t>中Ⅲ类标准</w:t>
      </w:r>
      <w:r>
        <w:rPr>
          <w:rFonts w:hint="eastAsia" w:ascii="Times New Roman" w:hAnsi="Times New Roman" w:cs="Times New Roman"/>
          <w:color w:val="auto"/>
        </w:rPr>
        <w:t>（</w:t>
      </w:r>
      <w:r>
        <w:rPr>
          <w:rFonts w:ascii="Times New Roman" w:hAnsi="Times New Roman" w:eastAsia="宋体" w:cs="Times New Roman"/>
          <w:color w:val="auto"/>
          <w:szCs w:val="18"/>
          <w:lang w:val="zh-TW" w:bidi="zh-CN"/>
        </w:rPr>
        <w:t>NH</w:t>
      </w:r>
      <w:r>
        <w:rPr>
          <w:rFonts w:ascii="Times New Roman" w:hAnsi="Times New Roman" w:eastAsia="宋体" w:cs="Times New Roman"/>
          <w:color w:val="auto"/>
          <w:szCs w:val="18"/>
          <w:vertAlign w:val="subscript"/>
          <w:lang w:val="zh-TW" w:bidi="zh-CN"/>
        </w:rPr>
        <w:t>3</w:t>
      </w:r>
      <w:r>
        <w:rPr>
          <w:rFonts w:ascii="Times New Roman" w:hAnsi="Times New Roman" w:eastAsia="宋体" w:cs="Times New Roman"/>
          <w:color w:val="auto"/>
          <w:szCs w:val="18"/>
          <w:lang w:val="zh-TW" w:bidi="zh-CN"/>
        </w:rPr>
        <w:t>-N</w:t>
      </w:r>
      <w:r>
        <w:rPr>
          <w:rFonts w:ascii="Times New Roman" w:hAnsi="Times New Roman" w:cs="Times New Roman"/>
          <w:color w:val="auto"/>
          <w:szCs w:val="18"/>
        </w:rPr>
        <w:t>≤0.5</w:t>
      </w:r>
      <w:r>
        <w:rPr>
          <w:rFonts w:ascii="Times New Roman" w:hAnsi="Times New Roman" w:cs="Times New Roman"/>
          <w:color w:val="auto"/>
          <w:lang w:bidi="zh-CN"/>
        </w:rPr>
        <w:t>mg/L</w:t>
      </w:r>
      <w:r>
        <w:rPr>
          <w:rFonts w:hint="eastAsia" w:ascii="Times New Roman" w:hAnsi="Times New Roman" w:cs="Times New Roman"/>
          <w:color w:val="auto"/>
        </w:rPr>
        <w:t>），</w:t>
      </w:r>
      <w:r>
        <w:rPr>
          <w:rFonts w:hint="eastAsia" w:ascii="Times New Roman" w:hAnsi="Times New Roman" w:eastAsia="宋体" w:cs="Times New Roman"/>
          <w:color w:val="auto"/>
          <w:szCs w:val="18"/>
          <w:lang w:val="en-US" w:eastAsia="en-US" w:bidi="zh-CN"/>
        </w:rPr>
        <w:t>预测超标最远距离（m）</w:t>
      </w:r>
      <w:r>
        <w:rPr>
          <w:rFonts w:ascii="Times New Roman" w:hAnsi="Times New Roman" w:eastAsia="宋体" w:cs="Times New Roman"/>
          <w:color w:val="auto"/>
          <w:szCs w:val="18"/>
          <w:lang w:bidi="zh-CN"/>
        </w:rPr>
        <w:t>不超过</w:t>
      </w:r>
      <w:r>
        <w:rPr>
          <w:rFonts w:hint="eastAsia" w:eastAsia="宋体" w:cs="Times New Roman"/>
          <w:color w:val="auto"/>
          <w:szCs w:val="18"/>
          <w:lang w:val="en-US" w:bidi="zh-CN"/>
        </w:rPr>
        <w:t>30</w:t>
      </w:r>
      <w:r>
        <w:rPr>
          <w:rFonts w:ascii="Times New Roman" w:hAnsi="Times New Roman" w:eastAsia="宋体" w:cs="Times New Roman"/>
          <w:color w:val="auto"/>
          <w:szCs w:val="18"/>
          <w:lang w:bidi="zh-CN"/>
        </w:rPr>
        <w:t>，</w:t>
      </w:r>
      <w:r>
        <w:rPr>
          <w:rFonts w:hint="eastAsia" w:ascii="Times New Roman" w:hAnsi="Times New Roman" w:eastAsia="宋体" w:cs="Times New Roman"/>
          <w:color w:val="auto"/>
          <w:szCs w:val="18"/>
          <w:lang w:val="en-US" w:bidi="zh-CN"/>
        </w:rPr>
        <w:t>365</w:t>
      </w:r>
      <w:r>
        <w:rPr>
          <w:rFonts w:ascii="Times New Roman" w:hAnsi="Times New Roman" w:eastAsia="宋体" w:cs="Times New Roman"/>
          <w:color w:val="auto"/>
          <w:szCs w:val="18"/>
          <w:lang w:bidi="zh-CN"/>
        </w:rPr>
        <w:t>天后污染物不存在超标，因此，</w:t>
      </w:r>
      <w:r>
        <w:rPr>
          <w:rFonts w:hint="eastAsia" w:cs="Times New Roman"/>
          <w:color w:val="auto"/>
          <w:lang w:val="en-US" w:eastAsia="zh-CN"/>
        </w:rPr>
        <w:t>采取措施后，</w:t>
      </w:r>
      <w:r>
        <w:rPr>
          <w:rFonts w:hint="eastAsia" w:ascii="Times New Roman" w:hAnsi="Times New Roman" w:cs="Times New Roman"/>
          <w:color w:val="auto"/>
          <w:lang w:val="en-US" w:eastAsia="zh-CN"/>
        </w:rPr>
        <w:t>区域</w:t>
      </w:r>
      <w:r>
        <w:rPr>
          <w:rFonts w:ascii="Times New Roman" w:hAnsi="Times New Roman" w:eastAsia="宋体" w:cs="Times New Roman"/>
          <w:color w:val="auto"/>
          <w:szCs w:val="18"/>
          <w:lang w:val="zh-TW" w:bidi="zh-CN"/>
        </w:rPr>
        <w:t>NH</w:t>
      </w:r>
      <w:r>
        <w:rPr>
          <w:rFonts w:ascii="Times New Roman" w:hAnsi="Times New Roman" w:eastAsia="宋体" w:cs="Times New Roman"/>
          <w:color w:val="auto"/>
          <w:szCs w:val="18"/>
          <w:vertAlign w:val="subscript"/>
          <w:lang w:val="zh-TW" w:bidi="zh-CN"/>
        </w:rPr>
        <w:t>3</w:t>
      </w:r>
      <w:r>
        <w:rPr>
          <w:rFonts w:ascii="Times New Roman" w:hAnsi="Times New Roman" w:eastAsia="宋体" w:cs="Times New Roman"/>
          <w:color w:val="auto"/>
          <w:szCs w:val="18"/>
          <w:lang w:val="zh-TW" w:bidi="zh-CN"/>
        </w:rPr>
        <w:t>-N</w:t>
      </w:r>
      <w:r>
        <w:rPr>
          <w:rFonts w:ascii="Times New Roman" w:hAnsi="Times New Roman" w:eastAsia="宋体" w:cs="Times New Roman"/>
          <w:color w:val="auto"/>
          <w:szCs w:val="18"/>
          <w:lang w:bidi="zh-CN"/>
        </w:rPr>
        <w:t>渗漏对地下水的影响范围较小。</w:t>
      </w:r>
    </w:p>
    <w:p w14:paraId="5459BB89">
      <w:pPr>
        <w:ind w:firstLine="480"/>
        <w:rPr>
          <w:rFonts w:ascii="Times New Roman" w:hAnsi="Times New Roman" w:eastAsia="宋体" w:cs="Times New Roman"/>
          <w:color w:val="auto"/>
          <w:szCs w:val="18"/>
          <w:lang w:val="zh-TW" w:bidi="zh-CN"/>
        </w:rPr>
      </w:pPr>
      <w:r>
        <w:rPr>
          <w:rFonts w:ascii="Times New Roman" w:hAnsi="Times New Roman" w:eastAsia="宋体" w:cs="Times New Roman"/>
          <w:color w:val="auto"/>
          <w:szCs w:val="18"/>
          <w:lang w:val="zh-TW" w:bidi="zh-CN"/>
        </w:rPr>
        <w:t>由上述结果可见，如果</w:t>
      </w:r>
      <w:r>
        <w:rPr>
          <w:rFonts w:hint="eastAsia" w:ascii="Times New Roman" w:hAnsi="Times New Roman" w:cs="Times New Roman"/>
          <w:color w:val="auto"/>
          <w:lang w:val="en-US" w:eastAsia="zh-CN"/>
        </w:rPr>
        <w:t>环保化粪池及垫草料区域</w:t>
      </w:r>
      <w:r>
        <w:rPr>
          <w:rFonts w:ascii="Times New Roman" w:hAnsi="Times New Roman" w:eastAsia="宋体" w:cs="Times New Roman"/>
          <w:color w:val="auto"/>
          <w:szCs w:val="18"/>
          <w:lang w:val="zh-TW" w:bidi="zh-CN"/>
        </w:rPr>
        <w:t>发生渗漏，项目区周围的污染物浓度会很快升高，但向远处扩散的时间会较长。而在实际生产中</w:t>
      </w:r>
      <w:r>
        <w:rPr>
          <w:rFonts w:hint="eastAsia" w:eastAsia="宋体" w:cs="Times New Roman"/>
          <w:color w:val="auto"/>
          <w:szCs w:val="18"/>
          <w:lang w:val="en-US" w:bidi="zh-CN"/>
        </w:rPr>
        <w:t>养殖鸭舍、集污池、污水处理设施等</w:t>
      </w:r>
      <w:r>
        <w:rPr>
          <w:rFonts w:ascii="Times New Roman" w:hAnsi="Times New Roman" w:eastAsia="宋体" w:cs="Times New Roman"/>
          <w:color w:val="auto"/>
          <w:szCs w:val="18"/>
          <w:lang w:val="zh-TW" w:bidi="zh-CN"/>
        </w:rPr>
        <w:t>发生渗漏的可能性很小，再加上该地区的</w:t>
      </w:r>
      <w:r>
        <w:rPr>
          <w:rFonts w:hint="eastAsia" w:ascii="Times New Roman" w:hAnsi="Times New Roman" w:eastAsia="宋体" w:cs="Times New Roman"/>
          <w:color w:val="auto"/>
          <w:szCs w:val="18"/>
          <w:lang w:val="en-US" w:bidi="zh-CN"/>
        </w:rPr>
        <w:t>土质</w:t>
      </w:r>
      <w:r>
        <w:rPr>
          <w:rFonts w:ascii="Times New Roman" w:hAnsi="Times New Roman" w:eastAsia="宋体" w:cs="Times New Roman"/>
          <w:color w:val="auto"/>
          <w:szCs w:val="18"/>
          <w:lang w:val="zh-TW" w:bidi="zh-CN"/>
        </w:rPr>
        <w:t>对COD和NH</w:t>
      </w:r>
      <w:r>
        <w:rPr>
          <w:rFonts w:ascii="Times New Roman" w:hAnsi="Times New Roman" w:eastAsia="宋体" w:cs="Times New Roman"/>
          <w:color w:val="auto"/>
          <w:szCs w:val="18"/>
          <w:vertAlign w:val="subscript"/>
          <w:lang w:val="zh-TW" w:bidi="zh-CN"/>
        </w:rPr>
        <w:t>3</w:t>
      </w:r>
      <w:r>
        <w:rPr>
          <w:rFonts w:ascii="Times New Roman" w:hAnsi="Times New Roman" w:eastAsia="宋体" w:cs="Times New Roman"/>
          <w:color w:val="auto"/>
          <w:szCs w:val="18"/>
          <w:lang w:val="zh-TW" w:bidi="zh-CN"/>
        </w:rPr>
        <w:t>-N这种非持续性的污染物的吸附和降解能力很强，可有效减少污水渗漏进入含水层中的量，因此，非正常情况下，本工程的</w:t>
      </w:r>
      <w:r>
        <w:rPr>
          <w:rFonts w:hint="eastAsia" w:ascii="Times New Roman" w:hAnsi="Times New Roman" w:cs="Times New Roman"/>
          <w:color w:val="auto"/>
          <w:lang w:val="en-US" w:eastAsia="zh-CN"/>
        </w:rPr>
        <w:t>环保化粪池及垫草料区域</w:t>
      </w:r>
      <w:r>
        <w:rPr>
          <w:rFonts w:ascii="Times New Roman" w:hAnsi="Times New Roman" w:eastAsia="宋体" w:cs="Times New Roman"/>
          <w:color w:val="auto"/>
          <w:szCs w:val="18"/>
          <w:lang w:val="zh-TW" w:bidi="zh-CN"/>
        </w:rPr>
        <w:t>少量水分对下游地下水水质的影响不大。</w:t>
      </w:r>
    </w:p>
    <w:p w14:paraId="5A8D2345">
      <w:pPr>
        <w:ind w:firstLine="480"/>
        <w:rPr>
          <w:rFonts w:ascii="Times New Roman" w:hAnsi="Times New Roman" w:eastAsia="宋体" w:cs="Times New Roman"/>
          <w:color w:val="auto"/>
          <w:szCs w:val="18"/>
          <w:lang w:val="zh-TW" w:bidi="zh-CN"/>
        </w:rPr>
      </w:pPr>
      <w:r>
        <w:rPr>
          <w:rFonts w:ascii="Times New Roman" w:hAnsi="Times New Roman" w:eastAsia="宋体" w:cs="Times New Roman"/>
          <w:color w:val="auto"/>
          <w:szCs w:val="18"/>
          <w:lang w:val="zh-TW" w:bidi="zh-CN"/>
        </w:rPr>
        <w:t>综上所述，</w:t>
      </w:r>
      <w:r>
        <w:rPr>
          <w:rFonts w:hint="eastAsia" w:eastAsia="宋体" w:cs="Times New Roman"/>
          <w:color w:val="auto"/>
          <w:szCs w:val="18"/>
          <w:lang w:val="en-US" w:bidi="zh-CN"/>
        </w:rPr>
        <w:t>养殖鸭舍、集污池、污水处理设施</w:t>
      </w:r>
      <w:r>
        <w:rPr>
          <w:rFonts w:hint="eastAsia" w:ascii="Times New Roman" w:hAnsi="Times New Roman" w:cs="Times New Roman"/>
          <w:color w:val="auto"/>
          <w:lang w:val="en-US" w:eastAsia="zh-CN"/>
        </w:rPr>
        <w:t>区域</w:t>
      </w:r>
      <w:r>
        <w:rPr>
          <w:rFonts w:ascii="Times New Roman" w:hAnsi="Times New Roman" w:eastAsia="宋体" w:cs="Times New Roman"/>
          <w:color w:val="auto"/>
          <w:szCs w:val="18"/>
          <w:lang w:val="zh-TW" w:bidi="zh-CN"/>
        </w:rPr>
        <w:t>泄漏会对地下水造成影响，但整体影响范围主要集中在地下水径流的下游方向，不会影响到其上游地区。污染物在</w:t>
      </w:r>
      <w:r>
        <w:rPr>
          <w:rFonts w:hint="eastAsia" w:ascii="Times New Roman" w:hAnsi="Times New Roman" w:eastAsia="宋体" w:cs="Times New Roman"/>
          <w:color w:val="auto"/>
          <w:szCs w:val="18"/>
          <w:lang w:val="zh-TW" w:bidi="zh-CN"/>
        </w:rPr>
        <w:t>地下水径流</w:t>
      </w:r>
      <w:r>
        <w:rPr>
          <w:rFonts w:ascii="Times New Roman" w:hAnsi="Times New Roman" w:eastAsia="宋体" w:cs="Times New Roman"/>
          <w:color w:val="auto"/>
          <w:szCs w:val="18"/>
          <w:lang w:val="zh-TW" w:bidi="zh-CN"/>
        </w:rPr>
        <w:t>作用的影响下，污染中心区域向下游方向迁移，同时在弥散作用的影响下，污染物的范围向四周扩散。从预测结果来看，对下游的居民区影响是较小的、可控的。本工程周边均没有集中水源地保护区、集中式饮用水水源以外的国家和地方政府设定的地下水环境</w:t>
      </w:r>
      <w:r>
        <w:rPr>
          <w:rFonts w:hint="eastAsia" w:eastAsia="宋体" w:cs="Times New Roman"/>
          <w:color w:val="auto"/>
          <w:szCs w:val="18"/>
          <w:lang w:val="zh-TW" w:bidi="zh-CN"/>
        </w:rPr>
        <w:t>相关的其他</w:t>
      </w:r>
      <w:r>
        <w:rPr>
          <w:rFonts w:ascii="Times New Roman" w:hAnsi="Times New Roman" w:eastAsia="宋体" w:cs="Times New Roman"/>
          <w:color w:val="auto"/>
          <w:szCs w:val="18"/>
          <w:lang w:val="zh-TW" w:bidi="zh-CN"/>
        </w:rPr>
        <w:t>保护区，由此可见，本工程运行基本不会对本区的地下水产生水质及水量方面的影响。</w:t>
      </w:r>
    </w:p>
    <w:p w14:paraId="77F3D2E9">
      <w:pPr>
        <w:ind w:firstLine="480"/>
        <w:rPr>
          <w:rFonts w:ascii="Times New Roman" w:hAnsi="Times New Roman" w:cs="Times New Roman"/>
          <w:color w:val="auto"/>
        </w:rPr>
      </w:pPr>
      <w:r>
        <w:rPr>
          <w:rFonts w:ascii="Times New Roman" w:hAnsi="Times New Roman" w:eastAsia="宋体" w:cs="Times New Roman"/>
          <w:color w:val="auto"/>
        </w:rPr>
        <w:t>本次环评要求做好地下水污染预防措施，应按照“源头控制、分区控制、污染监控、应急响应”的主动与被动防渗相结合的防渗原则。从安全角度考虑，加强防渗垫层的施工质量及管理，采用优质防渗垫层材料，是保证项目的安全运行、最大限度减少对地下水环境产生影响的重要手段及主要建设任务。</w:t>
      </w:r>
    </w:p>
    <w:p w14:paraId="3C2E957A">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199" w:name="5.2.3声环境影响预测与评价"/>
      <w:bookmarkEnd w:id="199"/>
      <w:r>
        <w:rPr>
          <w:rFonts w:ascii="Times New Roman" w:hAnsi="Times New Roman" w:cs="Times New Roman"/>
          <w:color w:val="000000" w:themeColor="text1"/>
          <w14:textFill>
            <w14:solidFill>
              <w14:schemeClr w14:val="tx1"/>
            </w14:solidFill>
          </w14:textFill>
        </w:rPr>
        <w:t>声环境影响预测与评价</w:t>
      </w:r>
    </w:p>
    <w:p w14:paraId="09305A2C">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bookmarkStart w:id="200" w:name="5.2.3.1噪声源强"/>
      <w:bookmarkEnd w:id="200"/>
      <w:bookmarkStart w:id="201" w:name="_Toc18865"/>
      <w:r>
        <w:rPr>
          <w:rFonts w:hint="eastAsia" w:eastAsia="宋体" w:cs="Times New Roman"/>
          <w:color w:val="000000" w:themeColor="text1"/>
          <w:lang w:bidi="zh-CN"/>
          <w14:textFill>
            <w14:solidFill>
              <w14:schemeClr w14:val="tx1"/>
            </w14:solidFill>
          </w14:textFill>
        </w:rPr>
        <w:t>1.</w:t>
      </w:r>
      <w:r>
        <w:rPr>
          <w:rFonts w:ascii="Times New Roman" w:hAnsi="Times New Roman" w:eastAsia="宋体" w:cs="Times New Roman"/>
          <w:color w:val="000000" w:themeColor="text1"/>
          <w:lang w:bidi="zh-CN"/>
          <w14:textFill>
            <w14:solidFill>
              <w14:schemeClr w14:val="tx1"/>
            </w14:solidFill>
          </w14:textFill>
        </w:rPr>
        <w:t>预测范围及评价因子</w:t>
      </w:r>
      <w:bookmarkEnd w:id="201"/>
    </w:p>
    <w:p w14:paraId="765FE8BE">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（1）噪声预测范围：厂界外200m。</w:t>
      </w:r>
    </w:p>
    <w:p w14:paraId="6BD3313B">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（2）厂界噪声预测因子：等效连续A声级。</w:t>
      </w:r>
    </w:p>
    <w:p w14:paraId="779CA774">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bookmarkStart w:id="202" w:name="_Toc21641"/>
      <w:r>
        <w:rPr>
          <w:rFonts w:hint="eastAsia" w:eastAsia="宋体" w:cs="Times New Roman"/>
          <w:color w:val="000000" w:themeColor="text1"/>
          <w:lang w:bidi="zh-CN"/>
          <w14:textFill>
            <w14:solidFill>
              <w14:schemeClr w14:val="tx1"/>
            </w14:solidFill>
          </w14:textFill>
        </w:rPr>
        <w:t>2.</w:t>
      </w:r>
      <w:r>
        <w:rPr>
          <w:rFonts w:ascii="Times New Roman" w:hAnsi="Times New Roman" w:eastAsia="宋体" w:cs="Times New Roman"/>
          <w:color w:val="000000" w:themeColor="text1"/>
          <w:lang w:bidi="zh-CN"/>
          <w14:textFill>
            <w14:solidFill>
              <w14:schemeClr w14:val="tx1"/>
            </w14:solidFill>
          </w14:textFill>
        </w:rPr>
        <w:t>预测点及预测时段</w:t>
      </w:r>
      <w:bookmarkEnd w:id="202"/>
    </w:p>
    <w:p w14:paraId="008F0759">
      <w:pPr>
        <w:pStyle w:val="13"/>
        <w:spacing w:after="0"/>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（1）预测点：本项目评价范围内无环境敏感目标，主要预测点为</w:t>
      </w:r>
      <w:r>
        <w:rPr>
          <w:rFonts w:hint="eastAsia" w:ascii="Times New Roman" w:hAnsi="Times New Roman" w:eastAsia="宋体" w:cs="Times New Roman"/>
          <w:color w:val="000000" w:themeColor="text1"/>
          <w:lang w:val="en-US" w:bidi="zh-CN"/>
          <w14:textFill>
            <w14:solidFill>
              <w14:schemeClr w14:val="tx1"/>
            </w14:solidFill>
          </w14:textFill>
        </w:rPr>
        <w:t>项目区</w:t>
      </w:r>
      <w:r>
        <w:rPr>
          <w:rFonts w:ascii="Times New Roman" w:hAnsi="Times New Roman" w:eastAsia="宋体" w:cs="Times New Roman"/>
          <w:color w:val="000000" w:themeColor="text1"/>
          <w:lang w:bidi="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四周。</w:t>
      </w:r>
    </w:p>
    <w:p w14:paraId="159EEB28">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（2）预测时段：昼间和夜间。</w:t>
      </w:r>
    </w:p>
    <w:p w14:paraId="5A41ABC5">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bookmarkStart w:id="203" w:name="_Toc25139"/>
      <w:r>
        <w:rPr>
          <w:rFonts w:hint="eastAsia" w:eastAsia="宋体" w:cs="Times New Roman"/>
          <w:color w:val="000000" w:themeColor="text1"/>
          <w:lang w:bidi="zh-CN"/>
          <w14:textFill>
            <w14:solidFill>
              <w14:schemeClr w14:val="tx1"/>
            </w14:solidFill>
          </w14:textFill>
        </w:rPr>
        <w:t>3.</w:t>
      </w:r>
      <w:r>
        <w:rPr>
          <w:rFonts w:ascii="Times New Roman" w:hAnsi="Times New Roman" w:eastAsia="宋体" w:cs="Times New Roman"/>
          <w:color w:val="000000" w:themeColor="text1"/>
          <w:lang w:bidi="zh-CN"/>
          <w14:textFill>
            <w14:solidFill>
              <w14:schemeClr w14:val="tx1"/>
            </w14:solidFill>
          </w14:textFill>
        </w:rPr>
        <w:t>评价标准</w:t>
      </w:r>
      <w:bookmarkEnd w:id="203"/>
    </w:p>
    <w:p w14:paraId="0F43C323">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本项目厂区声功能区划属于《声环境质量标准》（GB3096-2008）的“</w:t>
      </w:r>
      <w:r>
        <w:rPr>
          <w:rFonts w:hint="eastAsia" w:ascii="Times New Roman" w:hAnsi="Times New Roman" w:eastAsia="宋体" w:cs="Times New Roman"/>
          <w:color w:val="000000" w:themeColor="text1"/>
          <w:lang w:val="en-US" w:bidi="zh-CN"/>
          <w14:textFill>
            <w14:solidFill>
              <w14:schemeClr w14:val="tx1"/>
            </w14:solidFill>
          </w14:textFill>
        </w:rPr>
        <w:t>3</w:t>
      </w:r>
      <w:r>
        <w:rPr>
          <w:rFonts w:ascii="Times New Roman" w:hAnsi="Times New Roman" w:eastAsia="宋体" w:cs="Times New Roman"/>
          <w:color w:val="000000" w:themeColor="text1"/>
          <w:lang w:bidi="zh-CN"/>
          <w14:textFill>
            <w14:solidFill>
              <w14:schemeClr w14:val="tx1"/>
            </w14:solidFill>
          </w14:textFill>
        </w:rPr>
        <w:t>类区”，厂界噪声排放标准应执行《工业企业厂界环境噪声排放标准》（GB12348-2008）中的2类标准限值的要求，即昼间</w:t>
      </w:r>
      <w:r>
        <w:rPr>
          <w:rFonts w:hint="eastAsia" w:ascii="Times New Roman" w:hAnsi="Times New Roman" w:eastAsia="宋体" w:cs="Times New Roman"/>
          <w:color w:val="000000" w:themeColor="text1"/>
          <w:lang w:val="en-US" w:bidi="zh-CN"/>
          <w14:textFill>
            <w14:solidFill>
              <w14:schemeClr w14:val="tx1"/>
            </w14:solidFill>
          </w14:textFill>
        </w:rPr>
        <w:t>65</w:t>
      </w:r>
      <w:r>
        <w:rPr>
          <w:rFonts w:ascii="Times New Roman" w:hAnsi="Times New Roman" w:eastAsia="宋体" w:cs="Times New Roman"/>
          <w:color w:val="000000" w:themeColor="text1"/>
          <w:lang w:bidi="zh-CN"/>
          <w14:textFill>
            <w14:solidFill>
              <w14:schemeClr w14:val="tx1"/>
            </w14:solidFill>
          </w14:textFill>
        </w:rPr>
        <w:t>dB(A</w:t>
      </w:r>
      <w:r>
        <w:rPr>
          <w:rFonts w:hint="eastAsia" w:eastAsia="宋体" w:cs="Times New Roman"/>
          <w:color w:val="000000" w:themeColor="text1"/>
          <w:lang w:bidi="zh-CN"/>
          <w14:textFill>
            <w14:solidFill>
              <w14:schemeClr w14:val="tx1"/>
            </w14:solidFill>
          </w14:textFill>
        </w:rPr>
        <w:t>）</w:t>
      </w:r>
      <w:r>
        <w:rPr>
          <w:rFonts w:ascii="Times New Roman" w:hAnsi="Times New Roman" w:eastAsia="宋体" w:cs="Times New Roman"/>
          <w:color w:val="000000" w:themeColor="text1"/>
          <w:lang w:bidi="zh-CN"/>
          <w14:textFill>
            <w14:solidFill>
              <w14:schemeClr w14:val="tx1"/>
            </w14:solidFill>
          </w14:textFill>
        </w:rPr>
        <w:t>，夜间</w:t>
      </w:r>
      <w:r>
        <w:rPr>
          <w:rFonts w:hint="eastAsia" w:ascii="Times New Roman" w:hAnsi="Times New Roman" w:eastAsia="宋体" w:cs="Times New Roman"/>
          <w:color w:val="000000" w:themeColor="text1"/>
          <w:lang w:val="en-US" w:bidi="zh-CN"/>
          <w14:textFill>
            <w14:solidFill>
              <w14:schemeClr w14:val="tx1"/>
            </w14:solidFill>
          </w14:textFill>
        </w:rPr>
        <w:t>55</w:t>
      </w:r>
      <w:r>
        <w:rPr>
          <w:rFonts w:ascii="Times New Roman" w:hAnsi="Times New Roman" w:eastAsia="宋体" w:cs="Times New Roman"/>
          <w:color w:val="000000" w:themeColor="text1"/>
          <w:lang w:bidi="zh-CN"/>
          <w14:textFill>
            <w14:solidFill>
              <w14:schemeClr w14:val="tx1"/>
            </w14:solidFill>
          </w14:textFill>
        </w:rPr>
        <w:t>dB(A</w:t>
      </w:r>
      <w:r>
        <w:rPr>
          <w:rFonts w:hint="eastAsia" w:eastAsia="宋体" w:cs="Times New Roman"/>
          <w:color w:val="000000" w:themeColor="text1"/>
          <w:lang w:bidi="zh-CN"/>
          <w14:textFill>
            <w14:solidFill>
              <w14:schemeClr w14:val="tx1"/>
            </w14:solidFill>
          </w14:textFill>
        </w:rPr>
        <w:t>）</w:t>
      </w:r>
      <w:r>
        <w:rPr>
          <w:rFonts w:ascii="Times New Roman" w:hAnsi="Times New Roman" w:eastAsia="宋体" w:cs="Times New Roman"/>
          <w:color w:val="000000" w:themeColor="text1"/>
          <w:lang w:bidi="zh-CN"/>
          <w14:textFill>
            <w14:solidFill>
              <w14:schemeClr w14:val="tx1"/>
            </w14:solidFill>
          </w14:textFill>
        </w:rPr>
        <w:t>。</w:t>
      </w:r>
    </w:p>
    <w:p w14:paraId="592ABB9B">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bookmarkStart w:id="204" w:name="_Toc16977"/>
      <w:r>
        <w:rPr>
          <w:rFonts w:hint="eastAsia" w:eastAsia="宋体" w:cs="Times New Roman"/>
          <w:color w:val="000000" w:themeColor="text1"/>
          <w:lang w:bidi="zh-CN"/>
          <w14:textFill>
            <w14:solidFill>
              <w14:schemeClr w14:val="tx1"/>
            </w14:solidFill>
          </w14:textFill>
        </w:rPr>
        <w:t>4.</w:t>
      </w:r>
      <w:r>
        <w:rPr>
          <w:rFonts w:ascii="Times New Roman" w:hAnsi="Times New Roman" w:eastAsia="宋体" w:cs="Times New Roman"/>
          <w:color w:val="000000" w:themeColor="text1"/>
          <w:lang w:bidi="zh-CN"/>
          <w14:textFill>
            <w14:solidFill>
              <w14:schemeClr w14:val="tx1"/>
            </w14:solidFill>
          </w14:textFill>
        </w:rPr>
        <w:t>噪声源强</w:t>
      </w:r>
      <w:bookmarkEnd w:id="204"/>
    </w:p>
    <w:p w14:paraId="4DB1349E">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r>
        <w:rPr>
          <w:rFonts w:hint="eastAsia" w:ascii="Times New Roman" w:hAnsi="Times New Roman" w:eastAsia="宋体" w:cs="宋体"/>
          <w:color w:val="000000"/>
          <w:kern w:val="0"/>
          <w:sz w:val="24"/>
          <w:szCs w:val="24"/>
          <w:lang w:val="en-US" w:eastAsia="zh-CN" w:bidi="ar"/>
        </w:rPr>
        <w:t>本项目主要噪声源为鸭只、风机、运输车辆等，噪声级一般在</w:t>
      </w:r>
      <w:r>
        <w:rPr>
          <w:rFonts w:hint="default" w:ascii="Times New Roman" w:hAnsi="Times New Roman" w:eastAsia="宋体" w:cs="Times New Roman"/>
          <w:color w:val="000000"/>
          <w:kern w:val="0"/>
          <w:sz w:val="24"/>
          <w:szCs w:val="24"/>
          <w:lang w:val="en-US" w:eastAsia="zh-CN" w:bidi="ar"/>
        </w:rPr>
        <w:t>70</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85dB</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宋体"/>
          <w:color w:val="000000"/>
          <w:kern w:val="0"/>
          <w:sz w:val="24"/>
          <w:szCs w:val="24"/>
          <w:lang w:val="en-US" w:eastAsia="zh-CN" w:bidi="ar"/>
        </w:rPr>
        <w:t>）</w:t>
      </w:r>
      <w:r>
        <w:rPr>
          <w:rFonts w:ascii="Times New Roman" w:hAnsi="Times New Roman" w:eastAsia="宋体" w:cs="Times New Roman"/>
          <w:color w:val="000000" w:themeColor="text1"/>
          <w:lang w:bidi="zh-CN"/>
          <w14:textFill>
            <w14:solidFill>
              <w14:schemeClr w14:val="tx1"/>
            </w14:solidFill>
          </w14:textFill>
        </w:rPr>
        <w:t>，各噪声源统计情况见下表。</w:t>
      </w:r>
    </w:p>
    <w:p w14:paraId="2D6AB05B">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.2-1</w:t>
      </w:r>
      <w:r>
        <w:rPr>
          <w:rFonts w:hint="eastAsia" w:ascii="Times New Roman" w:hAnsi="Times New Roman" w:eastAsia="宋体" w:cs="Times New Roman"/>
          <w:b/>
          <w:bCs/>
          <w:color w:val="auto"/>
          <w:lang w:val="en-US" w:eastAsia="zh-CN"/>
        </w:rPr>
        <w:t>7</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rPr>
        <w:t>工业企业室外噪声源强调查清单</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7"/>
        <w:gridCol w:w="713"/>
        <w:gridCol w:w="874"/>
        <w:gridCol w:w="717"/>
        <w:gridCol w:w="690"/>
        <w:gridCol w:w="709"/>
        <w:gridCol w:w="993"/>
        <w:gridCol w:w="1032"/>
        <w:gridCol w:w="862"/>
        <w:gridCol w:w="857"/>
        <w:gridCol w:w="889"/>
      </w:tblGrid>
      <w:tr w14:paraId="50A73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restart"/>
            <w:tcBorders>
              <w:tl2br w:val="nil"/>
              <w:tr2bl w:val="nil"/>
            </w:tcBorders>
            <w:vAlign w:val="center"/>
          </w:tcPr>
          <w:p w14:paraId="5E652E37">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序号</w:t>
            </w:r>
          </w:p>
        </w:tc>
        <w:tc>
          <w:tcPr>
            <w:tcW w:w="403" w:type="pct"/>
            <w:vMerge w:val="restart"/>
            <w:tcBorders>
              <w:tl2br w:val="nil"/>
              <w:tr2bl w:val="nil"/>
            </w:tcBorders>
            <w:vAlign w:val="center"/>
          </w:tcPr>
          <w:p w14:paraId="78609AC0">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声源名称</w:t>
            </w:r>
          </w:p>
        </w:tc>
        <w:tc>
          <w:tcPr>
            <w:tcW w:w="494" w:type="pct"/>
            <w:vMerge w:val="restart"/>
            <w:tcBorders>
              <w:tl2br w:val="nil"/>
              <w:tr2bl w:val="nil"/>
            </w:tcBorders>
            <w:vAlign w:val="center"/>
          </w:tcPr>
          <w:p w14:paraId="25264BF4">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型号</w:t>
            </w:r>
          </w:p>
        </w:tc>
        <w:tc>
          <w:tcPr>
            <w:tcW w:w="1197" w:type="pct"/>
            <w:gridSpan w:val="3"/>
            <w:tcBorders>
              <w:tl2br w:val="nil"/>
              <w:tr2bl w:val="nil"/>
            </w:tcBorders>
            <w:vAlign w:val="center"/>
          </w:tcPr>
          <w:p w14:paraId="06F348D4">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空间相对位置/m</w:t>
            </w:r>
          </w:p>
        </w:tc>
        <w:tc>
          <w:tcPr>
            <w:tcW w:w="1145" w:type="pct"/>
            <w:gridSpan w:val="2"/>
            <w:tcBorders>
              <w:tl2br w:val="nil"/>
              <w:tr2bl w:val="nil"/>
            </w:tcBorders>
            <w:vAlign w:val="center"/>
          </w:tcPr>
          <w:p w14:paraId="73EF9964">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声源源强</w:t>
            </w:r>
          </w:p>
        </w:tc>
        <w:tc>
          <w:tcPr>
            <w:tcW w:w="487" w:type="pct"/>
            <w:vMerge w:val="restart"/>
            <w:tcBorders>
              <w:tl2br w:val="nil"/>
              <w:tr2bl w:val="nil"/>
            </w:tcBorders>
            <w:vAlign w:val="center"/>
          </w:tcPr>
          <w:p w14:paraId="609E87A9">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声源控制措施</w:t>
            </w:r>
          </w:p>
        </w:tc>
        <w:tc>
          <w:tcPr>
            <w:tcW w:w="484" w:type="pct"/>
            <w:vMerge w:val="restart"/>
            <w:tcBorders>
              <w:tl2br w:val="nil"/>
              <w:tr2bl w:val="nil"/>
            </w:tcBorders>
            <w:vAlign w:val="center"/>
          </w:tcPr>
          <w:p w14:paraId="79154E57">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声压级</w:t>
            </w:r>
          </w:p>
          <w:p w14:paraId="72A68A66">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/dB(A)</w:t>
            </w:r>
          </w:p>
        </w:tc>
        <w:tc>
          <w:tcPr>
            <w:tcW w:w="500" w:type="pct"/>
            <w:vMerge w:val="restart"/>
            <w:tcBorders>
              <w:tl2br w:val="nil"/>
              <w:tr2bl w:val="nil"/>
            </w:tcBorders>
            <w:vAlign w:val="center"/>
          </w:tcPr>
          <w:p w14:paraId="6A7C6CC2">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运行时间（h）</w:t>
            </w:r>
          </w:p>
        </w:tc>
      </w:tr>
      <w:tr w14:paraId="27951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vMerge w:val="continue"/>
            <w:tcBorders>
              <w:tl2br w:val="nil"/>
              <w:tr2bl w:val="nil"/>
            </w:tcBorders>
            <w:vAlign w:val="center"/>
          </w:tcPr>
          <w:p w14:paraId="709BACA8">
            <w:pPr>
              <w:pStyle w:val="56"/>
              <w:autoSpaceDE w:val="0"/>
              <w:autoSpaceDN w:val="0"/>
              <w:ind w:firstLine="0" w:firstLineChars="0"/>
              <w:rPr>
                <w:rFonts w:hint="eastAsia" w:ascii="Times New Roman" w:hAnsi="Times New Roman" w:eastAsia="宋体" w:cs="Times New Roman"/>
                <w:color w:val="auto"/>
                <w:szCs w:val="21"/>
                <w:lang w:val="zh-CN" w:eastAsia="zh-CN"/>
              </w:rPr>
            </w:pPr>
          </w:p>
        </w:tc>
        <w:tc>
          <w:tcPr>
            <w:tcW w:w="403" w:type="pct"/>
            <w:vMerge w:val="continue"/>
            <w:tcBorders>
              <w:tl2br w:val="nil"/>
              <w:tr2bl w:val="nil"/>
            </w:tcBorders>
            <w:vAlign w:val="center"/>
          </w:tcPr>
          <w:p w14:paraId="0F4BE22E">
            <w:pPr>
              <w:pStyle w:val="56"/>
              <w:autoSpaceDE w:val="0"/>
              <w:autoSpaceDN w:val="0"/>
              <w:ind w:firstLine="0" w:firstLineChars="0"/>
              <w:rPr>
                <w:rFonts w:hint="eastAsia" w:ascii="Times New Roman" w:hAnsi="Times New Roman" w:eastAsia="宋体" w:cs="Times New Roman"/>
                <w:color w:val="auto"/>
                <w:szCs w:val="21"/>
                <w:lang w:val="zh-CN" w:eastAsia="zh-CN"/>
              </w:rPr>
            </w:pPr>
          </w:p>
        </w:tc>
        <w:tc>
          <w:tcPr>
            <w:tcW w:w="494" w:type="pct"/>
            <w:vMerge w:val="continue"/>
            <w:tcBorders>
              <w:tl2br w:val="nil"/>
              <w:tr2bl w:val="nil"/>
            </w:tcBorders>
            <w:vAlign w:val="center"/>
          </w:tcPr>
          <w:p w14:paraId="66FA6AE7">
            <w:pPr>
              <w:pStyle w:val="56"/>
              <w:autoSpaceDE w:val="0"/>
              <w:autoSpaceDN w:val="0"/>
              <w:ind w:firstLine="0" w:firstLineChars="0"/>
              <w:rPr>
                <w:rFonts w:hint="eastAsia" w:ascii="Times New Roman" w:hAnsi="Times New Roman" w:eastAsia="宋体" w:cs="Times New Roman"/>
                <w:color w:val="auto"/>
                <w:szCs w:val="21"/>
                <w:lang w:val="zh-CN" w:eastAsia="zh-CN"/>
              </w:rPr>
            </w:pPr>
          </w:p>
        </w:tc>
        <w:tc>
          <w:tcPr>
            <w:tcW w:w="406" w:type="pct"/>
            <w:tcBorders>
              <w:tl2br w:val="nil"/>
              <w:tr2bl w:val="nil"/>
            </w:tcBorders>
            <w:vAlign w:val="center"/>
          </w:tcPr>
          <w:p w14:paraId="23034065">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X</w:t>
            </w:r>
          </w:p>
        </w:tc>
        <w:tc>
          <w:tcPr>
            <w:tcW w:w="390" w:type="pct"/>
            <w:tcBorders>
              <w:tl2br w:val="nil"/>
              <w:tr2bl w:val="nil"/>
            </w:tcBorders>
            <w:vAlign w:val="center"/>
          </w:tcPr>
          <w:p w14:paraId="1F848622">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Y</w:t>
            </w:r>
          </w:p>
        </w:tc>
        <w:tc>
          <w:tcPr>
            <w:tcW w:w="401" w:type="pct"/>
            <w:tcBorders>
              <w:tl2br w:val="nil"/>
              <w:tr2bl w:val="nil"/>
            </w:tcBorders>
            <w:vAlign w:val="center"/>
          </w:tcPr>
          <w:p w14:paraId="295FD8EA">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Z</w:t>
            </w:r>
          </w:p>
        </w:tc>
        <w:tc>
          <w:tcPr>
            <w:tcW w:w="562" w:type="pct"/>
            <w:tcBorders>
              <w:tl2br w:val="nil"/>
              <w:tr2bl w:val="nil"/>
            </w:tcBorders>
            <w:vAlign w:val="center"/>
          </w:tcPr>
          <w:p w14:paraId="366F6E3D">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单台声功率级/dB（A）</w:t>
            </w:r>
          </w:p>
        </w:tc>
        <w:tc>
          <w:tcPr>
            <w:tcW w:w="583" w:type="pct"/>
            <w:tcBorders>
              <w:tl2br w:val="nil"/>
              <w:tr2bl w:val="nil"/>
            </w:tcBorders>
            <w:vAlign w:val="center"/>
          </w:tcPr>
          <w:p w14:paraId="0652CBFD">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多台声功率级/dB（A）</w:t>
            </w:r>
          </w:p>
        </w:tc>
        <w:tc>
          <w:tcPr>
            <w:tcW w:w="487" w:type="pct"/>
            <w:vMerge w:val="continue"/>
            <w:tcBorders>
              <w:tl2br w:val="nil"/>
              <w:tr2bl w:val="nil"/>
            </w:tcBorders>
            <w:vAlign w:val="center"/>
          </w:tcPr>
          <w:p w14:paraId="7EA6412E">
            <w:pPr>
              <w:pStyle w:val="56"/>
              <w:autoSpaceDE w:val="0"/>
              <w:autoSpaceDN w:val="0"/>
              <w:ind w:firstLine="0" w:firstLineChars="0"/>
              <w:rPr>
                <w:rFonts w:hint="eastAsia" w:ascii="Times New Roman" w:hAnsi="Times New Roman" w:eastAsia="宋体" w:cs="Times New Roman"/>
                <w:color w:val="auto"/>
                <w:szCs w:val="21"/>
                <w:lang w:val="zh-CN" w:eastAsia="zh-CN"/>
              </w:rPr>
            </w:pPr>
          </w:p>
        </w:tc>
        <w:tc>
          <w:tcPr>
            <w:tcW w:w="484" w:type="pct"/>
            <w:vMerge w:val="continue"/>
            <w:tcBorders>
              <w:tl2br w:val="nil"/>
              <w:tr2bl w:val="nil"/>
            </w:tcBorders>
            <w:vAlign w:val="center"/>
          </w:tcPr>
          <w:p w14:paraId="6E723E39">
            <w:pPr>
              <w:pStyle w:val="56"/>
              <w:autoSpaceDE w:val="0"/>
              <w:autoSpaceDN w:val="0"/>
              <w:ind w:firstLine="0" w:firstLineChars="0"/>
              <w:rPr>
                <w:rFonts w:hint="eastAsia" w:ascii="Times New Roman" w:hAnsi="Times New Roman" w:eastAsia="宋体" w:cs="Times New Roman"/>
                <w:color w:val="auto"/>
                <w:szCs w:val="21"/>
                <w:lang w:val="zh-CN" w:eastAsia="zh-CN"/>
              </w:rPr>
            </w:pPr>
          </w:p>
        </w:tc>
        <w:tc>
          <w:tcPr>
            <w:tcW w:w="500" w:type="pct"/>
            <w:vMerge w:val="continue"/>
            <w:tcBorders>
              <w:tl2br w:val="nil"/>
              <w:tr2bl w:val="nil"/>
            </w:tcBorders>
            <w:vAlign w:val="center"/>
          </w:tcPr>
          <w:p w14:paraId="1EC6062C">
            <w:pPr>
              <w:pStyle w:val="56"/>
              <w:autoSpaceDE w:val="0"/>
              <w:autoSpaceDN w:val="0"/>
              <w:ind w:firstLine="0" w:firstLineChars="0"/>
              <w:rPr>
                <w:rFonts w:hint="eastAsia" w:ascii="Times New Roman" w:hAnsi="Times New Roman" w:eastAsia="宋体" w:cs="Times New Roman"/>
                <w:color w:val="auto"/>
                <w:szCs w:val="21"/>
                <w:lang w:val="zh-CN" w:eastAsia="zh-CN"/>
              </w:rPr>
            </w:pPr>
          </w:p>
        </w:tc>
      </w:tr>
      <w:tr w14:paraId="42F07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7" w:type="pct"/>
            <w:tcBorders>
              <w:tl2br w:val="nil"/>
              <w:tr2bl w:val="nil"/>
            </w:tcBorders>
            <w:vAlign w:val="center"/>
          </w:tcPr>
          <w:p w14:paraId="03F789A5">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1</w:t>
            </w:r>
          </w:p>
        </w:tc>
        <w:tc>
          <w:tcPr>
            <w:tcW w:w="403" w:type="pct"/>
            <w:tcBorders>
              <w:tl2br w:val="nil"/>
              <w:tr2bl w:val="nil"/>
            </w:tcBorders>
            <w:vAlign w:val="center"/>
          </w:tcPr>
          <w:p w14:paraId="6BD8B7EB">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运输车</w:t>
            </w:r>
          </w:p>
        </w:tc>
        <w:tc>
          <w:tcPr>
            <w:tcW w:w="494" w:type="pct"/>
            <w:tcBorders>
              <w:tl2br w:val="nil"/>
              <w:tr2bl w:val="nil"/>
            </w:tcBorders>
            <w:vAlign w:val="center"/>
          </w:tcPr>
          <w:p w14:paraId="76BD435E">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en-US" w:eastAsia="zh-CN"/>
              </w:rPr>
              <w:t>SS</w:t>
            </w:r>
            <w:r>
              <w:rPr>
                <w:rFonts w:hint="eastAsia" w:ascii="Times New Roman" w:hAnsi="Times New Roman" w:eastAsia="宋体" w:cs="Times New Roman"/>
                <w:color w:val="auto"/>
                <w:szCs w:val="21"/>
                <w:lang w:val="zh-CN" w:eastAsia="zh-CN"/>
              </w:rPr>
              <w:t>-01</w:t>
            </w:r>
          </w:p>
        </w:tc>
        <w:tc>
          <w:tcPr>
            <w:tcW w:w="406" w:type="pct"/>
            <w:tcBorders>
              <w:tl2br w:val="nil"/>
              <w:tr2bl w:val="nil"/>
            </w:tcBorders>
            <w:vAlign w:val="center"/>
          </w:tcPr>
          <w:p w14:paraId="351E4010">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129</w:t>
            </w:r>
          </w:p>
        </w:tc>
        <w:tc>
          <w:tcPr>
            <w:tcW w:w="390" w:type="pct"/>
            <w:tcBorders>
              <w:tl2br w:val="nil"/>
              <w:tr2bl w:val="nil"/>
            </w:tcBorders>
            <w:vAlign w:val="center"/>
          </w:tcPr>
          <w:p w14:paraId="0D12F675">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w:t>
            </w:r>
          </w:p>
        </w:tc>
        <w:tc>
          <w:tcPr>
            <w:tcW w:w="401" w:type="pct"/>
            <w:tcBorders>
              <w:tl2br w:val="nil"/>
              <w:tr2bl w:val="nil"/>
            </w:tcBorders>
            <w:vAlign w:val="center"/>
          </w:tcPr>
          <w:p w14:paraId="6AD3DD8D">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2</w:t>
            </w:r>
          </w:p>
        </w:tc>
        <w:tc>
          <w:tcPr>
            <w:tcW w:w="562" w:type="pct"/>
            <w:tcBorders>
              <w:tl2br w:val="nil"/>
              <w:tr2bl w:val="nil"/>
            </w:tcBorders>
            <w:vAlign w:val="center"/>
          </w:tcPr>
          <w:p w14:paraId="7024EBE3">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583" w:type="pct"/>
            <w:tcBorders>
              <w:tl2br w:val="nil"/>
              <w:tr2bl w:val="nil"/>
            </w:tcBorders>
            <w:vAlign w:val="center"/>
          </w:tcPr>
          <w:p w14:paraId="666FDFDF">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zh-CN" w:eastAsia="zh-CN"/>
              </w:rPr>
              <w:t>/</w:t>
            </w:r>
          </w:p>
        </w:tc>
        <w:tc>
          <w:tcPr>
            <w:tcW w:w="487" w:type="pct"/>
            <w:tcBorders>
              <w:tl2br w:val="nil"/>
              <w:tr2bl w:val="nil"/>
            </w:tcBorders>
            <w:vAlign w:val="center"/>
          </w:tcPr>
          <w:p w14:paraId="06EE7F61">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ascii="Times New Roman" w:hAnsi="Times New Roman"/>
                <w:color w:val="auto"/>
                <w:szCs w:val="21"/>
              </w:rPr>
              <w:t>选用低噪声设备、基础减振</w:t>
            </w:r>
          </w:p>
        </w:tc>
        <w:tc>
          <w:tcPr>
            <w:tcW w:w="484" w:type="pct"/>
            <w:tcBorders>
              <w:tl2br w:val="nil"/>
              <w:tr2bl w:val="nil"/>
            </w:tcBorders>
            <w:vAlign w:val="center"/>
          </w:tcPr>
          <w:p w14:paraId="0D3E9A78">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500" w:type="pct"/>
            <w:tcBorders>
              <w:tl2br w:val="nil"/>
              <w:tr2bl w:val="nil"/>
            </w:tcBorders>
            <w:vAlign w:val="center"/>
          </w:tcPr>
          <w:p w14:paraId="5BCEC015">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en-US" w:eastAsia="zh-CN"/>
              </w:rPr>
              <w:t>08</w:t>
            </w:r>
            <w:r>
              <w:rPr>
                <w:rFonts w:hint="eastAsia" w:ascii="Times New Roman" w:hAnsi="Times New Roman" w:eastAsia="宋体" w:cs="Times New Roman"/>
                <w:color w:val="auto"/>
                <w:szCs w:val="21"/>
                <w:lang w:val="zh-CN" w:eastAsia="zh-CN"/>
              </w:rPr>
              <w:t>:00~</w:t>
            </w:r>
          </w:p>
          <w:p w14:paraId="78934A50">
            <w:pPr>
              <w:pStyle w:val="56"/>
              <w:autoSpaceDE w:val="0"/>
              <w:autoSpaceDN w:val="0"/>
              <w:ind w:firstLine="0" w:firstLineChars="0"/>
              <w:rPr>
                <w:rFonts w:hint="eastAsia" w:ascii="Times New Roman" w:hAnsi="Times New Roman" w:eastAsia="宋体" w:cs="Times New Roman"/>
                <w:color w:val="auto"/>
                <w:szCs w:val="21"/>
                <w:lang w:val="zh-CN" w:eastAsia="zh-CN"/>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lang w:val="zh-CN" w:eastAsia="zh-CN"/>
              </w:rPr>
              <w:t>:00</w:t>
            </w:r>
          </w:p>
        </w:tc>
      </w:tr>
      <w:tr w14:paraId="19990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1"/>
            <w:tcBorders>
              <w:tl2br w:val="nil"/>
              <w:tr2bl w:val="nil"/>
            </w:tcBorders>
          </w:tcPr>
          <w:p w14:paraId="33F7DE10">
            <w:pPr>
              <w:jc w:val="left"/>
              <w:rPr>
                <w:rFonts w:ascii="Times New Roman" w:hAnsi="Times New Roman"/>
                <w:color w:val="auto"/>
                <w:kern w:val="0"/>
                <w:szCs w:val="21"/>
                <w:lang w:val="zh-CN"/>
              </w:rPr>
            </w:pPr>
            <w:r>
              <w:rPr>
                <w:rFonts w:ascii="Times New Roman" w:hAnsi="Times New Roman"/>
                <w:bCs/>
                <w:color w:val="auto"/>
                <w:kern w:val="0"/>
                <w:sz w:val="20"/>
                <w:szCs w:val="20"/>
                <w:lang w:val="zh-CN"/>
              </w:rPr>
              <w:t>注：以</w:t>
            </w:r>
            <w:r>
              <w:rPr>
                <w:rFonts w:hint="eastAsia" w:ascii="Times New Roman" w:hAnsi="Times New Roman"/>
                <w:bCs/>
                <w:color w:val="auto"/>
                <w:kern w:val="0"/>
                <w:sz w:val="20"/>
                <w:szCs w:val="20"/>
              </w:rPr>
              <w:t>厂界</w:t>
            </w:r>
            <w:r>
              <w:rPr>
                <w:rFonts w:ascii="Times New Roman" w:hAnsi="Times New Roman"/>
                <w:bCs/>
                <w:color w:val="auto"/>
                <w:kern w:val="0"/>
                <w:sz w:val="20"/>
                <w:szCs w:val="20"/>
                <w:lang w:val="zh-CN"/>
              </w:rPr>
              <w:t>西</w:t>
            </w:r>
            <w:r>
              <w:rPr>
                <w:rFonts w:hint="eastAsia" w:ascii="Times New Roman" w:hAnsi="Times New Roman"/>
                <w:bCs/>
                <w:color w:val="auto"/>
                <w:kern w:val="0"/>
                <w:sz w:val="20"/>
                <w:szCs w:val="20"/>
              </w:rPr>
              <w:t>南</w:t>
            </w:r>
            <w:r>
              <w:rPr>
                <w:rFonts w:ascii="Times New Roman" w:hAnsi="Times New Roman"/>
                <w:bCs/>
                <w:color w:val="auto"/>
                <w:kern w:val="0"/>
                <w:sz w:val="20"/>
                <w:szCs w:val="20"/>
                <w:lang w:val="zh-CN"/>
              </w:rPr>
              <w:t>角为坐标原点，正东向为X轴正方向，正北向为Y轴正方向。</w:t>
            </w:r>
          </w:p>
        </w:tc>
      </w:tr>
    </w:tbl>
    <w:p w14:paraId="203B3CCC">
      <w:pPr>
        <w:tabs>
          <w:tab w:val="left" w:pos="6840"/>
        </w:tabs>
        <w:topLinePunct/>
        <w:jc w:val="center"/>
        <w:rPr>
          <w:rFonts w:hint="eastAsia" w:ascii="Times New Roman" w:hAnsi="Times New Roman"/>
          <w:b/>
          <w:bCs/>
          <w:color w:val="auto"/>
          <w:kern w:val="24"/>
          <w:sz w:val="24"/>
          <w:szCs w:val="28"/>
        </w:rPr>
      </w:pPr>
      <w:r>
        <w:rPr>
          <w:rFonts w:ascii="Times New Roman" w:hAnsi="Times New Roman"/>
          <w:b/>
          <w:bCs/>
          <w:color w:val="auto"/>
          <w:kern w:val="24"/>
          <w:sz w:val="24"/>
          <w:szCs w:val="28"/>
        </w:rPr>
        <w:t>表</w:t>
      </w:r>
      <w:r>
        <w:rPr>
          <w:rFonts w:hint="eastAsia"/>
          <w:b/>
          <w:bCs/>
          <w:color w:val="auto"/>
          <w:kern w:val="24"/>
          <w:sz w:val="24"/>
          <w:szCs w:val="28"/>
          <w:lang w:val="en-US" w:eastAsia="zh-CN"/>
        </w:rPr>
        <w:t>5</w:t>
      </w:r>
      <w:r>
        <w:rPr>
          <w:rFonts w:hint="eastAsia" w:ascii="Times New Roman" w:hAnsi="Times New Roman"/>
          <w:b/>
          <w:bCs/>
          <w:color w:val="auto"/>
          <w:kern w:val="24"/>
          <w:sz w:val="24"/>
          <w:szCs w:val="28"/>
          <w:lang w:val="en-US" w:eastAsia="zh-CN"/>
        </w:rPr>
        <w:t>.2-18</w:t>
      </w:r>
      <w:r>
        <w:rPr>
          <w:rFonts w:ascii="Times New Roman" w:hAnsi="Times New Roman"/>
          <w:b/>
          <w:bCs/>
          <w:color w:val="auto"/>
          <w:kern w:val="24"/>
          <w:sz w:val="24"/>
          <w:szCs w:val="28"/>
        </w:rPr>
        <w:t xml:space="preserve">  </w:t>
      </w:r>
      <w:r>
        <w:rPr>
          <w:rFonts w:hint="eastAsia" w:ascii="Times New Roman" w:hAnsi="Times New Roman"/>
          <w:b/>
          <w:bCs/>
          <w:color w:val="auto"/>
          <w:kern w:val="24"/>
          <w:sz w:val="24"/>
          <w:szCs w:val="28"/>
        </w:rPr>
        <w:t xml:space="preserve"> </w:t>
      </w:r>
      <w:r>
        <w:rPr>
          <w:rFonts w:ascii="Times New Roman" w:hAnsi="Times New Roman"/>
          <w:b/>
          <w:bCs/>
          <w:color w:val="auto"/>
          <w:kern w:val="24"/>
          <w:sz w:val="24"/>
          <w:szCs w:val="28"/>
        </w:rPr>
        <w:t xml:space="preserve">  </w:t>
      </w:r>
      <w:r>
        <w:rPr>
          <w:rFonts w:hint="eastAsia" w:ascii="Times New Roman" w:hAnsi="Times New Roman"/>
          <w:b/>
          <w:bCs/>
          <w:color w:val="auto"/>
          <w:kern w:val="24"/>
          <w:sz w:val="24"/>
          <w:szCs w:val="28"/>
        </w:rPr>
        <w:t>工业企业室内噪声源强调查清单</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8"/>
        <w:gridCol w:w="365"/>
        <w:gridCol w:w="490"/>
        <w:gridCol w:w="589"/>
        <w:gridCol w:w="550"/>
        <w:gridCol w:w="616"/>
        <w:gridCol w:w="495"/>
        <w:gridCol w:w="555"/>
        <w:gridCol w:w="555"/>
        <w:gridCol w:w="705"/>
        <w:gridCol w:w="720"/>
        <w:gridCol w:w="615"/>
        <w:gridCol w:w="660"/>
        <w:gridCol w:w="885"/>
        <w:gridCol w:w="646"/>
      </w:tblGrid>
      <w:tr w14:paraId="5E356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vMerge w:val="restart"/>
            <w:tcBorders>
              <w:tl2br w:val="nil"/>
              <w:tr2bl w:val="nil"/>
            </w:tcBorders>
            <w:vAlign w:val="center"/>
          </w:tcPr>
          <w:p w14:paraId="6B858261">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序号</w:t>
            </w:r>
          </w:p>
        </w:tc>
        <w:tc>
          <w:tcPr>
            <w:tcW w:w="365" w:type="dxa"/>
            <w:vMerge w:val="restart"/>
            <w:tcBorders>
              <w:tl2br w:val="nil"/>
              <w:tr2bl w:val="nil"/>
            </w:tcBorders>
            <w:vAlign w:val="center"/>
          </w:tcPr>
          <w:p w14:paraId="5A8A7B07">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建筑物名称</w:t>
            </w:r>
          </w:p>
        </w:tc>
        <w:tc>
          <w:tcPr>
            <w:tcW w:w="490" w:type="dxa"/>
            <w:vMerge w:val="restart"/>
            <w:tcBorders>
              <w:tl2br w:val="nil"/>
              <w:tr2bl w:val="nil"/>
            </w:tcBorders>
            <w:vAlign w:val="center"/>
          </w:tcPr>
          <w:p w14:paraId="7B612FC0">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声源名称</w:t>
            </w:r>
          </w:p>
        </w:tc>
        <w:tc>
          <w:tcPr>
            <w:tcW w:w="589" w:type="dxa"/>
            <w:vMerge w:val="restart"/>
            <w:tcBorders>
              <w:tl2br w:val="nil"/>
              <w:tr2bl w:val="nil"/>
            </w:tcBorders>
            <w:vAlign w:val="center"/>
          </w:tcPr>
          <w:p w14:paraId="689B1FC8">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型号</w:t>
            </w:r>
          </w:p>
        </w:tc>
        <w:tc>
          <w:tcPr>
            <w:tcW w:w="550" w:type="dxa"/>
            <w:tcBorders>
              <w:tl2br w:val="nil"/>
              <w:tr2bl w:val="nil"/>
            </w:tcBorders>
            <w:vAlign w:val="center"/>
          </w:tcPr>
          <w:p w14:paraId="5856F99E">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声源源强</w:t>
            </w:r>
          </w:p>
        </w:tc>
        <w:tc>
          <w:tcPr>
            <w:tcW w:w="616" w:type="dxa"/>
            <w:vMerge w:val="restart"/>
            <w:tcBorders>
              <w:tl2br w:val="nil"/>
              <w:tr2bl w:val="nil"/>
            </w:tcBorders>
            <w:vAlign w:val="center"/>
          </w:tcPr>
          <w:p w14:paraId="5D517CC3">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声源控制措施</w:t>
            </w:r>
          </w:p>
        </w:tc>
        <w:tc>
          <w:tcPr>
            <w:tcW w:w="1605" w:type="dxa"/>
            <w:gridSpan w:val="3"/>
            <w:tcBorders>
              <w:tl2br w:val="nil"/>
              <w:tr2bl w:val="nil"/>
            </w:tcBorders>
            <w:vAlign w:val="center"/>
          </w:tcPr>
          <w:p w14:paraId="57C54CB3">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空间相对位置/m</w:t>
            </w:r>
          </w:p>
        </w:tc>
        <w:tc>
          <w:tcPr>
            <w:tcW w:w="705" w:type="dxa"/>
            <w:vMerge w:val="restart"/>
            <w:tcBorders>
              <w:tl2br w:val="nil"/>
              <w:tr2bl w:val="nil"/>
            </w:tcBorders>
            <w:vAlign w:val="center"/>
          </w:tcPr>
          <w:p w14:paraId="772BE96D">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距室内边界距离/m</w:t>
            </w:r>
          </w:p>
        </w:tc>
        <w:tc>
          <w:tcPr>
            <w:tcW w:w="720" w:type="dxa"/>
            <w:vMerge w:val="restart"/>
            <w:tcBorders>
              <w:tl2br w:val="nil"/>
              <w:tr2bl w:val="nil"/>
            </w:tcBorders>
            <w:vAlign w:val="center"/>
          </w:tcPr>
          <w:p w14:paraId="4389869C">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室内边界声级</w:t>
            </w:r>
          </w:p>
          <w:p w14:paraId="39D4FA52">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/dB(A)</w:t>
            </w:r>
          </w:p>
        </w:tc>
        <w:tc>
          <w:tcPr>
            <w:tcW w:w="615" w:type="dxa"/>
            <w:vMerge w:val="restart"/>
            <w:tcBorders>
              <w:tl2br w:val="nil"/>
              <w:tr2bl w:val="nil"/>
            </w:tcBorders>
            <w:vAlign w:val="center"/>
          </w:tcPr>
          <w:p w14:paraId="0844A468">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运行时段</w:t>
            </w:r>
          </w:p>
        </w:tc>
        <w:tc>
          <w:tcPr>
            <w:tcW w:w="660" w:type="dxa"/>
            <w:vMerge w:val="restart"/>
            <w:tcBorders>
              <w:tl2br w:val="nil"/>
              <w:tr2bl w:val="nil"/>
            </w:tcBorders>
            <w:vAlign w:val="center"/>
          </w:tcPr>
          <w:p w14:paraId="707D99EB">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建筑物插入损失/dB(A)</w:t>
            </w:r>
          </w:p>
        </w:tc>
        <w:tc>
          <w:tcPr>
            <w:tcW w:w="1531" w:type="dxa"/>
            <w:gridSpan w:val="2"/>
            <w:tcBorders>
              <w:tl2br w:val="nil"/>
              <w:tr2bl w:val="nil"/>
            </w:tcBorders>
            <w:vAlign w:val="center"/>
          </w:tcPr>
          <w:p w14:paraId="01926085">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建筑物外噪声</w:t>
            </w:r>
          </w:p>
        </w:tc>
      </w:tr>
      <w:tr w14:paraId="3B12E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vMerge w:val="continue"/>
            <w:tcBorders>
              <w:tl2br w:val="nil"/>
              <w:tr2bl w:val="nil"/>
            </w:tcBorders>
            <w:vAlign w:val="center"/>
          </w:tcPr>
          <w:p w14:paraId="7818AA43">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365" w:type="dxa"/>
            <w:vMerge w:val="continue"/>
            <w:tcBorders>
              <w:tl2br w:val="nil"/>
              <w:tr2bl w:val="nil"/>
            </w:tcBorders>
            <w:vAlign w:val="center"/>
          </w:tcPr>
          <w:p w14:paraId="2AB93816">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vMerge w:val="continue"/>
            <w:tcBorders>
              <w:tl2br w:val="nil"/>
              <w:tr2bl w:val="nil"/>
            </w:tcBorders>
            <w:vAlign w:val="center"/>
          </w:tcPr>
          <w:p w14:paraId="4777223C">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589" w:type="dxa"/>
            <w:vMerge w:val="continue"/>
            <w:tcBorders>
              <w:tl2br w:val="nil"/>
              <w:tr2bl w:val="nil"/>
            </w:tcBorders>
            <w:vAlign w:val="center"/>
          </w:tcPr>
          <w:p w14:paraId="3DF7CC8F">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550" w:type="dxa"/>
            <w:tcBorders>
              <w:tl2br w:val="nil"/>
              <w:tr2bl w:val="nil"/>
            </w:tcBorders>
            <w:vAlign w:val="center"/>
          </w:tcPr>
          <w:p w14:paraId="6EB826EC">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声功率级</w:t>
            </w:r>
          </w:p>
          <w:p w14:paraId="67D74B70">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p w14:paraId="3EE7E802">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dB(A)</w:t>
            </w:r>
          </w:p>
        </w:tc>
        <w:tc>
          <w:tcPr>
            <w:tcW w:w="616" w:type="dxa"/>
            <w:vMerge w:val="continue"/>
            <w:tcBorders>
              <w:tl2br w:val="nil"/>
              <w:tr2bl w:val="nil"/>
            </w:tcBorders>
            <w:vAlign w:val="center"/>
          </w:tcPr>
          <w:p w14:paraId="6500EAF5">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2193CAB2">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X</w:t>
            </w:r>
          </w:p>
        </w:tc>
        <w:tc>
          <w:tcPr>
            <w:tcW w:w="555" w:type="dxa"/>
            <w:tcBorders>
              <w:tl2br w:val="nil"/>
              <w:tr2bl w:val="nil"/>
            </w:tcBorders>
            <w:vAlign w:val="center"/>
          </w:tcPr>
          <w:p w14:paraId="6239FC3D">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w:t>
            </w:r>
          </w:p>
        </w:tc>
        <w:tc>
          <w:tcPr>
            <w:tcW w:w="555" w:type="dxa"/>
            <w:tcBorders>
              <w:tl2br w:val="nil"/>
              <w:tr2bl w:val="nil"/>
            </w:tcBorders>
            <w:vAlign w:val="center"/>
          </w:tcPr>
          <w:p w14:paraId="78BB9EED">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Z</w:t>
            </w:r>
          </w:p>
        </w:tc>
        <w:tc>
          <w:tcPr>
            <w:tcW w:w="705" w:type="dxa"/>
            <w:vMerge w:val="continue"/>
            <w:tcBorders>
              <w:tl2br w:val="nil"/>
              <w:tr2bl w:val="nil"/>
            </w:tcBorders>
            <w:vAlign w:val="center"/>
          </w:tcPr>
          <w:p w14:paraId="63DF77C2">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720" w:type="dxa"/>
            <w:vMerge w:val="continue"/>
            <w:tcBorders>
              <w:tl2br w:val="nil"/>
              <w:tr2bl w:val="nil"/>
            </w:tcBorders>
            <w:vAlign w:val="center"/>
          </w:tcPr>
          <w:p w14:paraId="3AA6DE48">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615" w:type="dxa"/>
            <w:vMerge w:val="continue"/>
            <w:tcBorders>
              <w:tl2br w:val="nil"/>
              <w:tr2bl w:val="nil"/>
            </w:tcBorders>
            <w:vAlign w:val="center"/>
          </w:tcPr>
          <w:p w14:paraId="09B4C30B">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660" w:type="dxa"/>
            <w:vMerge w:val="continue"/>
            <w:tcBorders>
              <w:tl2br w:val="nil"/>
              <w:tr2bl w:val="nil"/>
            </w:tcBorders>
            <w:vAlign w:val="center"/>
          </w:tcPr>
          <w:p w14:paraId="3F012874">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5C21CBBE">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声压级</w:t>
            </w:r>
          </w:p>
          <w:p w14:paraId="68AC7C1A">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/dB(A)</w:t>
            </w:r>
          </w:p>
        </w:tc>
        <w:tc>
          <w:tcPr>
            <w:tcW w:w="646" w:type="dxa"/>
            <w:tcBorders>
              <w:tl2br w:val="nil"/>
              <w:tr2bl w:val="nil"/>
            </w:tcBorders>
            <w:vAlign w:val="center"/>
          </w:tcPr>
          <w:p w14:paraId="0F54DE7B">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建筑物外距离</w:t>
            </w:r>
          </w:p>
        </w:tc>
      </w:tr>
      <w:tr w14:paraId="1DC4A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11C51EB1">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65" w:type="dxa"/>
            <w:vMerge w:val="restart"/>
            <w:tcBorders>
              <w:tl2br w:val="nil"/>
              <w:tr2bl w:val="nil"/>
            </w:tcBorders>
            <w:vAlign w:val="center"/>
          </w:tcPr>
          <w:p w14:paraId="688C8F1C">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鸭舍</w:t>
            </w:r>
          </w:p>
        </w:tc>
        <w:tc>
          <w:tcPr>
            <w:tcW w:w="490" w:type="dxa"/>
            <w:tcBorders>
              <w:tl2br w:val="nil"/>
              <w:tr2bl w:val="nil"/>
            </w:tcBorders>
            <w:vAlign w:val="center"/>
          </w:tcPr>
          <w:p w14:paraId="1BA68740">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风机</w:t>
            </w:r>
          </w:p>
        </w:tc>
        <w:tc>
          <w:tcPr>
            <w:tcW w:w="589" w:type="dxa"/>
            <w:tcBorders>
              <w:tl2br w:val="nil"/>
              <w:tr2bl w:val="nil"/>
            </w:tcBorders>
            <w:vAlign w:val="center"/>
          </w:tcPr>
          <w:p w14:paraId="6CB2909E">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SF-01</w:t>
            </w:r>
          </w:p>
        </w:tc>
        <w:tc>
          <w:tcPr>
            <w:tcW w:w="550" w:type="dxa"/>
            <w:tcBorders>
              <w:tl2br w:val="nil"/>
              <w:tr2bl w:val="nil"/>
            </w:tcBorders>
            <w:vAlign w:val="center"/>
          </w:tcPr>
          <w:p w14:paraId="1775AC12">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616" w:type="dxa"/>
            <w:vMerge w:val="restart"/>
            <w:tcBorders>
              <w:tl2br w:val="nil"/>
              <w:tr2bl w:val="nil"/>
            </w:tcBorders>
            <w:vAlign w:val="center"/>
          </w:tcPr>
          <w:p w14:paraId="43171BB1">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ascii="Times New Roman" w:hAnsi="Times New Roman"/>
                <w:color w:val="000000" w:themeColor="text1"/>
                <w:szCs w:val="21"/>
                <w14:textFill>
                  <w14:solidFill>
                    <w14:schemeClr w14:val="tx1"/>
                  </w14:solidFill>
                </w14:textFill>
              </w:rPr>
              <w:t>选用低噪声设备</w:t>
            </w:r>
            <w:r>
              <w:rPr>
                <w:rFonts w:hint="eastAsia" w:ascii="Times New Roman" w:hAnsi="Times New Roman" w:eastAsia="宋体" w:cs="Times New Roman"/>
                <w:color w:val="auto"/>
                <w:szCs w:val="21"/>
                <w:lang w:val="en-US" w:eastAsia="zh-CN"/>
              </w:rPr>
              <w:t>+厂房、门窗隔声+距离衰减+合理布局</w:t>
            </w:r>
          </w:p>
        </w:tc>
        <w:tc>
          <w:tcPr>
            <w:tcW w:w="495" w:type="dxa"/>
            <w:tcBorders>
              <w:tl2br w:val="nil"/>
              <w:tr2bl w:val="nil"/>
            </w:tcBorders>
            <w:vAlign w:val="center"/>
          </w:tcPr>
          <w:p w14:paraId="066E89BC">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555" w:type="dxa"/>
            <w:tcBorders>
              <w:tl2br w:val="nil"/>
              <w:tr2bl w:val="nil"/>
            </w:tcBorders>
            <w:vAlign w:val="center"/>
          </w:tcPr>
          <w:p w14:paraId="0B4FE58D">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555" w:type="dxa"/>
            <w:tcBorders>
              <w:tl2br w:val="nil"/>
              <w:tr2bl w:val="nil"/>
            </w:tcBorders>
            <w:vAlign w:val="center"/>
          </w:tcPr>
          <w:p w14:paraId="04DAAA64">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705" w:type="dxa"/>
            <w:tcBorders>
              <w:tl2br w:val="nil"/>
              <w:tr2bl w:val="nil"/>
            </w:tcBorders>
            <w:vAlign w:val="center"/>
          </w:tcPr>
          <w:p w14:paraId="21D59426">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720" w:type="dxa"/>
            <w:tcBorders>
              <w:tl2br w:val="nil"/>
              <w:tr2bl w:val="nil"/>
            </w:tcBorders>
            <w:vAlign w:val="center"/>
          </w:tcPr>
          <w:p w14:paraId="2E6D5519">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63.5 </w:t>
            </w:r>
          </w:p>
        </w:tc>
        <w:tc>
          <w:tcPr>
            <w:tcW w:w="615" w:type="dxa"/>
            <w:tcBorders>
              <w:tl2br w:val="nil"/>
              <w:tr2bl w:val="nil"/>
            </w:tcBorders>
            <w:vAlign w:val="center"/>
          </w:tcPr>
          <w:p w14:paraId="34CD7BF7">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06:00~</w:t>
            </w:r>
          </w:p>
          <w:p w14:paraId="4DB25606">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22:00</w:t>
            </w:r>
          </w:p>
        </w:tc>
        <w:tc>
          <w:tcPr>
            <w:tcW w:w="660" w:type="dxa"/>
            <w:vMerge w:val="restart"/>
            <w:tcBorders>
              <w:tl2br w:val="nil"/>
              <w:tr2bl w:val="nil"/>
            </w:tcBorders>
            <w:vAlign w:val="center"/>
          </w:tcPr>
          <w:p w14:paraId="1677418A">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885" w:type="dxa"/>
            <w:tcBorders>
              <w:tl2br w:val="nil"/>
              <w:tr2bl w:val="nil"/>
            </w:tcBorders>
            <w:vAlign w:val="center"/>
          </w:tcPr>
          <w:p w14:paraId="1C3FF434">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60.5 </w:t>
            </w:r>
          </w:p>
        </w:tc>
        <w:tc>
          <w:tcPr>
            <w:tcW w:w="646" w:type="dxa"/>
            <w:tcBorders>
              <w:tl2br w:val="nil"/>
              <w:tr2bl w:val="nil"/>
            </w:tcBorders>
            <w:vAlign w:val="center"/>
          </w:tcPr>
          <w:p w14:paraId="0F2B76E2">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0ED0D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25026A97">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365" w:type="dxa"/>
            <w:vMerge w:val="continue"/>
            <w:tcBorders>
              <w:tl2br w:val="nil"/>
              <w:tr2bl w:val="nil"/>
            </w:tcBorders>
            <w:vAlign w:val="center"/>
          </w:tcPr>
          <w:p w14:paraId="084EDBAE">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tcBorders>
              <w:tl2br w:val="nil"/>
              <w:tr2bl w:val="nil"/>
            </w:tcBorders>
            <w:vAlign w:val="center"/>
          </w:tcPr>
          <w:p w14:paraId="69F87B8C">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清粪系统</w:t>
            </w:r>
          </w:p>
        </w:tc>
        <w:tc>
          <w:tcPr>
            <w:tcW w:w="589" w:type="dxa"/>
            <w:tcBorders>
              <w:tl2br w:val="nil"/>
              <w:tr2bl w:val="nil"/>
            </w:tcBorders>
            <w:vAlign w:val="center"/>
          </w:tcPr>
          <w:p w14:paraId="4925EA8B">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QF-01</w:t>
            </w:r>
          </w:p>
        </w:tc>
        <w:tc>
          <w:tcPr>
            <w:tcW w:w="550" w:type="dxa"/>
            <w:tcBorders>
              <w:tl2br w:val="nil"/>
              <w:tr2bl w:val="nil"/>
            </w:tcBorders>
            <w:vAlign w:val="center"/>
          </w:tcPr>
          <w:p w14:paraId="308FF483">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85</w:t>
            </w:r>
          </w:p>
        </w:tc>
        <w:tc>
          <w:tcPr>
            <w:tcW w:w="616" w:type="dxa"/>
            <w:vMerge w:val="continue"/>
            <w:tcBorders>
              <w:tl2br w:val="nil"/>
              <w:tr2bl w:val="nil"/>
            </w:tcBorders>
            <w:vAlign w:val="center"/>
          </w:tcPr>
          <w:p w14:paraId="3448A6BE">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4440F86E">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555" w:type="dxa"/>
            <w:tcBorders>
              <w:tl2br w:val="nil"/>
              <w:tr2bl w:val="nil"/>
            </w:tcBorders>
            <w:vAlign w:val="center"/>
          </w:tcPr>
          <w:p w14:paraId="51CB51ED">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555" w:type="dxa"/>
            <w:tcBorders>
              <w:tl2br w:val="nil"/>
              <w:tr2bl w:val="nil"/>
            </w:tcBorders>
            <w:vAlign w:val="center"/>
          </w:tcPr>
          <w:p w14:paraId="0179CEB1">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705" w:type="dxa"/>
            <w:tcBorders>
              <w:tl2br w:val="nil"/>
              <w:tr2bl w:val="nil"/>
            </w:tcBorders>
            <w:vAlign w:val="center"/>
          </w:tcPr>
          <w:p w14:paraId="399B4400">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720" w:type="dxa"/>
            <w:tcBorders>
              <w:tl2br w:val="nil"/>
              <w:tr2bl w:val="nil"/>
            </w:tcBorders>
            <w:vAlign w:val="center"/>
          </w:tcPr>
          <w:p w14:paraId="31A82D11">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66.5 </w:t>
            </w:r>
          </w:p>
        </w:tc>
        <w:tc>
          <w:tcPr>
            <w:tcW w:w="615" w:type="dxa"/>
            <w:tcBorders>
              <w:tl2br w:val="nil"/>
              <w:tr2bl w:val="nil"/>
            </w:tcBorders>
            <w:vAlign w:val="center"/>
          </w:tcPr>
          <w:p w14:paraId="7305D7F8">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12:00~</w:t>
            </w:r>
          </w:p>
          <w:p w14:paraId="79664BF3">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14:00</w:t>
            </w:r>
          </w:p>
        </w:tc>
        <w:tc>
          <w:tcPr>
            <w:tcW w:w="660" w:type="dxa"/>
            <w:vMerge w:val="continue"/>
            <w:tcBorders>
              <w:tl2br w:val="nil"/>
              <w:tr2bl w:val="nil"/>
            </w:tcBorders>
            <w:vAlign w:val="center"/>
          </w:tcPr>
          <w:p w14:paraId="0F85458C">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70CC3B41">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63.5 </w:t>
            </w:r>
          </w:p>
        </w:tc>
        <w:tc>
          <w:tcPr>
            <w:tcW w:w="646" w:type="dxa"/>
            <w:tcBorders>
              <w:tl2br w:val="nil"/>
              <w:tr2bl w:val="nil"/>
            </w:tcBorders>
            <w:vAlign w:val="center"/>
          </w:tcPr>
          <w:p w14:paraId="34E0C0EA">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548E2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2554DB9C">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365" w:type="dxa"/>
            <w:vMerge w:val="continue"/>
            <w:tcBorders>
              <w:tl2br w:val="nil"/>
              <w:tr2bl w:val="nil"/>
            </w:tcBorders>
            <w:vAlign w:val="center"/>
          </w:tcPr>
          <w:p w14:paraId="6E944641">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tcBorders>
              <w:tl2br w:val="nil"/>
              <w:tr2bl w:val="nil"/>
            </w:tcBorders>
            <w:vAlign w:val="center"/>
          </w:tcPr>
          <w:p w14:paraId="6BD1C473">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消毒设备</w:t>
            </w:r>
          </w:p>
        </w:tc>
        <w:tc>
          <w:tcPr>
            <w:tcW w:w="589" w:type="dxa"/>
            <w:tcBorders>
              <w:tl2br w:val="nil"/>
              <w:tr2bl w:val="nil"/>
            </w:tcBorders>
            <w:vAlign w:val="center"/>
          </w:tcPr>
          <w:p w14:paraId="5D12A58D">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100L</w:t>
            </w:r>
          </w:p>
        </w:tc>
        <w:tc>
          <w:tcPr>
            <w:tcW w:w="550" w:type="dxa"/>
            <w:tcBorders>
              <w:tl2br w:val="nil"/>
              <w:tr2bl w:val="nil"/>
            </w:tcBorders>
            <w:vAlign w:val="center"/>
          </w:tcPr>
          <w:p w14:paraId="6C1EE1C6">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616" w:type="dxa"/>
            <w:vMerge w:val="continue"/>
            <w:tcBorders>
              <w:tl2br w:val="nil"/>
              <w:tr2bl w:val="nil"/>
            </w:tcBorders>
            <w:vAlign w:val="center"/>
          </w:tcPr>
          <w:p w14:paraId="0E91282B">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2F7492F2">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555" w:type="dxa"/>
            <w:tcBorders>
              <w:tl2br w:val="nil"/>
              <w:tr2bl w:val="nil"/>
            </w:tcBorders>
            <w:vAlign w:val="center"/>
          </w:tcPr>
          <w:p w14:paraId="124A8B61">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555" w:type="dxa"/>
            <w:tcBorders>
              <w:tl2br w:val="nil"/>
              <w:tr2bl w:val="nil"/>
            </w:tcBorders>
            <w:vAlign w:val="center"/>
          </w:tcPr>
          <w:p w14:paraId="6BFA0221">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705" w:type="dxa"/>
            <w:tcBorders>
              <w:tl2br w:val="nil"/>
              <w:tr2bl w:val="nil"/>
            </w:tcBorders>
            <w:vAlign w:val="center"/>
          </w:tcPr>
          <w:p w14:paraId="5DFFF1CE">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720" w:type="dxa"/>
            <w:tcBorders>
              <w:tl2br w:val="nil"/>
              <w:tr2bl w:val="nil"/>
            </w:tcBorders>
            <w:vAlign w:val="center"/>
          </w:tcPr>
          <w:p w14:paraId="14820B8A">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51.7 </w:t>
            </w:r>
          </w:p>
        </w:tc>
        <w:tc>
          <w:tcPr>
            <w:tcW w:w="615" w:type="dxa"/>
            <w:tcBorders>
              <w:tl2br w:val="nil"/>
              <w:tr2bl w:val="nil"/>
            </w:tcBorders>
            <w:vAlign w:val="center"/>
          </w:tcPr>
          <w:p w14:paraId="62BD3646">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w:t>
            </w:r>
          </w:p>
          <w:p w14:paraId="6FD5DBDE">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11:00</w:t>
            </w:r>
          </w:p>
        </w:tc>
        <w:tc>
          <w:tcPr>
            <w:tcW w:w="660" w:type="dxa"/>
            <w:vMerge w:val="continue"/>
            <w:tcBorders>
              <w:tl2br w:val="nil"/>
              <w:tr2bl w:val="nil"/>
            </w:tcBorders>
            <w:vAlign w:val="center"/>
          </w:tcPr>
          <w:p w14:paraId="18A45761">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7FD6C45F">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48.7 </w:t>
            </w:r>
          </w:p>
        </w:tc>
        <w:tc>
          <w:tcPr>
            <w:tcW w:w="646" w:type="dxa"/>
            <w:tcBorders>
              <w:tl2br w:val="nil"/>
              <w:tr2bl w:val="nil"/>
            </w:tcBorders>
            <w:vAlign w:val="center"/>
          </w:tcPr>
          <w:p w14:paraId="261B63A3">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7FF3F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tcBorders>
              <w:tl2br w:val="nil"/>
              <w:tr2bl w:val="nil"/>
            </w:tcBorders>
            <w:vAlign w:val="center"/>
          </w:tcPr>
          <w:p w14:paraId="11A7E687">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365" w:type="dxa"/>
            <w:vMerge w:val="continue"/>
            <w:tcBorders>
              <w:tl2br w:val="nil"/>
              <w:tr2bl w:val="nil"/>
            </w:tcBorders>
            <w:vAlign w:val="center"/>
          </w:tcPr>
          <w:p w14:paraId="598AAC74">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0" w:type="dxa"/>
            <w:tcBorders>
              <w:tl2br w:val="nil"/>
              <w:tr2bl w:val="nil"/>
            </w:tcBorders>
            <w:vAlign w:val="center"/>
          </w:tcPr>
          <w:p w14:paraId="2DAD2B60">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鸭叫</w:t>
            </w:r>
          </w:p>
        </w:tc>
        <w:tc>
          <w:tcPr>
            <w:tcW w:w="589" w:type="dxa"/>
            <w:tcBorders>
              <w:tl2br w:val="nil"/>
              <w:tr2bl w:val="nil"/>
            </w:tcBorders>
            <w:vAlign w:val="center"/>
          </w:tcPr>
          <w:p w14:paraId="67341568">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50" w:type="dxa"/>
            <w:tcBorders>
              <w:tl2br w:val="nil"/>
              <w:tr2bl w:val="nil"/>
            </w:tcBorders>
            <w:vAlign w:val="center"/>
          </w:tcPr>
          <w:p w14:paraId="24D969F5">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616" w:type="dxa"/>
            <w:vMerge w:val="continue"/>
            <w:tcBorders>
              <w:tl2br w:val="nil"/>
              <w:tr2bl w:val="nil"/>
            </w:tcBorders>
            <w:vAlign w:val="center"/>
          </w:tcPr>
          <w:p w14:paraId="2FE6B08E">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495" w:type="dxa"/>
            <w:tcBorders>
              <w:tl2br w:val="nil"/>
              <w:tr2bl w:val="nil"/>
            </w:tcBorders>
            <w:vAlign w:val="center"/>
          </w:tcPr>
          <w:p w14:paraId="5A895FA9">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555" w:type="dxa"/>
            <w:tcBorders>
              <w:tl2br w:val="nil"/>
              <w:tr2bl w:val="nil"/>
            </w:tcBorders>
            <w:vAlign w:val="center"/>
          </w:tcPr>
          <w:p w14:paraId="2D542204">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555" w:type="dxa"/>
            <w:tcBorders>
              <w:tl2br w:val="nil"/>
              <w:tr2bl w:val="nil"/>
            </w:tcBorders>
            <w:vAlign w:val="center"/>
          </w:tcPr>
          <w:p w14:paraId="01F21E34">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705" w:type="dxa"/>
            <w:tcBorders>
              <w:tl2br w:val="nil"/>
              <w:tr2bl w:val="nil"/>
            </w:tcBorders>
            <w:vAlign w:val="center"/>
          </w:tcPr>
          <w:p w14:paraId="0E45910B">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720" w:type="dxa"/>
            <w:tcBorders>
              <w:tl2br w:val="nil"/>
              <w:tr2bl w:val="nil"/>
            </w:tcBorders>
            <w:vAlign w:val="center"/>
          </w:tcPr>
          <w:p w14:paraId="0EF5DD07">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55.2 </w:t>
            </w:r>
          </w:p>
        </w:tc>
        <w:tc>
          <w:tcPr>
            <w:tcW w:w="615" w:type="dxa"/>
            <w:tcBorders>
              <w:tl2br w:val="nil"/>
              <w:tr2bl w:val="nil"/>
            </w:tcBorders>
            <w:vAlign w:val="center"/>
          </w:tcPr>
          <w:p w14:paraId="2EA947A0">
            <w:pPr>
              <w:pStyle w:val="56"/>
              <w:autoSpaceDE w:val="0"/>
              <w:autoSpaceDN w:val="0"/>
              <w:ind w:firstLine="0" w:firstLineChars="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全天</w:t>
            </w:r>
          </w:p>
        </w:tc>
        <w:tc>
          <w:tcPr>
            <w:tcW w:w="660" w:type="dxa"/>
            <w:vMerge w:val="continue"/>
            <w:tcBorders>
              <w:tl2br w:val="nil"/>
              <w:tr2bl w:val="nil"/>
            </w:tcBorders>
            <w:vAlign w:val="center"/>
          </w:tcPr>
          <w:p w14:paraId="6FF6B711">
            <w:pPr>
              <w:pStyle w:val="56"/>
              <w:autoSpaceDE w:val="0"/>
              <w:autoSpaceDN w:val="0"/>
              <w:ind w:firstLine="0" w:firstLineChars="0"/>
              <w:rPr>
                <w:rFonts w:hint="eastAsia" w:ascii="Times New Roman" w:hAnsi="Times New Roman" w:eastAsia="宋体" w:cs="Times New Roman"/>
                <w:color w:val="auto"/>
                <w:szCs w:val="21"/>
                <w:lang w:val="en-US" w:eastAsia="zh-CN"/>
              </w:rPr>
            </w:pPr>
          </w:p>
        </w:tc>
        <w:tc>
          <w:tcPr>
            <w:tcW w:w="885" w:type="dxa"/>
            <w:tcBorders>
              <w:tl2br w:val="nil"/>
              <w:tr2bl w:val="nil"/>
            </w:tcBorders>
            <w:vAlign w:val="center"/>
          </w:tcPr>
          <w:p w14:paraId="3114BA1C">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52.2 </w:t>
            </w:r>
          </w:p>
        </w:tc>
        <w:tc>
          <w:tcPr>
            <w:tcW w:w="646" w:type="dxa"/>
            <w:tcBorders>
              <w:tl2br w:val="nil"/>
              <w:tr2bl w:val="nil"/>
            </w:tcBorders>
            <w:vAlign w:val="center"/>
          </w:tcPr>
          <w:p w14:paraId="44F03324">
            <w:pPr>
              <w:pStyle w:val="56"/>
              <w:autoSpaceDE w:val="0"/>
              <w:autoSpaceDN w:val="0"/>
              <w:ind w:firstLine="0" w:firstLineChars="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r w14:paraId="7C3B1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4" w:type="dxa"/>
            <w:gridSpan w:val="15"/>
            <w:tcBorders>
              <w:tl2br w:val="nil"/>
              <w:tr2bl w:val="nil"/>
            </w:tcBorders>
            <w:vAlign w:val="center"/>
          </w:tcPr>
          <w:p w14:paraId="60D1D64E">
            <w:pPr>
              <w:pStyle w:val="93"/>
              <w:jc w:val="left"/>
              <w:rPr>
                <w:rFonts w:ascii="Times New Roman" w:hAnsi="Times New Roman"/>
                <w:color w:val="auto"/>
                <w:szCs w:val="21"/>
              </w:rPr>
            </w:pPr>
            <w:r>
              <w:rPr>
                <w:rFonts w:ascii="Times New Roman" w:hAnsi="Times New Roman" w:eastAsiaTheme="minorEastAsia" w:cstheme="minorBidi"/>
                <w:bCs/>
                <w:color w:val="auto"/>
                <w:kern w:val="0"/>
                <w:sz w:val="20"/>
                <w:szCs w:val="20"/>
                <w:lang w:val="zh-CN" w:eastAsia="zh-CN" w:bidi="ar-SA"/>
              </w:rPr>
              <w:t>注：以</w:t>
            </w:r>
            <w:r>
              <w:rPr>
                <w:rFonts w:ascii="Times New Roman" w:hAnsi="Times New Roman" w:eastAsiaTheme="minorEastAsia" w:cstheme="minorBidi"/>
                <w:bCs/>
                <w:color w:val="auto"/>
                <w:kern w:val="0"/>
                <w:sz w:val="20"/>
                <w:szCs w:val="20"/>
                <w:lang w:val="en-US" w:eastAsia="zh-CN" w:bidi="ar-SA"/>
              </w:rPr>
              <w:t>厂界</w:t>
            </w:r>
            <w:r>
              <w:rPr>
                <w:rFonts w:ascii="Times New Roman" w:hAnsi="Times New Roman" w:eastAsiaTheme="minorEastAsia" w:cstheme="minorBidi"/>
                <w:bCs/>
                <w:color w:val="auto"/>
                <w:kern w:val="0"/>
                <w:sz w:val="20"/>
                <w:szCs w:val="20"/>
                <w:lang w:val="zh-CN" w:eastAsia="zh-CN" w:bidi="ar-SA"/>
              </w:rPr>
              <w:t>西</w:t>
            </w:r>
            <w:r>
              <w:rPr>
                <w:rFonts w:ascii="Times New Roman" w:hAnsi="Times New Roman" w:eastAsiaTheme="minorEastAsia" w:cstheme="minorBidi"/>
                <w:bCs/>
                <w:color w:val="auto"/>
                <w:kern w:val="0"/>
                <w:sz w:val="20"/>
                <w:szCs w:val="20"/>
                <w:lang w:val="en-US" w:eastAsia="zh-CN" w:bidi="ar-SA"/>
              </w:rPr>
              <w:t>南</w:t>
            </w:r>
            <w:r>
              <w:rPr>
                <w:rFonts w:ascii="Times New Roman" w:hAnsi="Times New Roman" w:eastAsiaTheme="minorEastAsia" w:cstheme="minorBidi"/>
                <w:bCs/>
                <w:color w:val="auto"/>
                <w:kern w:val="0"/>
                <w:sz w:val="20"/>
                <w:szCs w:val="20"/>
                <w:lang w:val="zh-CN" w:eastAsia="zh-CN" w:bidi="ar-SA"/>
              </w:rPr>
              <w:t>角为坐标原点，正东向为X轴正方向，正北向为Y轴正方向。</w:t>
            </w:r>
          </w:p>
        </w:tc>
      </w:tr>
    </w:tbl>
    <w:p w14:paraId="176D0544">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bookmarkStart w:id="205" w:name="_Toc2963"/>
      <w:r>
        <w:rPr>
          <w:rFonts w:hint="eastAsia" w:eastAsia="宋体" w:cs="Times New Roman"/>
          <w:color w:val="000000" w:themeColor="text1"/>
          <w:lang w:bidi="zh-CN"/>
          <w14:textFill>
            <w14:solidFill>
              <w14:schemeClr w14:val="tx1"/>
            </w14:solidFill>
          </w14:textFill>
        </w:rPr>
        <w:t>5.</w:t>
      </w:r>
      <w:r>
        <w:rPr>
          <w:rFonts w:ascii="Times New Roman" w:hAnsi="Times New Roman" w:eastAsia="宋体" w:cs="Times New Roman"/>
          <w:color w:val="000000" w:themeColor="text1"/>
          <w:lang w:bidi="zh-CN"/>
          <w14:textFill>
            <w14:solidFill>
              <w14:schemeClr w14:val="tx1"/>
            </w14:solidFill>
          </w14:textFill>
        </w:rPr>
        <w:t>预测模式</w:t>
      </w:r>
      <w:bookmarkEnd w:id="205"/>
    </w:p>
    <w:p w14:paraId="0228C793">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根据本项目噪声源位置和场界外环境，本评价噪声影响预测范围确定为场界。按主要声源的特征和所在位置，采用相应的预测模式计算各声源对厂界产生的影响值，作为本项目建成后的声环境影响预测结果。</w:t>
      </w:r>
    </w:p>
    <w:p w14:paraId="53EF3643">
      <w:pPr>
        <w:pStyle w:val="13"/>
        <w:spacing w:after="0"/>
        <w:ind w:firstLine="480"/>
        <w:rPr>
          <w:rFonts w:ascii="Times New Roman" w:hAnsi="Times New Roman" w:eastAsia="宋体" w:cs="Times New Roman"/>
          <w:color w:val="000000" w:themeColor="text1"/>
          <w:lang w:bidi="zh-CN"/>
          <w14:textFill>
            <w14:solidFill>
              <w14:schemeClr w14:val="tx1"/>
            </w14:solidFill>
          </w14:textFill>
        </w:rPr>
      </w:pPr>
      <w:r>
        <w:rPr>
          <w:rFonts w:ascii="Times New Roman" w:hAnsi="Times New Roman" w:eastAsia="宋体" w:cs="Times New Roman"/>
          <w:color w:val="000000" w:themeColor="text1"/>
          <w:lang w:bidi="zh-CN"/>
          <w14:textFill>
            <w14:solidFill>
              <w14:schemeClr w14:val="tx1"/>
            </w14:solidFill>
          </w14:textFill>
        </w:rPr>
        <w:t>噪声从声源传至受声点，因受传播距离、空气吸收、阻挡物的反射与屏障等因素影响，会使其产生衰减。</w:t>
      </w:r>
    </w:p>
    <w:p w14:paraId="6E6BCEBD">
      <w:pPr>
        <w:adjustRightInd w:val="0"/>
        <w:snapToGrid w:val="0"/>
        <w:spacing w:before="120" w:beforeLines="50" w:line="360" w:lineRule="auto"/>
        <w:ind w:firstLine="480" w:firstLineChars="200"/>
        <w:rPr>
          <w:rFonts w:ascii="Times New Roman" w:hAnsi="Times New Roman"/>
          <w:color w:val="auto"/>
          <w:sz w:val="24"/>
        </w:rPr>
      </w:pPr>
      <w:bookmarkStart w:id="206" w:name="_Toc23215"/>
      <w:r>
        <w:rPr>
          <w:rFonts w:ascii="Times New Roman" w:hAnsi="Times New Roman"/>
          <w:color w:val="auto"/>
          <w:sz w:val="24"/>
        </w:rPr>
        <w:t>多个噪声源叠加的综合噪声计算公式如下：</w:t>
      </w:r>
    </w:p>
    <w:p w14:paraId="4EC4B7BF">
      <w:pPr>
        <w:spacing w:line="360" w:lineRule="auto"/>
        <w:ind w:firstLine="420"/>
        <w:jc w:val="center"/>
        <w:rPr>
          <w:rFonts w:ascii="Times New Roman" w:hAnsi="Times New Roman"/>
          <w:color w:val="auto"/>
        </w:rPr>
      </w:pPr>
      <w:r>
        <w:rPr>
          <w:color w:val="auto"/>
        </w:rPr>
        <w:object>
          <v:shape id="_x0000_i1025" o:spt="75" type="#_x0000_t75" style="height:34.15pt;width:102.85pt;" o:ole="t" filled="f" o:preferrelative="t" stroked="f" coordsize="21600,21600">
            <v:path/>
            <v:fill on="f" focussize="0,0"/>
            <v:stroke on="f" joinstyle="miter"/>
            <v:imagedata r:id="rId41" o:title=""/>
            <o:lock v:ext="edit" aspectratio="t"/>
            <w10:wrap type="none"/>
            <w10:anchorlock/>
          </v:shape>
          <o:OLEObject Type="Embed" ProgID="Equation.3" ShapeID="_x0000_i1025" DrawAspect="Content" ObjectID="_1468075725" r:id="rId40">
            <o:LockedField>false</o:LockedField>
          </o:OLEObject>
        </w:object>
      </w:r>
    </w:p>
    <w:p w14:paraId="6A58940A">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式中，</w:t>
      </w:r>
      <w:r>
        <w:rPr>
          <w:color w:val="auto"/>
          <w:sz w:val="24"/>
        </w:rPr>
        <w:object>
          <v:shape id="_x0000_i1026" o:spt="75" type="#_x0000_t75" style="height:17.75pt;width:15.9pt;" o:ole="t" filled="f" o:preferrelative="t" stroked="f" coordsize="21600,21600">
            <v:path/>
            <v:fill on="f" focussize="0,0"/>
            <v:stroke on="f" joinstyle="miter"/>
            <v:imagedata r:id="rId43" o:title=""/>
            <o:lock v:ext="edit" aspectratio="t"/>
            <w10:wrap type="none"/>
            <w10:anchorlock/>
          </v:shape>
          <o:OLEObject Type="Embed" ProgID="Equation.3" ShapeID="_x0000_i1026" DrawAspect="Content" ObjectID="_1468075726" r:id="rId42">
            <o:LockedField>false</o:LockedField>
          </o:OLEObject>
        </w:object>
      </w:r>
      <w:r>
        <w:rPr>
          <w:rFonts w:hint="eastAsia" w:ascii="Times New Roman" w:hAnsi="Times New Roman"/>
          <w:color w:val="auto"/>
          <w:sz w:val="24"/>
        </w:rPr>
        <w:t>：</w:t>
      </w:r>
      <w:r>
        <w:rPr>
          <w:rFonts w:ascii="Times New Roman" w:hAnsi="Times New Roman"/>
          <w:color w:val="auto"/>
          <w:sz w:val="24"/>
        </w:rPr>
        <w:t>多个噪声源叠加的综合噪声声级，dB（A）；</w:t>
      </w:r>
    </w:p>
    <w:p w14:paraId="58862028">
      <w:pPr>
        <w:adjustRightInd w:val="0"/>
        <w:snapToGrid w:val="0"/>
        <w:spacing w:line="360" w:lineRule="auto"/>
        <w:ind w:left="720" w:leftChars="300" w:firstLine="480" w:firstLineChars="200"/>
        <w:rPr>
          <w:rFonts w:ascii="Times New Roman" w:hAnsi="Times New Roman"/>
          <w:color w:val="auto"/>
          <w:sz w:val="24"/>
        </w:rPr>
      </w:pPr>
      <w:r>
        <w:rPr>
          <w:color w:val="auto"/>
          <w:sz w:val="24"/>
        </w:rPr>
        <w:object>
          <v:shape id="_x0000_i1027" o:spt="75" type="#_x0000_t75" style="height:18.25pt;width:12.6pt;" o:ole="t" filled="f" o:preferrelative="t" stroked="f" coordsize="21600,21600">
            <v:path/>
            <v:fill on="f" focussize="0,0"/>
            <v:stroke on="f" joinstyle="miter"/>
            <v:imagedata r:id="rId45" o:title=""/>
            <o:lock v:ext="edit" aspectratio="t"/>
            <w10:wrap type="none"/>
            <w10:anchorlock/>
          </v:shape>
          <o:OLEObject Type="Embed" ProgID="Equation.3" ShapeID="_x0000_i1027" DrawAspect="Content" ObjectID="_1468075727" r:id="rId44">
            <o:LockedField>false</o:LockedField>
          </o:OLEObject>
        </w:object>
      </w:r>
      <w:r>
        <w:rPr>
          <w:rFonts w:hint="eastAsia" w:ascii="Times New Roman" w:hAnsi="Times New Roman"/>
          <w:color w:val="auto"/>
          <w:sz w:val="24"/>
        </w:rPr>
        <w:t>：</w:t>
      </w:r>
      <w:r>
        <w:rPr>
          <w:rFonts w:ascii="Times New Roman" w:hAnsi="Times New Roman"/>
          <w:color w:val="auto"/>
          <w:sz w:val="24"/>
        </w:rPr>
        <w:t>第</w:t>
      </w:r>
      <w:r>
        <w:rPr>
          <w:rFonts w:hint="eastAsia" w:ascii="Times New Roman" w:hAnsi="Times New Roman"/>
          <w:color w:val="auto"/>
          <w:sz w:val="24"/>
        </w:rPr>
        <w:t>i</w:t>
      </w:r>
      <w:r>
        <w:rPr>
          <w:rFonts w:ascii="Times New Roman" w:hAnsi="Times New Roman"/>
          <w:color w:val="auto"/>
          <w:sz w:val="24"/>
        </w:rPr>
        <w:t>个噪声源的声级，dB（A）；</w:t>
      </w:r>
    </w:p>
    <w:p w14:paraId="500BB1C4">
      <w:pPr>
        <w:adjustRightInd w:val="0"/>
        <w:snapToGrid w:val="0"/>
        <w:spacing w:line="360" w:lineRule="auto"/>
        <w:ind w:left="720" w:leftChars="300" w:firstLine="480" w:firstLineChars="200"/>
        <w:rPr>
          <w:rFonts w:ascii="Times New Roman" w:hAnsi="Times New Roman"/>
          <w:color w:val="auto"/>
          <w:sz w:val="24"/>
        </w:rPr>
      </w:pPr>
      <w:r>
        <w:rPr>
          <w:color w:val="auto"/>
          <w:sz w:val="24"/>
        </w:rPr>
        <w:object>
          <v:shape id="_x0000_i1028" o:spt="75" type="#_x0000_t75" style="height:12.6pt;width:9.8pt;" o:ole="t" filled="f" o:preferrelative="t" stroked="f" coordsize="21600,21600">
            <v:path/>
            <v:fill on="f" focussize="0,0"/>
            <v:stroke on="f" joinstyle="miter"/>
            <v:imagedata r:id="rId47" o:title=""/>
            <o:lock v:ext="edit" aspectratio="t"/>
            <w10:wrap type="none"/>
            <w10:anchorlock/>
          </v:shape>
          <o:OLEObject Type="Embed" ProgID="Equation.3" ShapeID="_x0000_i1028" DrawAspect="Content" ObjectID="_1468075728" r:id="rId46">
            <o:LockedField>false</o:LockedField>
          </o:OLEObject>
        </w:object>
      </w:r>
      <w:r>
        <w:rPr>
          <w:rFonts w:hint="eastAsia" w:ascii="Times New Roman" w:hAnsi="Times New Roman"/>
          <w:color w:val="auto"/>
          <w:sz w:val="24"/>
        </w:rPr>
        <w:t>：</w:t>
      </w:r>
      <w:r>
        <w:rPr>
          <w:rFonts w:ascii="Times New Roman" w:hAnsi="Times New Roman"/>
          <w:color w:val="auto"/>
          <w:sz w:val="24"/>
        </w:rPr>
        <w:t>噪声源的个数。</w:t>
      </w:r>
    </w:p>
    <w:p w14:paraId="25A2F6AC">
      <w:pPr>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经计算，</w:t>
      </w:r>
      <w:r>
        <w:rPr>
          <w:rFonts w:ascii="Times New Roman" w:hAnsi="Times New Roman"/>
          <w:color w:val="auto"/>
          <w:sz w:val="24"/>
        </w:rPr>
        <w:t>本项目</w:t>
      </w:r>
      <w:r>
        <w:rPr>
          <w:rFonts w:hint="eastAsia" w:ascii="Times New Roman" w:hAnsi="Times New Roman"/>
          <w:color w:val="auto"/>
          <w:sz w:val="24"/>
        </w:rPr>
        <w:t>厂区内</w:t>
      </w:r>
      <w:r>
        <w:rPr>
          <w:rFonts w:ascii="Times New Roman" w:hAnsi="Times New Roman"/>
          <w:color w:val="auto"/>
          <w:sz w:val="24"/>
        </w:rPr>
        <w:t>综合噪声源强为</w:t>
      </w:r>
      <w:r>
        <w:rPr>
          <w:rFonts w:hint="eastAsia" w:ascii="Times New Roman" w:hAnsi="Times New Roman"/>
          <w:color w:val="auto"/>
          <w:sz w:val="24"/>
          <w:lang w:val="en-US" w:eastAsia="zh-CN"/>
        </w:rPr>
        <w:t>71.3</w:t>
      </w:r>
      <w:r>
        <w:rPr>
          <w:rFonts w:ascii="Times New Roman" w:hAnsi="Times New Roman"/>
          <w:color w:val="auto"/>
          <w:sz w:val="24"/>
        </w:rPr>
        <w:t>dB（A）。</w:t>
      </w:r>
    </w:p>
    <w:p w14:paraId="7DAB0FB6">
      <w:pPr>
        <w:tabs>
          <w:tab w:val="left" w:pos="2760"/>
        </w:tabs>
        <w:autoSpaceDE w:val="0"/>
        <w:autoSpaceDN w:val="0"/>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声环境预测模式选用《环境影响评价技术导则—声环境》（HJ2.4—2021）中推荐的</w:t>
      </w:r>
      <w:r>
        <w:rPr>
          <w:rFonts w:hint="eastAsia" w:ascii="Times New Roman" w:hAnsi="Times New Roman"/>
          <w:color w:val="auto"/>
          <w:sz w:val="24"/>
        </w:rPr>
        <w:t>声能在半自由空间中的</w:t>
      </w:r>
      <w:r>
        <w:rPr>
          <w:rFonts w:ascii="Times New Roman" w:hAnsi="Times New Roman"/>
          <w:color w:val="auto"/>
          <w:sz w:val="24"/>
        </w:rPr>
        <w:t>衰减模式</w:t>
      </w:r>
      <w:r>
        <w:rPr>
          <w:rFonts w:hint="eastAsia" w:ascii="Times New Roman" w:hAnsi="Times New Roman"/>
          <w:color w:val="auto"/>
          <w:sz w:val="24"/>
        </w:rPr>
        <w:t>，选用的噪声随距离衰减公式为：</w:t>
      </w:r>
    </w:p>
    <w:p w14:paraId="041ADC66">
      <w:pPr>
        <w:tabs>
          <w:tab w:val="left" w:pos="2760"/>
        </w:tabs>
        <w:autoSpaceDE w:val="0"/>
        <w:autoSpaceDN w:val="0"/>
        <w:adjustRightInd w:val="0"/>
        <w:spacing w:line="360" w:lineRule="auto"/>
        <w:ind w:firstLine="480"/>
        <w:jc w:val="center"/>
        <w:rPr>
          <w:rFonts w:ascii="Times New Roman" w:hAnsi="Times New Roman"/>
          <w:color w:val="auto"/>
          <w:sz w:val="24"/>
        </w:rPr>
      </w:pPr>
      <w:r>
        <w:rPr>
          <w:rFonts w:cs="隶书"/>
          <w:color w:val="auto"/>
          <w:position w:val="-10"/>
          <w:sz w:val="24"/>
        </w:rPr>
        <w:object>
          <v:shape id="_x0000_i1029" o:spt="75" type="#_x0000_t75" style="height:21.95pt;width:178.15pt;" o:ole="t" filled="f" o:preferrelative="t" stroked="f" coordsize="21600,21600">
            <v:path/>
            <v:fill on="f" focussize="0,0"/>
            <v:stroke on="f" joinstyle="miter"/>
            <v:imagedata r:id="rId49" o:title=""/>
            <o:lock v:ext="edit" aspectratio="t"/>
            <w10:wrap type="none"/>
            <w10:anchorlock/>
          </v:shape>
          <o:OLEObject Type="Embed" ProgID="Equation.3" ShapeID="_x0000_i1029" DrawAspect="Content" ObjectID="_1468075729" r:id="rId48">
            <o:LockedField>false</o:LockedField>
          </o:OLEObject>
        </w:object>
      </w:r>
    </w:p>
    <w:p w14:paraId="141D82E9">
      <w:pPr>
        <w:tabs>
          <w:tab w:val="left" w:pos="2760"/>
        </w:tabs>
        <w:autoSpaceDE w:val="0"/>
        <w:autoSpaceDN w:val="0"/>
        <w:adjustRightInd w:val="0"/>
        <w:spacing w:line="360" w:lineRule="auto"/>
        <w:ind w:firstLine="480" w:firstLineChars="200"/>
        <w:rPr>
          <w:rFonts w:ascii="Times New Roman" w:hAnsi="Times New Roman"/>
          <w:color w:val="auto"/>
          <w:sz w:val="24"/>
        </w:rPr>
      </w:pPr>
      <w:r>
        <w:rPr>
          <w:rFonts w:ascii="Times New Roman" w:hAnsi="Times New Roman" w:cs="隶书"/>
          <w:color w:val="auto"/>
          <w:sz w:val="24"/>
        </w:rPr>
        <w:t>式中，</w:t>
      </w:r>
      <w:r>
        <w:rPr>
          <w:rFonts w:cs="隶书"/>
          <w:color w:val="auto"/>
          <w:position w:val="-8"/>
          <w:sz w:val="24"/>
        </w:rPr>
        <w:object>
          <v:shape id="_x0000_i1030" o:spt="75" type="#_x0000_t75" style="height:15.9pt;width:42.1pt;" o:ole="t" filled="f" o:preferrelative="t" stroked="f" coordsize="21600,21600">
            <v:path/>
            <v:fill on="f" focussize="0,0"/>
            <v:stroke on="f" joinstyle="miter"/>
            <v:imagedata r:id="rId51" o:title=""/>
            <o:lock v:ext="edit" aspectratio="t"/>
            <w10:wrap type="none"/>
            <w10:anchorlock/>
          </v:shape>
          <o:OLEObject Type="Embed" ProgID="Equation.3" ShapeID="_x0000_i1030" DrawAspect="Content" ObjectID="_1468075730" r:id="rId50">
            <o:LockedField>false</o:LockedField>
          </o:OLEObject>
        </w:object>
      </w:r>
      <w:r>
        <w:rPr>
          <w:rFonts w:hint="eastAsia" w:ascii="Times New Roman" w:hAnsi="Times New Roman" w:cs="隶书"/>
          <w:color w:val="auto"/>
          <w:sz w:val="24"/>
        </w:rPr>
        <w:t>：</w:t>
      </w:r>
      <w:r>
        <w:rPr>
          <w:rFonts w:hint="eastAsia" w:ascii="Times New Roman" w:hAnsi="Times New Roman"/>
          <w:color w:val="auto"/>
          <w:sz w:val="24"/>
        </w:rPr>
        <w:t>预测点处声压级</w:t>
      </w:r>
      <w:r>
        <w:rPr>
          <w:rFonts w:ascii="Times New Roman" w:hAnsi="Times New Roman"/>
          <w:color w:val="auto"/>
          <w:sz w:val="24"/>
        </w:rPr>
        <w:t>，dB；</w:t>
      </w:r>
    </w:p>
    <w:p w14:paraId="734F2730">
      <w:pPr>
        <w:adjustRightInd w:val="0"/>
        <w:snapToGrid w:val="0"/>
        <w:spacing w:line="360" w:lineRule="auto"/>
        <w:ind w:left="720" w:leftChars="300" w:firstLine="480" w:firstLineChars="200"/>
        <w:rPr>
          <w:rFonts w:ascii="Times New Roman" w:hAnsi="Times New Roman"/>
          <w:color w:val="auto"/>
          <w:sz w:val="24"/>
        </w:rPr>
      </w:pPr>
      <w:r>
        <w:rPr>
          <w:color w:val="auto"/>
          <w:position w:val="-6"/>
          <w:sz w:val="24"/>
        </w:rPr>
        <w:object>
          <v:shape id="_x0000_i1031" o:spt="75" type="#_x0000_t75" style="height:13.55pt;width:14.05pt;" o:ole="t" filled="f" o:preferrelative="t" stroked="f" coordsize="21600,21600">
            <v:path/>
            <v:fill on="f" focussize="0,0"/>
            <v:stroke on="f" joinstyle="miter"/>
            <v:imagedata r:id="rId53" o:title=""/>
            <o:lock v:ext="edit" aspectratio="t"/>
            <w10:wrap type="none"/>
            <w10:anchorlock/>
          </v:shape>
          <o:OLEObject Type="Embed" ProgID="Equation.3" ShapeID="_x0000_i1031" DrawAspect="Content" ObjectID="_1468075731" r:id="rId52">
            <o:LockedField>false</o:LockedField>
          </o:OLEObject>
        </w:object>
      </w:r>
      <w:r>
        <w:rPr>
          <w:rFonts w:hint="eastAsia" w:ascii="Times New Roman" w:hAnsi="Times New Roman"/>
          <w:color w:val="auto"/>
          <w:sz w:val="24"/>
        </w:rPr>
        <w:t>：点声源处噪声值，dB；</w:t>
      </w:r>
    </w:p>
    <w:p w14:paraId="18E5D528">
      <w:pPr>
        <w:adjustRightInd w:val="0"/>
        <w:snapToGrid w:val="0"/>
        <w:spacing w:line="360" w:lineRule="auto"/>
        <w:ind w:left="720" w:leftChars="300" w:firstLine="480" w:firstLineChars="200"/>
        <w:rPr>
          <w:rFonts w:ascii="Times New Roman" w:hAnsi="Times New Roman"/>
          <w:color w:val="auto"/>
          <w:sz w:val="24"/>
        </w:rPr>
      </w:pPr>
      <w:r>
        <w:rPr>
          <w:color w:val="auto"/>
          <w:position w:val="-4"/>
          <w:sz w:val="24"/>
        </w:rPr>
        <w:object>
          <v:shape id="_x0000_i1032" o:spt="75" type="#_x0000_t75" style="height:9.8pt;width:8.4pt;" o:ole="t" filled="f" o:preferrelative="t" stroked="f" coordsize="21600,21600">
            <v:path/>
            <v:fill on="f" focussize="0,0"/>
            <v:stroke on="f" joinstyle="miter"/>
            <v:imagedata r:id="rId55" o:title=""/>
            <o:lock v:ext="edit" aspectratio="t"/>
            <w10:wrap type="none"/>
            <w10:anchorlock/>
          </v:shape>
          <o:OLEObject Type="Embed" ProgID="Equation.3" ShapeID="_x0000_i1032" DrawAspect="Content" ObjectID="_1468075732" r:id="rId54">
            <o:LockedField>false</o:LockedField>
          </o:OLEObject>
        </w:object>
      </w:r>
      <w:r>
        <w:rPr>
          <w:rFonts w:hint="eastAsia" w:ascii="Times New Roman" w:hAnsi="Times New Roman"/>
          <w:color w:val="auto"/>
          <w:sz w:val="24"/>
        </w:rPr>
        <w:t>：点声源至受声点的距离，</w:t>
      </w:r>
      <w:r>
        <w:rPr>
          <w:rFonts w:ascii="Times New Roman" w:hAnsi="Times New Roman"/>
          <w:color w:val="auto"/>
          <w:sz w:val="24"/>
        </w:rPr>
        <w:t>m</w:t>
      </w:r>
      <w:r>
        <w:rPr>
          <w:rFonts w:hint="eastAsia" w:ascii="Times New Roman" w:hAnsi="Times New Roman"/>
          <w:color w:val="auto"/>
          <w:sz w:val="24"/>
        </w:rPr>
        <w:t>。</w:t>
      </w:r>
    </w:p>
    <w:p w14:paraId="244D71A7">
      <w:pPr>
        <w:ind w:left="480" w:leftChars="200" w:firstLine="0" w:firstLineChars="0"/>
        <w:rPr>
          <w:rFonts w:ascii="Times New Roman" w:hAnsi="Times New Roman" w:cs="Times New Roman"/>
          <w:color w:val="auto"/>
        </w:rPr>
      </w:pPr>
      <w:r>
        <w:rPr>
          <w:rFonts w:hint="eastAsia" w:cs="Times New Roman"/>
          <w:color w:val="auto"/>
          <w:lang w:eastAsia="zh-CN"/>
        </w:rPr>
        <w:t>6.</w:t>
      </w:r>
      <w:r>
        <w:rPr>
          <w:rFonts w:ascii="Times New Roman" w:hAnsi="Times New Roman" w:cs="Times New Roman"/>
          <w:color w:val="auto"/>
          <w:lang w:bidi="zh-CN"/>
        </w:rPr>
        <w:t>预测结果与评价</w:t>
      </w:r>
      <w:bookmarkEnd w:id="206"/>
    </w:p>
    <w:p w14:paraId="3D886A96">
      <w:pPr>
        <w:ind w:left="480" w:leftChars="200" w:firstLine="0" w:firstLineChars="0"/>
        <w:rPr>
          <w:rFonts w:ascii="Times New Roman" w:hAnsi="Times New Roman" w:cs="Times New Roman"/>
          <w:color w:val="auto"/>
        </w:rPr>
      </w:pPr>
      <w:r>
        <w:rPr>
          <w:rFonts w:ascii="Times New Roman" w:hAnsi="Times New Roman" w:cs="Times New Roman"/>
          <w:color w:val="auto"/>
          <w:lang w:bidi="zh-CN"/>
        </w:rPr>
        <w:t>根据噪声预测模式和设备的声功率计算结果，本项目噪声预测结果见表</w:t>
      </w:r>
      <w:r>
        <w:rPr>
          <w:rFonts w:hint="eastAsia" w:cs="Times New Roman"/>
          <w:color w:val="auto"/>
          <w:lang w:val="en-US" w:bidi="zh-CN"/>
        </w:rPr>
        <w:t>5</w:t>
      </w:r>
      <w:r>
        <w:rPr>
          <w:rFonts w:ascii="Times New Roman" w:hAnsi="Times New Roman" w:cs="Times New Roman"/>
          <w:color w:val="auto"/>
          <w:lang w:bidi="zh-CN"/>
        </w:rPr>
        <w:t>.2-1</w:t>
      </w:r>
      <w:r>
        <w:rPr>
          <w:rFonts w:hint="eastAsia" w:ascii="Times New Roman" w:hAnsi="Times New Roman" w:cs="Times New Roman"/>
          <w:color w:val="auto"/>
          <w:lang w:val="en-US" w:bidi="zh-CN"/>
        </w:rPr>
        <w:t>9</w:t>
      </w:r>
      <w:r>
        <w:rPr>
          <w:rFonts w:ascii="Times New Roman" w:hAnsi="Times New Roman" w:cs="Times New Roman"/>
          <w:color w:val="auto"/>
          <w:lang w:bidi="zh-CN"/>
        </w:rPr>
        <w:t>。</w:t>
      </w:r>
    </w:p>
    <w:p w14:paraId="3E85526B">
      <w:pPr>
        <w:ind w:firstLine="0" w:firstLineChars="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.2-1</w:t>
      </w:r>
      <w:r>
        <w:rPr>
          <w:rFonts w:hint="eastAsia" w:ascii="Times New Roman" w:hAnsi="Times New Roman" w:eastAsia="宋体" w:cs="Times New Roman"/>
          <w:b/>
          <w:bCs/>
          <w:color w:val="000000" w:themeColor="text1"/>
          <w:lang w:val="en-US" w:eastAsia="zh-CN"/>
          <w14:textFill>
            <w14:solidFill>
              <w14:schemeClr w14:val="tx1"/>
            </w14:solidFill>
          </w14:textFill>
        </w:rPr>
        <w:t>9</w:t>
      </w:r>
      <w:r>
        <w:rPr>
          <w:rFonts w:ascii="Times New Roman" w:hAnsi="Times New Roman" w:eastAsia="宋体" w:cs="Times New Roman"/>
          <w:b/>
          <w:bCs/>
          <w:color w:val="000000" w:themeColor="text1"/>
          <w14:textFill>
            <w14:solidFill>
              <w14:schemeClr w14:val="tx1"/>
            </w14:solidFill>
          </w14:textFill>
        </w:rPr>
        <w:t xml:space="preserve">    噪声预测结果表</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2"/>
        <w:gridCol w:w="1107"/>
        <w:gridCol w:w="966"/>
        <w:gridCol w:w="1656"/>
        <w:gridCol w:w="1243"/>
        <w:gridCol w:w="1082"/>
        <w:gridCol w:w="1084"/>
        <w:gridCol w:w="1085"/>
      </w:tblGrid>
      <w:tr w14:paraId="405C85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Align w:val="center"/>
          </w:tcPr>
          <w:p w14:paraId="3F2A38ED">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位置</w:t>
            </w:r>
          </w:p>
        </w:tc>
        <w:tc>
          <w:tcPr>
            <w:tcW w:w="611" w:type="pct"/>
            <w:vAlign w:val="center"/>
          </w:tcPr>
          <w:p w14:paraId="454CDCBC">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综合源强</w:t>
            </w:r>
          </w:p>
        </w:tc>
        <w:tc>
          <w:tcPr>
            <w:tcW w:w="533" w:type="pct"/>
            <w:vAlign w:val="center"/>
          </w:tcPr>
          <w:p w14:paraId="08452FCE">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方位</w:t>
            </w:r>
          </w:p>
        </w:tc>
        <w:tc>
          <w:tcPr>
            <w:tcW w:w="914" w:type="pct"/>
            <w:vAlign w:val="center"/>
          </w:tcPr>
          <w:p w14:paraId="0FC6B902">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距厂界距离（m）</w:t>
            </w:r>
          </w:p>
        </w:tc>
        <w:tc>
          <w:tcPr>
            <w:tcW w:w="686" w:type="pct"/>
            <w:vAlign w:val="center"/>
          </w:tcPr>
          <w:p w14:paraId="2BBFB366">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贡献值</w:t>
            </w:r>
          </w:p>
        </w:tc>
        <w:tc>
          <w:tcPr>
            <w:tcW w:w="597" w:type="pct"/>
            <w:vAlign w:val="center"/>
          </w:tcPr>
          <w:p w14:paraId="4FF38A85">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背景值</w:t>
            </w:r>
          </w:p>
        </w:tc>
        <w:tc>
          <w:tcPr>
            <w:tcW w:w="598" w:type="pct"/>
            <w:vAlign w:val="center"/>
          </w:tcPr>
          <w:p w14:paraId="2EF687B9">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叠加值</w:t>
            </w:r>
          </w:p>
        </w:tc>
        <w:tc>
          <w:tcPr>
            <w:tcW w:w="599" w:type="pct"/>
            <w:vAlign w:val="center"/>
          </w:tcPr>
          <w:p w14:paraId="79DAC056">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标准值</w:t>
            </w:r>
          </w:p>
        </w:tc>
      </w:tr>
      <w:tr w14:paraId="477D58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restart"/>
            <w:vAlign w:val="center"/>
          </w:tcPr>
          <w:p w14:paraId="13946ED0">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项目区</w:t>
            </w:r>
          </w:p>
        </w:tc>
        <w:tc>
          <w:tcPr>
            <w:tcW w:w="611" w:type="pct"/>
            <w:vMerge w:val="restart"/>
            <w:vAlign w:val="center"/>
          </w:tcPr>
          <w:p w14:paraId="5E82B51D">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71.3</w:t>
            </w:r>
          </w:p>
        </w:tc>
        <w:tc>
          <w:tcPr>
            <w:tcW w:w="533" w:type="pct"/>
            <w:vAlign w:val="center"/>
          </w:tcPr>
          <w:p w14:paraId="28BBF0DF">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w:t>
            </w:r>
          </w:p>
        </w:tc>
        <w:tc>
          <w:tcPr>
            <w:tcW w:w="914" w:type="pct"/>
            <w:vAlign w:val="center"/>
          </w:tcPr>
          <w:p w14:paraId="0E5EA56E">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686" w:type="pct"/>
            <w:vAlign w:val="center"/>
          </w:tcPr>
          <w:p w14:paraId="1AAB10CD">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36 </w:t>
            </w:r>
          </w:p>
        </w:tc>
        <w:tc>
          <w:tcPr>
            <w:tcW w:w="597" w:type="pct"/>
            <w:vAlign w:val="center"/>
          </w:tcPr>
          <w:p w14:paraId="29E9CF53">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598" w:type="pct"/>
            <w:vAlign w:val="bottom"/>
          </w:tcPr>
          <w:p w14:paraId="787871C3">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53.1 </w:t>
            </w:r>
          </w:p>
        </w:tc>
        <w:tc>
          <w:tcPr>
            <w:tcW w:w="599" w:type="pct"/>
            <w:vMerge w:val="restart"/>
            <w:vAlign w:val="center"/>
          </w:tcPr>
          <w:p w14:paraId="0598B99E">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rPr>
            </w:pPr>
            <w:r>
              <w:rPr>
                <w:rFonts w:hint="eastAsia" w:ascii="Times New Roman" w:hAnsi="Times New Roman" w:eastAsia="宋体" w:cs="Times New Roman"/>
                <w:color w:val="auto"/>
                <w:kern w:val="2"/>
                <w:sz w:val="21"/>
                <w:szCs w:val="21"/>
                <w:lang w:val="en-US" w:eastAsia="zh-CN" w:bidi="zh-CN"/>
              </w:rPr>
              <w:t>昼间65dB（A）、夜间55dB（A）</w:t>
            </w:r>
          </w:p>
        </w:tc>
      </w:tr>
      <w:tr w14:paraId="3BA430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07A95733">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611" w:type="pct"/>
            <w:vMerge w:val="continue"/>
            <w:vAlign w:val="center"/>
          </w:tcPr>
          <w:p w14:paraId="617FB026">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533" w:type="pct"/>
            <w:vAlign w:val="center"/>
          </w:tcPr>
          <w:p w14:paraId="12B4C1B9">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w:t>
            </w:r>
          </w:p>
        </w:tc>
        <w:tc>
          <w:tcPr>
            <w:tcW w:w="914" w:type="pct"/>
            <w:vAlign w:val="center"/>
          </w:tcPr>
          <w:p w14:paraId="6CEDF3DA">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686" w:type="pct"/>
            <w:vAlign w:val="center"/>
          </w:tcPr>
          <w:p w14:paraId="41C35576">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35 </w:t>
            </w:r>
          </w:p>
        </w:tc>
        <w:tc>
          <w:tcPr>
            <w:tcW w:w="597" w:type="pct"/>
            <w:vAlign w:val="center"/>
          </w:tcPr>
          <w:p w14:paraId="0840698E">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598" w:type="pct"/>
            <w:vAlign w:val="bottom"/>
          </w:tcPr>
          <w:p w14:paraId="7B10A91F">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52.1 </w:t>
            </w:r>
          </w:p>
        </w:tc>
        <w:tc>
          <w:tcPr>
            <w:tcW w:w="599" w:type="pct"/>
            <w:vMerge w:val="continue"/>
            <w:vAlign w:val="center"/>
          </w:tcPr>
          <w:p w14:paraId="0309021E">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rPr>
            </w:pPr>
          </w:p>
        </w:tc>
      </w:tr>
      <w:tr w14:paraId="7B51F6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6DD750E7">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611" w:type="pct"/>
            <w:vMerge w:val="continue"/>
            <w:vAlign w:val="center"/>
          </w:tcPr>
          <w:p w14:paraId="7931485B">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533" w:type="pct"/>
            <w:vAlign w:val="center"/>
          </w:tcPr>
          <w:p w14:paraId="00E13090">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w:t>
            </w:r>
          </w:p>
        </w:tc>
        <w:tc>
          <w:tcPr>
            <w:tcW w:w="914" w:type="pct"/>
            <w:vAlign w:val="center"/>
          </w:tcPr>
          <w:p w14:paraId="710D3A55">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686" w:type="pct"/>
            <w:vAlign w:val="center"/>
          </w:tcPr>
          <w:p w14:paraId="76942032">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36 </w:t>
            </w:r>
          </w:p>
        </w:tc>
        <w:tc>
          <w:tcPr>
            <w:tcW w:w="597" w:type="pct"/>
            <w:vAlign w:val="center"/>
          </w:tcPr>
          <w:p w14:paraId="289FB55F">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598" w:type="pct"/>
            <w:vAlign w:val="bottom"/>
          </w:tcPr>
          <w:p w14:paraId="362949DB">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52.1 </w:t>
            </w:r>
          </w:p>
        </w:tc>
        <w:tc>
          <w:tcPr>
            <w:tcW w:w="599" w:type="pct"/>
            <w:vMerge w:val="continue"/>
            <w:vAlign w:val="center"/>
          </w:tcPr>
          <w:p w14:paraId="7C3291EC">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rPr>
            </w:pPr>
          </w:p>
        </w:tc>
      </w:tr>
      <w:tr w14:paraId="6AB58B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6A93AA0A">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611" w:type="pct"/>
            <w:vMerge w:val="continue"/>
            <w:vAlign w:val="center"/>
          </w:tcPr>
          <w:p w14:paraId="0EC14BC4">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p>
        </w:tc>
        <w:tc>
          <w:tcPr>
            <w:tcW w:w="533" w:type="pct"/>
            <w:vAlign w:val="center"/>
          </w:tcPr>
          <w:p w14:paraId="64B4A37C">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北</w:t>
            </w:r>
          </w:p>
        </w:tc>
        <w:tc>
          <w:tcPr>
            <w:tcW w:w="914" w:type="pct"/>
            <w:vAlign w:val="center"/>
          </w:tcPr>
          <w:p w14:paraId="71CF569E">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686" w:type="pct"/>
            <w:vAlign w:val="center"/>
          </w:tcPr>
          <w:p w14:paraId="09B11B34">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 xml:space="preserve">38 </w:t>
            </w:r>
          </w:p>
        </w:tc>
        <w:tc>
          <w:tcPr>
            <w:tcW w:w="597" w:type="pct"/>
            <w:vAlign w:val="center"/>
          </w:tcPr>
          <w:p w14:paraId="7CD324EF">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598" w:type="pct"/>
            <w:vAlign w:val="bottom"/>
          </w:tcPr>
          <w:p w14:paraId="65525F70">
            <w:pPr>
              <w:pStyle w:val="56"/>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53.1 </w:t>
            </w:r>
          </w:p>
        </w:tc>
        <w:tc>
          <w:tcPr>
            <w:tcW w:w="599" w:type="pct"/>
            <w:vMerge w:val="continue"/>
            <w:vAlign w:val="center"/>
          </w:tcPr>
          <w:p w14:paraId="26151D80">
            <w:pPr>
              <w:pStyle w:val="93"/>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hAnsi="Times New Roman"/>
                <w:color w:val="auto"/>
                <w:szCs w:val="21"/>
              </w:rPr>
            </w:pPr>
          </w:p>
        </w:tc>
      </w:tr>
    </w:tbl>
    <w:p w14:paraId="5DAF838E">
      <w:pPr>
        <w:ind w:firstLine="480"/>
        <w:rPr>
          <w:rFonts w:ascii="Times New Roman" w:hAnsi="Times New Roman" w:cs="Times New Roman"/>
          <w:color w:val="auto"/>
          <w:lang w:bidi="zh-CN"/>
        </w:rPr>
      </w:pPr>
      <w:r>
        <w:rPr>
          <w:rFonts w:ascii="Times New Roman" w:hAnsi="Times New Roman" w:cs="Times New Roman"/>
          <w:color w:val="auto"/>
          <w:lang w:bidi="zh-CN"/>
        </w:rPr>
        <w:t>本项目厂界噪声贡献值满足《工业企业厂界环境噪声排放标准》（GB12348-2008）</w:t>
      </w:r>
      <w:r>
        <w:rPr>
          <w:rFonts w:hint="eastAsia" w:ascii="Times New Roman" w:hAnsi="Times New Roman" w:cs="Times New Roman"/>
          <w:color w:val="auto"/>
          <w:lang w:val="en-US" w:bidi="zh-CN"/>
        </w:rPr>
        <w:t>3</w:t>
      </w:r>
      <w:r>
        <w:rPr>
          <w:rFonts w:ascii="Times New Roman" w:hAnsi="Times New Roman" w:cs="Times New Roman"/>
          <w:color w:val="auto"/>
          <w:lang w:bidi="zh-CN"/>
        </w:rPr>
        <w:t>类标准要求。项目区周边为空地，无人群聚集居住，项目运营时产生的噪声不会对周围环境产生明显影响。</w:t>
      </w:r>
    </w:p>
    <w:p w14:paraId="0548A27E">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207" w:name="5.2.4固体废物环境影响评价"/>
      <w:bookmarkEnd w:id="207"/>
      <w:bookmarkStart w:id="208" w:name="_Toc4048"/>
      <w:r>
        <w:rPr>
          <w:rFonts w:ascii="Times New Roman" w:hAnsi="Times New Roman" w:cs="Times New Roman"/>
          <w:color w:val="000000" w:themeColor="text1"/>
          <w14:textFill>
            <w14:solidFill>
              <w14:schemeClr w14:val="tx1"/>
            </w14:solidFill>
          </w14:textFill>
        </w:rPr>
        <w:t>固体废物环境影响评价</w:t>
      </w:r>
      <w:bookmarkEnd w:id="208"/>
    </w:p>
    <w:p w14:paraId="6A4763EF">
      <w:pPr>
        <w:ind w:firstLine="480"/>
        <w:rPr>
          <w:rFonts w:ascii="Times New Roman" w:hAnsi="Times New Roman" w:cs="Times New Roman"/>
          <w:color w:val="000000" w:themeColor="text1"/>
          <w14:textFill>
            <w14:solidFill>
              <w14:schemeClr w14:val="tx1"/>
            </w14:solidFill>
          </w14:textFill>
        </w:rPr>
      </w:pPr>
      <w:bookmarkStart w:id="209" w:name="5.2.4.1固体废物产生情况"/>
      <w:bookmarkEnd w:id="209"/>
      <w:bookmarkStart w:id="210" w:name="_Toc17958"/>
      <w:r>
        <w:rPr>
          <w:rFonts w:hint="eastAsia" w:cs="Times New Roman"/>
          <w:color w:val="000000" w:themeColor="text1"/>
          <w:lang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w:t>
      </w:r>
      <w:bookmarkEnd w:id="210"/>
    </w:p>
    <w:p w14:paraId="625FDCE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本项目采用干清粪工艺，</w:t>
      </w:r>
      <w:r>
        <w:rPr>
          <w:rFonts w:hint="eastAsia" w:cs="Times New Roman"/>
          <w:color w:val="000000" w:themeColor="text1"/>
          <w:lang w:val="en-US" w:eastAsia="zh-CN"/>
          <w14:textFill>
            <w14:solidFill>
              <w14:schemeClr w14:val="tx1"/>
            </w14:solidFill>
          </w14:textFill>
        </w:rPr>
        <w:t>根据工程分析，</w:t>
      </w:r>
      <w:r>
        <w:rPr>
          <w:rFonts w:hint="eastAsia" w:ascii="Times New Roman" w:hAnsi="Times New Roman" w:cs="Times New Roman"/>
          <w:color w:val="000000" w:themeColor="text1"/>
          <w:lang w:val="en-US" w:eastAsia="zh-CN"/>
          <w14:textFill>
            <w14:solidFill>
              <w14:schemeClr w14:val="tx1"/>
            </w14:solidFill>
          </w14:textFill>
        </w:rPr>
        <w:t>鸭粪</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含</w:t>
      </w:r>
      <w:r>
        <w:rPr>
          <w:rFonts w:ascii="Times New Roman" w:hAnsi="Times New Roman" w:cs="Times New Roman"/>
          <w:color w:val="000000" w:themeColor="text1"/>
          <w14:textFill>
            <w14:solidFill>
              <w14:schemeClr w14:val="tx1"/>
            </w14:solidFill>
          </w14:textFill>
        </w:rPr>
        <w:t>垫草料</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的最终</w:t>
      </w:r>
      <w:r>
        <w:rPr>
          <w:rFonts w:ascii="Times New Roman" w:hAnsi="Times New Roman" w:cs="Times New Roman"/>
          <w:color w:val="000000" w:themeColor="text1"/>
          <w14:textFill>
            <w14:solidFill>
              <w14:schemeClr w14:val="tx1"/>
            </w14:solidFill>
          </w14:textFill>
        </w:rPr>
        <w:t>产生量为</w:t>
      </w:r>
      <w:r>
        <w:rPr>
          <w:rFonts w:hint="eastAsia"/>
          <w:color w:val="000000" w:themeColor="text1"/>
          <w:lang w:val="en-US" w:eastAsia="zh-CN"/>
          <w14:textFill>
            <w14:solidFill>
              <w14:schemeClr w14:val="tx1"/>
            </w14:solidFill>
          </w14:textFill>
        </w:rPr>
        <w:t>4360.5</w:t>
      </w:r>
      <w:r>
        <w:rPr>
          <w:rFonts w:ascii="Times New Roman" w:hAnsi="Times New Roman"/>
          <w:color w:val="000000" w:themeColor="text1"/>
          <w14:textFill>
            <w14:solidFill>
              <w14:schemeClr w14:val="tx1"/>
            </w14:solidFill>
          </w14:textFill>
        </w:rPr>
        <w:t>t/a</w:t>
      </w:r>
      <w:r>
        <w:rPr>
          <w:rFonts w:ascii="Times New Roman" w:hAnsi="Times New Roman" w:cs="Times New Roman"/>
          <w:color w:val="000000" w:themeColor="text1"/>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每个养殖周期结束</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干清粪，作为有机肥半成品直接拉走外售，不在场内暂存，直接拉运至63团3连粪污处理场</w:t>
      </w:r>
      <w:r>
        <w:rPr>
          <w:rFonts w:ascii="Times New Roman" w:hAnsi="Times New Roman" w:cs="Times New Roman"/>
          <w:color w:val="000000" w:themeColor="text1"/>
          <w:lang w:val="zh-CN"/>
          <w14:textFill>
            <w14:solidFill>
              <w14:schemeClr w14:val="tx1"/>
            </w14:solidFill>
          </w14:textFill>
        </w:rPr>
        <w:t>。</w:t>
      </w:r>
    </w:p>
    <w:p w14:paraId="4DADE6F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lang w:val="en-US"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经发酵后产出的有机肥是富含有机质、速效氮磷钾养分的优质有机肥料，不仅可使土壤养分得到补充，改善土壤理化性状，形成有利于作物生长的土壤环境，还可以提高作物产量。通过制作有机肥料的方式对产生的</w:t>
      </w:r>
      <w:r>
        <w:rPr>
          <w:rFonts w:hint="eastAsia" w:ascii="Times New Roman" w:hAnsi="Times New Roman" w:cs="Times New Roman"/>
          <w:color w:val="000000" w:themeColor="text1"/>
          <w:lang w:val="en-US"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及垫料进行无害化、资源化利用，满足《畜禽养殖业污染物排放标准》（GB18596-2001）要求和《粪便无害化卫生要求》（GB7959-2012）的卫生要求。</w:t>
      </w:r>
    </w:p>
    <w:p w14:paraId="175812C2">
      <w:pPr>
        <w:ind w:firstLine="480"/>
        <w:rPr>
          <w:rFonts w:ascii="Times New Roman" w:hAnsi="Times New Roman" w:cs="Times New Roman"/>
          <w:color w:val="000000" w:themeColor="text1"/>
          <w14:textFill>
            <w14:solidFill>
              <w14:schemeClr w14:val="tx1"/>
            </w14:solidFill>
          </w14:textFill>
        </w:rPr>
      </w:pPr>
      <w:bookmarkStart w:id="211" w:name="_Toc13225"/>
      <w:r>
        <w:rPr>
          <w:rFonts w:hint="eastAsia" w:cs="Times New Roman"/>
          <w:color w:val="000000" w:themeColor="text1"/>
          <w:lang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淘汰鸭和</w:t>
      </w:r>
      <w:r>
        <w:rPr>
          <w:rFonts w:ascii="Times New Roman" w:hAnsi="Times New Roman" w:cs="Times New Roman"/>
          <w:color w:val="000000" w:themeColor="text1"/>
          <w14:textFill>
            <w14:solidFill>
              <w14:schemeClr w14:val="tx1"/>
            </w14:solidFill>
          </w14:textFill>
        </w:rPr>
        <w:t>病死</w:t>
      </w:r>
      <w:r>
        <w:rPr>
          <w:rFonts w:hint="eastAsia" w:ascii="Times New Roman" w:hAnsi="Times New Roman" w:cs="Times New Roman"/>
          <w:color w:val="000000" w:themeColor="text1"/>
          <w:lang w:val="en-US" w:eastAsia="zh-CN"/>
          <w14:textFill>
            <w14:solidFill>
              <w14:schemeClr w14:val="tx1"/>
            </w14:solidFill>
          </w14:textFill>
        </w:rPr>
        <w:t>鸭</w:t>
      </w:r>
      <w:bookmarkEnd w:id="211"/>
    </w:p>
    <w:p w14:paraId="6C320F66">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根据工程分析，</w:t>
      </w:r>
      <w:r>
        <w:rPr>
          <w:rFonts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淘汰鸭和</w:t>
      </w:r>
      <w:r>
        <w:rPr>
          <w:rFonts w:ascii="Times New Roman" w:hAnsi="Times New Roman" w:cs="Times New Roman"/>
          <w:color w:val="000000" w:themeColor="text1"/>
          <w14:textFill>
            <w14:solidFill>
              <w14:schemeClr w14:val="tx1"/>
            </w14:solidFill>
          </w14:textFill>
        </w:rPr>
        <w:t>病死</w:t>
      </w:r>
      <w:r>
        <w:rPr>
          <w:rFonts w:hint="eastAsia" w:ascii="Times New Roman" w:hAnsi="Times New Roman" w:cs="Times New Roman"/>
          <w:color w:val="000000" w:themeColor="text1"/>
          <w:lang w:val="en-US"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尸体产生量约为</w:t>
      </w:r>
      <w:r>
        <w:rPr>
          <w:rFonts w:hint="eastAsia" w:ascii="Times New Roman" w:hAnsi="Times New Roman" w:cs="Times New Roman"/>
          <w:color w:val="000000" w:themeColor="text1"/>
          <w:lang w:val="en-US" w:eastAsia="zh-CN"/>
          <w14:textFill>
            <w14:solidFill>
              <w14:schemeClr w14:val="tx1"/>
            </w14:solidFill>
          </w14:textFill>
        </w:rPr>
        <w:t>5.</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t/a，</w:t>
      </w:r>
      <w:r>
        <w:rPr>
          <w:rFonts w:ascii="Times New Roman" w:hAnsi="Times New Roman" w:cs="Times New Roman"/>
          <w:color w:val="000000" w:themeColor="text1"/>
          <w:lang w:val="zh-CN"/>
          <w14:textFill>
            <w14:solidFill>
              <w14:schemeClr w14:val="tx1"/>
            </w14:solidFill>
          </w14:textFill>
        </w:rPr>
        <w:t>委托伊宁市病死畜禽无害化处理中心处理，</w:t>
      </w:r>
      <w:r>
        <w:rPr>
          <w:rFonts w:ascii="Times New Roman" w:hAnsi="Times New Roman" w:cs="Times New Roman"/>
          <w:color w:val="000000" w:themeColor="text1"/>
          <w14:textFill>
            <w14:solidFill>
              <w14:schemeClr w14:val="tx1"/>
            </w14:solidFill>
          </w14:textFill>
        </w:rPr>
        <w:t>对周边环境影响较小。</w:t>
      </w:r>
    </w:p>
    <w:p w14:paraId="4DD86927">
      <w:pPr>
        <w:pStyle w:val="11"/>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伊宁市病死畜禽无害化处理中心位于伊宁市英也尔镇南台子沟，2023年3月建成投产，采用高温干</w:t>
      </w:r>
      <w:r>
        <w:rPr>
          <w:rFonts w:hint="eastAsia" w:ascii="Times New Roman" w:hAnsi="Times New Roman" w:cs="Times New Roman"/>
          <w:color w:val="000000" w:themeColor="text1"/>
          <w:lang w:eastAsia="zh-CN"/>
          <w14:textFill>
            <w14:solidFill>
              <w14:schemeClr w14:val="tx1"/>
            </w14:solidFill>
          </w14:textFill>
        </w:rPr>
        <w:t>化</w:t>
      </w:r>
      <w:r>
        <w:rPr>
          <w:rFonts w:ascii="Times New Roman" w:hAnsi="Times New Roman" w:cs="Times New Roman"/>
          <w:color w:val="000000" w:themeColor="text1"/>
          <w14:textFill>
            <w14:solidFill>
              <w14:schemeClr w14:val="tx1"/>
            </w14:solidFill>
          </w14:textFill>
        </w:rPr>
        <w:t>制无害化处理工艺，建成可实现无害化处理病死畜禽3000t/a。本项目</w:t>
      </w:r>
      <w:r>
        <w:rPr>
          <w:rFonts w:hint="eastAsia" w:ascii="Times New Roman" w:hAnsi="Times New Roman" w:cs="Times New Roman"/>
          <w:color w:val="000000" w:themeColor="text1"/>
          <w:lang w:val="en-US" w:eastAsia="zh-CN"/>
          <w14:textFill>
            <w14:solidFill>
              <w14:schemeClr w14:val="tx1"/>
            </w14:solidFill>
          </w14:textFill>
        </w:rPr>
        <w:t>淘汰鸭、</w:t>
      </w:r>
      <w:r>
        <w:rPr>
          <w:rFonts w:ascii="Times New Roman" w:hAnsi="Times New Roman" w:cs="Times New Roman"/>
          <w:color w:val="000000" w:themeColor="text1"/>
          <w:lang w:val="zh-CN"/>
          <w14:textFill>
            <w14:solidFill>
              <w14:schemeClr w14:val="tx1"/>
            </w14:solidFill>
          </w14:textFill>
        </w:rPr>
        <w:t>病死</w:t>
      </w:r>
      <w:r>
        <w:rPr>
          <w:rFonts w:hint="eastAsia" w:ascii="Times New Roman" w:hAnsi="Times New Roman" w:cs="Times New Roman"/>
          <w:color w:val="000000" w:themeColor="text1"/>
          <w:lang w:val="en-US" w:eastAsia="zh-CN"/>
          <w14:textFill>
            <w14:solidFill>
              <w14:schemeClr w14:val="tx1"/>
            </w14:solidFill>
          </w14:textFill>
        </w:rPr>
        <w:t>鸭</w:t>
      </w:r>
      <w:r>
        <w:rPr>
          <w:rFonts w:ascii="Times New Roman" w:hAnsi="Times New Roman" w:cs="Times New Roman"/>
          <w:color w:val="000000" w:themeColor="text1"/>
          <w:lang w:val="zh-CN"/>
          <w14:textFill>
            <w14:solidFill>
              <w14:schemeClr w14:val="tx1"/>
            </w14:solidFill>
          </w14:textFill>
        </w:rPr>
        <w:t>尸体</w:t>
      </w:r>
      <w:r>
        <w:rPr>
          <w:rFonts w:ascii="Times New Roman" w:hAnsi="Times New Roman" w:cs="Times New Roman"/>
          <w:color w:val="000000" w:themeColor="text1"/>
          <w14:textFill>
            <w14:solidFill>
              <w14:schemeClr w14:val="tx1"/>
            </w14:solidFill>
          </w14:textFill>
        </w:rPr>
        <w:t>可</w:t>
      </w:r>
      <w:r>
        <w:rPr>
          <w:rFonts w:ascii="Times New Roman" w:hAnsi="Times New Roman" w:cs="Times New Roman"/>
          <w:color w:val="000000" w:themeColor="text1"/>
          <w:lang w:val="zh-CN"/>
          <w14:textFill>
            <w14:solidFill>
              <w14:schemeClr w14:val="tx1"/>
            </w14:solidFill>
          </w14:textFill>
        </w:rPr>
        <w:t>委托伊宁市病死畜禽无害化处理中心处理</w:t>
      </w: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lang w:val="en-US" w:eastAsia="zh-CN"/>
          <w14:textFill>
            <w14:solidFill>
              <w14:schemeClr w14:val="tx1"/>
            </w14:solidFill>
          </w14:textFill>
        </w:rPr>
        <w:t>淘汰鸭、</w:t>
      </w:r>
      <w:r>
        <w:rPr>
          <w:rFonts w:ascii="Times New Roman" w:hAnsi="Times New Roman" w:cs="Times New Roman"/>
          <w:color w:val="000000" w:themeColor="text1"/>
          <w14:textFill>
            <w14:solidFill>
              <w14:schemeClr w14:val="tx1"/>
            </w14:solidFill>
          </w14:textFill>
        </w:rPr>
        <w:t>病死</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尸体产生量约为</w:t>
      </w:r>
      <w:r>
        <w:rPr>
          <w:rFonts w:hint="eastAsia" w:ascii="Times New Roman" w:hAnsi="Times New Roman" w:cs="Times New Roman"/>
          <w:color w:val="000000" w:themeColor="text1"/>
          <w:lang w:val="en-US" w:eastAsia="zh-CN"/>
          <w14:textFill>
            <w14:solidFill>
              <w14:schemeClr w14:val="tx1"/>
            </w14:solidFill>
          </w14:textFill>
        </w:rPr>
        <w:t>5.4</w:t>
      </w:r>
      <w:r>
        <w:rPr>
          <w:rFonts w:ascii="Times New Roman" w:hAnsi="Times New Roman" w:cs="Times New Roman"/>
          <w:color w:val="000000" w:themeColor="text1"/>
          <w14:textFill>
            <w14:solidFill>
              <w14:schemeClr w14:val="tx1"/>
            </w14:solidFill>
          </w14:textFill>
        </w:rPr>
        <w:t>t/a，远小于伊宁市病死畜禽无害化处理中心剩余处理量，</w:t>
      </w:r>
      <w:r>
        <w:rPr>
          <w:rFonts w:hint="eastAsia" w:ascii="Times New Roman" w:hAnsi="Times New Roman"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尸体采用密闭，不渗水的容器装盛，由密闭式冷藏周转</w:t>
      </w:r>
      <w:r>
        <w:rPr>
          <w:rFonts w:hint="eastAsia" w:ascii="Times New Roman" w:hAnsi="Times New Roman" w:cs="Times New Roman"/>
          <w:color w:val="000000" w:themeColor="text1"/>
          <w:lang w:eastAsia="zh-CN"/>
          <w14:textFill>
            <w14:solidFill>
              <w14:schemeClr w14:val="tx1"/>
            </w14:solidFill>
          </w14:textFill>
        </w:rPr>
        <w:t>厢式车</w:t>
      </w:r>
      <w:r>
        <w:rPr>
          <w:rFonts w:ascii="Times New Roman" w:hAnsi="Times New Roman" w:cs="Times New Roman"/>
          <w:color w:val="000000" w:themeColor="text1"/>
          <w14:textFill>
            <w14:solidFill>
              <w14:schemeClr w14:val="tx1"/>
            </w14:solidFill>
          </w14:textFill>
        </w:rPr>
        <w:t>辆送到无害化处理车间处理，本项目依托伊宁市病死畜禽无害化处理中心可行。</w:t>
      </w:r>
    </w:p>
    <w:p w14:paraId="0CFCA1EA">
      <w:pPr>
        <w:numPr>
          <w:ilvl w:val="0"/>
          <w:numId w:val="0"/>
        </w:numPr>
        <w:ind w:firstLine="480" w:firstLineChars="200"/>
        <w:rPr>
          <w:rFonts w:hint="eastAsia" w:ascii="Times New Roman" w:hAnsi="Times New Roman" w:cs="Times New Roman"/>
          <w:b w:val="0"/>
          <w:bCs w:val="0"/>
          <w:color w:val="000000" w:themeColor="text1"/>
          <w:lang w:val="en-US" w:eastAsia="zh-CN"/>
          <w14:textFill>
            <w14:solidFill>
              <w14:schemeClr w14:val="tx1"/>
            </w14:solidFill>
          </w14:textFill>
        </w:rPr>
      </w:pPr>
      <w:bookmarkStart w:id="212" w:name="_Toc9498"/>
      <w:r>
        <w:rPr>
          <w:rFonts w:hint="eastAsia" w:cs="Times New Roman"/>
          <w:b w:val="0"/>
          <w:bCs w:val="0"/>
          <w:color w:val="000000" w:themeColor="text1"/>
          <w:kern w:val="2"/>
          <w:sz w:val="24"/>
          <w:szCs w:val="22"/>
          <w:lang w:val="en-US" w:eastAsia="zh-CN" w:bidi="ar-SA"/>
          <w14:textFill>
            <w14:solidFill>
              <w14:schemeClr w14:val="tx1"/>
            </w14:solidFill>
          </w14:textFill>
        </w:rPr>
        <w:t>3.</w:t>
      </w:r>
      <w:r>
        <w:rPr>
          <w:rFonts w:hint="eastAsia" w:ascii="Times New Roman" w:hAnsi="Times New Roman" w:cs="Times New Roman"/>
          <w:b w:val="0"/>
          <w:bCs w:val="0"/>
          <w:color w:val="000000" w:themeColor="text1"/>
          <w:lang w:val="en-US" w:eastAsia="zh-CN"/>
          <w14:textFill>
            <w14:solidFill>
              <w14:schemeClr w14:val="tx1"/>
            </w14:solidFill>
          </w14:textFill>
        </w:rPr>
        <w:t>生活垃圾</w:t>
      </w:r>
    </w:p>
    <w:p w14:paraId="4214E5A5">
      <w:pPr>
        <w:pStyle w:val="13"/>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ascii="Times New Roman" w:hAnsi="Times New Roman"/>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本项目劳动定员</w:t>
      </w:r>
      <w:r>
        <w:rPr>
          <w:rFonts w:hint="eastAsia" w:eastAsia="宋体" w:cs="宋体"/>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人，人均生活垃圾产生量按照</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0.5kg/d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计算，则生活垃圾的产生量为</w:t>
      </w:r>
      <w:r>
        <w:rPr>
          <w:rFonts w:hint="eastAsia" w:eastAsia="宋体" w:cs="宋体"/>
          <w:color w:val="000000" w:themeColor="text1"/>
          <w:kern w:val="0"/>
          <w:sz w:val="24"/>
          <w:szCs w:val="24"/>
          <w:lang w:val="en-US" w:eastAsia="zh-CN" w:bidi="ar"/>
          <w14:textFill>
            <w14:solidFill>
              <w14:schemeClr w14:val="tx1"/>
            </w14:solidFill>
          </w14:textFill>
        </w:rPr>
        <w:t>12.5</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kg/d</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4.56</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，生活垃圾集中收集</w:t>
      </w:r>
      <w:r>
        <w:rPr>
          <w:rFonts w:hint="eastAsia" w:eastAsia="宋体" w:cs="宋体"/>
          <w:color w:val="000000" w:themeColor="text1"/>
          <w:kern w:val="0"/>
          <w:sz w:val="24"/>
          <w:szCs w:val="24"/>
          <w:lang w:val="en-US" w:eastAsia="zh-CN" w:bidi="ar"/>
          <w14:textFill>
            <w14:solidFill>
              <w14:schemeClr w14:val="tx1"/>
            </w14:solidFill>
          </w14:textFill>
        </w:rPr>
        <w:t>交环卫部门</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，定期清运至63团垃圾填埋场。</w:t>
      </w:r>
    </w:p>
    <w:p w14:paraId="68E7FC76">
      <w:pPr>
        <w:numPr>
          <w:ilvl w:val="0"/>
          <w:numId w:val="0"/>
        </w:numPr>
        <w:ind w:firstLine="480" w:firstLineChars="20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kern w:val="2"/>
          <w:sz w:val="24"/>
          <w:szCs w:val="22"/>
          <w:lang w:val="en-US" w:eastAsia="zh-CN" w:bidi="ar-SA"/>
          <w14:textFill>
            <w14:solidFill>
              <w14:schemeClr w14:val="tx1"/>
            </w14:solidFill>
          </w14:textFill>
        </w:rPr>
        <w:t>4.</w:t>
      </w:r>
      <w:r>
        <w:rPr>
          <w:rFonts w:hint="eastAsia" w:cs="Times New Roman"/>
          <w:b w:val="0"/>
          <w:bCs w:val="0"/>
          <w:color w:val="000000" w:themeColor="text1"/>
          <w:lang w:val="en-US" w:eastAsia="zh-CN"/>
          <w14:textFill>
            <w14:solidFill>
              <w14:schemeClr w14:val="tx1"/>
            </w14:solidFill>
          </w14:textFill>
        </w:rPr>
        <w:t>锅炉灰渣及喷淋塔污泥</w:t>
      </w:r>
    </w:p>
    <w:p w14:paraId="29678E2B">
      <w:pPr>
        <w:ind w:firstLine="48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w:t>
      </w:r>
      <w:r>
        <w:rPr>
          <w:rFonts w:hint="eastAsia" w:eastAsia="宋体" w:cs="宋体"/>
          <w:color w:val="000000" w:themeColor="text1"/>
          <w:kern w:val="0"/>
          <w:sz w:val="24"/>
          <w:szCs w:val="24"/>
          <w:lang w:val="en-US" w:eastAsia="zh-CN" w:bidi="ar"/>
          <w14:textFill>
            <w14:solidFill>
              <w14:schemeClr w14:val="tx1"/>
            </w14:solidFill>
          </w14:textFill>
        </w:rPr>
        <w:t>采用生物质燃料锅炉供热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预计年消耗生物质燃料1000t，基灰分2.6%，考虑其他因素，预测年产生灰渣30t，属于1类工业固废，生物质燃料灰渣含有农作物需要的养分，无重金属等难降解污染物，定期送63团粪污处理厂用于生产肥料</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4123DCF3">
      <w:pPr>
        <w:ind w:firstLine="48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eastAsia="宋体" w:cs="宋体"/>
          <w:color w:val="000000" w:themeColor="text1"/>
          <w:kern w:val="0"/>
          <w:sz w:val="24"/>
          <w:szCs w:val="24"/>
          <w:lang w:val="en-US" w:eastAsia="zh-CN" w:bidi="ar"/>
          <w14:textFill>
            <w14:solidFill>
              <w14:schemeClr w14:val="tx1"/>
            </w14:solidFill>
          </w14:textFill>
        </w:rPr>
        <w:t>本项目生物质燃料锅炉烟气采用碱式喷淋塔处理烟气，烟气处理产生污泥，根据预测的烟气产生量，预计年产生污泥3t，污泥主要成分为收集的颗粒物、烟气治理产生的硫酸钙、硝酸钙、硫酸钠、硝酸钠、碳酸钙等，自然干化后，判定属于第1类工业固体废物，含氮肥成分，送</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hint="eastAsia" w:cs="Times New Roman"/>
          <w:color w:val="000000" w:themeColor="text1"/>
          <w:lang w:val="en-US" w:eastAsia="zh-CN"/>
          <w14:textFill>
            <w14:solidFill>
              <w14:schemeClr w14:val="tx1"/>
            </w14:solidFill>
          </w14:textFill>
        </w:rPr>
        <w:t>生产肥料</w:t>
      </w:r>
      <w:r>
        <w:rPr>
          <w:rFonts w:hint="eastAsia" w:eastAsia="宋体" w:cs="宋体"/>
          <w:color w:val="000000" w:themeColor="text1"/>
          <w:kern w:val="0"/>
          <w:sz w:val="24"/>
          <w:szCs w:val="24"/>
          <w:lang w:val="en-US" w:eastAsia="zh-CN" w:bidi="ar"/>
          <w14:textFill>
            <w14:solidFill>
              <w14:schemeClr w14:val="tx1"/>
            </w14:solidFill>
          </w14:textFill>
        </w:rPr>
        <w:t>。</w:t>
      </w:r>
    </w:p>
    <w:p w14:paraId="265AF90E">
      <w:pPr>
        <w:ind w:firstLine="480"/>
        <w:rPr>
          <w:rFonts w:ascii="Times New Roman" w:hAnsi="Times New Roman" w:cs="Times New Roman"/>
          <w:color w:val="000000" w:themeColor="text1"/>
          <w:lang w:bidi="zh-CN"/>
          <w14:textFill>
            <w14:solidFill>
              <w14:schemeClr w14:val="tx1"/>
            </w14:solidFill>
          </w14:textFill>
        </w:rPr>
      </w:pPr>
      <w:r>
        <w:rPr>
          <w:rFonts w:hint="eastAsia" w:cs="Times New Roman"/>
          <w:color w:val="000000" w:themeColor="text1"/>
          <w:lang w:val="en-US" w:bidi="zh-CN"/>
          <w14:textFill>
            <w14:solidFill>
              <w14:schemeClr w14:val="tx1"/>
            </w14:solidFill>
          </w14:textFill>
        </w:rPr>
        <w:t>5.</w:t>
      </w:r>
      <w:r>
        <w:rPr>
          <w:rFonts w:ascii="Times New Roman" w:hAnsi="Times New Roman" w:cs="Times New Roman"/>
          <w:color w:val="000000" w:themeColor="text1"/>
          <w:lang w:bidi="zh-CN"/>
          <w14:textFill>
            <w14:solidFill>
              <w14:schemeClr w14:val="tx1"/>
            </w14:solidFill>
          </w14:textFill>
        </w:rPr>
        <w:t>兽用医疗废物</w:t>
      </w:r>
      <w:bookmarkEnd w:id="212"/>
    </w:p>
    <w:p w14:paraId="7E5C29F3">
      <w:pPr>
        <w:ind w:firstLine="480"/>
        <w:rPr>
          <w:rFonts w:ascii="Times New Roman" w:hAnsi="Times New Roman" w:cs="Times New Roman"/>
          <w:color w:val="000000" w:themeColor="text1"/>
          <w:lang w:bidi="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鸭只防疫会产生废疫苗瓶、废消毒剂瓶、废兽药瓶等医疗废物</w:t>
      </w:r>
      <w:r>
        <w:rPr>
          <w:rFonts w:ascii="Times New Roman" w:hAnsi="Times New Roman" w:cs="Times New Roman"/>
          <w:color w:val="000000" w:themeColor="text1"/>
          <w:lang w:bidi="zh-CN"/>
          <w14:textFill>
            <w14:solidFill>
              <w14:schemeClr w14:val="tx1"/>
            </w14:solidFill>
          </w14:textFill>
        </w:rPr>
        <w:t>，根据建设单位提供资料，卫生防疫过</w:t>
      </w:r>
      <w:r>
        <w:rPr>
          <w:rFonts w:hint="eastAsia" w:cs="Times New Roman"/>
          <w:color w:val="000000" w:themeColor="text1"/>
          <w:lang w:bidi="zh-CN"/>
          <w14:textFill>
            <w14:solidFill>
              <w14:schemeClr w14:val="tx1"/>
            </w14:solidFill>
          </w14:textFill>
        </w:rPr>
        <w:t>程中</w:t>
      </w:r>
      <w:r>
        <w:rPr>
          <w:rFonts w:ascii="Times New Roman" w:hAnsi="Times New Roman" w:cs="Times New Roman"/>
          <w:color w:val="000000" w:themeColor="text1"/>
          <w:lang w:bidi="zh-CN"/>
          <w14:textFill>
            <w14:solidFill>
              <w14:schemeClr w14:val="tx1"/>
            </w14:solidFill>
          </w14:textFill>
        </w:rPr>
        <w:t>产生的废注射器和废药瓶等医疗废物产生量</w:t>
      </w:r>
      <w:r>
        <w:rPr>
          <w:rFonts w:hint="eastAsia" w:ascii="Times New Roman" w:hAnsi="Times New Roman" w:cs="Times New Roman"/>
          <w:color w:val="000000" w:themeColor="text1"/>
          <w:lang w:val="en-US" w:bidi="zh-CN"/>
          <w14:textFill>
            <w14:solidFill>
              <w14:schemeClr w14:val="tx1"/>
            </w14:solidFill>
          </w14:textFill>
        </w:rPr>
        <w:t>2.</w:t>
      </w:r>
      <w:r>
        <w:rPr>
          <w:rFonts w:hint="eastAsia" w:cs="Times New Roman"/>
          <w:color w:val="000000" w:themeColor="text1"/>
          <w:lang w:val="en-US" w:bidi="zh-CN"/>
          <w14:textFill>
            <w14:solidFill>
              <w14:schemeClr w14:val="tx1"/>
            </w14:solidFill>
          </w14:textFill>
        </w:rPr>
        <w:t>153</w:t>
      </w:r>
      <w:r>
        <w:rPr>
          <w:rFonts w:ascii="Times New Roman" w:hAnsi="Times New Roman" w:cs="Times New Roman"/>
          <w:color w:val="000000" w:themeColor="text1"/>
          <w:lang w:bidi="zh-CN"/>
          <w14:textFill>
            <w14:solidFill>
              <w14:schemeClr w14:val="tx1"/>
            </w14:solidFill>
          </w14:textFill>
        </w:rPr>
        <w:t>t/a。</w:t>
      </w:r>
      <w:r>
        <w:rPr>
          <w:rFonts w:ascii="Times New Roman" w:hAnsi="Times New Roman" w:cs="Times New Roman"/>
          <w:color w:val="000000" w:themeColor="text1"/>
          <w14:textFill>
            <w14:solidFill>
              <w14:schemeClr w14:val="tx1"/>
            </w14:solidFill>
          </w14:textFill>
        </w:rPr>
        <w:t>兽用</w:t>
      </w:r>
      <w:r>
        <w:rPr>
          <w:rFonts w:ascii="Times New Roman" w:hAnsi="Times New Roman" w:eastAsia="宋体" w:cs="Times New Roman"/>
          <w:color w:val="000000" w:themeColor="text1"/>
          <w14:textFill>
            <w14:solidFill>
              <w14:schemeClr w14:val="tx1"/>
            </w14:solidFill>
          </w14:textFill>
        </w:rPr>
        <w:t>医疗废物暂存于危险废物暂存间，由有危险废物处理资质单位处理</w:t>
      </w:r>
      <w:r>
        <w:rPr>
          <w:rFonts w:ascii="Times New Roman" w:hAnsi="Times New Roman" w:cs="Times New Roman"/>
          <w:color w:val="000000" w:themeColor="text1"/>
          <w:lang w:bidi="zh-CN"/>
          <w14:textFill>
            <w14:solidFill>
              <w14:schemeClr w14:val="tx1"/>
            </w14:solidFill>
          </w14:textFill>
        </w:rPr>
        <w:t>。</w:t>
      </w:r>
    </w:p>
    <w:p w14:paraId="5AF44222">
      <w:pPr>
        <w:ind w:firstLine="480"/>
        <w:rPr>
          <w:rFonts w:ascii="Times New Roman" w:hAnsi="Times New Roman" w:cs="Times New Roman"/>
          <w:color w:val="auto"/>
        </w:rPr>
      </w:pPr>
      <w:r>
        <w:rPr>
          <w:rFonts w:ascii="Times New Roman" w:hAnsi="Times New Roman" w:cs="Times New Roman"/>
          <w:color w:val="000000" w:themeColor="text1"/>
          <w14:textFill>
            <w14:solidFill>
              <w14:schemeClr w14:val="tx1"/>
            </w14:solidFill>
          </w14:textFill>
        </w:rPr>
        <w:t>根据《医疗废物集中处置技术规范（试行）》对医疗</w:t>
      </w:r>
      <w:r>
        <w:rPr>
          <w:rFonts w:ascii="Times New Roman" w:hAnsi="Times New Roman" w:cs="Times New Roman"/>
          <w:color w:val="auto"/>
        </w:rPr>
        <w:t>废物暂存库房的卫生和存储要求规定如下：</w:t>
      </w:r>
    </w:p>
    <w:p w14:paraId="1AB549D0">
      <w:pPr>
        <w:ind w:firstLine="480"/>
        <w:rPr>
          <w:rFonts w:ascii="Times New Roman" w:hAnsi="Times New Roman" w:cs="Times New Roman"/>
          <w:color w:val="auto"/>
        </w:rPr>
      </w:pPr>
      <w:r>
        <w:rPr>
          <w:rFonts w:ascii="Times New Roman" w:hAnsi="Times New Roman" w:cs="Times New Roman"/>
          <w:color w:val="auto"/>
        </w:rPr>
        <w:t>（1）医疗废物收集要求</w:t>
      </w:r>
    </w:p>
    <w:p w14:paraId="3EF3CA46">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根据医疗废物的类别，将医疗废物分置于符合《医疗废物专用包装物、容器的标准和警示标识的规定》的包装物或者容器内；在每个容器上应当说明医疗废物产生单位、产生日期、类别及特别说明等；</w:t>
      </w:r>
    </w:p>
    <w:p w14:paraId="5ACA9DDE">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在盛装医疗废物前，应当对医疗废物包装物或者容器进行认真检查，确保无破损、渗漏和</w:t>
      </w:r>
      <w:r>
        <w:rPr>
          <w:rFonts w:hint="eastAsia" w:cs="Times New Roman"/>
          <w:color w:val="auto"/>
          <w:lang w:eastAsia="zh-CN"/>
        </w:rPr>
        <w:t>其他缺陷</w:t>
      </w:r>
      <w:r>
        <w:rPr>
          <w:rFonts w:ascii="Times New Roman" w:hAnsi="Times New Roman" w:cs="Times New Roman"/>
          <w:color w:val="auto"/>
        </w:rPr>
        <w:t>；</w:t>
      </w:r>
    </w:p>
    <w:p w14:paraId="279C8A7F">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感染性废物、病理性废物、损伤性废物、药物性废物及化学性废物不能混合收集；少量的药物性废物可以混入感染性废物，但应当在标签上注明；</w:t>
      </w:r>
    </w:p>
    <w:p w14:paraId="065A2299">
      <w:pPr>
        <w:ind w:firstLine="480"/>
        <w:rPr>
          <w:rFonts w:ascii="Times New Roman" w:hAnsi="Times New Roman" w:cs="Times New Roman"/>
          <w:color w:val="auto"/>
        </w:rPr>
      </w:pPr>
      <w:r>
        <w:rPr>
          <w:rFonts w:hint="eastAsia" w:ascii="Times New Roman" w:hAnsi="Times New Roman" w:eastAsia="宋体" w:cs="宋体"/>
          <w:color w:val="auto"/>
        </w:rPr>
        <w:t>④</w:t>
      </w:r>
      <w:r>
        <w:rPr>
          <w:rFonts w:ascii="Times New Roman" w:hAnsi="Times New Roman" w:cs="Times New Roman"/>
          <w:color w:val="auto"/>
        </w:rPr>
        <w:t>对于能够刺伤或割伤人体的废弃医用锐器，按照类别分置于防渗漏、防锐器穿透的专用密闭的容器内，设置有明显的标识，防止转运人员被锐器割伤引起疾病感染；</w:t>
      </w:r>
    </w:p>
    <w:p w14:paraId="2C55AE57">
      <w:pPr>
        <w:ind w:firstLine="480"/>
        <w:rPr>
          <w:rFonts w:ascii="Times New Roman" w:hAnsi="Times New Roman" w:cs="Times New Roman"/>
          <w:color w:val="auto"/>
        </w:rPr>
      </w:pPr>
      <w:r>
        <w:rPr>
          <w:rFonts w:hint="eastAsia" w:ascii="Times New Roman" w:hAnsi="Times New Roman" w:eastAsia="宋体" w:cs="宋体"/>
          <w:color w:val="auto"/>
        </w:rPr>
        <w:t>⑤</w:t>
      </w:r>
      <w:r>
        <w:rPr>
          <w:rFonts w:ascii="Times New Roman" w:hAnsi="Times New Roman" w:cs="Times New Roman"/>
          <w:color w:val="auto"/>
        </w:rPr>
        <w:t>医疗废物收集袋的颜色为黄色，印有医疗废物的文字说明和警示</w:t>
      </w:r>
      <w:r>
        <w:rPr>
          <w:rFonts w:hint="eastAsia" w:ascii="Times New Roman" w:hAnsi="Times New Roman" w:cs="Times New Roman"/>
          <w:color w:val="auto"/>
          <w:lang w:eastAsia="zh-CN"/>
        </w:rPr>
        <w:t>标识</w:t>
      </w:r>
      <w:r>
        <w:rPr>
          <w:rFonts w:ascii="Times New Roman" w:hAnsi="Times New Roman" w:cs="Times New Roman"/>
          <w:color w:val="auto"/>
        </w:rPr>
        <w:t>，根据盛装的医疗废物达到3/4时，应当使用有效的封口方式，清运至医疗废物暂存桶。</w:t>
      </w:r>
    </w:p>
    <w:p w14:paraId="694A64F3">
      <w:pPr>
        <w:ind w:firstLine="480"/>
        <w:rPr>
          <w:rFonts w:ascii="Times New Roman" w:hAnsi="Times New Roman" w:cs="Times New Roman"/>
          <w:color w:val="auto"/>
        </w:rPr>
      </w:pPr>
      <w:r>
        <w:rPr>
          <w:rFonts w:ascii="Times New Roman" w:hAnsi="Times New Roman" w:cs="Times New Roman"/>
          <w:color w:val="auto"/>
        </w:rPr>
        <w:t>（2）医疗废物暂存要求</w:t>
      </w:r>
    </w:p>
    <w:p w14:paraId="10ED39ED">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本项目应当建立医疗废物的暂时贮存设施、设备，不得露天存放医疗废物；</w:t>
      </w:r>
    </w:p>
    <w:p w14:paraId="21A0FC75">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医疗废物的暂时贮存设施、设备，应当远离医疗区、食品加工区和人员活动区以及生活垃圾存放场所，并设置明显的警示标识和防渗漏、防鼠、防蚊蝇、防蟑螂、防盗以及预防儿童接触等安全措施；</w:t>
      </w:r>
    </w:p>
    <w:p w14:paraId="24A04E79">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医疗废物转交出去后，应当对暂时贮存地点、设施及时进行清洁和消毒处理，冲洗暂存地点和设施的废水必须经过消毒池处理后排放；</w:t>
      </w:r>
    </w:p>
    <w:p w14:paraId="55C99152">
      <w:pPr>
        <w:ind w:firstLine="480"/>
        <w:rPr>
          <w:rFonts w:ascii="Times New Roman" w:hAnsi="Times New Roman" w:cs="Times New Roman"/>
          <w:color w:val="auto"/>
        </w:rPr>
      </w:pPr>
      <w:r>
        <w:rPr>
          <w:rFonts w:hint="eastAsia" w:ascii="Times New Roman" w:hAnsi="Times New Roman" w:eastAsia="宋体" w:cs="宋体"/>
          <w:color w:val="auto"/>
        </w:rPr>
        <w:t>④</w:t>
      </w:r>
      <w:r>
        <w:rPr>
          <w:rFonts w:ascii="Times New Roman" w:hAnsi="Times New Roman" w:cs="Times New Roman"/>
          <w:color w:val="auto"/>
        </w:rPr>
        <w:t>暂时贮存病理性废物，应当具备低温贮存或者防腐条件；</w:t>
      </w:r>
    </w:p>
    <w:p w14:paraId="6C13ECBB">
      <w:pPr>
        <w:ind w:firstLine="480"/>
        <w:rPr>
          <w:rFonts w:ascii="Times New Roman" w:hAnsi="Times New Roman" w:cs="Times New Roman"/>
          <w:color w:val="auto"/>
        </w:rPr>
      </w:pPr>
      <w:r>
        <w:rPr>
          <w:rFonts w:hint="eastAsia" w:ascii="Times New Roman" w:hAnsi="Times New Roman" w:eastAsia="宋体" w:cs="宋体"/>
          <w:color w:val="auto"/>
        </w:rPr>
        <w:t>⑤</w:t>
      </w:r>
      <w:r>
        <w:rPr>
          <w:rFonts w:ascii="Times New Roman" w:hAnsi="Times New Roman" w:cs="Times New Roman"/>
          <w:color w:val="auto"/>
        </w:rPr>
        <w:t>医疗废物暂时贮存的时间不得超过2天，尽量做到日产日清。</w:t>
      </w:r>
    </w:p>
    <w:p w14:paraId="5F03FDA7">
      <w:pPr>
        <w:pStyle w:val="13"/>
        <w:keepNext w:val="0"/>
        <w:keepLines w:val="0"/>
        <w:pageBreakBefore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eastAsiaTheme="minorEastAsia"/>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3</w:t>
      </w:r>
      <w:r>
        <w:rPr>
          <w:rFonts w:hint="eastAsia" w:ascii="Times New Roman" w:hAnsi="Times New Roman" w:cs="Times New Roman" w:eastAsiaTheme="minorEastAsia"/>
          <w:color w:val="auto"/>
          <w:kern w:val="2"/>
          <w:sz w:val="24"/>
          <w:szCs w:val="22"/>
          <w:lang w:val="en-US" w:eastAsia="zh-CN" w:bidi="ar-SA"/>
        </w:rPr>
        <w:t>）</w:t>
      </w:r>
      <w:r>
        <w:rPr>
          <w:rFonts w:hint="eastAsia" w:ascii="Times New Roman" w:hAnsi="Times New Roman" w:cs="Times New Roman"/>
          <w:color w:val="auto"/>
          <w:lang w:val="en-US" w:eastAsia="zh-CN"/>
        </w:rPr>
        <w:t>固体废物贮存场规范化要求</w:t>
      </w:r>
    </w:p>
    <w:p w14:paraId="6EB1F645">
      <w:pPr>
        <w:keepNext w:val="0"/>
        <w:keepLines w:val="0"/>
        <w:pageBreakBefore w:val="0"/>
        <w:widowControl/>
        <w:suppressLineNumbers w:val="0"/>
        <w:kinsoku/>
        <w:wordWrap/>
        <w:overflowPunct/>
        <w:topLinePunct w:val="0"/>
        <w:autoSpaceDE/>
        <w:autoSpaceDN/>
        <w:bidi w:val="0"/>
        <w:adjustRightInd/>
        <w:snapToGrid/>
        <w:jc w:val="left"/>
        <w:textAlignment w:val="auto"/>
        <w:rPr>
          <w:rFonts w:ascii="Times New Roman" w:hAnsi="Times New Roman"/>
        </w:rPr>
      </w:pP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）一般固体废物</w:t>
      </w:r>
    </w:p>
    <w:p w14:paraId="16653F25">
      <w:pPr>
        <w:keepNext w:val="0"/>
        <w:keepLines w:val="0"/>
        <w:widowControl/>
        <w:suppressLineNumbers w:val="0"/>
        <w:jc w:val="left"/>
        <w:rPr>
          <w:rFonts w:ascii="Times New Roman" w:hAnsi="Times New Roman"/>
        </w:rPr>
      </w:pPr>
      <w:r>
        <w:rPr>
          <w:rFonts w:hint="eastAsia" w:ascii="Times New Roman" w:hAnsi="Times New Roman" w:eastAsia="宋体" w:cs="宋体"/>
          <w:color w:val="000000"/>
          <w:kern w:val="0"/>
          <w:sz w:val="24"/>
          <w:szCs w:val="24"/>
          <w:lang w:val="en-US" w:eastAsia="zh-CN" w:bidi="ar"/>
        </w:rPr>
        <w:t>本项目产生的粪污为一般固废，定期拉运至63团3连粪污处理场处理，畜禽粪污综合利用率达到</w:t>
      </w:r>
      <w:r>
        <w:rPr>
          <w:rFonts w:hint="default" w:ascii="Times New Roman" w:hAnsi="Times New Roman" w:eastAsia="宋体" w:cs="Times New Roman"/>
          <w:color w:val="000000"/>
          <w:kern w:val="0"/>
          <w:sz w:val="24"/>
          <w:szCs w:val="24"/>
          <w:lang w:val="en-US" w:eastAsia="zh-CN" w:bidi="ar"/>
        </w:rPr>
        <w:t>100%</w:t>
      </w:r>
      <w:r>
        <w:rPr>
          <w:rFonts w:hint="eastAsia" w:ascii="Times New Roman" w:hAnsi="Times New Roman" w:eastAsia="宋体" w:cs="宋体"/>
          <w:color w:val="000000"/>
          <w:kern w:val="0"/>
          <w:sz w:val="24"/>
          <w:szCs w:val="24"/>
          <w:lang w:val="en-US" w:eastAsia="zh-CN" w:bidi="ar"/>
        </w:rPr>
        <w:t>。项目需制定粪污管理台账，对环境影响较小。项目鸭粪及垫草料区域按《畜禽养殖业污染治理工程技术规范》并参照《一般工业固体废物贮存和填埋污染控制标准》（</w:t>
      </w:r>
      <w:r>
        <w:rPr>
          <w:rFonts w:hint="default" w:ascii="Times New Roman" w:hAnsi="Times New Roman" w:eastAsia="宋体" w:cs="Times New Roman"/>
          <w:color w:val="000000"/>
          <w:kern w:val="0"/>
          <w:sz w:val="24"/>
          <w:szCs w:val="24"/>
          <w:lang w:val="en-US" w:eastAsia="zh-CN" w:bidi="ar"/>
        </w:rPr>
        <w:t>GB18599-2020</w:t>
      </w:r>
      <w:r>
        <w:rPr>
          <w:rFonts w:hint="eastAsia" w:ascii="Times New Roman" w:hAnsi="Times New Roman" w:eastAsia="宋体" w:cs="宋体"/>
          <w:color w:val="000000"/>
          <w:kern w:val="0"/>
          <w:sz w:val="24"/>
          <w:szCs w:val="24"/>
          <w:lang w:val="en-US" w:eastAsia="zh-CN" w:bidi="ar"/>
        </w:rPr>
        <w:t>）相关要求规范化建设，项目鸭粪及垫草料区域地面应为水泥混凝土地面，并按照相关要求进行防渗处置，其构筑物及地面均采用防腐防渗结构，防渗系</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≤1.0×10</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cm/s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0359E296">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）医疗废物储存</w:t>
      </w:r>
    </w:p>
    <w:p w14:paraId="6159CBE8">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废物按照《医疗废物管理条例》（</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日）、《动物诊疗机构管理办法》全文（农业农村部令</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号）和《危险废物贮存污染控制标准》（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GB18597-2023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）中的相应要求进行收集、暂存，并委托有资质的处理单位进行处理。本项目建设的医疗废物暂存间应满足以下要求：</w:t>
      </w:r>
    </w:p>
    <w:p w14:paraId="15AC5115">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医疗废物暂存间地面须防渗，防渗层为渗透系数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cm/s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厚的黏土层或渗透系数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cm/s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2mm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厚的其他人工材料，暂存间地面与裙脚要用兼顾、防渗的材料建造，建筑材料必须与防疫废物相容。防疫废物必须当日消毒，消毒后装入容器，医疗废物暂时贮存的时间不得超过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天。要严格按照《医疗废物管理条例》要求，在医疗废物的管理上必须有交接签字制度，医疗废物产生量必须有登记，以避免医疗废物的流失。在医疗废物的处置方面还必须做到分类、消毒、专人管理。</w:t>
      </w:r>
    </w:p>
    <w:p w14:paraId="49883320">
      <w:pPr>
        <w:keepNext w:val="0"/>
        <w:keepLines w:val="0"/>
        <w:widowControl/>
        <w:suppressLineNumbers w:val="0"/>
        <w:jc w:val="left"/>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项目所在区域不属于地震、泥石流等地质灾害频发带，也不存在洪水淹没的情况，离周边水体有一定的距离，因此医疗废物暂存间的选址合理。</w:t>
      </w:r>
    </w:p>
    <w:p w14:paraId="53913DC2">
      <w:pPr>
        <w:ind w:firstLine="480"/>
        <w:rPr>
          <w:rFonts w:ascii="Times New Roman" w:hAnsi="Times New Roman" w:cs="Times New Roman"/>
          <w:color w:val="auto"/>
        </w:rPr>
      </w:pPr>
      <w:r>
        <w:rPr>
          <w:rFonts w:ascii="Times New Roman" w:hAnsi="Times New Roman" w:cs="Times New Roman"/>
          <w:color w:val="auto"/>
        </w:rPr>
        <w:t>综上，项目运行过程中产生的各类固体废物均采取相关措施，得到了合理处置，不会对周边环境造成明显不利影响。</w:t>
      </w:r>
    </w:p>
    <w:p w14:paraId="2B23D3EF">
      <w:pPr>
        <w:pStyle w:val="5"/>
        <w:numPr>
          <w:ilvl w:val="2"/>
          <w:numId w:val="1"/>
        </w:numPr>
        <w:ind w:left="120"/>
        <w:rPr>
          <w:rFonts w:ascii="Times New Roman" w:hAnsi="Times New Roman" w:cs="Times New Roman"/>
          <w:color w:val="auto"/>
        </w:rPr>
      </w:pPr>
      <w:bookmarkStart w:id="213" w:name="5.2.5土壤环境影响分析"/>
      <w:bookmarkEnd w:id="213"/>
      <w:bookmarkStart w:id="214" w:name="_Toc11375"/>
      <w:r>
        <w:rPr>
          <w:rFonts w:ascii="Times New Roman" w:hAnsi="Times New Roman" w:cs="Times New Roman"/>
          <w:color w:val="auto"/>
        </w:rPr>
        <w:t>土壤环境影响分析</w:t>
      </w:r>
      <w:bookmarkEnd w:id="214"/>
    </w:p>
    <w:p w14:paraId="18466E64">
      <w:pPr>
        <w:ind w:left="480" w:leftChars="200" w:firstLine="0" w:firstLineChars="0"/>
        <w:rPr>
          <w:rFonts w:hint="eastAsia" w:cs="Times New Roman"/>
          <w:color w:val="auto"/>
          <w:lang w:val="en-US" w:eastAsia="zh-CN"/>
        </w:rPr>
      </w:pPr>
      <w:bookmarkStart w:id="215" w:name="5.2.5.1土壤污染影响识别"/>
      <w:bookmarkEnd w:id="215"/>
      <w:bookmarkStart w:id="216" w:name="_Toc13204"/>
      <w:r>
        <w:rPr>
          <w:rFonts w:hint="eastAsia" w:cs="Times New Roman"/>
          <w:color w:val="auto"/>
          <w:lang w:val="en-US" w:eastAsia="zh-CN"/>
        </w:rPr>
        <w:t>根据《土壤环境影响评价技术导则》附录，本项目为Ⅲ类项目，且评价范围内无环境敏感目标，判定为不敏感区，因此本项目不开展土壤环境影响评价。</w:t>
      </w:r>
    </w:p>
    <w:bookmarkEnd w:id="216"/>
    <w:p w14:paraId="690128C8">
      <w:pPr>
        <w:pStyle w:val="5"/>
        <w:numPr>
          <w:ilvl w:val="2"/>
          <w:numId w:val="1"/>
        </w:numPr>
        <w:ind w:left="120"/>
        <w:rPr>
          <w:rFonts w:ascii="Times New Roman" w:hAnsi="Times New Roman" w:cs="Times New Roman"/>
          <w:color w:val="auto"/>
        </w:rPr>
      </w:pPr>
      <w:r>
        <w:rPr>
          <w:rFonts w:ascii="Times New Roman" w:hAnsi="Times New Roman" w:cs="Times New Roman"/>
          <w:color w:val="auto"/>
        </w:rPr>
        <w:t>环境风险分析</w:t>
      </w:r>
    </w:p>
    <w:p w14:paraId="028ACFF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环境风险评价的目的是分析和预测建设项目存在的潜在危险、有害因素</w:t>
      </w:r>
      <w:r>
        <w:rPr>
          <w:rFonts w:hint="eastAsia" w:cs="Times New Roman"/>
          <w:color w:val="000000" w:themeColor="text1"/>
          <w:lang w:eastAsia="zh-CN"/>
          <w14:textFill>
            <w14:solidFill>
              <w14:schemeClr w14:val="tx1"/>
            </w14:solidFill>
          </w14:textFill>
        </w:rPr>
        <w:t>，对</w:t>
      </w:r>
      <w:r>
        <w:rPr>
          <w:rFonts w:ascii="Times New Roman" w:hAnsi="Times New Roman" w:cs="Times New Roman"/>
          <w:color w:val="000000" w:themeColor="text1"/>
          <w14:textFill>
            <w14:solidFill>
              <w14:schemeClr w14:val="tx1"/>
            </w14:solidFill>
          </w14:textFill>
        </w:rPr>
        <w:t>建设项目建设和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07272C7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本项目环评主要针对生产过程中可能发生的环境风险事故，进行环境影响预测分析，并提出风险防范措施及应急预案，力求将环境风险影响降至最低。</w:t>
      </w:r>
    </w:p>
    <w:p w14:paraId="1CFDFEE6">
      <w:pPr>
        <w:ind w:firstLine="480"/>
        <w:rPr>
          <w:rFonts w:ascii="Times New Roman" w:hAnsi="Times New Roman" w:cs="Times New Roman"/>
          <w:color w:val="000000" w:themeColor="text1"/>
          <w14:textFill>
            <w14:solidFill>
              <w14:schemeClr w14:val="tx1"/>
            </w14:solidFill>
          </w14:textFill>
        </w:rPr>
      </w:pPr>
      <w:bookmarkStart w:id="217" w:name="_Toc16790"/>
      <w:bookmarkStart w:id="218" w:name="_Toc4436"/>
      <w:bookmarkStart w:id="219" w:name="_Toc15991"/>
      <w:bookmarkStart w:id="220" w:name="_Toc29376"/>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风险调查</w:t>
      </w:r>
      <w:bookmarkEnd w:id="217"/>
      <w:bookmarkEnd w:id="218"/>
      <w:bookmarkEnd w:id="219"/>
      <w:bookmarkEnd w:id="220"/>
    </w:p>
    <w:p w14:paraId="00208989">
      <w:pPr>
        <w:ind w:firstLine="480"/>
        <w:rPr>
          <w:rFonts w:ascii="Times New Roman" w:hAnsi="Times New Roman" w:cs="Times New Roman"/>
          <w:color w:val="auto"/>
        </w:rPr>
      </w:pPr>
      <w:r>
        <w:rPr>
          <w:rFonts w:ascii="Times New Roman" w:hAnsi="Times New Roman" w:cs="Times New Roman"/>
          <w:color w:val="auto"/>
        </w:rPr>
        <w:t>根据《危险化学品名录（2022年版）</w:t>
      </w:r>
      <w:r>
        <w:rPr>
          <w:rFonts w:hint="eastAsia" w:ascii="Times New Roman" w:hAnsi="Times New Roman" w:cs="Times New Roman"/>
          <w:color w:val="auto"/>
          <w:lang w:eastAsia="zh-CN"/>
        </w:rPr>
        <w:t>》《</w:t>
      </w:r>
      <w:r>
        <w:rPr>
          <w:rFonts w:ascii="Times New Roman" w:hAnsi="Times New Roman" w:cs="Times New Roman"/>
          <w:color w:val="auto"/>
        </w:rPr>
        <w:t>建设项目环境风险评价技术导则》（HJ 169-2018）附录B，确定本项目不涉及风险物质</w:t>
      </w:r>
      <w:r>
        <w:rPr>
          <w:rFonts w:hint="eastAsia" w:cs="Times New Roman"/>
          <w:color w:val="auto"/>
          <w:lang w:eastAsia="zh-CN"/>
        </w:rPr>
        <w:t>，</w:t>
      </w:r>
      <w:r>
        <w:rPr>
          <w:rFonts w:hint="eastAsia" w:cs="Times New Roman"/>
          <w:color w:val="auto"/>
          <w:lang w:val="en-US" w:eastAsia="zh-CN"/>
        </w:rPr>
        <w:t>不构成重大风险源，因此本项目环境风险评价仅开展简单分析</w:t>
      </w:r>
      <w:r>
        <w:rPr>
          <w:rFonts w:ascii="Times New Roman" w:hAnsi="Times New Roman" w:cs="Times New Roman"/>
          <w:color w:val="auto"/>
        </w:rPr>
        <w:t>。根据《建设项目环境风险评价技术导则》</w:t>
      </w:r>
      <w:r>
        <w:rPr>
          <w:rFonts w:hint="eastAsia" w:cs="Times New Roman"/>
          <w:color w:val="auto"/>
          <w:lang w:eastAsia="zh-CN"/>
        </w:rPr>
        <w:t>（</w:t>
      </w:r>
      <w:r>
        <w:rPr>
          <w:rFonts w:ascii="Times New Roman" w:hAnsi="Times New Roman" w:cs="Times New Roman"/>
          <w:color w:val="auto"/>
        </w:rPr>
        <w:t>HJ 169-2018</w:t>
      </w:r>
      <w:r>
        <w:rPr>
          <w:rFonts w:hint="eastAsia" w:cs="Times New Roman"/>
          <w:color w:val="auto"/>
          <w:lang w:eastAsia="zh-CN"/>
        </w:rPr>
        <w:t>）</w:t>
      </w:r>
      <w:r>
        <w:rPr>
          <w:rFonts w:ascii="Times New Roman" w:hAnsi="Times New Roman" w:cs="Times New Roman"/>
          <w:color w:val="auto"/>
        </w:rPr>
        <w:t>，结合对本项目的工程分析，本项目的主要风险源为：</w:t>
      </w:r>
      <w:r>
        <w:rPr>
          <w:rFonts w:hint="eastAsia" w:cs="Times New Roman"/>
          <w:color w:val="auto"/>
          <w:lang w:val="en-US" w:eastAsia="zh-CN"/>
        </w:rPr>
        <w:t>养殖鸭群及鸭舍，主要环境风险为禽流感等疫病风险</w:t>
      </w:r>
      <w:r>
        <w:rPr>
          <w:rFonts w:ascii="Times New Roman" w:hAnsi="Times New Roman" w:cs="Times New Roman"/>
          <w:color w:val="auto"/>
        </w:rPr>
        <w:t>。</w:t>
      </w:r>
    </w:p>
    <w:p w14:paraId="55544381">
      <w:pPr>
        <w:ind w:firstLine="480"/>
        <w:rPr>
          <w:rFonts w:ascii="Times New Roman" w:hAnsi="Times New Roman" w:cs="Times New Roman"/>
          <w:color w:val="000000" w:themeColor="text1"/>
          <w14:textFill>
            <w14:solidFill>
              <w14:schemeClr w14:val="tx1"/>
            </w14:solidFill>
          </w14:textFill>
        </w:rPr>
      </w:pPr>
      <w:bookmarkStart w:id="221" w:name="_Toc3371"/>
      <w:bookmarkStart w:id="222" w:name="_Toc7350_WPSOffice_Level1"/>
      <w:bookmarkStart w:id="223" w:name="_Toc2713"/>
      <w:r>
        <w:rPr>
          <w:rFonts w:hint="eastAsia"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环境敏感目标调查</w:t>
      </w:r>
      <w:bookmarkEnd w:id="221"/>
      <w:bookmarkEnd w:id="222"/>
      <w:bookmarkEnd w:id="223"/>
    </w:p>
    <w:p w14:paraId="27C2CF8B">
      <w:pPr>
        <w:ind w:firstLine="480"/>
        <w:rPr>
          <w:rFonts w:ascii="Times New Roman" w:hAnsi="Times New Roman" w:cs="Times New Roman"/>
          <w:color w:val="auto"/>
        </w:rPr>
      </w:pPr>
      <w:r>
        <w:rPr>
          <w:rFonts w:ascii="Times New Roman" w:hAnsi="Times New Roman" w:cs="Times New Roman"/>
          <w:color w:val="auto"/>
        </w:rPr>
        <w:t>评价范围内无饮用水水源保护区、自然保护区、旅游景区和文物历史遗迹保护区等环境敏感点。</w:t>
      </w:r>
      <w:r>
        <w:rPr>
          <w:rFonts w:hint="eastAsia" w:cs="Times New Roman"/>
          <w:color w:val="auto"/>
          <w:lang w:val="en-US" w:eastAsia="zh-CN"/>
        </w:rPr>
        <w:t>本项目周边可能的主要环境保护目标为东北侧2.7公里外的6连，东侧2.7公里处的13连，东南侧3公里外的16连及各连队区域的其他禽类养殖项目等。</w:t>
      </w:r>
      <w:r>
        <w:rPr>
          <w:rFonts w:ascii="Times New Roman" w:hAnsi="Times New Roman" w:cs="Times New Roman"/>
          <w:color w:val="auto"/>
        </w:rPr>
        <w:t>项目环境敏感目标见表</w:t>
      </w:r>
      <w:r>
        <w:rPr>
          <w:rFonts w:hint="eastAsia" w:cs="Times New Roman"/>
          <w:color w:val="auto"/>
          <w:lang w:val="en-US" w:eastAsia="zh-CN"/>
        </w:rPr>
        <w:t>5</w:t>
      </w:r>
      <w:r>
        <w:rPr>
          <w:rFonts w:ascii="Times New Roman" w:hAnsi="Times New Roman" w:cs="Times New Roman"/>
          <w:color w:val="auto"/>
        </w:rPr>
        <w:t>.2-2</w:t>
      </w:r>
      <w:r>
        <w:rPr>
          <w:rFonts w:hint="eastAsia" w:cs="Times New Roman"/>
          <w:color w:val="auto"/>
          <w:lang w:val="en-US" w:eastAsia="zh-CN"/>
        </w:rPr>
        <w:t>0</w:t>
      </w:r>
      <w:r>
        <w:rPr>
          <w:rFonts w:ascii="Times New Roman" w:hAnsi="Times New Roman" w:cs="Times New Roman"/>
          <w:color w:val="auto"/>
        </w:rPr>
        <w:t>。</w:t>
      </w:r>
    </w:p>
    <w:p w14:paraId="73F68063">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.2-2</w:t>
      </w:r>
      <w:r>
        <w:rPr>
          <w:rFonts w:hint="eastAsia" w:eastAsia="宋体" w:cs="Times New Roman"/>
          <w:b/>
          <w:bCs/>
          <w:color w:val="auto"/>
          <w:lang w:val="en-US" w:eastAsia="zh-CN"/>
        </w:rPr>
        <w:t>0</w:t>
      </w:r>
      <w:r>
        <w:rPr>
          <w:rFonts w:ascii="Times New Roman" w:hAnsi="Times New Roman" w:eastAsia="宋体" w:cs="Times New Roman"/>
          <w:b/>
          <w:bCs/>
          <w:color w:val="auto"/>
        </w:rPr>
        <w:t xml:space="preserve">    项目区附近主要环境保护目标</w:t>
      </w:r>
    </w:p>
    <w:tbl>
      <w:tblPr>
        <w:tblStyle w:val="35"/>
        <w:tblW w:w="89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1392"/>
        <w:gridCol w:w="1434"/>
        <w:gridCol w:w="972"/>
        <w:gridCol w:w="1052"/>
        <w:gridCol w:w="1276"/>
        <w:gridCol w:w="2774"/>
      </w:tblGrid>
      <w:tr w14:paraId="3227ED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 w:hRule="atLeast"/>
          <w:jc w:val="center"/>
        </w:trPr>
        <w:tc>
          <w:tcPr>
            <w:tcW w:w="1392" w:type="dxa"/>
            <w:tcBorders>
              <w:tl2br w:val="nil"/>
              <w:tr2bl w:val="nil"/>
            </w:tcBorders>
            <w:vAlign w:val="center"/>
          </w:tcPr>
          <w:p w14:paraId="09F8D2B0">
            <w:pPr>
              <w:pStyle w:val="56"/>
              <w:rPr>
                <w:rFonts w:ascii="Times New Roman" w:hAnsi="Times New Roman"/>
                <w:color w:val="auto"/>
                <w:szCs w:val="21"/>
              </w:rPr>
            </w:pPr>
            <w:bookmarkStart w:id="224" w:name="_Toc5990"/>
            <w:bookmarkStart w:id="225" w:name="_Toc28021"/>
            <w:bookmarkStart w:id="226" w:name="_Toc13144"/>
            <w:bookmarkStart w:id="227" w:name="_Toc2312_WPSOffice_Level2"/>
            <w:bookmarkStart w:id="228" w:name="_Toc21730"/>
            <w:r>
              <w:rPr>
                <w:rFonts w:ascii="Times New Roman" w:hAnsi="Times New Roman"/>
                <w:color w:val="auto"/>
                <w:szCs w:val="21"/>
              </w:rPr>
              <w:t>类别</w:t>
            </w:r>
          </w:p>
        </w:tc>
        <w:tc>
          <w:tcPr>
            <w:tcW w:w="1434" w:type="dxa"/>
            <w:tcBorders>
              <w:tl2br w:val="nil"/>
              <w:tr2bl w:val="nil"/>
            </w:tcBorders>
            <w:vAlign w:val="center"/>
          </w:tcPr>
          <w:p w14:paraId="2E31C298">
            <w:pPr>
              <w:pStyle w:val="56"/>
              <w:rPr>
                <w:rFonts w:ascii="Times New Roman" w:hAnsi="Times New Roman"/>
                <w:color w:val="auto"/>
                <w:szCs w:val="21"/>
              </w:rPr>
            </w:pPr>
            <w:r>
              <w:rPr>
                <w:rFonts w:ascii="Times New Roman" w:hAnsi="Times New Roman"/>
                <w:color w:val="auto"/>
                <w:szCs w:val="21"/>
              </w:rPr>
              <w:t>环保目标</w:t>
            </w:r>
          </w:p>
        </w:tc>
        <w:tc>
          <w:tcPr>
            <w:tcW w:w="972" w:type="dxa"/>
            <w:tcBorders>
              <w:tl2br w:val="nil"/>
              <w:tr2bl w:val="nil"/>
            </w:tcBorders>
            <w:vAlign w:val="center"/>
          </w:tcPr>
          <w:p w14:paraId="1AF60A7C">
            <w:pPr>
              <w:pStyle w:val="56"/>
              <w:rPr>
                <w:rFonts w:ascii="Times New Roman" w:hAnsi="Times New Roman"/>
                <w:color w:val="auto"/>
                <w:szCs w:val="21"/>
              </w:rPr>
            </w:pPr>
            <w:r>
              <w:rPr>
                <w:rFonts w:ascii="Times New Roman" w:hAnsi="Times New Roman"/>
                <w:color w:val="auto"/>
                <w:szCs w:val="21"/>
              </w:rPr>
              <w:t>户数</w:t>
            </w:r>
          </w:p>
          <w:p w14:paraId="62FE4A90">
            <w:pPr>
              <w:pStyle w:val="56"/>
              <w:rPr>
                <w:rFonts w:ascii="Times New Roman" w:hAnsi="Times New Roman"/>
                <w:color w:val="auto"/>
                <w:szCs w:val="21"/>
              </w:rPr>
            </w:pPr>
            <w:r>
              <w:rPr>
                <w:rFonts w:ascii="Times New Roman" w:hAnsi="Times New Roman"/>
                <w:color w:val="auto"/>
                <w:szCs w:val="21"/>
              </w:rPr>
              <w:t>（户）</w:t>
            </w:r>
          </w:p>
        </w:tc>
        <w:tc>
          <w:tcPr>
            <w:tcW w:w="1052" w:type="dxa"/>
            <w:tcBorders>
              <w:tl2br w:val="nil"/>
              <w:tr2bl w:val="nil"/>
            </w:tcBorders>
            <w:vAlign w:val="center"/>
          </w:tcPr>
          <w:p w14:paraId="7CDA7554">
            <w:pPr>
              <w:pStyle w:val="56"/>
              <w:rPr>
                <w:rFonts w:ascii="Times New Roman" w:hAnsi="Times New Roman"/>
                <w:color w:val="auto"/>
                <w:szCs w:val="21"/>
              </w:rPr>
            </w:pPr>
            <w:r>
              <w:rPr>
                <w:rFonts w:ascii="Times New Roman" w:hAnsi="Times New Roman"/>
                <w:color w:val="auto"/>
                <w:szCs w:val="21"/>
              </w:rPr>
              <w:t>人数</w:t>
            </w:r>
          </w:p>
          <w:p w14:paraId="3D5352A1">
            <w:pPr>
              <w:pStyle w:val="56"/>
              <w:rPr>
                <w:rFonts w:ascii="Times New Roman" w:hAnsi="Times New Roman"/>
                <w:color w:val="auto"/>
                <w:szCs w:val="21"/>
              </w:rPr>
            </w:pPr>
            <w:r>
              <w:rPr>
                <w:rFonts w:ascii="Times New Roman" w:hAnsi="Times New Roman"/>
                <w:color w:val="auto"/>
                <w:szCs w:val="21"/>
              </w:rPr>
              <w:t>（人）</w:t>
            </w:r>
          </w:p>
        </w:tc>
        <w:tc>
          <w:tcPr>
            <w:tcW w:w="1276" w:type="dxa"/>
            <w:tcBorders>
              <w:tl2br w:val="nil"/>
              <w:tr2bl w:val="nil"/>
            </w:tcBorders>
            <w:vAlign w:val="center"/>
          </w:tcPr>
          <w:p w14:paraId="5EDF4B85">
            <w:pPr>
              <w:pStyle w:val="56"/>
              <w:rPr>
                <w:rFonts w:ascii="Times New Roman" w:hAnsi="Times New Roman"/>
                <w:color w:val="auto"/>
                <w:szCs w:val="21"/>
              </w:rPr>
            </w:pPr>
            <w:r>
              <w:rPr>
                <w:rFonts w:ascii="Times New Roman" w:hAnsi="Times New Roman"/>
                <w:color w:val="auto"/>
                <w:szCs w:val="21"/>
              </w:rPr>
              <w:t>方位及外边界最近距离</w:t>
            </w:r>
          </w:p>
        </w:tc>
        <w:tc>
          <w:tcPr>
            <w:tcW w:w="2774" w:type="dxa"/>
            <w:tcBorders>
              <w:tl2br w:val="nil"/>
              <w:tr2bl w:val="nil"/>
            </w:tcBorders>
            <w:vAlign w:val="center"/>
          </w:tcPr>
          <w:p w14:paraId="5C12CE44">
            <w:pPr>
              <w:pStyle w:val="56"/>
              <w:rPr>
                <w:rFonts w:ascii="Times New Roman" w:hAnsi="Times New Roman"/>
                <w:color w:val="auto"/>
                <w:szCs w:val="21"/>
              </w:rPr>
            </w:pPr>
            <w:r>
              <w:rPr>
                <w:rFonts w:ascii="Times New Roman" w:hAnsi="Times New Roman"/>
                <w:color w:val="auto"/>
                <w:szCs w:val="21"/>
              </w:rPr>
              <w:t>执行标准或目标值</w:t>
            </w:r>
          </w:p>
        </w:tc>
      </w:tr>
      <w:tr w14:paraId="6A04EE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706" w:hRule="atLeast"/>
          <w:jc w:val="center"/>
        </w:trPr>
        <w:tc>
          <w:tcPr>
            <w:tcW w:w="1392" w:type="dxa"/>
            <w:vMerge w:val="restart"/>
            <w:tcBorders>
              <w:tl2br w:val="nil"/>
              <w:tr2bl w:val="nil"/>
            </w:tcBorders>
            <w:vAlign w:val="center"/>
          </w:tcPr>
          <w:p w14:paraId="7EAE594C">
            <w:pPr>
              <w:pStyle w:val="56"/>
              <w:rPr>
                <w:rFonts w:hint="eastAsia" w:ascii="Times New Roman" w:hAnsi="Times New Roman" w:eastAsia="宋体"/>
                <w:color w:val="auto"/>
                <w:szCs w:val="21"/>
                <w:lang w:eastAsia="zh-CN"/>
              </w:rPr>
            </w:pPr>
            <w:r>
              <w:rPr>
                <w:rFonts w:hint="eastAsia"/>
                <w:color w:val="auto"/>
                <w:szCs w:val="21"/>
                <w:lang w:val="en-US" w:eastAsia="zh-CN"/>
              </w:rPr>
              <w:t>生态（疫病）</w:t>
            </w:r>
          </w:p>
        </w:tc>
        <w:tc>
          <w:tcPr>
            <w:tcW w:w="1434" w:type="dxa"/>
            <w:tcBorders>
              <w:tl2br w:val="nil"/>
              <w:tr2bl w:val="nil"/>
            </w:tcBorders>
            <w:vAlign w:val="center"/>
          </w:tcPr>
          <w:p w14:paraId="3FD2E044">
            <w:pPr>
              <w:pStyle w:val="56"/>
              <w:rPr>
                <w:rFonts w:hint="default" w:ascii="Times New Roman" w:hAnsi="Times New Roman"/>
                <w:color w:val="auto"/>
                <w:szCs w:val="21"/>
                <w:lang w:val="en-US"/>
              </w:rPr>
            </w:pPr>
            <w:r>
              <w:rPr>
                <w:rFonts w:hint="eastAsia" w:cs="Times New Roman"/>
                <w:color w:val="auto"/>
                <w:lang w:val="en-US" w:eastAsia="zh-CN"/>
              </w:rPr>
              <w:t>6连</w:t>
            </w:r>
          </w:p>
        </w:tc>
        <w:tc>
          <w:tcPr>
            <w:tcW w:w="972" w:type="dxa"/>
            <w:tcBorders>
              <w:tl2br w:val="nil"/>
              <w:tr2bl w:val="nil"/>
            </w:tcBorders>
            <w:vAlign w:val="center"/>
          </w:tcPr>
          <w:p w14:paraId="43758DBB">
            <w:pPr>
              <w:pStyle w:val="56"/>
              <w:rPr>
                <w:rFonts w:ascii="Times New Roman" w:hAnsi="Times New Roman"/>
                <w:color w:val="auto"/>
                <w:szCs w:val="21"/>
              </w:rPr>
            </w:pPr>
            <w:r>
              <w:rPr>
                <w:rFonts w:ascii="Times New Roman" w:hAnsi="Times New Roman"/>
                <w:color w:val="auto"/>
                <w:szCs w:val="21"/>
              </w:rPr>
              <w:t>/</w:t>
            </w:r>
          </w:p>
        </w:tc>
        <w:tc>
          <w:tcPr>
            <w:tcW w:w="1052" w:type="dxa"/>
            <w:tcBorders>
              <w:tl2br w:val="nil"/>
              <w:tr2bl w:val="nil"/>
            </w:tcBorders>
            <w:vAlign w:val="center"/>
          </w:tcPr>
          <w:p w14:paraId="66BE9F11">
            <w:pPr>
              <w:pStyle w:val="56"/>
              <w:rPr>
                <w:rFonts w:ascii="Times New Roman" w:hAnsi="Times New Roman"/>
                <w:color w:val="auto"/>
                <w:szCs w:val="21"/>
              </w:rPr>
            </w:pPr>
            <w:r>
              <w:rPr>
                <w:rFonts w:ascii="Times New Roman" w:hAnsi="Times New Roman"/>
                <w:color w:val="auto"/>
                <w:szCs w:val="21"/>
              </w:rPr>
              <w:t>/</w:t>
            </w:r>
          </w:p>
        </w:tc>
        <w:tc>
          <w:tcPr>
            <w:tcW w:w="1276" w:type="dxa"/>
            <w:tcBorders>
              <w:tl2br w:val="nil"/>
              <w:tr2bl w:val="nil"/>
            </w:tcBorders>
            <w:vAlign w:val="center"/>
          </w:tcPr>
          <w:p w14:paraId="66C44535">
            <w:pPr>
              <w:pStyle w:val="56"/>
              <w:rPr>
                <w:rFonts w:ascii="Times New Roman" w:hAnsi="Times New Roman"/>
                <w:color w:val="auto"/>
                <w:szCs w:val="21"/>
              </w:rPr>
            </w:pPr>
            <w:r>
              <w:rPr>
                <w:rFonts w:hint="eastAsia" w:cs="Times New Roman"/>
                <w:color w:val="auto"/>
                <w:lang w:val="en-US" w:eastAsia="zh-CN"/>
              </w:rPr>
              <w:t>东北侧2.7公里</w:t>
            </w:r>
          </w:p>
        </w:tc>
        <w:tc>
          <w:tcPr>
            <w:tcW w:w="2774" w:type="dxa"/>
            <w:tcBorders>
              <w:tl2br w:val="nil"/>
              <w:tr2bl w:val="nil"/>
            </w:tcBorders>
            <w:vAlign w:val="center"/>
          </w:tcPr>
          <w:p w14:paraId="29CB2A27">
            <w:pPr>
              <w:pStyle w:val="56"/>
              <w:rPr>
                <w:rFonts w:ascii="Times New Roman" w:hAnsi="Times New Roman"/>
                <w:color w:val="auto"/>
                <w:szCs w:val="21"/>
              </w:rPr>
            </w:pPr>
            <w:r>
              <w:rPr>
                <w:rFonts w:ascii="Times New Roman" w:hAnsi="Times New Roman"/>
                <w:color w:val="auto"/>
                <w:szCs w:val="21"/>
              </w:rPr>
              <w:t>/</w:t>
            </w:r>
          </w:p>
        </w:tc>
      </w:tr>
      <w:tr w14:paraId="7C8F02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706" w:hRule="atLeast"/>
          <w:jc w:val="center"/>
        </w:trPr>
        <w:tc>
          <w:tcPr>
            <w:tcW w:w="1392" w:type="dxa"/>
            <w:vMerge w:val="continue"/>
            <w:tcBorders>
              <w:tl2br w:val="nil"/>
              <w:tr2bl w:val="nil"/>
            </w:tcBorders>
            <w:vAlign w:val="center"/>
          </w:tcPr>
          <w:p w14:paraId="68B29B28">
            <w:pPr>
              <w:pStyle w:val="56"/>
              <w:rPr>
                <w:rFonts w:ascii="Times New Roman" w:hAnsi="Times New Roman"/>
                <w:color w:val="auto"/>
                <w:szCs w:val="21"/>
              </w:rPr>
            </w:pPr>
          </w:p>
        </w:tc>
        <w:tc>
          <w:tcPr>
            <w:tcW w:w="1434" w:type="dxa"/>
            <w:tcBorders>
              <w:tl2br w:val="nil"/>
              <w:tr2bl w:val="nil"/>
            </w:tcBorders>
            <w:vAlign w:val="center"/>
          </w:tcPr>
          <w:p w14:paraId="009F9072">
            <w:pPr>
              <w:pStyle w:val="56"/>
              <w:rPr>
                <w:rFonts w:hint="default" w:ascii="Times New Roman" w:hAnsi="Times New Roman" w:cs="Times New Roman"/>
                <w:color w:val="auto"/>
                <w:lang w:val="en-US" w:eastAsia="zh-CN"/>
              </w:rPr>
            </w:pPr>
            <w:r>
              <w:rPr>
                <w:rFonts w:hint="eastAsia" w:cs="Times New Roman"/>
                <w:color w:val="auto"/>
                <w:lang w:val="en-US" w:eastAsia="zh-CN"/>
              </w:rPr>
              <w:t>13连</w:t>
            </w:r>
          </w:p>
        </w:tc>
        <w:tc>
          <w:tcPr>
            <w:tcW w:w="972" w:type="dxa"/>
            <w:tcBorders>
              <w:tl2br w:val="nil"/>
              <w:tr2bl w:val="nil"/>
            </w:tcBorders>
            <w:vAlign w:val="center"/>
          </w:tcPr>
          <w:p w14:paraId="2B4B8D1C">
            <w:pPr>
              <w:pStyle w:val="56"/>
              <w:ind w:firstLine="0" w:firstLineChars="0"/>
              <w:rPr>
                <w:rFonts w:ascii="Times New Roman" w:hAnsi="Times New Roman"/>
                <w:color w:val="auto"/>
                <w:szCs w:val="21"/>
              </w:rPr>
            </w:pPr>
            <w:r>
              <w:rPr>
                <w:rFonts w:ascii="Times New Roman" w:hAnsi="Times New Roman"/>
                <w:color w:val="auto"/>
                <w:szCs w:val="21"/>
              </w:rPr>
              <w:t>/</w:t>
            </w:r>
          </w:p>
        </w:tc>
        <w:tc>
          <w:tcPr>
            <w:tcW w:w="1052" w:type="dxa"/>
            <w:tcBorders>
              <w:tl2br w:val="nil"/>
              <w:tr2bl w:val="nil"/>
            </w:tcBorders>
            <w:vAlign w:val="center"/>
          </w:tcPr>
          <w:p w14:paraId="43670656">
            <w:pPr>
              <w:pStyle w:val="56"/>
              <w:ind w:firstLine="0" w:firstLineChars="0"/>
              <w:rPr>
                <w:rFonts w:ascii="Times New Roman" w:hAnsi="Times New Roman"/>
                <w:color w:val="auto"/>
                <w:szCs w:val="21"/>
              </w:rPr>
            </w:pPr>
            <w:r>
              <w:rPr>
                <w:rFonts w:ascii="Times New Roman" w:hAnsi="Times New Roman"/>
                <w:color w:val="auto"/>
                <w:szCs w:val="21"/>
              </w:rPr>
              <w:t>/</w:t>
            </w:r>
          </w:p>
        </w:tc>
        <w:tc>
          <w:tcPr>
            <w:tcW w:w="1276" w:type="dxa"/>
            <w:tcBorders>
              <w:tl2br w:val="nil"/>
              <w:tr2bl w:val="nil"/>
            </w:tcBorders>
            <w:vAlign w:val="center"/>
          </w:tcPr>
          <w:p w14:paraId="50900BBA">
            <w:pPr>
              <w:pStyle w:val="56"/>
              <w:rPr>
                <w:rFonts w:hint="default" w:ascii="Times New Roman" w:hAnsi="Times New Roman"/>
                <w:color w:val="auto"/>
                <w:szCs w:val="21"/>
                <w:lang w:val="en-US" w:eastAsia="zh-CN"/>
              </w:rPr>
            </w:pPr>
            <w:r>
              <w:rPr>
                <w:rFonts w:hint="eastAsia" w:cs="Times New Roman"/>
                <w:color w:val="auto"/>
                <w:lang w:val="en-US" w:eastAsia="zh-CN"/>
              </w:rPr>
              <w:t>东侧2.7公里</w:t>
            </w:r>
          </w:p>
        </w:tc>
        <w:tc>
          <w:tcPr>
            <w:tcW w:w="2774" w:type="dxa"/>
            <w:tcBorders>
              <w:tl2br w:val="nil"/>
              <w:tr2bl w:val="nil"/>
            </w:tcBorders>
            <w:vAlign w:val="center"/>
          </w:tcPr>
          <w:p w14:paraId="527B6E59">
            <w:pPr>
              <w:pStyle w:val="56"/>
              <w:rPr>
                <w:rFonts w:ascii="Times New Roman" w:hAnsi="Times New Roman"/>
                <w:color w:val="auto"/>
                <w:szCs w:val="21"/>
              </w:rPr>
            </w:pPr>
            <w:r>
              <w:rPr>
                <w:rFonts w:ascii="Times New Roman" w:hAnsi="Times New Roman"/>
                <w:color w:val="auto"/>
                <w:szCs w:val="21"/>
              </w:rPr>
              <w:t>/</w:t>
            </w:r>
          </w:p>
        </w:tc>
      </w:tr>
      <w:tr w14:paraId="73928B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706" w:hRule="atLeast"/>
          <w:jc w:val="center"/>
        </w:trPr>
        <w:tc>
          <w:tcPr>
            <w:tcW w:w="1392" w:type="dxa"/>
            <w:vMerge w:val="continue"/>
            <w:tcBorders>
              <w:tl2br w:val="nil"/>
              <w:tr2bl w:val="nil"/>
            </w:tcBorders>
            <w:vAlign w:val="center"/>
          </w:tcPr>
          <w:p w14:paraId="1B5614B8">
            <w:pPr>
              <w:pStyle w:val="56"/>
              <w:rPr>
                <w:rFonts w:ascii="Times New Roman" w:hAnsi="Times New Roman"/>
                <w:color w:val="auto"/>
                <w:szCs w:val="21"/>
              </w:rPr>
            </w:pPr>
          </w:p>
        </w:tc>
        <w:tc>
          <w:tcPr>
            <w:tcW w:w="1434" w:type="dxa"/>
            <w:tcBorders>
              <w:tl2br w:val="nil"/>
              <w:tr2bl w:val="nil"/>
            </w:tcBorders>
            <w:vAlign w:val="center"/>
          </w:tcPr>
          <w:p w14:paraId="4E5342E6">
            <w:pPr>
              <w:pStyle w:val="56"/>
              <w:rPr>
                <w:rFonts w:hint="default" w:ascii="Times New Roman" w:hAnsi="Times New Roman" w:cs="Times New Roman"/>
                <w:color w:val="auto"/>
                <w:lang w:val="en-US" w:eastAsia="zh-CN"/>
              </w:rPr>
            </w:pPr>
            <w:r>
              <w:rPr>
                <w:rFonts w:hint="eastAsia" w:cs="Times New Roman"/>
                <w:color w:val="auto"/>
                <w:lang w:val="en-US" w:eastAsia="zh-CN"/>
              </w:rPr>
              <w:t>16连</w:t>
            </w:r>
          </w:p>
        </w:tc>
        <w:tc>
          <w:tcPr>
            <w:tcW w:w="972" w:type="dxa"/>
            <w:tcBorders>
              <w:tl2br w:val="nil"/>
              <w:tr2bl w:val="nil"/>
            </w:tcBorders>
            <w:vAlign w:val="center"/>
          </w:tcPr>
          <w:p w14:paraId="6C5835D3">
            <w:pPr>
              <w:pStyle w:val="56"/>
              <w:ind w:firstLine="0" w:firstLineChars="0"/>
              <w:rPr>
                <w:rFonts w:ascii="Times New Roman" w:hAnsi="Times New Roman"/>
                <w:color w:val="auto"/>
                <w:szCs w:val="21"/>
              </w:rPr>
            </w:pPr>
            <w:r>
              <w:rPr>
                <w:rFonts w:ascii="Times New Roman" w:hAnsi="Times New Roman"/>
                <w:color w:val="auto"/>
                <w:szCs w:val="21"/>
              </w:rPr>
              <w:t>/</w:t>
            </w:r>
          </w:p>
        </w:tc>
        <w:tc>
          <w:tcPr>
            <w:tcW w:w="1052" w:type="dxa"/>
            <w:tcBorders>
              <w:tl2br w:val="nil"/>
              <w:tr2bl w:val="nil"/>
            </w:tcBorders>
            <w:vAlign w:val="center"/>
          </w:tcPr>
          <w:p w14:paraId="1A8FD3CF">
            <w:pPr>
              <w:pStyle w:val="56"/>
              <w:ind w:firstLine="0" w:firstLineChars="0"/>
              <w:rPr>
                <w:rFonts w:ascii="Times New Roman" w:hAnsi="Times New Roman"/>
                <w:color w:val="auto"/>
                <w:szCs w:val="21"/>
              </w:rPr>
            </w:pPr>
            <w:r>
              <w:rPr>
                <w:rFonts w:ascii="Times New Roman" w:hAnsi="Times New Roman"/>
                <w:color w:val="auto"/>
                <w:szCs w:val="21"/>
              </w:rPr>
              <w:t>/</w:t>
            </w:r>
          </w:p>
        </w:tc>
        <w:tc>
          <w:tcPr>
            <w:tcW w:w="1276" w:type="dxa"/>
            <w:tcBorders>
              <w:tl2br w:val="nil"/>
              <w:tr2bl w:val="nil"/>
            </w:tcBorders>
            <w:vAlign w:val="center"/>
          </w:tcPr>
          <w:p w14:paraId="79CDB896">
            <w:pPr>
              <w:pStyle w:val="56"/>
              <w:ind w:firstLine="0" w:firstLineChars="0"/>
              <w:rPr>
                <w:rFonts w:hint="eastAsia" w:ascii="Times New Roman" w:hAnsi="Times New Roman"/>
                <w:color w:val="auto"/>
                <w:szCs w:val="21"/>
                <w:lang w:val="en-US" w:eastAsia="zh-CN"/>
              </w:rPr>
            </w:pPr>
            <w:r>
              <w:rPr>
                <w:rFonts w:hint="eastAsia" w:cs="Times New Roman"/>
                <w:color w:val="auto"/>
                <w:lang w:val="en-US" w:eastAsia="zh-CN"/>
              </w:rPr>
              <w:t>东南侧3公里</w:t>
            </w:r>
          </w:p>
        </w:tc>
        <w:tc>
          <w:tcPr>
            <w:tcW w:w="2774" w:type="dxa"/>
            <w:tcBorders>
              <w:tl2br w:val="nil"/>
              <w:tr2bl w:val="nil"/>
            </w:tcBorders>
            <w:vAlign w:val="center"/>
          </w:tcPr>
          <w:p w14:paraId="1F4A29A8">
            <w:pPr>
              <w:pStyle w:val="56"/>
              <w:rPr>
                <w:rFonts w:ascii="Times New Roman" w:hAnsi="Times New Roman"/>
                <w:color w:val="auto"/>
                <w:szCs w:val="21"/>
              </w:rPr>
            </w:pPr>
            <w:r>
              <w:rPr>
                <w:rFonts w:ascii="Times New Roman" w:hAnsi="Times New Roman"/>
                <w:color w:val="auto"/>
                <w:szCs w:val="21"/>
              </w:rPr>
              <w:t>/</w:t>
            </w:r>
          </w:p>
        </w:tc>
      </w:tr>
      <w:bookmarkEnd w:id="224"/>
      <w:bookmarkEnd w:id="225"/>
      <w:bookmarkEnd w:id="226"/>
      <w:bookmarkEnd w:id="227"/>
      <w:bookmarkEnd w:id="228"/>
    </w:tbl>
    <w:p w14:paraId="4A799F7C">
      <w:pPr>
        <w:ind w:firstLine="480"/>
        <w:rPr>
          <w:rFonts w:ascii="Times New Roman" w:hAnsi="Times New Roman" w:cs="Times New Roman"/>
          <w:color w:val="auto"/>
        </w:rPr>
      </w:pPr>
      <w:r>
        <w:rPr>
          <w:rFonts w:hint="eastAsia" w:cs="Times New Roman"/>
          <w:color w:val="auto"/>
          <w:lang w:val="en-US" w:eastAsia="zh-CN"/>
        </w:rPr>
        <w:t>养鸭场一旦发生禽类疫病，将很快在鸭群中传播，</w:t>
      </w:r>
      <w:r>
        <w:rPr>
          <w:rFonts w:ascii="Times New Roman" w:hAnsi="Times New Roman" w:cs="Times New Roman"/>
          <w:color w:val="auto"/>
        </w:rPr>
        <w:t>患人畜共患的传染病的</w:t>
      </w:r>
      <w:r>
        <w:rPr>
          <w:rFonts w:hint="eastAsia" w:ascii="Times New Roman" w:hAnsi="Times New Roman" w:cs="Times New Roman"/>
          <w:color w:val="auto"/>
          <w:lang w:eastAsia="zh-CN"/>
        </w:rPr>
        <w:t>鸭</w:t>
      </w:r>
      <w:r>
        <w:rPr>
          <w:rFonts w:ascii="Times New Roman" w:hAnsi="Times New Roman" w:cs="Times New Roman"/>
          <w:color w:val="auto"/>
        </w:rPr>
        <w:t>和工作人员接触后引发工作人员发病，病</w:t>
      </w:r>
      <w:r>
        <w:rPr>
          <w:rFonts w:hint="eastAsia" w:ascii="Times New Roman" w:hAnsi="Times New Roman" w:cs="Times New Roman"/>
          <w:color w:val="auto"/>
          <w:lang w:eastAsia="zh-CN"/>
        </w:rPr>
        <w:t>鸭</w:t>
      </w:r>
      <w:r>
        <w:rPr>
          <w:rFonts w:ascii="Times New Roman" w:hAnsi="Times New Roman" w:cs="Times New Roman"/>
          <w:color w:val="auto"/>
        </w:rPr>
        <w:t>的</w:t>
      </w:r>
      <w:r>
        <w:rPr>
          <w:rFonts w:hint="eastAsia" w:ascii="Times New Roman" w:hAnsi="Times New Roman" w:cs="Times New Roman"/>
          <w:color w:val="auto"/>
          <w:lang w:eastAsia="zh-CN"/>
        </w:rPr>
        <w:t>鸭</w:t>
      </w:r>
      <w:r>
        <w:rPr>
          <w:rFonts w:ascii="Times New Roman" w:hAnsi="Times New Roman" w:cs="Times New Roman"/>
          <w:color w:val="auto"/>
        </w:rPr>
        <w:t>粪和工作人员接触后引发工作人员发病</w:t>
      </w:r>
      <w:r>
        <w:rPr>
          <w:rFonts w:hint="eastAsia" w:cs="Times New Roman"/>
          <w:color w:val="auto"/>
          <w:lang w:eastAsia="zh-CN"/>
        </w:rPr>
        <w:t>，</w:t>
      </w:r>
      <w:r>
        <w:rPr>
          <w:rFonts w:hint="eastAsia" w:cs="Times New Roman"/>
          <w:color w:val="auto"/>
          <w:lang w:val="en-US" w:eastAsia="zh-CN"/>
        </w:rPr>
        <w:t>病菌通过死鸭、人员、空气等还可能传播到附近其他受体，一旦暴发恶性疫病，造成的损失和影响将非常大</w:t>
      </w:r>
      <w:r>
        <w:rPr>
          <w:rFonts w:ascii="Times New Roman" w:hAnsi="Times New Roman" w:cs="Times New Roman"/>
          <w:color w:val="auto"/>
        </w:rPr>
        <w:t>。</w:t>
      </w:r>
    </w:p>
    <w:p w14:paraId="09B40112">
      <w:pPr>
        <w:ind w:firstLine="480"/>
        <w:rPr>
          <w:rFonts w:ascii="Times New Roman" w:hAnsi="Times New Roman" w:cs="Times New Roman"/>
          <w:color w:val="auto"/>
        </w:rPr>
      </w:pPr>
      <w:bookmarkStart w:id="229" w:name="_Toc2323"/>
      <w:bookmarkStart w:id="230" w:name="_Toc10454"/>
      <w:r>
        <w:rPr>
          <w:rFonts w:hint="eastAsia" w:cs="Times New Roman"/>
          <w:color w:val="auto"/>
          <w:lang w:val="en-US" w:eastAsia="zh-CN"/>
        </w:rPr>
        <w:t>3.</w:t>
      </w:r>
      <w:r>
        <w:rPr>
          <w:rFonts w:ascii="Times New Roman" w:hAnsi="Times New Roman" w:cs="Times New Roman"/>
          <w:color w:val="auto"/>
        </w:rPr>
        <w:t>畜禽疫病事故影响分析</w:t>
      </w:r>
      <w:bookmarkEnd w:id="229"/>
      <w:bookmarkEnd w:id="230"/>
    </w:p>
    <w:p w14:paraId="6A63E6CF">
      <w:pPr>
        <w:ind w:firstLine="480"/>
        <w:rPr>
          <w:rFonts w:ascii="Times New Roman" w:hAnsi="Times New Roman" w:cs="Times New Roman"/>
          <w:color w:val="auto"/>
        </w:rPr>
      </w:pPr>
      <w:r>
        <w:rPr>
          <w:rFonts w:ascii="Times New Roman" w:hAnsi="Times New Roman" w:cs="Times New Roman"/>
          <w:color w:val="auto"/>
        </w:rPr>
        <w:t>近几年来，几种影响免疫功能的疾病困扰着我国养</w:t>
      </w:r>
      <w:r>
        <w:rPr>
          <w:rFonts w:hint="eastAsia" w:ascii="Times New Roman" w:hAnsi="Times New Roman" w:cs="Times New Roman"/>
          <w:color w:val="auto"/>
          <w:lang w:eastAsia="zh-CN"/>
        </w:rPr>
        <w:t>鸭</w:t>
      </w:r>
      <w:r>
        <w:rPr>
          <w:rFonts w:ascii="Times New Roman" w:hAnsi="Times New Roman" w:cs="Times New Roman"/>
          <w:color w:val="auto"/>
        </w:rPr>
        <w:t>业，给养</w:t>
      </w:r>
      <w:r>
        <w:rPr>
          <w:rFonts w:hint="eastAsia" w:ascii="Times New Roman" w:hAnsi="Times New Roman" w:cs="Times New Roman"/>
          <w:color w:val="auto"/>
          <w:lang w:eastAsia="zh-CN"/>
        </w:rPr>
        <w:t>鸭</w:t>
      </w:r>
      <w:r>
        <w:rPr>
          <w:rFonts w:ascii="Times New Roman" w:hAnsi="Times New Roman" w:cs="Times New Roman"/>
          <w:color w:val="auto"/>
        </w:rPr>
        <w:t>业造成了难以估量的损失，如</w:t>
      </w:r>
      <w:r>
        <w:rPr>
          <w:rFonts w:hint="eastAsia" w:cs="Times New Roman"/>
          <w:color w:val="auto"/>
          <w:lang w:val="en-US" w:eastAsia="zh-CN"/>
        </w:rPr>
        <w:t>禽流感</w:t>
      </w:r>
      <w:r>
        <w:rPr>
          <w:rFonts w:ascii="Times New Roman" w:hAnsi="Times New Roman" w:cs="Times New Roman"/>
          <w:color w:val="auto"/>
        </w:rPr>
        <w:t>、疯</w:t>
      </w:r>
      <w:r>
        <w:rPr>
          <w:rFonts w:hint="eastAsia" w:ascii="Times New Roman" w:hAnsi="Times New Roman" w:cs="Times New Roman"/>
          <w:color w:val="auto"/>
          <w:lang w:eastAsia="zh-CN"/>
        </w:rPr>
        <w:t>鸭</w:t>
      </w:r>
      <w:r>
        <w:rPr>
          <w:rFonts w:ascii="Times New Roman" w:hAnsi="Times New Roman" w:cs="Times New Roman"/>
          <w:color w:val="auto"/>
        </w:rPr>
        <w:t>病、结核病、炭疽、巴氏杆菌病、沙门氏菌病、</w:t>
      </w:r>
      <w:r>
        <w:rPr>
          <w:rFonts w:hint="eastAsia" w:ascii="Times New Roman" w:hAnsi="Times New Roman" w:cs="Times New Roman"/>
          <w:color w:val="auto"/>
          <w:lang w:eastAsia="zh-CN"/>
        </w:rPr>
        <w:t>鸭</w:t>
      </w:r>
      <w:r>
        <w:rPr>
          <w:rFonts w:ascii="Times New Roman" w:hAnsi="Times New Roman" w:cs="Times New Roman"/>
          <w:color w:val="auto"/>
        </w:rPr>
        <w:t>流行热、</w:t>
      </w:r>
      <w:r>
        <w:rPr>
          <w:rFonts w:hint="eastAsia" w:ascii="Times New Roman" w:hAnsi="Times New Roman" w:cs="Times New Roman"/>
          <w:color w:val="auto"/>
          <w:lang w:eastAsia="zh-CN"/>
        </w:rPr>
        <w:t>鸭</w:t>
      </w:r>
      <w:r>
        <w:rPr>
          <w:rFonts w:ascii="Times New Roman" w:hAnsi="Times New Roman" w:cs="Times New Roman"/>
          <w:color w:val="auto"/>
        </w:rPr>
        <w:t>的传染性鼻气管炎、犊</w:t>
      </w:r>
      <w:r>
        <w:rPr>
          <w:rFonts w:hint="eastAsia" w:ascii="Times New Roman" w:hAnsi="Times New Roman" w:cs="Times New Roman"/>
          <w:color w:val="auto"/>
          <w:lang w:eastAsia="zh-CN"/>
        </w:rPr>
        <w:t>鸭</w:t>
      </w:r>
      <w:r>
        <w:rPr>
          <w:rFonts w:ascii="Times New Roman" w:hAnsi="Times New Roman" w:cs="Times New Roman"/>
          <w:color w:val="auto"/>
        </w:rPr>
        <w:t>大肠杆菌病、布鲁氏菌病等疫病的发生流行，引起机体的基础免疫功能下降，导致</w:t>
      </w:r>
      <w:r>
        <w:rPr>
          <w:rFonts w:hint="eastAsia" w:ascii="Times New Roman" w:hAnsi="Times New Roman" w:cs="Times New Roman"/>
          <w:color w:val="auto"/>
          <w:lang w:eastAsia="zh-CN"/>
        </w:rPr>
        <w:t>鸭</w:t>
      </w:r>
      <w:r>
        <w:rPr>
          <w:rFonts w:ascii="Times New Roman" w:hAnsi="Times New Roman" w:cs="Times New Roman"/>
          <w:color w:val="auto"/>
        </w:rPr>
        <w:t>群免疫失败，多种病原体引起的疾病的临床病变极其严重，极易造成临床上的误诊和防治上的困难，由于这些新病的出现，有的疾病缺乏有效的防治措施，因此，</w:t>
      </w:r>
      <w:r>
        <w:rPr>
          <w:rFonts w:hint="eastAsia" w:ascii="Times New Roman" w:hAnsi="Times New Roman" w:cs="Times New Roman"/>
          <w:color w:val="auto"/>
          <w:lang w:eastAsia="zh-CN"/>
        </w:rPr>
        <w:t>鸭</w:t>
      </w:r>
      <w:r>
        <w:rPr>
          <w:rFonts w:ascii="Times New Roman" w:hAnsi="Times New Roman" w:cs="Times New Roman"/>
          <w:color w:val="auto"/>
        </w:rPr>
        <w:t>群发病率和死亡率提高，养</w:t>
      </w:r>
      <w:r>
        <w:rPr>
          <w:rFonts w:hint="eastAsia" w:ascii="Times New Roman" w:hAnsi="Times New Roman" w:cs="Times New Roman"/>
          <w:color w:val="auto"/>
          <w:lang w:eastAsia="zh-CN"/>
        </w:rPr>
        <w:t>鸭</w:t>
      </w:r>
      <w:r>
        <w:rPr>
          <w:rFonts w:ascii="Times New Roman" w:hAnsi="Times New Roman" w:cs="Times New Roman"/>
          <w:color w:val="auto"/>
        </w:rPr>
        <w:t>场损失惨重，甚至感染到人群。</w:t>
      </w:r>
    </w:p>
    <w:p w14:paraId="101E1BF5">
      <w:pPr>
        <w:ind w:firstLine="480"/>
        <w:rPr>
          <w:rFonts w:ascii="Times New Roman" w:hAnsi="Times New Roman" w:eastAsia="宋体" w:cs="Times New Roman"/>
          <w:color w:val="auto"/>
          <w:kern w:val="0"/>
          <w:szCs w:val="24"/>
        </w:rPr>
      </w:pPr>
      <w:r>
        <w:rPr>
          <w:rFonts w:ascii="Times New Roman" w:hAnsi="Times New Roman" w:cs="Times New Roman"/>
          <w:color w:val="auto"/>
        </w:rPr>
        <w:t>集约化</w:t>
      </w:r>
      <w:r>
        <w:rPr>
          <w:rFonts w:hint="eastAsia" w:ascii="Times New Roman" w:hAnsi="Times New Roman" w:cs="Times New Roman"/>
          <w:color w:val="auto"/>
          <w:lang w:eastAsia="zh-CN"/>
        </w:rPr>
        <w:t>鸭</w:t>
      </w:r>
      <w:r>
        <w:rPr>
          <w:rFonts w:ascii="Times New Roman" w:hAnsi="Times New Roman" w:cs="Times New Roman"/>
          <w:color w:val="auto"/>
        </w:rPr>
        <w:t>场养殖规模大、密度高、传播速度快，疾病威胁严重，项目运行后可能发生各种</w:t>
      </w:r>
      <w:r>
        <w:rPr>
          <w:rFonts w:hint="eastAsia" w:ascii="Times New Roman" w:hAnsi="Times New Roman" w:cs="Times New Roman"/>
          <w:color w:val="auto"/>
          <w:lang w:eastAsia="zh-CN"/>
        </w:rPr>
        <w:t>鸭</w:t>
      </w:r>
      <w:r>
        <w:rPr>
          <w:rFonts w:ascii="Times New Roman" w:hAnsi="Times New Roman" w:cs="Times New Roman"/>
          <w:color w:val="auto"/>
        </w:rPr>
        <w:t>疫情，若在疫情早期发现，并处理及时、妥当，将仅造成业主自身的经济损失；但若疫情未及时发现或处理不当，将可能传染给周围生物，进而传染给人群， 致使当地造成经济损失，甚至人员伤亡等。</w:t>
      </w:r>
    </w:p>
    <w:p w14:paraId="1A6ABCD4">
      <w:pPr>
        <w:ind w:firstLine="480"/>
        <w:rPr>
          <w:rFonts w:ascii="Times New Roman" w:hAnsi="Times New Roman" w:cs="Times New Roman"/>
          <w:color w:val="auto"/>
        </w:rPr>
      </w:pPr>
      <w:bookmarkStart w:id="231" w:name="_Toc16188"/>
      <w:bookmarkStart w:id="232" w:name="_Toc348"/>
      <w:r>
        <w:rPr>
          <w:rFonts w:hint="eastAsia" w:cs="Times New Roman"/>
          <w:color w:val="auto"/>
          <w:lang w:val="en-US" w:eastAsia="zh-CN"/>
        </w:rPr>
        <w:t>4.</w:t>
      </w:r>
      <w:r>
        <w:rPr>
          <w:rFonts w:ascii="Times New Roman" w:hAnsi="Times New Roman" w:cs="Times New Roman"/>
          <w:color w:val="auto"/>
        </w:rPr>
        <w:t>病死</w:t>
      </w:r>
      <w:r>
        <w:rPr>
          <w:rFonts w:hint="eastAsia" w:ascii="Times New Roman" w:hAnsi="Times New Roman" w:cs="Times New Roman"/>
          <w:color w:val="auto"/>
          <w:lang w:eastAsia="zh-CN"/>
        </w:rPr>
        <w:t>鸭</w:t>
      </w:r>
      <w:r>
        <w:rPr>
          <w:rFonts w:ascii="Times New Roman" w:hAnsi="Times New Roman" w:cs="Times New Roman"/>
          <w:color w:val="auto"/>
        </w:rPr>
        <w:t>风险影响分析</w:t>
      </w:r>
      <w:bookmarkEnd w:id="231"/>
      <w:bookmarkEnd w:id="232"/>
    </w:p>
    <w:p w14:paraId="28B9326D">
      <w:pPr>
        <w:ind w:firstLine="480"/>
        <w:rPr>
          <w:rFonts w:ascii="Times New Roman" w:hAnsi="Times New Roman" w:cs="Times New Roman"/>
          <w:color w:val="auto"/>
          <w:lang w:bidi="zh-CN"/>
        </w:rPr>
      </w:pPr>
      <w:bookmarkStart w:id="233" w:name="_Toc30755"/>
      <w:bookmarkStart w:id="234" w:name="_Toc10274"/>
      <w:bookmarkStart w:id="235" w:name="_Toc479342925"/>
      <w:bookmarkStart w:id="236" w:name="_Toc3623"/>
      <w:bookmarkStart w:id="237" w:name="_Toc32337"/>
      <w:r>
        <w:rPr>
          <w:rFonts w:ascii="Times New Roman" w:hAnsi="Times New Roman" w:cs="Times New Roman"/>
          <w:color w:val="auto"/>
          <w:lang w:bidi="zh-CN"/>
        </w:rPr>
        <w:t>病死的家禽多数是因患了某种传染病而死亡的。其中有一些是人畜共患的传染病，如结核、禽流感等，如食用这些病死的畜禽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禽的肉，就会发生食物中毒。有些禽畜可能因吃了被污染剧毒农药的</w:t>
      </w:r>
      <w:r>
        <w:rPr>
          <w:rFonts w:hint="eastAsia" w:ascii="Times New Roman" w:hAnsi="Times New Roman" w:cs="Times New Roman"/>
          <w:color w:val="auto"/>
          <w:lang w:bidi="zh-CN"/>
        </w:rPr>
        <w:t>饲料</w:t>
      </w:r>
      <w:r>
        <w:rPr>
          <w:rFonts w:ascii="Times New Roman" w:hAnsi="Times New Roman" w:cs="Times New Roman"/>
          <w:color w:val="auto"/>
          <w:lang w:bidi="zh-CN"/>
        </w:rPr>
        <w:t>而中毒死亡，人如果吃了这种死畜禽，同样也有可能中毒，甚至造成死亡。因此，对于病死或者死因不明的畜禽，必须按照国务院畜牧兽医行政管理部门的有关规定进行无害化处理，不得随意处置。</w:t>
      </w:r>
    </w:p>
    <w:p w14:paraId="4380217F">
      <w:pPr>
        <w:ind w:firstLine="480"/>
        <w:rPr>
          <w:rFonts w:ascii="Times New Roman" w:hAnsi="Times New Roman" w:cs="Times New Roman"/>
          <w:color w:val="auto"/>
          <w:lang w:bidi="zh-CN"/>
        </w:rPr>
      </w:pPr>
      <w:r>
        <w:rPr>
          <w:rFonts w:ascii="Times New Roman" w:hAnsi="Times New Roman" w:cs="Times New Roman"/>
          <w:color w:val="auto"/>
          <w:lang w:bidi="zh-CN"/>
        </w:rPr>
        <w:t>根据《畜禽养殖业污染治理工程技术规范》（HJ497-2009）中第9章和《畜禽养殖业污染物防治技术规范》（HJ/T81-2001）中第9章的要求，病死畜禽尸体应及时处理，不得随意丢弃，不得出售或作为饲料再利用。因高致病性禽流感疫情导致禽类死亡，死禽尸体的处理与处置应符合《高致病</w:t>
      </w:r>
      <w:r>
        <w:rPr>
          <w:rFonts w:hint="eastAsia" w:ascii="Times New Roman" w:hAnsi="Times New Roman" w:cs="Times New Roman"/>
          <w:color w:val="auto"/>
          <w:lang w:bidi="zh-CN"/>
        </w:rPr>
        <w:t>性</w:t>
      </w:r>
      <w:r>
        <w:rPr>
          <w:rFonts w:ascii="Times New Roman" w:hAnsi="Times New Roman" w:cs="Times New Roman"/>
          <w:color w:val="auto"/>
          <w:lang w:bidi="zh-CN"/>
        </w:rPr>
        <w:t>禽流感疫情处置技术规范（试行）》的规定。</w:t>
      </w:r>
    </w:p>
    <w:p w14:paraId="23F0677B">
      <w:pPr>
        <w:ind w:firstLine="480"/>
        <w:rPr>
          <w:rFonts w:ascii="Times New Roman" w:hAnsi="Times New Roman" w:cs="Times New Roman"/>
          <w:color w:val="auto"/>
        </w:rPr>
      </w:pPr>
      <w:bookmarkStart w:id="238" w:name="_Toc31140"/>
      <w:r>
        <w:rPr>
          <w:rFonts w:hint="eastAsia" w:cs="Times New Roman"/>
          <w:color w:val="auto"/>
          <w:lang w:eastAsia="zh-CN"/>
        </w:rPr>
        <w:t>5.</w:t>
      </w:r>
      <w:r>
        <w:rPr>
          <w:rFonts w:ascii="Times New Roman" w:hAnsi="Times New Roman" w:cs="Times New Roman"/>
          <w:color w:val="auto"/>
        </w:rPr>
        <w:t>环境风险防范措施</w:t>
      </w:r>
      <w:bookmarkEnd w:id="233"/>
      <w:bookmarkEnd w:id="234"/>
      <w:bookmarkEnd w:id="235"/>
      <w:bookmarkEnd w:id="236"/>
      <w:bookmarkEnd w:id="237"/>
      <w:bookmarkEnd w:id="238"/>
    </w:p>
    <w:p w14:paraId="2DD122B5">
      <w:pPr>
        <w:ind w:firstLine="480"/>
        <w:rPr>
          <w:rFonts w:ascii="Times New Roman" w:hAnsi="Times New Roman" w:cs="Times New Roman"/>
          <w:color w:val="auto"/>
        </w:rPr>
      </w:pPr>
      <w:bookmarkStart w:id="239" w:name="_Toc32565"/>
      <w:bookmarkStart w:id="240" w:name="_Toc29922"/>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ascii="Times New Roman" w:hAnsi="Times New Roman" w:cs="Times New Roman"/>
          <w:color w:val="auto"/>
        </w:rPr>
        <w:t>畜禽疫病风险防范措施</w:t>
      </w:r>
      <w:bookmarkEnd w:id="239"/>
      <w:bookmarkEnd w:id="240"/>
    </w:p>
    <w:p w14:paraId="7272BA40">
      <w:pPr>
        <w:ind w:firstLine="480"/>
        <w:rPr>
          <w:rFonts w:ascii="Times New Roman" w:hAnsi="Times New Roman" w:cs="Times New Roman"/>
          <w:color w:val="auto"/>
        </w:rPr>
      </w:pPr>
      <w:r>
        <w:rPr>
          <w:rFonts w:ascii="Times New Roman" w:hAnsi="Times New Roman" w:cs="Times New Roman"/>
          <w:color w:val="auto"/>
        </w:rPr>
        <w:t>卫生防疫是规模化养殖场成败的关键，必须严格按照《中华人民共和国动物防疫法》的要求，做到“以防为主，防治结合，制度健全，责任到人”。</w:t>
      </w:r>
    </w:p>
    <w:p w14:paraId="764B287F">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消毒制度</w:t>
      </w:r>
    </w:p>
    <w:p w14:paraId="58CB9A6F">
      <w:pPr>
        <w:ind w:firstLine="480"/>
        <w:rPr>
          <w:rFonts w:ascii="Times New Roman" w:hAnsi="Times New Roman" w:cs="Times New Roman"/>
          <w:color w:val="auto"/>
        </w:rPr>
      </w:pPr>
      <w:r>
        <w:rPr>
          <w:rFonts w:ascii="Times New Roman" w:hAnsi="Times New Roman" w:cs="Times New Roman"/>
          <w:color w:val="auto"/>
        </w:rPr>
        <w:t>凡进入饲养场的人和车辆等都需要经过消毒。凡是进入饲养场的工作人员，一律更换工作服、工作鞋，并进行消毒。外来人员必须进入生产区时，也应按照上述方法消毒，在场区管理人员的带领下，按照指定路线行走。</w:t>
      </w:r>
    </w:p>
    <w:p w14:paraId="2BDB5FDA">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免疫程序管理</w:t>
      </w:r>
    </w:p>
    <w:p w14:paraId="17DD5947">
      <w:pPr>
        <w:ind w:firstLine="480"/>
        <w:rPr>
          <w:rFonts w:ascii="Times New Roman" w:hAnsi="Times New Roman" w:cs="Times New Roman"/>
          <w:color w:val="auto"/>
        </w:rPr>
      </w:pPr>
      <w:r>
        <w:rPr>
          <w:rFonts w:ascii="Times New Roman" w:hAnsi="Times New Roman" w:cs="Times New Roman"/>
          <w:color w:val="auto"/>
        </w:rPr>
        <w:t>如果养殖场需要引进</w:t>
      </w:r>
      <w:r>
        <w:rPr>
          <w:rFonts w:hint="eastAsia" w:ascii="Times New Roman" w:hAnsi="Times New Roman" w:cs="Times New Roman"/>
          <w:color w:val="auto"/>
          <w:lang w:eastAsia="zh-CN"/>
        </w:rPr>
        <w:t>鸭苗</w:t>
      </w:r>
      <w:r>
        <w:rPr>
          <w:rFonts w:ascii="Times New Roman" w:hAnsi="Times New Roman" w:cs="Times New Roman"/>
          <w:color w:val="auto"/>
        </w:rPr>
        <w:t>时，严格检疫，运输过</w:t>
      </w:r>
      <w:r>
        <w:rPr>
          <w:rFonts w:hint="eastAsia" w:cs="Times New Roman"/>
          <w:color w:val="auto"/>
          <w:lang w:eastAsia="zh-CN"/>
        </w:rPr>
        <w:t>程中</w:t>
      </w:r>
      <w:r>
        <w:rPr>
          <w:rFonts w:ascii="Times New Roman" w:hAnsi="Times New Roman" w:cs="Times New Roman"/>
          <w:color w:val="auto"/>
        </w:rPr>
        <w:t>严格执行《种畜禽调运检疫技术规范》的要求，</w:t>
      </w:r>
      <w:r>
        <w:rPr>
          <w:rFonts w:hint="eastAsia" w:ascii="Times New Roman" w:hAnsi="Times New Roman" w:cs="Times New Roman"/>
          <w:color w:val="auto"/>
          <w:lang w:eastAsia="zh-CN"/>
        </w:rPr>
        <w:t>鸭苗</w:t>
      </w:r>
      <w:r>
        <w:rPr>
          <w:rFonts w:ascii="Times New Roman" w:hAnsi="Times New Roman" w:cs="Times New Roman"/>
          <w:color w:val="auto"/>
        </w:rPr>
        <w:t>到场后，在隔离观察期经检查确定为健康</w:t>
      </w:r>
      <w:r>
        <w:rPr>
          <w:rFonts w:hint="eastAsia" w:ascii="Times New Roman" w:hAnsi="Times New Roman" w:cs="Times New Roman"/>
          <w:color w:val="auto"/>
          <w:lang w:eastAsia="zh-CN"/>
        </w:rPr>
        <w:t>鸭苗</w:t>
      </w:r>
      <w:r>
        <w:rPr>
          <w:rFonts w:ascii="Times New Roman" w:hAnsi="Times New Roman" w:cs="Times New Roman"/>
          <w:color w:val="auto"/>
        </w:rPr>
        <w:t>后，方可供生产使用。</w:t>
      </w:r>
    </w:p>
    <w:p w14:paraId="0846A634">
      <w:pPr>
        <w:ind w:firstLine="480"/>
        <w:rPr>
          <w:rFonts w:ascii="Times New Roman" w:hAnsi="Times New Roman" w:cs="Times New Roman"/>
          <w:color w:val="auto"/>
        </w:rPr>
      </w:pPr>
      <w:r>
        <w:rPr>
          <w:rFonts w:ascii="Times New Roman" w:hAnsi="Times New Roman" w:cs="Times New Roman"/>
          <w:color w:val="auto"/>
        </w:rPr>
        <w:t>严格执行自治区家畜疫病防治的五个强制（免疫、疫区检疫、封锁、消毒、病畜捕杀）和两个强化（疫病报告、防疫监督）制度，定期防治传染病和寄生虫病。制定一套合理的免疫程序和实验室检测制度，一旦发生疫情，封锁疫点，禁止</w:t>
      </w:r>
      <w:r>
        <w:rPr>
          <w:rFonts w:hint="eastAsia" w:ascii="Times New Roman" w:hAnsi="Times New Roman" w:cs="Times New Roman"/>
          <w:color w:val="auto"/>
          <w:lang w:eastAsia="zh-CN"/>
        </w:rPr>
        <w:t>鸭</w:t>
      </w:r>
      <w:r>
        <w:rPr>
          <w:rFonts w:ascii="Times New Roman" w:hAnsi="Times New Roman" w:cs="Times New Roman"/>
          <w:color w:val="auto"/>
        </w:rPr>
        <w:t>群流动</w:t>
      </w:r>
      <w:r>
        <w:rPr>
          <w:rFonts w:hint="eastAsia" w:cs="Times New Roman"/>
          <w:color w:val="auto"/>
          <w:lang w:eastAsia="zh-CN"/>
        </w:rPr>
        <w:t>，对</w:t>
      </w:r>
      <w:r>
        <w:rPr>
          <w:rFonts w:ascii="Times New Roman" w:hAnsi="Times New Roman" w:cs="Times New Roman"/>
          <w:color w:val="auto"/>
        </w:rPr>
        <w:t>病</w:t>
      </w:r>
      <w:r>
        <w:rPr>
          <w:rFonts w:hint="eastAsia" w:ascii="Times New Roman" w:hAnsi="Times New Roman" w:cs="Times New Roman"/>
          <w:color w:val="auto"/>
          <w:lang w:eastAsia="zh-CN"/>
        </w:rPr>
        <w:t>鸭</w:t>
      </w:r>
      <w:r>
        <w:rPr>
          <w:rFonts w:ascii="Times New Roman" w:hAnsi="Times New Roman" w:cs="Times New Roman"/>
          <w:color w:val="auto"/>
        </w:rPr>
        <w:t>及相关物品采取无害化处理。对未发病的</w:t>
      </w:r>
      <w:r>
        <w:rPr>
          <w:rFonts w:hint="eastAsia" w:ascii="Times New Roman" w:hAnsi="Times New Roman" w:cs="Times New Roman"/>
          <w:color w:val="auto"/>
          <w:lang w:eastAsia="zh-CN"/>
        </w:rPr>
        <w:t>鸭</w:t>
      </w:r>
      <w:r>
        <w:rPr>
          <w:rFonts w:ascii="Times New Roman" w:hAnsi="Times New Roman" w:cs="Times New Roman"/>
          <w:color w:val="auto"/>
        </w:rPr>
        <w:t>，用疫苗（剂量可加大2～4倍）进行紧急预防接种，对圈舍、粪便和用具</w:t>
      </w:r>
      <w:r>
        <w:rPr>
          <w:rFonts w:hint="eastAsia" w:ascii="Times New Roman" w:hAnsi="Times New Roman" w:cs="Times New Roman"/>
          <w:color w:val="auto"/>
          <w:lang w:eastAsia="zh-CN"/>
        </w:rPr>
        <w:t>彻底</w:t>
      </w:r>
      <w:r>
        <w:rPr>
          <w:rFonts w:ascii="Times New Roman" w:hAnsi="Times New Roman" w:cs="Times New Roman"/>
          <w:color w:val="auto"/>
        </w:rPr>
        <w:t>消毒，饲养用具每天消毒一次。</w:t>
      </w:r>
    </w:p>
    <w:p w14:paraId="0BADD536">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诊疗程序管理</w:t>
      </w:r>
    </w:p>
    <w:p w14:paraId="1BCE0E6F">
      <w:pPr>
        <w:ind w:firstLine="480"/>
        <w:rPr>
          <w:rFonts w:ascii="Times New Roman" w:hAnsi="Times New Roman" w:cs="Times New Roman"/>
          <w:color w:val="auto"/>
        </w:rPr>
      </w:pPr>
      <w:r>
        <w:rPr>
          <w:rFonts w:hint="eastAsia" w:ascii="Times New Roman" w:hAnsi="Times New Roman" w:cs="Times New Roman"/>
          <w:color w:val="auto"/>
          <w:lang w:eastAsia="zh-CN"/>
        </w:rPr>
        <w:t>鸭</w:t>
      </w:r>
      <w:r>
        <w:rPr>
          <w:rFonts w:ascii="Times New Roman" w:hAnsi="Times New Roman" w:cs="Times New Roman"/>
          <w:color w:val="auto"/>
        </w:rPr>
        <w:t>场设专职兽医，负责防疫、检疫和治疗工作，兽医应定期进入各圈舍观察</w:t>
      </w:r>
      <w:r>
        <w:rPr>
          <w:rFonts w:hint="eastAsia" w:ascii="Times New Roman" w:hAnsi="Times New Roman" w:cs="Times New Roman"/>
          <w:color w:val="auto"/>
          <w:lang w:eastAsia="zh-CN"/>
        </w:rPr>
        <w:t>鸭</w:t>
      </w:r>
      <w:r>
        <w:rPr>
          <w:rFonts w:ascii="Times New Roman" w:hAnsi="Times New Roman" w:cs="Times New Roman"/>
          <w:color w:val="auto"/>
        </w:rPr>
        <w:t>群，发现病情做好记录并向技术部门备案，一旦发现疫情，做到早、严、快，并向上级部门</w:t>
      </w:r>
      <w:r>
        <w:rPr>
          <w:rFonts w:hint="eastAsia" w:cs="Times New Roman"/>
          <w:color w:val="auto"/>
          <w:lang w:eastAsia="zh-CN"/>
        </w:rPr>
        <w:t>汇报</w:t>
      </w:r>
      <w:r>
        <w:rPr>
          <w:rFonts w:ascii="Times New Roman" w:hAnsi="Times New Roman" w:cs="Times New Roman"/>
          <w:color w:val="auto"/>
        </w:rPr>
        <w:t>。</w:t>
      </w:r>
    </w:p>
    <w:p w14:paraId="2F8C1D4D">
      <w:pPr>
        <w:ind w:firstLine="480"/>
        <w:rPr>
          <w:rFonts w:ascii="Times New Roman" w:hAnsi="Times New Roman" w:cs="Times New Roman"/>
          <w:color w:val="auto"/>
        </w:rPr>
      </w:pPr>
      <w:r>
        <w:rPr>
          <w:rFonts w:hint="eastAsia" w:ascii="Times New Roman" w:hAnsi="Times New Roman" w:eastAsia="宋体" w:cs="宋体"/>
          <w:color w:val="auto"/>
        </w:rPr>
        <w:t>④</w:t>
      </w:r>
      <w:r>
        <w:rPr>
          <w:rFonts w:ascii="Times New Roman" w:hAnsi="Times New Roman" w:cs="Times New Roman"/>
          <w:color w:val="auto"/>
        </w:rPr>
        <w:t>保证圈舍良好的卫生环境</w:t>
      </w:r>
    </w:p>
    <w:p w14:paraId="6BB63961">
      <w:pPr>
        <w:ind w:firstLine="480"/>
        <w:rPr>
          <w:rFonts w:ascii="Times New Roman" w:hAnsi="Times New Roman" w:cs="Times New Roman"/>
          <w:color w:val="auto"/>
        </w:rPr>
      </w:pPr>
      <w:r>
        <w:rPr>
          <w:rFonts w:ascii="Times New Roman" w:hAnsi="Times New Roman" w:cs="Times New Roman"/>
          <w:color w:val="auto"/>
        </w:rPr>
        <w:t>对圈舍内消毒时要将圈舍清扫干净，圈舍周围环境定期用2%火碱或撒生石灰消毒。在</w:t>
      </w:r>
      <w:r>
        <w:rPr>
          <w:rFonts w:hint="eastAsia" w:ascii="Times New Roman" w:hAnsi="Times New Roman" w:cs="Times New Roman"/>
          <w:color w:val="auto"/>
          <w:lang w:eastAsia="zh-CN"/>
        </w:rPr>
        <w:t>鸭</w:t>
      </w:r>
      <w:r>
        <w:rPr>
          <w:rFonts w:ascii="Times New Roman" w:hAnsi="Times New Roman" w:cs="Times New Roman"/>
          <w:color w:val="auto"/>
        </w:rPr>
        <w:t>场、圈舍入口设消毒池并定期更换消毒液。</w:t>
      </w:r>
    </w:p>
    <w:p w14:paraId="4FDBB04F">
      <w:pPr>
        <w:ind w:firstLine="480"/>
        <w:rPr>
          <w:rFonts w:ascii="Times New Roman" w:hAnsi="Times New Roman" w:cs="Times New Roman"/>
          <w:color w:val="auto"/>
        </w:rPr>
      </w:pPr>
      <w:bookmarkStart w:id="241" w:name="_Toc27125"/>
      <w:r>
        <w:rPr>
          <w:rFonts w:ascii="Times New Roman" w:hAnsi="Times New Roman" w:cs="Times New Roman"/>
          <w:color w:val="auto"/>
        </w:rPr>
        <w:t>（</w:t>
      </w:r>
      <w:r>
        <w:rPr>
          <w:rFonts w:hint="eastAsia" w:cs="Times New Roman"/>
          <w:color w:val="auto"/>
          <w:lang w:val="en-US" w:eastAsia="zh-CN"/>
        </w:rPr>
        <w:t>2</w:t>
      </w:r>
      <w:r>
        <w:rPr>
          <w:rFonts w:ascii="Times New Roman" w:hAnsi="Times New Roman" w:cs="Times New Roman"/>
          <w:color w:val="auto"/>
        </w:rPr>
        <w:t>）病死</w:t>
      </w:r>
      <w:r>
        <w:rPr>
          <w:rFonts w:hint="eastAsia" w:ascii="Times New Roman" w:hAnsi="Times New Roman" w:cs="Times New Roman"/>
          <w:color w:val="auto"/>
          <w:lang w:eastAsia="zh-CN"/>
        </w:rPr>
        <w:t>鸭</w:t>
      </w:r>
      <w:r>
        <w:rPr>
          <w:rFonts w:ascii="Times New Roman" w:hAnsi="Times New Roman" w:cs="Times New Roman"/>
          <w:color w:val="auto"/>
        </w:rPr>
        <w:t>风险防范措施</w:t>
      </w:r>
      <w:bookmarkEnd w:id="241"/>
    </w:p>
    <w:p w14:paraId="32843560">
      <w:pPr>
        <w:ind w:firstLine="480"/>
        <w:rPr>
          <w:rFonts w:ascii="Times New Roman" w:hAnsi="Times New Roman" w:cs="Times New Roman"/>
          <w:color w:val="auto"/>
        </w:rPr>
      </w:pPr>
      <w:r>
        <w:rPr>
          <w:rFonts w:ascii="Times New Roman" w:hAnsi="Times New Roman" w:cs="Times New Roman"/>
          <w:color w:val="auto"/>
        </w:rPr>
        <w:t>本项目饲养过程中，每年约产生</w:t>
      </w:r>
      <w:r>
        <w:rPr>
          <w:rFonts w:hint="eastAsia" w:ascii="Times New Roman" w:hAnsi="Times New Roman" w:cs="Times New Roman"/>
          <w:color w:val="auto"/>
          <w:lang w:val="en-US" w:eastAsia="zh-CN"/>
        </w:rPr>
        <w:t>2%</w:t>
      </w:r>
      <w:r>
        <w:rPr>
          <w:rFonts w:ascii="Times New Roman" w:hAnsi="Times New Roman" w:cs="Times New Roman"/>
          <w:color w:val="auto"/>
        </w:rPr>
        <w:t>左右的</w:t>
      </w:r>
      <w:r>
        <w:rPr>
          <w:rFonts w:hint="eastAsia" w:cs="Times New Roman"/>
          <w:color w:val="auto"/>
          <w:lang w:val="en-US" w:eastAsia="zh-CN"/>
        </w:rPr>
        <w:t>淘汰鸭和</w:t>
      </w:r>
      <w:r>
        <w:rPr>
          <w:rFonts w:ascii="Times New Roman" w:hAnsi="Times New Roman" w:cs="Times New Roman"/>
          <w:color w:val="auto"/>
        </w:rPr>
        <w:t>病死</w:t>
      </w:r>
      <w:r>
        <w:rPr>
          <w:rFonts w:hint="eastAsia" w:ascii="Times New Roman" w:hAnsi="Times New Roman" w:cs="Times New Roman"/>
          <w:color w:val="auto"/>
          <w:lang w:eastAsia="zh-CN"/>
        </w:rPr>
        <w:t>鸭</w:t>
      </w:r>
      <w:r>
        <w:rPr>
          <w:rFonts w:ascii="Times New Roman" w:hAnsi="Times New Roman" w:cs="Times New Roman"/>
          <w:color w:val="auto"/>
        </w:rPr>
        <w:t>。</w:t>
      </w:r>
      <w:r>
        <w:rPr>
          <w:rFonts w:ascii="Times New Roman" w:hAnsi="Times New Roman" w:cs="Times New Roman"/>
          <w:color w:val="auto"/>
          <w:lang w:val="zh-CN"/>
        </w:rPr>
        <w:t>尸体委托伊宁市病死畜禽无害化处理中心处理</w:t>
      </w:r>
      <w:r>
        <w:rPr>
          <w:rFonts w:ascii="Times New Roman" w:hAnsi="Times New Roman" w:cs="Times New Roman"/>
          <w:color w:val="auto"/>
        </w:rPr>
        <w:t>。</w:t>
      </w:r>
    </w:p>
    <w:p w14:paraId="0A5F7CAF">
      <w:pPr>
        <w:ind w:firstLine="480"/>
        <w:rPr>
          <w:rFonts w:ascii="Times New Roman" w:hAnsi="Times New Roman" w:cs="Times New Roman"/>
          <w:color w:val="auto"/>
        </w:rPr>
      </w:pPr>
      <w:r>
        <w:rPr>
          <w:rFonts w:ascii="Times New Roman" w:hAnsi="Times New Roman" w:cs="Times New Roman"/>
          <w:color w:val="auto"/>
        </w:rPr>
        <w:t>管理员每日按要求对病</w:t>
      </w:r>
      <w:r>
        <w:rPr>
          <w:rFonts w:hint="eastAsia" w:ascii="Times New Roman" w:hAnsi="Times New Roman" w:cs="Times New Roman"/>
          <w:color w:val="auto"/>
          <w:lang w:eastAsia="zh-CN"/>
        </w:rPr>
        <w:t>鸭</w:t>
      </w:r>
      <w:r>
        <w:rPr>
          <w:rFonts w:ascii="Times New Roman" w:hAnsi="Times New Roman" w:cs="Times New Roman"/>
          <w:color w:val="auto"/>
        </w:rPr>
        <w:t>和当日填埋处理的病死</w:t>
      </w:r>
      <w:r>
        <w:rPr>
          <w:rFonts w:hint="eastAsia" w:ascii="Times New Roman" w:hAnsi="Times New Roman" w:cs="Times New Roman"/>
          <w:color w:val="auto"/>
          <w:lang w:eastAsia="zh-CN"/>
        </w:rPr>
        <w:t>鸭</w:t>
      </w:r>
      <w:r>
        <w:rPr>
          <w:rFonts w:ascii="Times New Roman" w:hAnsi="Times New Roman" w:cs="Times New Roman"/>
          <w:color w:val="auto"/>
        </w:rPr>
        <w:t>种类、原因、只数和体重如实进行登记记录。记录档案保存应不少于两年。</w:t>
      </w:r>
    </w:p>
    <w:p w14:paraId="32F650CE">
      <w:pPr>
        <w:ind w:firstLine="480"/>
        <w:rPr>
          <w:rFonts w:ascii="Times New Roman" w:hAnsi="Times New Roman" w:cs="Times New Roman"/>
          <w:color w:val="auto"/>
        </w:rPr>
      </w:pPr>
      <w:bookmarkStart w:id="242" w:name="_Toc16132"/>
      <w:bookmarkStart w:id="243" w:name="_Toc479342926"/>
      <w:bookmarkStart w:id="244" w:name="_Toc18903"/>
      <w:bookmarkStart w:id="245" w:name="_Toc9494"/>
      <w:bookmarkStart w:id="246" w:name="_Toc2728"/>
      <w:r>
        <w:rPr>
          <w:rFonts w:ascii="Times New Roman" w:hAnsi="Times New Roman" w:cs="Times New Roman"/>
          <w:color w:val="auto"/>
        </w:rPr>
        <w:t>（</w:t>
      </w:r>
      <w:r>
        <w:rPr>
          <w:rFonts w:hint="eastAsia" w:cs="Times New Roman"/>
          <w:color w:val="auto"/>
          <w:lang w:val="en-US" w:eastAsia="zh-CN"/>
        </w:rPr>
        <w:t>3</w:t>
      </w:r>
      <w:r>
        <w:rPr>
          <w:rFonts w:ascii="Times New Roman" w:hAnsi="Times New Roman" w:cs="Times New Roman"/>
          <w:color w:val="auto"/>
        </w:rPr>
        <w:t>）根据本项目的实际情况，企业还应从以下几方面加强事故应急防范：</w:t>
      </w:r>
    </w:p>
    <w:p w14:paraId="4599C2A4">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建立应急救援指挥系统</w:t>
      </w:r>
    </w:p>
    <w:p w14:paraId="4C4F38A9">
      <w:pPr>
        <w:ind w:firstLine="480"/>
        <w:rPr>
          <w:rFonts w:ascii="Times New Roman" w:hAnsi="Times New Roman" w:cs="Times New Roman"/>
          <w:color w:val="auto"/>
        </w:rPr>
      </w:pPr>
      <w:r>
        <w:rPr>
          <w:rFonts w:hint="eastAsia" w:cs="Times New Roman"/>
          <w:color w:val="auto"/>
          <w:lang w:eastAsia="zh-CN"/>
        </w:rPr>
        <w:t>a.</w:t>
      </w:r>
      <w:r>
        <w:rPr>
          <w:rFonts w:ascii="Times New Roman" w:hAnsi="Times New Roman" w:cs="Times New Roman"/>
          <w:color w:val="auto"/>
        </w:rPr>
        <w:t>企业应组建指挥小组。</w:t>
      </w:r>
    </w:p>
    <w:p w14:paraId="13DCE1B4">
      <w:pPr>
        <w:ind w:firstLine="480"/>
        <w:rPr>
          <w:rFonts w:ascii="Times New Roman" w:hAnsi="Times New Roman" w:cs="Times New Roman"/>
          <w:color w:val="auto"/>
        </w:rPr>
      </w:pPr>
      <w:r>
        <w:rPr>
          <w:rFonts w:hint="eastAsia" w:cs="Times New Roman"/>
          <w:color w:val="auto"/>
          <w:lang w:eastAsia="zh-CN"/>
        </w:rPr>
        <w:t>b.</w:t>
      </w:r>
      <w:r>
        <w:rPr>
          <w:rFonts w:ascii="Times New Roman" w:hAnsi="Times New Roman" w:cs="Times New Roman"/>
          <w:color w:val="auto"/>
        </w:rPr>
        <w:t>指挥小组负责重大事故应急预案的制定及修订；组建应急救援专业队伍，并组织实施平时的演练；经常性检查应急预案的各项准备工作，以确保系统能正常工作。</w:t>
      </w:r>
    </w:p>
    <w:p w14:paraId="4FB80EF7">
      <w:pPr>
        <w:ind w:firstLine="480"/>
        <w:rPr>
          <w:rFonts w:ascii="Times New Roman" w:hAnsi="Times New Roman" w:cs="Times New Roman"/>
          <w:color w:val="auto"/>
        </w:rPr>
      </w:pPr>
      <w:r>
        <w:rPr>
          <w:rFonts w:hint="eastAsia" w:cs="Times New Roman"/>
          <w:color w:val="auto"/>
          <w:lang w:eastAsia="zh-CN"/>
        </w:rPr>
        <w:t>c.</w:t>
      </w:r>
      <w:r>
        <w:rPr>
          <w:rFonts w:ascii="Times New Roman" w:hAnsi="Times New Roman" w:cs="Times New Roman"/>
          <w:color w:val="auto"/>
        </w:rPr>
        <w:t>定时组织工作人员进行培训。</w:t>
      </w:r>
    </w:p>
    <w:p w14:paraId="6CDB6F6F">
      <w:pPr>
        <w:ind w:firstLine="480"/>
        <w:rPr>
          <w:rFonts w:ascii="Times New Roman" w:hAnsi="Times New Roman" w:cs="Times New Roman"/>
          <w:color w:val="auto"/>
        </w:rPr>
      </w:pPr>
      <w:r>
        <w:rPr>
          <w:rFonts w:hint="eastAsia" w:cs="Times New Roman"/>
          <w:color w:val="auto"/>
          <w:lang w:eastAsia="zh-CN"/>
        </w:rPr>
        <w:t>d.</w:t>
      </w:r>
      <w:r>
        <w:rPr>
          <w:rFonts w:ascii="Times New Roman" w:hAnsi="Times New Roman" w:cs="Times New Roman"/>
          <w:color w:val="auto"/>
        </w:rPr>
        <w:t>及时向上级汇报事故情况，并对</w:t>
      </w:r>
      <w:r>
        <w:rPr>
          <w:rFonts w:hint="eastAsia" w:ascii="Times New Roman" w:hAnsi="Times New Roman" w:cs="Times New Roman"/>
          <w:color w:val="auto"/>
          <w:lang w:eastAsia="zh-CN"/>
        </w:rPr>
        <w:t>事故</w:t>
      </w:r>
      <w:r>
        <w:rPr>
          <w:rFonts w:hint="eastAsia" w:cs="Times New Roman"/>
          <w:color w:val="auto"/>
          <w:lang w:eastAsia="zh-CN"/>
        </w:rPr>
        <w:t>做</w:t>
      </w:r>
      <w:r>
        <w:rPr>
          <w:rFonts w:ascii="Times New Roman" w:hAnsi="Times New Roman" w:cs="Times New Roman"/>
          <w:color w:val="auto"/>
        </w:rPr>
        <w:t>总结。</w:t>
      </w:r>
    </w:p>
    <w:p w14:paraId="0340A1AC">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现场事故处置</w:t>
      </w:r>
    </w:p>
    <w:p w14:paraId="2FE42E18">
      <w:pPr>
        <w:ind w:firstLine="480"/>
        <w:rPr>
          <w:rFonts w:ascii="Times New Roman" w:hAnsi="Times New Roman" w:cs="Times New Roman" w:eastAsiaTheme="majorEastAsia"/>
          <w:color w:val="auto"/>
        </w:rPr>
      </w:pPr>
      <w:r>
        <w:rPr>
          <w:rFonts w:hint="eastAsia" w:cs="Times New Roman" w:eastAsiaTheme="majorEastAsia"/>
          <w:color w:val="auto"/>
          <w:lang w:eastAsia="zh-CN"/>
        </w:rPr>
        <w:t>a.</w:t>
      </w:r>
      <w:r>
        <w:rPr>
          <w:rFonts w:ascii="Times New Roman" w:hAnsi="Times New Roman" w:cs="Times New Roman" w:eastAsiaTheme="majorEastAsia"/>
          <w:color w:val="auto"/>
        </w:rPr>
        <w:t>发生重大事故时，应紧急疏散场区工作人员，危险区域实行隔离，禁止进入，无关人员不得靠近。</w:t>
      </w:r>
    </w:p>
    <w:p w14:paraId="06403D8C">
      <w:pPr>
        <w:ind w:firstLine="480"/>
        <w:rPr>
          <w:rFonts w:ascii="Times New Roman" w:hAnsi="Times New Roman" w:cs="Times New Roman" w:eastAsiaTheme="majorEastAsia"/>
          <w:color w:val="auto"/>
        </w:rPr>
      </w:pPr>
      <w:r>
        <w:rPr>
          <w:rFonts w:hint="eastAsia" w:cs="Times New Roman" w:eastAsiaTheme="majorEastAsia"/>
          <w:color w:val="auto"/>
          <w:lang w:eastAsia="zh-CN"/>
        </w:rPr>
        <w:t>b.</w:t>
      </w:r>
      <w:r>
        <w:rPr>
          <w:rFonts w:ascii="Times New Roman" w:hAnsi="Times New Roman" w:cs="Times New Roman" w:eastAsiaTheme="majorEastAsia"/>
          <w:color w:val="auto"/>
        </w:rPr>
        <w:t>现场扑救人员应佩戴氧气隔离防毒面具，穿专用防护服。</w:t>
      </w:r>
    </w:p>
    <w:p w14:paraId="02844CEB">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外部联络</w:t>
      </w:r>
    </w:p>
    <w:p w14:paraId="05648D39">
      <w:pPr>
        <w:ind w:firstLine="480"/>
        <w:rPr>
          <w:rFonts w:ascii="Times New Roman" w:hAnsi="Times New Roman" w:cs="Times New Roman"/>
          <w:color w:val="auto"/>
        </w:rPr>
      </w:pPr>
      <w:r>
        <w:rPr>
          <w:rFonts w:ascii="Times New Roman" w:hAnsi="Times New Roman" w:cs="Times New Roman"/>
          <w:color w:val="auto"/>
        </w:rPr>
        <w:t>向当地市政府、消防、公安、环保、卫生、林业等部门及时汇报险情，寻求支援。</w:t>
      </w:r>
    </w:p>
    <w:p w14:paraId="1362521A">
      <w:pPr>
        <w:ind w:firstLine="480"/>
        <w:rPr>
          <w:rFonts w:ascii="Times New Roman" w:hAnsi="Times New Roman" w:cs="Times New Roman"/>
          <w:color w:val="auto"/>
        </w:rPr>
      </w:pPr>
      <w:bookmarkStart w:id="247" w:name="_Toc21227"/>
      <w:r>
        <w:rPr>
          <w:rFonts w:hint="eastAsia" w:cs="Times New Roman"/>
          <w:color w:val="auto"/>
          <w:lang w:eastAsia="zh-CN"/>
        </w:rPr>
        <w:t>6.</w:t>
      </w:r>
      <w:r>
        <w:rPr>
          <w:rFonts w:ascii="Times New Roman" w:hAnsi="Times New Roman" w:cs="Times New Roman"/>
          <w:color w:val="auto"/>
        </w:rPr>
        <w:t>应急预案</w:t>
      </w:r>
      <w:bookmarkEnd w:id="242"/>
      <w:bookmarkEnd w:id="243"/>
      <w:bookmarkEnd w:id="244"/>
      <w:bookmarkEnd w:id="245"/>
      <w:bookmarkEnd w:id="246"/>
      <w:bookmarkEnd w:id="247"/>
    </w:p>
    <w:p w14:paraId="30DB68EE">
      <w:pPr>
        <w:ind w:firstLine="480"/>
        <w:rPr>
          <w:rFonts w:ascii="Times New Roman" w:hAnsi="Times New Roman" w:cs="Times New Roman"/>
          <w:color w:val="auto"/>
        </w:rPr>
      </w:pPr>
      <w:r>
        <w:rPr>
          <w:rFonts w:ascii="Times New Roman" w:hAnsi="Times New Roman" w:cs="Times New Roman"/>
          <w:color w:val="auto"/>
        </w:rPr>
        <w:t>企业应建立风险组织管理体系，并根据《环境污染事故应急预案编制指南</w:t>
      </w:r>
      <w:r>
        <w:rPr>
          <w:rFonts w:hint="eastAsia" w:ascii="Times New Roman" w:hAnsi="Times New Roman" w:cs="Times New Roman"/>
          <w:color w:val="auto"/>
          <w:lang w:eastAsia="zh-CN"/>
        </w:rPr>
        <w:t>》《</w:t>
      </w:r>
      <w:r>
        <w:rPr>
          <w:rFonts w:ascii="Times New Roman" w:hAnsi="Times New Roman" w:cs="Times New Roman"/>
          <w:color w:val="auto"/>
        </w:rPr>
        <w:t>突发环境事件应急预案管理暂行办法》（环发〔2010〕113号）</w:t>
      </w:r>
      <w:r>
        <w:rPr>
          <w:rFonts w:hint="eastAsia" w:cs="Times New Roman"/>
          <w:color w:val="auto"/>
          <w:lang w:eastAsia="zh-CN"/>
        </w:rPr>
        <w:t>，以及其他</w:t>
      </w:r>
      <w:r>
        <w:rPr>
          <w:rFonts w:ascii="Times New Roman" w:hAnsi="Times New Roman" w:cs="Times New Roman"/>
          <w:color w:val="auto"/>
        </w:rPr>
        <w:t>相关</w:t>
      </w:r>
      <w:r>
        <w:rPr>
          <w:rFonts w:hint="eastAsia" w:ascii="Times New Roman" w:hAnsi="Times New Roman" w:cs="Times New Roman"/>
          <w:color w:val="auto"/>
          <w:lang w:eastAsia="zh-CN"/>
        </w:rPr>
        <w:t>法律法规</w:t>
      </w:r>
      <w:r>
        <w:rPr>
          <w:rFonts w:ascii="Times New Roman" w:hAnsi="Times New Roman" w:cs="Times New Roman"/>
          <w:color w:val="auto"/>
        </w:rPr>
        <w:t>要求，编制突发环境事件应急预案。</w:t>
      </w:r>
    </w:p>
    <w:p w14:paraId="0626A895">
      <w:pPr>
        <w:ind w:firstLine="480"/>
        <w:rPr>
          <w:rFonts w:ascii="Times New Roman" w:hAnsi="Times New Roman" w:cs="Times New Roman"/>
          <w:color w:val="auto"/>
        </w:rPr>
      </w:pPr>
      <w:r>
        <w:rPr>
          <w:rFonts w:ascii="Times New Roman" w:hAnsi="Times New Roman" w:cs="Times New Roman"/>
          <w:color w:val="auto"/>
        </w:rPr>
        <w:t>风险应急预案强调组织机构的应急能力，重点是组织救援响应协调机构的建立及要求，应急管理、应急救援各级响应程序是否能快速、安全、有效启动，对风险影响的快速、有效控制措施。应急预案主要内容见表</w:t>
      </w:r>
      <w:r>
        <w:rPr>
          <w:rFonts w:hint="eastAsia" w:cs="Times New Roman"/>
          <w:color w:val="auto"/>
          <w:lang w:val="en-US" w:eastAsia="zh-CN"/>
        </w:rPr>
        <w:t>5</w:t>
      </w:r>
      <w:r>
        <w:rPr>
          <w:rFonts w:ascii="Times New Roman" w:hAnsi="Times New Roman" w:cs="Times New Roman"/>
          <w:color w:val="auto"/>
        </w:rPr>
        <w:t>.2-2</w:t>
      </w:r>
      <w:r>
        <w:rPr>
          <w:rFonts w:hint="eastAsia" w:cs="Times New Roman"/>
          <w:color w:val="auto"/>
          <w:lang w:val="en-US" w:eastAsia="zh-CN"/>
        </w:rPr>
        <w:t>1</w:t>
      </w:r>
      <w:r>
        <w:rPr>
          <w:rFonts w:ascii="Times New Roman" w:hAnsi="Times New Roman" w:cs="Times New Roman"/>
          <w:color w:val="auto"/>
        </w:rPr>
        <w:t>。</w:t>
      </w:r>
    </w:p>
    <w:p w14:paraId="5E975291">
      <w:pPr>
        <w:spacing w:before="32" w:beforeLines="10" w:after="32" w:afterLines="10"/>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5</w:t>
      </w:r>
      <w:r>
        <w:rPr>
          <w:rFonts w:ascii="Times New Roman" w:hAnsi="Times New Roman" w:eastAsia="宋体" w:cs="Times New Roman"/>
          <w:b/>
          <w:bCs/>
          <w:color w:val="auto"/>
        </w:rPr>
        <w:t>.2-2</w:t>
      </w:r>
      <w:r>
        <w:rPr>
          <w:rFonts w:hint="eastAsia" w:eastAsia="宋体" w:cs="Times New Roman"/>
          <w:b/>
          <w:bCs/>
          <w:color w:val="auto"/>
          <w:lang w:val="en-US" w:eastAsia="zh-CN"/>
        </w:rPr>
        <w:t>1</w:t>
      </w:r>
      <w:r>
        <w:rPr>
          <w:rFonts w:ascii="Times New Roman" w:hAnsi="Times New Roman" w:eastAsia="宋体" w:cs="Times New Roman"/>
          <w:b/>
          <w:bCs/>
          <w:color w:val="auto"/>
        </w:rPr>
        <w:t xml:space="preserve">    应急预案主要内容及要求汇总</w:t>
      </w:r>
    </w:p>
    <w:tbl>
      <w:tblPr>
        <w:tblStyle w:val="35"/>
        <w:tblW w:w="838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8"/>
        <w:gridCol w:w="2637"/>
        <w:gridCol w:w="4946"/>
      </w:tblGrid>
      <w:tr w14:paraId="6B90C9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18B19304">
            <w:pPr>
              <w:pStyle w:val="56"/>
              <w:rPr>
                <w:rFonts w:ascii="Times New Roman" w:hAnsi="Times New Roman"/>
                <w:color w:val="auto"/>
                <w:szCs w:val="21"/>
              </w:rPr>
            </w:pPr>
            <w:r>
              <w:rPr>
                <w:rFonts w:ascii="Times New Roman" w:hAnsi="Times New Roman"/>
                <w:color w:val="auto"/>
                <w:szCs w:val="21"/>
              </w:rPr>
              <w:t>序号</w:t>
            </w:r>
          </w:p>
        </w:tc>
        <w:tc>
          <w:tcPr>
            <w:tcW w:w="2637" w:type="dxa"/>
            <w:tcBorders>
              <w:tl2br w:val="nil"/>
              <w:tr2bl w:val="nil"/>
            </w:tcBorders>
            <w:vAlign w:val="center"/>
          </w:tcPr>
          <w:p w14:paraId="06FFC24C">
            <w:pPr>
              <w:pStyle w:val="56"/>
              <w:rPr>
                <w:rFonts w:ascii="Times New Roman" w:hAnsi="Times New Roman"/>
                <w:color w:val="auto"/>
                <w:szCs w:val="21"/>
              </w:rPr>
            </w:pPr>
            <w:r>
              <w:rPr>
                <w:rFonts w:ascii="Times New Roman" w:hAnsi="Times New Roman"/>
                <w:color w:val="auto"/>
                <w:szCs w:val="21"/>
              </w:rPr>
              <w:t>项目</w:t>
            </w:r>
          </w:p>
        </w:tc>
        <w:tc>
          <w:tcPr>
            <w:tcW w:w="4946" w:type="dxa"/>
            <w:tcBorders>
              <w:tl2br w:val="nil"/>
              <w:tr2bl w:val="nil"/>
            </w:tcBorders>
            <w:vAlign w:val="center"/>
          </w:tcPr>
          <w:p w14:paraId="3B4D0DA7">
            <w:pPr>
              <w:pStyle w:val="56"/>
              <w:rPr>
                <w:rFonts w:ascii="Times New Roman" w:hAnsi="Times New Roman"/>
                <w:color w:val="auto"/>
                <w:szCs w:val="21"/>
              </w:rPr>
            </w:pPr>
            <w:r>
              <w:rPr>
                <w:rFonts w:ascii="Times New Roman" w:hAnsi="Times New Roman"/>
                <w:color w:val="auto"/>
                <w:szCs w:val="21"/>
              </w:rPr>
              <w:t>内容及要求</w:t>
            </w:r>
          </w:p>
        </w:tc>
      </w:tr>
      <w:tr w14:paraId="00ADB7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7A7739A4">
            <w:pPr>
              <w:pStyle w:val="56"/>
              <w:rPr>
                <w:rFonts w:ascii="Times New Roman" w:hAnsi="Times New Roman"/>
                <w:color w:val="auto"/>
                <w:szCs w:val="21"/>
              </w:rPr>
            </w:pPr>
            <w:r>
              <w:rPr>
                <w:rFonts w:ascii="Times New Roman" w:hAnsi="Times New Roman"/>
                <w:color w:val="auto"/>
                <w:szCs w:val="21"/>
              </w:rPr>
              <w:t>1</w:t>
            </w:r>
          </w:p>
        </w:tc>
        <w:tc>
          <w:tcPr>
            <w:tcW w:w="2637" w:type="dxa"/>
            <w:tcBorders>
              <w:tl2br w:val="nil"/>
              <w:tr2bl w:val="nil"/>
            </w:tcBorders>
            <w:vAlign w:val="center"/>
          </w:tcPr>
          <w:p w14:paraId="700CE572">
            <w:pPr>
              <w:pStyle w:val="56"/>
              <w:jc w:val="left"/>
              <w:rPr>
                <w:rFonts w:ascii="Times New Roman" w:hAnsi="Times New Roman"/>
                <w:color w:val="auto"/>
                <w:szCs w:val="21"/>
              </w:rPr>
            </w:pPr>
            <w:r>
              <w:rPr>
                <w:rFonts w:ascii="Times New Roman" w:hAnsi="Times New Roman"/>
                <w:color w:val="auto"/>
                <w:szCs w:val="21"/>
              </w:rPr>
              <w:t>应急计划区</w:t>
            </w:r>
          </w:p>
        </w:tc>
        <w:tc>
          <w:tcPr>
            <w:tcW w:w="4946" w:type="dxa"/>
            <w:tcBorders>
              <w:tl2br w:val="nil"/>
              <w:tr2bl w:val="nil"/>
            </w:tcBorders>
            <w:vAlign w:val="center"/>
          </w:tcPr>
          <w:p w14:paraId="55D15CCA">
            <w:pPr>
              <w:pStyle w:val="56"/>
              <w:jc w:val="left"/>
              <w:rPr>
                <w:rFonts w:hint="eastAsia" w:ascii="Times New Roman" w:hAnsi="Times New Roman" w:eastAsia="宋体"/>
                <w:color w:val="auto"/>
                <w:szCs w:val="21"/>
                <w:lang w:val="en-US" w:eastAsia="zh-CN"/>
              </w:rPr>
            </w:pPr>
            <w:r>
              <w:rPr>
                <w:rFonts w:ascii="Times New Roman" w:hAnsi="Times New Roman"/>
                <w:color w:val="auto"/>
                <w:szCs w:val="21"/>
              </w:rPr>
              <w:t>危险目标：</w:t>
            </w:r>
            <w:r>
              <w:rPr>
                <w:rFonts w:hint="eastAsia"/>
                <w:color w:val="auto"/>
                <w:szCs w:val="21"/>
                <w:lang w:val="en-US" w:eastAsia="zh-CN"/>
              </w:rPr>
              <w:t>养鸭场</w:t>
            </w:r>
          </w:p>
        </w:tc>
      </w:tr>
      <w:tr w14:paraId="680E1E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1349879E">
            <w:pPr>
              <w:pStyle w:val="56"/>
              <w:rPr>
                <w:rFonts w:ascii="Times New Roman" w:hAnsi="Times New Roman"/>
                <w:color w:val="auto"/>
                <w:szCs w:val="21"/>
              </w:rPr>
            </w:pPr>
            <w:r>
              <w:rPr>
                <w:rFonts w:ascii="Times New Roman" w:hAnsi="Times New Roman"/>
                <w:color w:val="auto"/>
                <w:szCs w:val="21"/>
              </w:rPr>
              <w:t>2</w:t>
            </w:r>
          </w:p>
        </w:tc>
        <w:tc>
          <w:tcPr>
            <w:tcW w:w="2637" w:type="dxa"/>
            <w:tcBorders>
              <w:tl2br w:val="nil"/>
              <w:tr2bl w:val="nil"/>
            </w:tcBorders>
            <w:vAlign w:val="center"/>
          </w:tcPr>
          <w:p w14:paraId="02C641EC">
            <w:pPr>
              <w:pStyle w:val="56"/>
              <w:jc w:val="left"/>
              <w:rPr>
                <w:rFonts w:ascii="Times New Roman" w:hAnsi="Times New Roman"/>
                <w:color w:val="auto"/>
                <w:szCs w:val="21"/>
              </w:rPr>
            </w:pPr>
            <w:r>
              <w:rPr>
                <w:rFonts w:ascii="Times New Roman" w:hAnsi="Times New Roman"/>
                <w:color w:val="auto"/>
                <w:szCs w:val="21"/>
              </w:rPr>
              <w:t>应急组织机构、人员</w:t>
            </w:r>
          </w:p>
        </w:tc>
        <w:tc>
          <w:tcPr>
            <w:tcW w:w="4946" w:type="dxa"/>
            <w:tcBorders>
              <w:tl2br w:val="nil"/>
              <w:tr2bl w:val="nil"/>
            </w:tcBorders>
            <w:vAlign w:val="center"/>
          </w:tcPr>
          <w:p w14:paraId="0F6635AB">
            <w:pPr>
              <w:pStyle w:val="56"/>
              <w:jc w:val="left"/>
              <w:rPr>
                <w:rFonts w:ascii="Times New Roman" w:hAnsi="Times New Roman"/>
                <w:color w:val="auto"/>
                <w:szCs w:val="21"/>
              </w:rPr>
            </w:pPr>
            <w:r>
              <w:rPr>
                <w:rFonts w:ascii="Times New Roman" w:hAnsi="Times New Roman"/>
                <w:color w:val="auto"/>
                <w:szCs w:val="21"/>
              </w:rPr>
              <w:t>工厂、地区应急组织机构、人员</w:t>
            </w:r>
          </w:p>
        </w:tc>
      </w:tr>
      <w:tr w14:paraId="5086C2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7C78DAC9">
            <w:pPr>
              <w:pStyle w:val="56"/>
              <w:rPr>
                <w:rFonts w:ascii="Times New Roman" w:hAnsi="Times New Roman"/>
                <w:color w:val="auto"/>
                <w:szCs w:val="21"/>
              </w:rPr>
            </w:pPr>
            <w:r>
              <w:rPr>
                <w:rFonts w:ascii="Times New Roman" w:hAnsi="Times New Roman"/>
                <w:color w:val="auto"/>
                <w:szCs w:val="21"/>
              </w:rPr>
              <w:t>3</w:t>
            </w:r>
          </w:p>
        </w:tc>
        <w:tc>
          <w:tcPr>
            <w:tcW w:w="2637" w:type="dxa"/>
            <w:tcBorders>
              <w:tl2br w:val="nil"/>
              <w:tr2bl w:val="nil"/>
            </w:tcBorders>
            <w:vAlign w:val="center"/>
          </w:tcPr>
          <w:p w14:paraId="246B0270">
            <w:pPr>
              <w:pStyle w:val="56"/>
              <w:jc w:val="left"/>
              <w:rPr>
                <w:rFonts w:ascii="Times New Roman" w:hAnsi="Times New Roman"/>
                <w:color w:val="auto"/>
                <w:szCs w:val="21"/>
              </w:rPr>
            </w:pPr>
            <w:r>
              <w:rPr>
                <w:rFonts w:ascii="Times New Roman" w:hAnsi="Times New Roman"/>
                <w:color w:val="auto"/>
                <w:szCs w:val="21"/>
              </w:rPr>
              <w:t>预案分级响应条件</w:t>
            </w:r>
          </w:p>
        </w:tc>
        <w:tc>
          <w:tcPr>
            <w:tcW w:w="4946" w:type="dxa"/>
            <w:tcBorders>
              <w:tl2br w:val="nil"/>
              <w:tr2bl w:val="nil"/>
            </w:tcBorders>
            <w:vAlign w:val="center"/>
          </w:tcPr>
          <w:p w14:paraId="42C24550">
            <w:pPr>
              <w:pStyle w:val="56"/>
              <w:jc w:val="left"/>
              <w:rPr>
                <w:rFonts w:ascii="Times New Roman" w:hAnsi="Times New Roman"/>
                <w:color w:val="auto"/>
                <w:szCs w:val="21"/>
              </w:rPr>
            </w:pPr>
            <w:r>
              <w:rPr>
                <w:rFonts w:ascii="Times New Roman" w:hAnsi="Times New Roman"/>
                <w:color w:val="auto"/>
                <w:szCs w:val="21"/>
              </w:rPr>
              <w:t>规定预案的级别及分级响应程序</w:t>
            </w:r>
          </w:p>
        </w:tc>
      </w:tr>
      <w:tr w14:paraId="1B0283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4B9BF849">
            <w:pPr>
              <w:pStyle w:val="56"/>
              <w:rPr>
                <w:rFonts w:ascii="Times New Roman" w:hAnsi="Times New Roman"/>
                <w:color w:val="auto"/>
                <w:szCs w:val="21"/>
              </w:rPr>
            </w:pPr>
            <w:r>
              <w:rPr>
                <w:rFonts w:ascii="Times New Roman" w:hAnsi="Times New Roman"/>
                <w:color w:val="auto"/>
                <w:szCs w:val="21"/>
              </w:rPr>
              <w:t>4</w:t>
            </w:r>
          </w:p>
        </w:tc>
        <w:tc>
          <w:tcPr>
            <w:tcW w:w="2637" w:type="dxa"/>
            <w:tcBorders>
              <w:tl2br w:val="nil"/>
              <w:tr2bl w:val="nil"/>
            </w:tcBorders>
            <w:vAlign w:val="center"/>
          </w:tcPr>
          <w:p w14:paraId="00731736">
            <w:pPr>
              <w:pStyle w:val="56"/>
              <w:jc w:val="left"/>
              <w:rPr>
                <w:rFonts w:ascii="Times New Roman" w:hAnsi="Times New Roman"/>
                <w:color w:val="auto"/>
                <w:szCs w:val="21"/>
              </w:rPr>
            </w:pPr>
            <w:r>
              <w:rPr>
                <w:rFonts w:ascii="Times New Roman" w:hAnsi="Times New Roman"/>
                <w:color w:val="auto"/>
                <w:szCs w:val="21"/>
              </w:rPr>
              <w:t>应急救援保障</w:t>
            </w:r>
          </w:p>
        </w:tc>
        <w:tc>
          <w:tcPr>
            <w:tcW w:w="4946" w:type="dxa"/>
            <w:tcBorders>
              <w:tl2br w:val="nil"/>
              <w:tr2bl w:val="nil"/>
            </w:tcBorders>
            <w:vAlign w:val="center"/>
          </w:tcPr>
          <w:p w14:paraId="209290EB">
            <w:pPr>
              <w:pStyle w:val="56"/>
              <w:jc w:val="left"/>
              <w:rPr>
                <w:rFonts w:ascii="Times New Roman" w:hAnsi="Times New Roman"/>
                <w:color w:val="auto"/>
                <w:szCs w:val="21"/>
              </w:rPr>
            </w:pPr>
            <w:r>
              <w:rPr>
                <w:rFonts w:ascii="Times New Roman" w:hAnsi="Times New Roman"/>
                <w:color w:val="auto"/>
                <w:szCs w:val="21"/>
              </w:rPr>
              <w:t>应急设施，设备与器材等</w:t>
            </w:r>
          </w:p>
        </w:tc>
      </w:tr>
      <w:tr w14:paraId="3E8C36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0B0E5BEF">
            <w:pPr>
              <w:pStyle w:val="56"/>
              <w:rPr>
                <w:rFonts w:ascii="Times New Roman" w:hAnsi="Times New Roman"/>
                <w:color w:val="auto"/>
                <w:szCs w:val="21"/>
              </w:rPr>
            </w:pPr>
            <w:r>
              <w:rPr>
                <w:rFonts w:ascii="Times New Roman" w:hAnsi="Times New Roman"/>
                <w:color w:val="auto"/>
                <w:szCs w:val="21"/>
              </w:rPr>
              <w:t>5</w:t>
            </w:r>
          </w:p>
        </w:tc>
        <w:tc>
          <w:tcPr>
            <w:tcW w:w="2637" w:type="dxa"/>
            <w:tcBorders>
              <w:tl2br w:val="nil"/>
              <w:tr2bl w:val="nil"/>
            </w:tcBorders>
            <w:vAlign w:val="center"/>
          </w:tcPr>
          <w:p w14:paraId="7FA7A48F">
            <w:pPr>
              <w:pStyle w:val="56"/>
              <w:jc w:val="left"/>
              <w:rPr>
                <w:rFonts w:ascii="Times New Roman" w:hAnsi="Times New Roman"/>
                <w:color w:val="auto"/>
                <w:szCs w:val="21"/>
              </w:rPr>
            </w:pPr>
            <w:r>
              <w:rPr>
                <w:rFonts w:ascii="Times New Roman" w:hAnsi="Times New Roman"/>
                <w:color w:val="auto"/>
                <w:szCs w:val="21"/>
              </w:rPr>
              <w:t>报警、通讯联络方式</w:t>
            </w:r>
          </w:p>
        </w:tc>
        <w:tc>
          <w:tcPr>
            <w:tcW w:w="4946" w:type="dxa"/>
            <w:tcBorders>
              <w:tl2br w:val="nil"/>
              <w:tr2bl w:val="nil"/>
            </w:tcBorders>
            <w:vAlign w:val="center"/>
          </w:tcPr>
          <w:p w14:paraId="6EB76C71">
            <w:pPr>
              <w:pStyle w:val="56"/>
              <w:jc w:val="left"/>
              <w:rPr>
                <w:rFonts w:ascii="Times New Roman" w:hAnsi="Times New Roman"/>
                <w:color w:val="auto"/>
                <w:szCs w:val="21"/>
              </w:rPr>
            </w:pPr>
            <w:r>
              <w:rPr>
                <w:rFonts w:ascii="Times New Roman" w:hAnsi="Times New Roman"/>
                <w:color w:val="auto"/>
                <w:szCs w:val="21"/>
              </w:rPr>
              <w:t>规定应急状态下的报警通讯方式、通知方式和交通保障、管制</w:t>
            </w:r>
          </w:p>
        </w:tc>
      </w:tr>
      <w:tr w14:paraId="781302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1FBB9700">
            <w:pPr>
              <w:pStyle w:val="56"/>
              <w:rPr>
                <w:rFonts w:ascii="Times New Roman" w:hAnsi="Times New Roman"/>
                <w:color w:val="auto"/>
                <w:szCs w:val="21"/>
              </w:rPr>
            </w:pPr>
            <w:r>
              <w:rPr>
                <w:rFonts w:ascii="Times New Roman" w:hAnsi="Times New Roman"/>
                <w:color w:val="auto"/>
                <w:szCs w:val="21"/>
              </w:rPr>
              <w:t>6</w:t>
            </w:r>
          </w:p>
        </w:tc>
        <w:tc>
          <w:tcPr>
            <w:tcW w:w="2637" w:type="dxa"/>
            <w:tcBorders>
              <w:tl2br w:val="nil"/>
              <w:tr2bl w:val="nil"/>
            </w:tcBorders>
            <w:vAlign w:val="center"/>
          </w:tcPr>
          <w:p w14:paraId="5F13C2EB">
            <w:pPr>
              <w:pStyle w:val="56"/>
              <w:jc w:val="left"/>
              <w:rPr>
                <w:rFonts w:ascii="Times New Roman" w:hAnsi="Times New Roman"/>
                <w:color w:val="auto"/>
                <w:szCs w:val="21"/>
              </w:rPr>
            </w:pPr>
            <w:r>
              <w:rPr>
                <w:rFonts w:ascii="Times New Roman" w:hAnsi="Times New Roman"/>
                <w:color w:val="auto"/>
                <w:szCs w:val="21"/>
              </w:rPr>
              <w:t>应急环境监测、抢险、救援及控制措施</w:t>
            </w:r>
          </w:p>
        </w:tc>
        <w:tc>
          <w:tcPr>
            <w:tcW w:w="4946" w:type="dxa"/>
            <w:tcBorders>
              <w:tl2br w:val="nil"/>
              <w:tr2bl w:val="nil"/>
            </w:tcBorders>
            <w:vAlign w:val="center"/>
          </w:tcPr>
          <w:p w14:paraId="5342990E">
            <w:pPr>
              <w:pStyle w:val="56"/>
              <w:jc w:val="left"/>
              <w:rPr>
                <w:rFonts w:ascii="Times New Roman" w:hAnsi="Times New Roman"/>
                <w:color w:val="auto"/>
                <w:szCs w:val="21"/>
              </w:rPr>
            </w:pPr>
            <w:r>
              <w:rPr>
                <w:rFonts w:ascii="Times New Roman" w:hAnsi="Times New Roman"/>
                <w:color w:val="auto"/>
                <w:szCs w:val="21"/>
              </w:rPr>
              <w:t>由专业队伍负责对事故现场进行侦察监测，对事故性质、参数与后果进行评估，为指挥部门提供决策依据</w:t>
            </w:r>
          </w:p>
        </w:tc>
      </w:tr>
      <w:tr w14:paraId="7562B6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2D371BB3">
            <w:pPr>
              <w:pStyle w:val="56"/>
              <w:rPr>
                <w:rFonts w:ascii="Times New Roman" w:hAnsi="Times New Roman"/>
                <w:color w:val="auto"/>
                <w:szCs w:val="21"/>
              </w:rPr>
            </w:pPr>
            <w:r>
              <w:rPr>
                <w:rFonts w:ascii="Times New Roman" w:hAnsi="Times New Roman"/>
                <w:color w:val="auto"/>
                <w:szCs w:val="21"/>
              </w:rPr>
              <w:t>7</w:t>
            </w:r>
          </w:p>
        </w:tc>
        <w:tc>
          <w:tcPr>
            <w:tcW w:w="2637" w:type="dxa"/>
            <w:tcBorders>
              <w:tl2br w:val="nil"/>
              <w:tr2bl w:val="nil"/>
            </w:tcBorders>
            <w:vAlign w:val="center"/>
          </w:tcPr>
          <w:p w14:paraId="5652ADFE">
            <w:pPr>
              <w:pStyle w:val="56"/>
              <w:jc w:val="left"/>
              <w:rPr>
                <w:rFonts w:ascii="Times New Roman" w:hAnsi="Times New Roman"/>
                <w:color w:val="auto"/>
                <w:szCs w:val="21"/>
              </w:rPr>
            </w:pPr>
            <w:r>
              <w:rPr>
                <w:rFonts w:ascii="Times New Roman" w:hAnsi="Times New Roman"/>
                <w:color w:val="auto"/>
                <w:szCs w:val="21"/>
              </w:rPr>
              <w:t>应急检测、防护措施、清除泄漏措施和器材</w:t>
            </w:r>
          </w:p>
        </w:tc>
        <w:tc>
          <w:tcPr>
            <w:tcW w:w="4946" w:type="dxa"/>
            <w:tcBorders>
              <w:tl2br w:val="nil"/>
              <w:tr2bl w:val="nil"/>
            </w:tcBorders>
            <w:vAlign w:val="center"/>
          </w:tcPr>
          <w:p w14:paraId="053B2528">
            <w:pPr>
              <w:pStyle w:val="56"/>
              <w:jc w:val="left"/>
              <w:rPr>
                <w:rFonts w:ascii="Times New Roman" w:hAnsi="Times New Roman"/>
                <w:color w:val="auto"/>
                <w:szCs w:val="21"/>
              </w:rPr>
            </w:pPr>
            <w:r>
              <w:rPr>
                <w:rFonts w:ascii="Times New Roman" w:hAnsi="Times New Roman"/>
                <w:color w:val="auto"/>
                <w:szCs w:val="21"/>
              </w:rPr>
              <w:t>事故现场、邻近区域、控制防火区域，控制和清除污染措施及相应设备</w:t>
            </w:r>
          </w:p>
        </w:tc>
      </w:tr>
      <w:tr w14:paraId="2D5507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6ABAE887">
            <w:pPr>
              <w:pStyle w:val="56"/>
              <w:rPr>
                <w:rFonts w:ascii="Times New Roman" w:hAnsi="Times New Roman"/>
                <w:color w:val="auto"/>
                <w:szCs w:val="21"/>
              </w:rPr>
            </w:pPr>
            <w:r>
              <w:rPr>
                <w:rFonts w:ascii="Times New Roman" w:hAnsi="Times New Roman"/>
                <w:color w:val="auto"/>
                <w:szCs w:val="21"/>
              </w:rPr>
              <w:t>8</w:t>
            </w:r>
          </w:p>
        </w:tc>
        <w:tc>
          <w:tcPr>
            <w:tcW w:w="2637" w:type="dxa"/>
            <w:tcBorders>
              <w:tl2br w:val="nil"/>
              <w:tr2bl w:val="nil"/>
            </w:tcBorders>
            <w:vAlign w:val="center"/>
          </w:tcPr>
          <w:p w14:paraId="28DF5EE2">
            <w:pPr>
              <w:pStyle w:val="56"/>
              <w:jc w:val="left"/>
              <w:rPr>
                <w:rFonts w:ascii="Times New Roman" w:hAnsi="Times New Roman"/>
                <w:color w:val="auto"/>
                <w:szCs w:val="21"/>
              </w:rPr>
            </w:pPr>
            <w:r>
              <w:rPr>
                <w:rFonts w:ascii="Times New Roman" w:hAnsi="Times New Roman"/>
                <w:color w:val="auto"/>
                <w:szCs w:val="21"/>
              </w:rPr>
              <w:t>人员紧急撤离、疏散，应急剂量控制、撤离组织计划</w:t>
            </w:r>
          </w:p>
        </w:tc>
        <w:tc>
          <w:tcPr>
            <w:tcW w:w="4946" w:type="dxa"/>
            <w:tcBorders>
              <w:tl2br w:val="nil"/>
              <w:tr2bl w:val="nil"/>
            </w:tcBorders>
            <w:vAlign w:val="center"/>
          </w:tcPr>
          <w:p w14:paraId="21C60FDC">
            <w:pPr>
              <w:pStyle w:val="56"/>
              <w:jc w:val="left"/>
              <w:rPr>
                <w:rFonts w:ascii="Times New Roman" w:hAnsi="Times New Roman"/>
                <w:color w:val="auto"/>
                <w:szCs w:val="21"/>
              </w:rPr>
            </w:pPr>
            <w:r>
              <w:rPr>
                <w:rFonts w:ascii="Times New Roman" w:hAnsi="Times New Roman"/>
                <w:color w:val="auto"/>
                <w:szCs w:val="21"/>
              </w:rPr>
              <w:t>事故现场、养殖场邻近</w:t>
            </w:r>
            <w:r>
              <w:rPr>
                <w:rFonts w:hint="eastAsia"/>
                <w:color w:val="auto"/>
                <w:szCs w:val="21"/>
                <w:lang w:eastAsia="zh-CN"/>
              </w:rPr>
              <w:t>区域</w:t>
            </w:r>
            <w:r>
              <w:rPr>
                <w:rFonts w:ascii="Times New Roman" w:hAnsi="Times New Roman"/>
                <w:color w:val="auto"/>
                <w:szCs w:val="21"/>
              </w:rPr>
              <w:t>、受事故影响的区域人员及公众对毒物应急剂量控制规定，撤离组织计划及救护，医疗救护与公众健康</w:t>
            </w:r>
          </w:p>
        </w:tc>
      </w:tr>
      <w:tr w14:paraId="603CA6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5723337E">
            <w:pPr>
              <w:pStyle w:val="56"/>
              <w:rPr>
                <w:rFonts w:ascii="Times New Roman" w:hAnsi="Times New Roman"/>
                <w:color w:val="auto"/>
                <w:szCs w:val="21"/>
              </w:rPr>
            </w:pPr>
            <w:r>
              <w:rPr>
                <w:rFonts w:ascii="Times New Roman" w:hAnsi="Times New Roman"/>
                <w:color w:val="auto"/>
                <w:szCs w:val="21"/>
              </w:rPr>
              <w:t>9</w:t>
            </w:r>
          </w:p>
        </w:tc>
        <w:tc>
          <w:tcPr>
            <w:tcW w:w="2637" w:type="dxa"/>
            <w:tcBorders>
              <w:tl2br w:val="nil"/>
              <w:tr2bl w:val="nil"/>
            </w:tcBorders>
            <w:vAlign w:val="center"/>
          </w:tcPr>
          <w:p w14:paraId="37AFD92E">
            <w:pPr>
              <w:pStyle w:val="56"/>
              <w:jc w:val="left"/>
              <w:rPr>
                <w:rFonts w:ascii="Times New Roman" w:hAnsi="Times New Roman"/>
                <w:color w:val="auto"/>
                <w:szCs w:val="21"/>
              </w:rPr>
            </w:pPr>
            <w:r>
              <w:rPr>
                <w:rFonts w:ascii="Times New Roman" w:hAnsi="Times New Roman"/>
                <w:color w:val="auto"/>
                <w:szCs w:val="21"/>
              </w:rPr>
              <w:t>事故应急救援关闭程序与恢复措施</w:t>
            </w:r>
          </w:p>
        </w:tc>
        <w:tc>
          <w:tcPr>
            <w:tcW w:w="4946" w:type="dxa"/>
            <w:tcBorders>
              <w:tl2br w:val="nil"/>
              <w:tr2bl w:val="nil"/>
            </w:tcBorders>
            <w:vAlign w:val="center"/>
          </w:tcPr>
          <w:p w14:paraId="31288E5F">
            <w:pPr>
              <w:pStyle w:val="56"/>
              <w:jc w:val="left"/>
              <w:rPr>
                <w:rFonts w:ascii="Times New Roman" w:hAnsi="Times New Roman"/>
                <w:color w:val="auto"/>
                <w:szCs w:val="21"/>
              </w:rPr>
            </w:pPr>
            <w:r>
              <w:rPr>
                <w:rFonts w:hint="eastAsia" w:ascii="Times New Roman" w:hAnsi="Times New Roman" w:cs="宋体"/>
                <w:color w:val="auto"/>
                <w:szCs w:val="21"/>
              </w:rPr>
              <w:t>①</w:t>
            </w:r>
            <w:r>
              <w:rPr>
                <w:rFonts w:ascii="Times New Roman" w:hAnsi="Times New Roman"/>
                <w:color w:val="auto"/>
                <w:szCs w:val="21"/>
              </w:rPr>
              <w:t>规定应急状态终止程序</w:t>
            </w:r>
          </w:p>
          <w:p w14:paraId="5B8E1B9F">
            <w:pPr>
              <w:pStyle w:val="56"/>
              <w:jc w:val="left"/>
              <w:rPr>
                <w:rFonts w:ascii="Times New Roman" w:hAnsi="Times New Roman"/>
                <w:color w:val="auto"/>
                <w:szCs w:val="21"/>
              </w:rPr>
            </w:pPr>
            <w:r>
              <w:rPr>
                <w:rFonts w:hint="eastAsia" w:ascii="Times New Roman" w:hAnsi="Times New Roman" w:cs="宋体"/>
                <w:color w:val="auto"/>
                <w:szCs w:val="21"/>
              </w:rPr>
              <w:t>②</w:t>
            </w:r>
            <w:r>
              <w:rPr>
                <w:rFonts w:ascii="Times New Roman" w:hAnsi="Times New Roman"/>
                <w:color w:val="auto"/>
                <w:szCs w:val="21"/>
              </w:rPr>
              <w:t>事故现场善后处理，恢复措施</w:t>
            </w:r>
          </w:p>
          <w:p w14:paraId="3C215B0C">
            <w:pPr>
              <w:pStyle w:val="56"/>
              <w:jc w:val="left"/>
              <w:rPr>
                <w:rFonts w:ascii="Times New Roman" w:hAnsi="Times New Roman"/>
                <w:color w:val="auto"/>
                <w:szCs w:val="21"/>
              </w:rPr>
            </w:pPr>
            <w:r>
              <w:rPr>
                <w:rFonts w:hint="eastAsia" w:ascii="Times New Roman" w:hAnsi="Times New Roman" w:cs="宋体"/>
                <w:color w:val="auto"/>
                <w:szCs w:val="21"/>
              </w:rPr>
              <w:t>③</w:t>
            </w:r>
            <w:r>
              <w:rPr>
                <w:rFonts w:ascii="Times New Roman" w:hAnsi="Times New Roman"/>
                <w:color w:val="auto"/>
                <w:szCs w:val="21"/>
              </w:rPr>
              <w:t>邻近区域解除事故警戒及善后恢复措施</w:t>
            </w:r>
          </w:p>
        </w:tc>
      </w:tr>
      <w:tr w14:paraId="30C077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508FFFD9">
            <w:pPr>
              <w:pStyle w:val="56"/>
              <w:rPr>
                <w:rFonts w:ascii="Times New Roman" w:hAnsi="Times New Roman"/>
                <w:color w:val="auto"/>
                <w:szCs w:val="21"/>
              </w:rPr>
            </w:pPr>
            <w:r>
              <w:rPr>
                <w:rFonts w:ascii="Times New Roman" w:hAnsi="Times New Roman"/>
                <w:color w:val="auto"/>
                <w:szCs w:val="21"/>
              </w:rPr>
              <w:t>10</w:t>
            </w:r>
          </w:p>
        </w:tc>
        <w:tc>
          <w:tcPr>
            <w:tcW w:w="2637" w:type="dxa"/>
            <w:tcBorders>
              <w:tl2br w:val="nil"/>
              <w:tr2bl w:val="nil"/>
            </w:tcBorders>
            <w:vAlign w:val="center"/>
          </w:tcPr>
          <w:p w14:paraId="04F7DA33">
            <w:pPr>
              <w:pStyle w:val="56"/>
              <w:jc w:val="left"/>
              <w:rPr>
                <w:rFonts w:ascii="Times New Roman" w:hAnsi="Times New Roman"/>
                <w:color w:val="auto"/>
                <w:szCs w:val="21"/>
              </w:rPr>
            </w:pPr>
            <w:r>
              <w:rPr>
                <w:rFonts w:ascii="Times New Roman" w:hAnsi="Times New Roman"/>
                <w:color w:val="auto"/>
                <w:szCs w:val="21"/>
              </w:rPr>
              <w:t>应急培训计划</w:t>
            </w:r>
          </w:p>
        </w:tc>
        <w:tc>
          <w:tcPr>
            <w:tcW w:w="4946" w:type="dxa"/>
            <w:tcBorders>
              <w:tl2br w:val="nil"/>
              <w:tr2bl w:val="nil"/>
            </w:tcBorders>
            <w:vAlign w:val="center"/>
          </w:tcPr>
          <w:p w14:paraId="183D1D63">
            <w:pPr>
              <w:pStyle w:val="56"/>
              <w:jc w:val="left"/>
              <w:rPr>
                <w:rFonts w:ascii="Times New Roman" w:hAnsi="Times New Roman"/>
                <w:color w:val="auto"/>
                <w:szCs w:val="21"/>
              </w:rPr>
            </w:pPr>
            <w:r>
              <w:rPr>
                <w:rFonts w:ascii="Times New Roman" w:hAnsi="Times New Roman"/>
                <w:color w:val="auto"/>
                <w:szCs w:val="21"/>
              </w:rPr>
              <w:t>应急计划制定后，平时安排人员培训与演练</w:t>
            </w:r>
          </w:p>
        </w:tc>
      </w:tr>
      <w:tr w14:paraId="161336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98" w:type="dxa"/>
            <w:tcBorders>
              <w:tl2br w:val="nil"/>
              <w:tr2bl w:val="nil"/>
            </w:tcBorders>
            <w:vAlign w:val="center"/>
          </w:tcPr>
          <w:p w14:paraId="6A524E01">
            <w:pPr>
              <w:pStyle w:val="56"/>
              <w:rPr>
                <w:rFonts w:ascii="Times New Roman" w:hAnsi="Times New Roman"/>
                <w:color w:val="auto"/>
                <w:szCs w:val="21"/>
              </w:rPr>
            </w:pPr>
            <w:r>
              <w:rPr>
                <w:rFonts w:ascii="Times New Roman" w:hAnsi="Times New Roman"/>
                <w:color w:val="auto"/>
                <w:szCs w:val="21"/>
              </w:rPr>
              <w:t>11</w:t>
            </w:r>
          </w:p>
        </w:tc>
        <w:tc>
          <w:tcPr>
            <w:tcW w:w="2637" w:type="dxa"/>
            <w:tcBorders>
              <w:tl2br w:val="nil"/>
              <w:tr2bl w:val="nil"/>
            </w:tcBorders>
            <w:vAlign w:val="center"/>
          </w:tcPr>
          <w:p w14:paraId="185D9347">
            <w:pPr>
              <w:pStyle w:val="56"/>
              <w:jc w:val="left"/>
              <w:rPr>
                <w:rFonts w:ascii="Times New Roman" w:hAnsi="Times New Roman"/>
                <w:color w:val="auto"/>
                <w:szCs w:val="21"/>
              </w:rPr>
            </w:pPr>
            <w:r>
              <w:rPr>
                <w:rFonts w:ascii="Times New Roman" w:hAnsi="Times New Roman"/>
                <w:color w:val="auto"/>
                <w:szCs w:val="21"/>
              </w:rPr>
              <w:t>公众教育和信息</w:t>
            </w:r>
          </w:p>
        </w:tc>
        <w:tc>
          <w:tcPr>
            <w:tcW w:w="4946" w:type="dxa"/>
            <w:tcBorders>
              <w:tl2br w:val="nil"/>
              <w:tr2bl w:val="nil"/>
            </w:tcBorders>
            <w:vAlign w:val="center"/>
          </w:tcPr>
          <w:p w14:paraId="4DF72739">
            <w:pPr>
              <w:pStyle w:val="56"/>
              <w:jc w:val="left"/>
              <w:rPr>
                <w:rFonts w:ascii="Times New Roman" w:hAnsi="Times New Roman"/>
                <w:color w:val="auto"/>
                <w:szCs w:val="21"/>
              </w:rPr>
            </w:pPr>
            <w:r>
              <w:rPr>
                <w:rFonts w:ascii="Times New Roman" w:hAnsi="Times New Roman"/>
                <w:color w:val="auto"/>
                <w:szCs w:val="21"/>
              </w:rPr>
              <w:t>对养殖场邻近地区开展公众教育、培训和发布有关信息</w:t>
            </w:r>
          </w:p>
        </w:tc>
      </w:tr>
    </w:tbl>
    <w:p w14:paraId="2724C1DC">
      <w:pPr>
        <w:ind w:firstLine="480"/>
        <w:rPr>
          <w:rFonts w:ascii="Times New Roman" w:hAnsi="Times New Roman" w:cs="Times New Roman"/>
          <w:bCs/>
          <w:color w:val="auto"/>
        </w:rPr>
      </w:pPr>
      <w:bookmarkStart w:id="248" w:name="_Toc353"/>
      <w:bookmarkStart w:id="249" w:name="_Toc25755"/>
      <w:r>
        <w:rPr>
          <w:rFonts w:ascii="Times New Roman" w:hAnsi="Times New Roman" w:cs="Times New Roman"/>
          <w:bCs/>
          <w:color w:val="auto"/>
        </w:rPr>
        <w:t>（1）企业应急组织机构</w:t>
      </w:r>
      <w:bookmarkEnd w:id="248"/>
      <w:bookmarkEnd w:id="249"/>
    </w:p>
    <w:p w14:paraId="15646870">
      <w:pPr>
        <w:ind w:firstLine="480"/>
        <w:rPr>
          <w:rFonts w:ascii="Times New Roman" w:hAnsi="Times New Roman" w:eastAsia="宋体" w:cs="Times New Roman"/>
          <w:color w:val="auto"/>
          <w:kern w:val="0"/>
          <w:szCs w:val="24"/>
        </w:rPr>
      </w:pPr>
      <w:r>
        <w:rPr>
          <w:rFonts w:ascii="Times New Roman" w:hAnsi="Times New Roman" w:eastAsia="宋体" w:cs="Times New Roman"/>
          <w:color w:val="auto"/>
          <w:kern w:val="0"/>
          <w:szCs w:val="24"/>
        </w:rPr>
        <w:t>企业应设立专人负责日常安全生产环境管理，主要职责包括：负责应急事故处理预案的制定，落实事故处理岗位责任制，供岗位人员及救险人员应急学习；负责事故现场抢险指挥；负责与环保部门联系，进行应急监测；负责事故后果评价，并报告有关管理部门。</w:t>
      </w:r>
    </w:p>
    <w:p w14:paraId="7997BD0A">
      <w:pPr>
        <w:ind w:firstLine="480"/>
        <w:rPr>
          <w:rFonts w:ascii="Times New Roman" w:hAnsi="Times New Roman" w:cs="Times New Roman"/>
          <w:bCs/>
          <w:color w:val="auto"/>
        </w:rPr>
      </w:pPr>
      <w:bookmarkStart w:id="250" w:name="_Toc12610"/>
      <w:bookmarkStart w:id="251" w:name="_Toc18475"/>
      <w:r>
        <w:rPr>
          <w:rFonts w:ascii="Times New Roman" w:hAnsi="Times New Roman" w:cs="Times New Roman"/>
          <w:bCs/>
          <w:color w:val="auto"/>
        </w:rPr>
        <w:t>（2）应急救援保障</w:t>
      </w:r>
      <w:bookmarkEnd w:id="250"/>
      <w:bookmarkEnd w:id="251"/>
    </w:p>
    <w:p w14:paraId="693E0512">
      <w:pPr>
        <w:ind w:firstLine="480"/>
        <w:rPr>
          <w:rFonts w:ascii="Times New Roman" w:hAnsi="Times New Roman" w:eastAsia="宋体" w:cs="Times New Roman"/>
          <w:color w:val="auto"/>
          <w:kern w:val="0"/>
          <w:szCs w:val="24"/>
        </w:rPr>
      </w:pPr>
      <w:r>
        <w:rPr>
          <w:rFonts w:ascii="Times New Roman" w:hAnsi="Times New Roman" w:eastAsia="宋体" w:cs="Times New Roman"/>
          <w:color w:val="auto"/>
          <w:kern w:val="0"/>
          <w:szCs w:val="24"/>
        </w:rPr>
        <w:t>企业</w:t>
      </w:r>
      <w:r>
        <w:rPr>
          <w:rFonts w:hint="eastAsia" w:eastAsia="宋体" w:cs="Times New Roman"/>
          <w:color w:val="auto"/>
          <w:kern w:val="0"/>
          <w:szCs w:val="24"/>
          <w:lang w:eastAsia="zh-CN"/>
        </w:rPr>
        <w:t>须具备</w:t>
      </w:r>
      <w:r>
        <w:rPr>
          <w:rFonts w:ascii="Times New Roman" w:hAnsi="Times New Roman" w:eastAsia="宋体" w:cs="Times New Roman"/>
          <w:color w:val="auto"/>
          <w:kern w:val="0"/>
          <w:szCs w:val="24"/>
        </w:rPr>
        <w:t>应急救援保障设备及器材，包括防护服、消防</w:t>
      </w:r>
      <w:r>
        <w:rPr>
          <w:rFonts w:hint="eastAsia" w:eastAsia="宋体" w:cs="Times New Roman"/>
          <w:color w:val="auto"/>
          <w:kern w:val="0"/>
          <w:szCs w:val="24"/>
          <w:lang w:val="en-US" w:eastAsia="zh-CN"/>
        </w:rPr>
        <w:t>设施</w:t>
      </w:r>
      <w:r>
        <w:rPr>
          <w:rFonts w:ascii="Times New Roman" w:hAnsi="Times New Roman" w:eastAsia="宋体" w:cs="Times New Roman"/>
          <w:color w:val="auto"/>
          <w:kern w:val="0"/>
          <w:szCs w:val="24"/>
        </w:rPr>
        <w:t>、</w:t>
      </w:r>
      <w:r>
        <w:rPr>
          <w:rFonts w:hint="eastAsia" w:eastAsia="宋体" w:cs="Times New Roman"/>
          <w:color w:val="auto"/>
          <w:kern w:val="0"/>
          <w:szCs w:val="24"/>
          <w:lang w:val="en-US" w:eastAsia="zh-CN"/>
        </w:rPr>
        <w:t>疫病防护设施</w:t>
      </w:r>
      <w:r>
        <w:rPr>
          <w:rFonts w:ascii="Times New Roman" w:hAnsi="Times New Roman" w:eastAsia="宋体" w:cs="Times New Roman"/>
          <w:color w:val="auto"/>
          <w:kern w:val="0"/>
          <w:szCs w:val="24"/>
        </w:rPr>
        <w:t>、氧气呼吸器、防爆手电、对讲机、警戒围绳等。</w:t>
      </w:r>
    </w:p>
    <w:p w14:paraId="4DE8D212">
      <w:pPr>
        <w:ind w:firstLine="480"/>
        <w:rPr>
          <w:rFonts w:ascii="Times New Roman" w:hAnsi="Times New Roman" w:cs="Times New Roman"/>
          <w:bCs/>
          <w:color w:val="auto"/>
        </w:rPr>
      </w:pPr>
      <w:bookmarkStart w:id="252" w:name="_Toc22496"/>
      <w:bookmarkStart w:id="253" w:name="_Toc20440"/>
      <w:r>
        <w:rPr>
          <w:rFonts w:ascii="Times New Roman" w:hAnsi="Times New Roman" w:cs="Times New Roman"/>
          <w:bCs/>
          <w:color w:val="auto"/>
        </w:rPr>
        <w:t>（3）事故应急措施</w:t>
      </w:r>
      <w:bookmarkEnd w:id="252"/>
      <w:bookmarkEnd w:id="253"/>
    </w:p>
    <w:p w14:paraId="24E7D0F0">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①</w:t>
      </w:r>
      <w:r>
        <w:rPr>
          <w:rFonts w:ascii="Times New Roman" w:hAnsi="Times New Roman" w:eastAsia="宋体" w:cs="Times New Roman"/>
          <w:color w:val="auto"/>
          <w:kern w:val="0"/>
          <w:szCs w:val="24"/>
        </w:rPr>
        <w:t>疫</w:t>
      </w:r>
      <w:r>
        <w:rPr>
          <w:rFonts w:ascii="Times New Roman" w:hAnsi="Times New Roman" w:cs="Times New Roman"/>
          <w:color w:val="auto"/>
          <w:kern w:val="0"/>
          <w:szCs w:val="24"/>
        </w:rPr>
        <w:t>病事故应急措施</w:t>
      </w:r>
    </w:p>
    <w:p w14:paraId="317EE720">
      <w:pPr>
        <w:ind w:firstLine="480"/>
        <w:rPr>
          <w:rFonts w:ascii="Times New Roman" w:hAnsi="Times New Roman" w:eastAsia="宋体" w:cs="Times New Roman"/>
          <w:color w:val="auto"/>
          <w:kern w:val="0"/>
          <w:szCs w:val="24"/>
        </w:rPr>
      </w:pPr>
      <w:r>
        <w:rPr>
          <w:rFonts w:hint="eastAsia" w:eastAsia="宋体" w:cs="Times New Roman"/>
          <w:color w:val="auto"/>
          <w:kern w:val="0"/>
          <w:szCs w:val="24"/>
          <w:lang w:eastAsia="zh-CN"/>
        </w:rPr>
        <w:t>a.</w:t>
      </w:r>
      <w:r>
        <w:rPr>
          <w:rFonts w:ascii="Times New Roman" w:hAnsi="Times New Roman" w:eastAsia="宋体" w:cs="Times New Roman"/>
          <w:color w:val="auto"/>
          <w:kern w:val="0"/>
          <w:szCs w:val="24"/>
        </w:rPr>
        <w:t>兽医应及时诊断、调查疫源，根据疫病种类做好隔离、消毒、紧急防疫、</w:t>
      </w:r>
      <w:r>
        <w:rPr>
          <w:rFonts w:hint="eastAsia" w:ascii="Times New Roman" w:hAnsi="Times New Roman" w:eastAsia="宋体" w:cs="Times New Roman"/>
          <w:color w:val="auto"/>
          <w:kern w:val="0"/>
          <w:szCs w:val="24"/>
          <w:lang w:eastAsia="zh-CN"/>
        </w:rPr>
        <w:t>鸭</w:t>
      </w:r>
      <w:r>
        <w:rPr>
          <w:rFonts w:ascii="Times New Roman" w:hAnsi="Times New Roman" w:eastAsia="宋体" w:cs="Times New Roman"/>
          <w:color w:val="auto"/>
          <w:kern w:val="0"/>
          <w:szCs w:val="24"/>
        </w:rPr>
        <w:t>病治疗和淘汰等工作，把疫情控制在最小范围内；</w:t>
      </w:r>
    </w:p>
    <w:p w14:paraId="17E6DC38">
      <w:pPr>
        <w:ind w:firstLine="480"/>
        <w:rPr>
          <w:rFonts w:ascii="Times New Roman" w:hAnsi="Times New Roman" w:eastAsia="宋体" w:cs="Times New Roman"/>
          <w:color w:val="auto"/>
          <w:kern w:val="0"/>
          <w:szCs w:val="24"/>
        </w:rPr>
      </w:pPr>
      <w:r>
        <w:rPr>
          <w:rFonts w:hint="eastAsia" w:eastAsia="宋体" w:cs="Times New Roman"/>
          <w:color w:val="auto"/>
          <w:kern w:val="0"/>
          <w:szCs w:val="24"/>
          <w:lang w:eastAsia="zh-CN"/>
        </w:rPr>
        <w:t>b.</w:t>
      </w:r>
      <w:r>
        <w:rPr>
          <w:rFonts w:ascii="Times New Roman" w:hAnsi="Times New Roman" w:eastAsia="宋体" w:cs="Times New Roman"/>
          <w:color w:val="auto"/>
          <w:kern w:val="0"/>
          <w:szCs w:val="24"/>
        </w:rPr>
        <w:t>发生人畜共患病时，及时报告卫生部门，共同采取</w:t>
      </w:r>
      <w:r>
        <w:rPr>
          <w:rFonts w:hint="eastAsia" w:eastAsia="宋体" w:cs="Times New Roman"/>
          <w:color w:val="auto"/>
          <w:kern w:val="0"/>
          <w:szCs w:val="24"/>
          <w:lang w:val="en-US" w:eastAsia="zh-CN"/>
        </w:rPr>
        <w:t>消杀、</w:t>
      </w:r>
      <w:r>
        <w:rPr>
          <w:rFonts w:ascii="Times New Roman" w:hAnsi="Times New Roman" w:eastAsia="宋体" w:cs="Times New Roman"/>
          <w:color w:val="auto"/>
          <w:kern w:val="0"/>
          <w:szCs w:val="24"/>
        </w:rPr>
        <w:t>扑灭措施；</w:t>
      </w:r>
    </w:p>
    <w:p w14:paraId="505F41EE">
      <w:pPr>
        <w:ind w:firstLine="480"/>
        <w:rPr>
          <w:rFonts w:ascii="Times New Roman" w:hAnsi="Times New Roman" w:eastAsia="宋体" w:cs="Times New Roman"/>
          <w:color w:val="auto"/>
          <w:kern w:val="0"/>
          <w:szCs w:val="24"/>
        </w:rPr>
      </w:pPr>
      <w:r>
        <w:rPr>
          <w:rFonts w:hint="eastAsia" w:eastAsia="宋体" w:cs="Times New Roman"/>
          <w:color w:val="auto"/>
          <w:kern w:val="0"/>
          <w:szCs w:val="24"/>
          <w:lang w:eastAsia="zh-CN"/>
        </w:rPr>
        <w:t>c.</w:t>
      </w:r>
      <w:r>
        <w:rPr>
          <w:rFonts w:ascii="Times New Roman" w:hAnsi="Times New Roman" w:eastAsia="宋体" w:cs="Times New Roman"/>
          <w:color w:val="auto"/>
          <w:kern w:val="0"/>
          <w:szCs w:val="24"/>
        </w:rPr>
        <w:t>在最后一头病</w:t>
      </w:r>
      <w:r>
        <w:rPr>
          <w:rFonts w:hint="eastAsia" w:ascii="Times New Roman" w:hAnsi="Times New Roman" w:eastAsia="宋体" w:cs="Times New Roman"/>
          <w:color w:val="auto"/>
          <w:kern w:val="0"/>
          <w:szCs w:val="24"/>
          <w:lang w:eastAsia="zh-CN"/>
        </w:rPr>
        <w:t>鸭</w:t>
      </w:r>
      <w:r>
        <w:rPr>
          <w:rFonts w:ascii="Times New Roman" w:hAnsi="Times New Roman" w:eastAsia="宋体" w:cs="Times New Roman"/>
          <w:color w:val="auto"/>
          <w:kern w:val="0"/>
          <w:szCs w:val="24"/>
        </w:rPr>
        <w:t>淘汰或痊愈后，需经该传染病最长潜伏期的观察，不再出现新病例，并经严格消毒后，可</w:t>
      </w:r>
      <w:r>
        <w:rPr>
          <w:rFonts w:hint="eastAsia" w:ascii="Times New Roman" w:hAnsi="Times New Roman" w:eastAsia="宋体" w:cs="Times New Roman"/>
          <w:color w:val="auto"/>
          <w:kern w:val="0"/>
          <w:szCs w:val="24"/>
          <w:lang w:eastAsia="zh-CN"/>
        </w:rPr>
        <w:t>撤销</w:t>
      </w:r>
      <w:r>
        <w:rPr>
          <w:rFonts w:ascii="Times New Roman" w:hAnsi="Times New Roman" w:eastAsia="宋体" w:cs="Times New Roman"/>
          <w:color w:val="auto"/>
          <w:kern w:val="0"/>
          <w:szCs w:val="24"/>
        </w:rPr>
        <w:t>隔离或申请解除。</w:t>
      </w:r>
    </w:p>
    <w:p w14:paraId="1E052DC2">
      <w:pPr>
        <w:ind w:firstLine="480"/>
        <w:rPr>
          <w:rFonts w:ascii="Times New Roman" w:hAnsi="Times New Roman" w:cs="Times New Roman"/>
          <w:bCs/>
          <w:color w:val="auto"/>
        </w:rPr>
      </w:pPr>
      <w:bookmarkStart w:id="254" w:name="_Toc3514"/>
      <w:bookmarkStart w:id="255" w:name="_Toc2402"/>
      <w:r>
        <w:rPr>
          <w:rFonts w:ascii="Times New Roman" w:hAnsi="Times New Roman" w:cs="Times New Roman"/>
          <w:bCs/>
          <w:color w:val="auto"/>
        </w:rPr>
        <w:t>（4）应急终止</w:t>
      </w:r>
      <w:bookmarkEnd w:id="254"/>
      <w:bookmarkEnd w:id="255"/>
    </w:p>
    <w:p w14:paraId="4305EAE4">
      <w:pPr>
        <w:ind w:firstLine="482"/>
        <w:rPr>
          <w:rFonts w:ascii="Times New Roman" w:hAnsi="Times New Roman" w:eastAsia="宋体" w:cs="Times New Roman"/>
          <w:b/>
          <w:color w:val="auto"/>
          <w:kern w:val="0"/>
          <w:szCs w:val="24"/>
        </w:rPr>
      </w:pPr>
      <w:r>
        <w:rPr>
          <w:rFonts w:ascii="Times New Roman" w:hAnsi="Times New Roman" w:eastAsia="宋体" w:cs="Times New Roman"/>
          <w:b/>
          <w:color w:val="auto"/>
          <w:kern w:val="0"/>
          <w:szCs w:val="24"/>
        </w:rPr>
        <w:t>应急终止的条件：</w:t>
      </w:r>
    </w:p>
    <w:p w14:paraId="3D5D1AA3">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①</w:t>
      </w:r>
      <w:r>
        <w:rPr>
          <w:rFonts w:ascii="Times New Roman" w:hAnsi="Times New Roman" w:cs="Times New Roman"/>
          <w:color w:val="auto"/>
          <w:kern w:val="0"/>
          <w:szCs w:val="24"/>
        </w:rPr>
        <w:t>事件现场得到控制，事件条件已经消除；</w:t>
      </w:r>
    </w:p>
    <w:p w14:paraId="60366D99">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②</w:t>
      </w:r>
      <w:r>
        <w:rPr>
          <w:rFonts w:ascii="Times New Roman" w:hAnsi="Times New Roman" w:cs="Times New Roman"/>
          <w:color w:val="auto"/>
          <w:kern w:val="0"/>
          <w:szCs w:val="24"/>
        </w:rPr>
        <w:t>污染源的释放已降至规定限值以内；</w:t>
      </w:r>
    </w:p>
    <w:p w14:paraId="5B54D720">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③</w:t>
      </w:r>
      <w:r>
        <w:rPr>
          <w:rFonts w:ascii="Times New Roman" w:hAnsi="Times New Roman" w:cs="Times New Roman"/>
          <w:color w:val="auto"/>
          <w:kern w:val="0"/>
          <w:szCs w:val="24"/>
        </w:rPr>
        <w:t>事件所造成的危害已经被彻底消除，无继发可能；</w:t>
      </w:r>
    </w:p>
    <w:p w14:paraId="1B788541">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④</w:t>
      </w:r>
      <w:r>
        <w:rPr>
          <w:rFonts w:ascii="Times New Roman" w:hAnsi="Times New Roman" w:cs="Times New Roman"/>
          <w:color w:val="auto"/>
          <w:kern w:val="0"/>
          <w:szCs w:val="24"/>
        </w:rPr>
        <w:t>事件现场的各种专业应急处置行动已无继续的必要；</w:t>
      </w:r>
    </w:p>
    <w:p w14:paraId="3E235EFD">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⑤</w:t>
      </w:r>
      <w:r>
        <w:rPr>
          <w:rFonts w:ascii="Times New Roman" w:hAnsi="Times New Roman" w:cs="Times New Roman"/>
          <w:color w:val="auto"/>
          <w:kern w:val="0"/>
          <w:szCs w:val="24"/>
        </w:rPr>
        <w:t>采取一切必要的防护措施以保护公众再次免受危害，并使事件可能引起的中长期影响趋于合理且尽量低的水平。</w:t>
      </w:r>
    </w:p>
    <w:p w14:paraId="4C76C966">
      <w:pPr>
        <w:ind w:firstLine="482"/>
        <w:rPr>
          <w:rFonts w:ascii="Times New Roman" w:hAnsi="Times New Roman" w:cs="Times New Roman"/>
          <w:b/>
          <w:color w:val="auto"/>
          <w:kern w:val="0"/>
          <w:szCs w:val="24"/>
        </w:rPr>
      </w:pPr>
      <w:r>
        <w:rPr>
          <w:rFonts w:ascii="Times New Roman" w:hAnsi="Times New Roman" w:cs="Times New Roman"/>
          <w:b/>
          <w:color w:val="auto"/>
          <w:kern w:val="0"/>
          <w:szCs w:val="24"/>
        </w:rPr>
        <w:t>应急终止的程序：</w:t>
      </w:r>
    </w:p>
    <w:p w14:paraId="6FBAB168">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①</w:t>
      </w:r>
      <w:r>
        <w:rPr>
          <w:rFonts w:ascii="Times New Roman" w:hAnsi="Times New Roman" w:cs="Times New Roman"/>
          <w:color w:val="auto"/>
          <w:kern w:val="0"/>
          <w:szCs w:val="24"/>
        </w:rPr>
        <w:t>指挥领导小组确认终止时机或由事故责任单位提出，经指挥领导小组批准；</w:t>
      </w:r>
    </w:p>
    <w:p w14:paraId="2AE3AAEB">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②</w:t>
      </w:r>
      <w:r>
        <w:rPr>
          <w:rFonts w:ascii="Times New Roman" w:hAnsi="Times New Roman" w:cs="Times New Roman"/>
          <w:color w:val="auto"/>
          <w:kern w:val="0"/>
          <w:szCs w:val="24"/>
        </w:rPr>
        <w:t>指挥领导小组向所属各专业应急响应队伍下达应急终止命令；</w:t>
      </w:r>
    </w:p>
    <w:p w14:paraId="28F8C852">
      <w:pPr>
        <w:ind w:firstLine="480"/>
        <w:rPr>
          <w:rFonts w:ascii="Times New Roman" w:hAnsi="Times New Roman" w:eastAsia="宋体" w:cs="Times New Roman"/>
          <w:color w:val="auto"/>
          <w:kern w:val="0"/>
          <w:szCs w:val="24"/>
        </w:rPr>
      </w:pPr>
      <w:r>
        <w:rPr>
          <w:rFonts w:hint="eastAsia" w:ascii="Times New Roman" w:hAnsi="Times New Roman" w:eastAsia="宋体" w:cs="宋体"/>
          <w:color w:val="auto"/>
          <w:kern w:val="0"/>
          <w:szCs w:val="24"/>
        </w:rPr>
        <w:t>③</w:t>
      </w:r>
      <w:r>
        <w:rPr>
          <w:rFonts w:ascii="Times New Roman" w:hAnsi="Times New Roman" w:cs="Times New Roman"/>
          <w:color w:val="auto"/>
          <w:kern w:val="0"/>
          <w:szCs w:val="24"/>
        </w:rPr>
        <w:t>应急状态终止后，相关类别环境事件专业应急工作组应根据政府有关指示和实际情况，继续进行环境监测和评价工作，直至其他补救措施</w:t>
      </w:r>
      <w:r>
        <w:rPr>
          <w:rFonts w:hint="eastAsia" w:cs="Times New Roman"/>
          <w:color w:val="auto"/>
          <w:kern w:val="0"/>
          <w:szCs w:val="24"/>
          <w:lang w:eastAsia="zh-CN"/>
        </w:rPr>
        <w:t>无需</w:t>
      </w:r>
      <w:r>
        <w:rPr>
          <w:rFonts w:ascii="Times New Roman" w:hAnsi="Times New Roman" w:cs="Times New Roman"/>
          <w:color w:val="auto"/>
          <w:kern w:val="0"/>
          <w:szCs w:val="24"/>
        </w:rPr>
        <w:t>继续进行为止。</w:t>
      </w:r>
    </w:p>
    <w:p w14:paraId="296E7485">
      <w:pPr>
        <w:ind w:firstLine="482"/>
        <w:rPr>
          <w:rFonts w:ascii="Times New Roman" w:hAnsi="Times New Roman" w:eastAsia="宋体" w:cs="Times New Roman"/>
          <w:b/>
          <w:color w:val="auto"/>
          <w:kern w:val="0"/>
          <w:szCs w:val="24"/>
        </w:rPr>
      </w:pPr>
      <w:r>
        <w:rPr>
          <w:rFonts w:ascii="Times New Roman" w:hAnsi="Times New Roman" w:eastAsia="宋体" w:cs="Times New Roman"/>
          <w:b/>
          <w:color w:val="auto"/>
          <w:kern w:val="0"/>
          <w:szCs w:val="24"/>
        </w:rPr>
        <w:t>应急终止后的后续工作：</w:t>
      </w:r>
    </w:p>
    <w:p w14:paraId="3883917C">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①</w:t>
      </w:r>
      <w:r>
        <w:rPr>
          <w:rFonts w:ascii="Times New Roman" w:hAnsi="Times New Roman" w:cs="Times New Roman"/>
          <w:color w:val="auto"/>
          <w:kern w:val="0"/>
          <w:szCs w:val="24"/>
        </w:rPr>
        <w:t>环境跟踪监测</w:t>
      </w:r>
    </w:p>
    <w:p w14:paraId="6953CE5B">
      <w:pPr>
        <w:ind w:firstLine="480"/>
        <w:rPr>
          <w:rFonts w:ascii="Times New Roman" w:hAnsi="Times New Roman" w:cs="Times New Roman"/>
          <w:color w:val="auto"/>
          <w:kern w:val="0"/>
          <w:szCs w:val="24"/>
        </w:rPr>
      </w:pPr>
      <w:r>
        <w:rPr>
          <w:rFonts w:ascii="Times New Roman" w:hAnsi="Times New Roman" w:cs="Times New Roman"/>
          <w:color w:val="auto"/>
          <w:kern w:val="0"/>
          <w:szCs w:val="24"/>
        </w:rPr>
        <w:t>污染物进入周围环境后，随着稀释、扩散和降解等作用，其浓度会逐渐降低。为了掌握事故发生后的污染程度、范围及变化趋势，在应急状态终止后，环境安全监测组人员应进行污染物的跟踪监测，直至环境恢复正常或达标。</w:t>
      </w:r>
    </w:p>
    <w:p w14:paraId="10353447">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②</w:t>
      </w:r>
      <w:r>
        <w:rPr>
          <w:rFonts w:ascii="Times New Roman" w:hAnsi="Times New Roman" w:cs="Times New Roman"/>
          <w:color w:val="auto"/>
          <w:kern w:val="0"/>
          <w:szCs w:val="24"/>
        </w:rPr>
        <w:t>向本单位相关部门、周边村庄等受影响区域，通知本事件危险已解除。</w:t>
      </w:r>
    </w:p>
    <w:p w14:paraId="0FC0B4F9">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③</w:t>
      </w:r>
      <w:r>
        <w:rPr>
          <w:rFonts w:ascii="Times New Roman" w:hAnsi="Times New Roman" w:cs="Times New Roman"/>
          <w:color w:val="auto"/>
          <w:kern w:val="0"/>
          <w:szCs w:val="24"/>
        </w:rPr>
        <w:t>应急终止后，应急指挥组应做好现场的保护，用隔离警示带围住事故现场区域。应急指挥组还要配合有关部门查找事件原因，防止类似问题的重复出现。</w:t>
      </w:r>
    </w:p>
    <w:p w14:paraId="640090AC">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④</w:t>
      </w:r>
      <w:r>
        <w:rPr>
          <w:rFonts w:ascii="Times New Roman" w:hAnsi="Times New Roman" w:cs="Times New Roman"/>
          <w:color w:val="auto"/>
          <w:kern w:val="0"/>
          <w:szCs w:val="24"/>
        </w:rPr>
        <w:t>撰写突发环境事件总结报告，于应急终止后上报。</w:t>
      </w:r>
    </w:p>
    <w:p w14:paraId="1FADBD47">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⑤</w:t>
      </w:r>
      <w:r>
        <w:rPr>
          <w:rFonts w:ascii="Times New Roman" w:hAnsi="Times New Roman" w:cs="Times New Roman"/>
          <w:color w:val="auto"/>
          <w:kern w:val="0"/>
          <w:szCs w:val="24"/>
        </w:rPr>
        <w:t>根据环境事件的类别，由相关专业主管部门组织对环境应急预案进行评估，并及时修订。</w:t>
      </w:r>
    </w:p>
    <w:p w14:paraId="734CA995">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⑥</w:t>
      </w:r>
      <w:r>
        <w:rPr>
          <w:rFonts w:ascii="Times New Roman" w:hAnsi="Times New Roman" w:cs="Times New Roman"/>
          <w:color w:val="auto"/>
          <w:kern w:val="0"/>
          <w:szCs w:val="24"/>
        </w:rPr>
        <w:t>参加应急行动的部门分别组织、指导环境应急救援队伍维护、保养应急仪器设备，使之始终保持良好的技术状态。</w:t>
      </w:r>
    </w:p>
    <w:p w14:paraId="2487F42A">
      <w:pPr>
        <w:ind w:firstLine="480"/>
        <w:rPr>
          <w:rFonts w:ascii="Times New Roman" w:hAnsi="Times New Roman" w:cs="Times New Roman"/>
          <w:color w:val="auto"/>
          <w:kern w:val="0"/>
          <w:szCs w:val="24"/>
        </w:rPr>
      </w:pPr>
      <w:r>
        <w:rPr>
          <w:rFonts w:hint="eastAsia" w:ascii="Times New Roman" w:hAnsi="Times New Roman" w:eastAsia="宋体" w:cs="宋体"/>
          <w:color w:val="auto"/>
          <w:kern w:val="0"/>
          <w:szCs w:val="24"/>
        </w:rPr>
        <w:t>⑦</w:t>
      </w:r>
      <w:r>
        <w:rPr>
          <w:rFonts w:ascii="Times New Roman" w:hAnsi="Times New Roman" w:cs="Times New Roman"/>
          <w:color w:val="auto"/>
          <w:kern w:val="0"/>
          <w:szCs w:val="24"/>
        </w:rPr>
        <w:t>根据事故调查结果，对公司现有的防范措施与应急预案进行评价，指出其有效性和不足之处，提出整改意见。</w:t>
      </w:r>
    </w:p>
    <w:p w14:paraId="53F642EC">
      <w:pPr>
        <w:ind w:firstLine="480"/>
        <w:rPr>
          <w:rFonts w:ascii="Times New Roman" w:hAnsi="Times New Roman" w:cs="Times New Roman"/>
          <w:bCs/>
          <w:color w:val="auto"/>
        </w:rPr>
      </w:pPr>
      <w:bookmarkStart w:id="256" w:name="_Toc18866"/>
      <w:bookmarkStart w:id="257" w:name="_Toc29711"/>
      <w:r>
        <w:rPr>
          <w:rFonts w:ascii="Times New Roman" w:hAnsi="Times New Roman" w:cs="Times New Roman"/>
          <w:bCs/>
          <w:color w:val="auto"/>
        </w:rPr>
        <w:t>（5）应急培训计划</w:t>
      </w:r>
      <w:bookmarkEnd w:id="256"/>
      <w:bookmarkEnd w:id="257"/>
    </w:p>
    <w:p w14:paraId="743228EF">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应急人员培训</w:t>
      </w:r>
    </w:p>
    <w:p w14:paraId="3FE771EE">
      <w:pPr>
        <w:ind w:firstLine="480"/>
        <w:rPr>
          <w:rFonts w:ascii="Times New Roman" w:hAnsi="Times New Roman" w:cs="Times New Roman"/>
          <w:color w:val="auto"/>
        </w:rPr>
      </w:pPr>
      <w:r>
        <w:rPr>
          <w:rFonts w:ascii="Times New Roman" w:hAnsi="Times New Roman" w:cs="Times New Roman"/>
          <w:color w:val="auto"/>
        </w:rPr>
        <w:t>建设单位应定期对应急救援人员进行应急事故处理及紧急救援培训，应急救援人员的培训由领导小组统一安排</w:t>
      </w:r>
      <w:r>
        <w:rPr>
          <w:rFonts w:hint="eastAsia" w:cs="Times New Roman"/>
          <w:color w:val="auto"/>
          <w:lang w:eastAsia="zh-CN"/>
        </w:rPr>
        <w:t>指定</w:t>
      </w:r>
      <w:r>
        <w:rPr>
          <w:rFonts w:ascii="Times New Roman" w:hAnsi="Times New Roman" w:cs="Times New Roman"/>
          <w:color w:val="auto"/>
        </w:rPr>
        <w:t>专人进行。</w:t>
      </w:r>
    </w:p>
    <w:p w14:paraId="5376B04B">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员工应急响应培训</w:t>
      </w:r>
    </w:p>
    <w:p w14:paraId="5D561D35">
      <w:pPr>
        <w:ind w:firstLine="480"/>
        <w:rPr>
          <w:rFonts w:ascii="Times New Roman" w:hAnsi="Times New Roman" w:cs="Times New Roman"/>
          <w:color w:val="auto"/>
        </w:rPr>
      </w:pPr>
      <w:r>
        <w:rPr>
          <w:rFonts w:ascii="Times New Roman" w:hAnsi="Times New Roman" w:cs="Times New Roman"/>
          <w:color w:val="auto"/>
        </w:rPr>
        <w:t>由建设单位组织应急救援人员定期对员工进行应急事故处理及紧急救援培训，</w:t>
      </w:r>
      <w:r>
        <w:rPr>
          <w:rFonts w:hint="eastAsia" w:cs="Times New Roman"/>
          <w:color w:val="auto"/>
          <w:lang w:eastAsia="zh-CN"/>
        </w:rPr>
        <w:t>增强</w:t>
      </w:r>
      <w:r>
        <w:rPr>
          <w:rFonts w:ascii="Times New Roman" w:hAnsi="Times New Roman" w:cs="Times New Roman"/>
          <w:color w:val="auto"/>
        </w:rPr>
        <w:t>员工风险防范意识及自救能力。</w:t>
      </w:r>
    </w:p>
    <w:p w14:paraId="5E2725AF">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演练计划</w:t>
      </w:r>
    </w:p>
    <w:p w14:paraId="3716CCA4">
      <w:pPr>
        <w:ind w:firstLine="480"/>
        <w:rPr>
          <w:rFonts w:ascii="Times New Roman" w:hAnsi="Times New Roman" w:cs="Times New Roman"/>
          <w:color w:val="auto"/>
        </w:rPr>
      </w:pPr>
      <w:r>
        <w:rPr>
          <w:rFonts w:ascii="Times New Roman" w:hAnsi="Times New Roman" w:cs="Times New Roman"/>
          <w:color w:val="auto"/>
        </w:rPr>
        <w:t>建设单位须定期进行突发事件紧急响应演习，至少每半年组织一次，由公司应急救援领导小组组织。</w:t>
      </w:r>
    </w:p>
    <w:p w14:paraId="5825FCFA">
      <w:pPr>
        <w:ind w:firstLine="480"/>
        <w:rPr>
          <w:rFonts w:ascii="Times New Roman" w:hAnsi="Times New Roman" w:eastAsia="宋体" w:cs="Times New Roman"/>
          <w:bCs/>
          <w:color w:val="auto"/>
          <w:kern w:val="0"/>
          <w:szCs w:val="20"/>
        </w:rPr>
      </w:pPr>
      <w:bookmarkStart w:id="258" w:name="_Toc6115"/>
      <w:bookmarkStart w:id="259" w:name="_Toc10389"/>
      <w:r>
        <w:rPr>
          <w:rFonts w:ascii="Times New Roman" w:hAnsi="Times New Roman" w:cs="Times New Roman"/>
          <w:bCs/>
          <w:color w:val="auto"/>
        </w:rPr>
        <w:t>（6）</w:t>
      </w:r>
      <w:r>
        <w:rPr>
          <w:rFonts w:ascii="Times New Roman" w:hAnsi="Times New Roman" w:eastAsia="宋体" w:cs="Times New Roman"/>
          <w:bCs/>
          <w:color w:val="auto"/>
          <w:kern w:val="0"/>
          <w:szCs w:val="20"/>
        </w:rPr>
        <w:t>应急预案演习</w:t>
      </w:r>
      <w:bookmarkEnd w:id="258"/>
      <w:bookmarkEnd w:id="259"/>
    </w:p>
    <w:p w14:paraId="6C5EFC23">
      <w:pPr>
        <w:ind w:firstLine="480"/>
        <w:rPr>
          <w:rFonts w:ascii="Times New Roman" w:hAnsi="Times New Roman" w:cs="Times New Roman"/>
          <w:color w:val="auto"/>
        </w:rPr>
      </w:pPr>
      <w:r>
        <w:rPr>
          <w:rFonts w:ascii="Times New Roman" w:hAnsi="Times New Roman" w:cs="Times New Roman"/>
          <w:color w:val="auto"/>
        </w:rPr>
        <w:t>为验证应急预案的可操作性和合理性，确保所有职工都了解该应急预案，同时为了增强各部门之间的相互协作能力，应对各类可能发生事故进行培训和应急演练，从而确保预案的适时改进。所有运作人员参与污染事故应急演习的时间间隔不得超过一年，并做好演练记录。</w:t>
      </w:r>
    </w:p>
    <w:p w14:paraId="3D2C1507">
      <w:pPr>
        <w:ind w:firstLine="480"/>
        <w:rPr>
          <w:rFonts w:ascii="Times New Roman" w:hAnsi="Times New Roman" w:cs="Times New Roman"/>
          <w:color w:val="auto"/>
        </w:rPr>
      </w:pPr>
      <w:bookmarkStart w:id="260" w:name="_Toc21135"/>
      <w:bookmarkStart w:id="261" w:name="_Toc18891_WPSOffice_Level2"/>
      <w:bookmarkStart w:id="262" w:name="_Toc19741"/>
      <w:bookmarkStart w:id="263" w:name="_Toc28140_WPSOffice_Level2"/>
      <w:bookmarkStart w:id="264" w:name="_Toc7046_WPSOffice_Level2"/>
      <w:bookmarkStart w:id="265" w:name="_Toc18196"/>
      <w:bookmarkStart w:id="266" w:name="_Toc15887"/>
      <w:bookmarkStart w:id="267" w:name="_Toc15442_WPSOffice_Level2"/>
      <w:r>
        <w:rPr>
          <w:rFonts w:hint="eastAsia" w:cs="Times New Roman"/>
          <w:color w:val="auto"/>
          <w:lang w:eastAsia="zh-CN"/>
        </w:rPr>
        <w:t>7.</w:t>
      </w:r>
      <w:r>
        <w:rPr>
          <w:rFonts w:ascii="Times New Roman" w:hAnsi="Times New Roman" w:cs="Times New Roman"/>
          <w:color w:val="auto"/>
        </w:rPr>
        <w:t>风险评价结论</w:t>
      </w:r>
      <w:bookmarkEnd w:id="260"/>
      <w:bookmarkEnd w:id="261"/>
      <w:bookmarkEnd w:id="262"/>
      <w:bookmarkEnd w:id="263"/>
      <w:bookmarkEnd w:id="264"/>
      <w:bookmarkEnd w:id="265"/>
      <w:bookmarkEnd w:id="266"/>
      <w:bookmarkEnd w:id="267"/>
    </w:p>
    <w:p w14:paraId="7F359335">
      <w:pPr>
        <w:ind w:firstLine="480"/>
        <w:rPr>
          <w:rFonts w:ascii="Times New Roman" w:hAnsi="Times New Roman" w:cs="Times New Roman"/>
          <w:color w:val="auto"/>
        </w:rPr>
      </w:pPr>
      <w:r>
        <w:rPr>
          <w:rFonts w:ascii="Times New Roman" w:hAnsi="Times New Roman" w:cs="Times New Roman"/>
          <w:color w:val="auto"/>
        </w:rPr>
        <w:t>根据项目风险分析，本项目潜在的风险为</w:t>
      </w:r>
      <w:r>
        <w:rPr>
          <w:rFonts w:hint="eastAsia" w:ascii="Times New Roman" w:hAnsi="Times New Roman" w:cs="Times New Roman"/>
          <w:color w:val="auto"/>
          <w:lang w:val="en-US" w:eastAsia="zh-CN"/>
        </w:rPr>
        <w:t>化粪池及</w:t>
      </w:r>
      <w:r>
        <w:rPr>
          <w:rFonts w:hint="eastAsia" w:cs="Times New Roman"/>
          <w:color w:val="auto"/>
          <w:lang w:val="en-US" w:eastAsia="zh-CN"/>
        </w:rPr>
        <w:t>鸭舍</w:t>
      </w:r>
      <w:r>
        <w:rPr>
          <w:rFonts w:hint="eastAsia" w:ascii="Times New Roman" w:hAnsi="Times New Roman" w:cs="Times New Roman"/>
          <w:color w:val="auto"/>
          <w:lang w:val="en-US" w:eastAsia="zh-CN"/>
        </w:rPr>
        <w:t>泄漏</w:t>
      </w:r>
      <w:r>
        <w:rPr>
          <w:rFonts w:ascii="Times New Roman" w:hAnsi="Times New Roman" w:cs="Times New Roman"/>
          <w:color w:val="auto"/>
        </w:rPr>
        <w:t>事故风险、疫病事故风险。企业应严格按照安全生产制度，严格管理，提高操作人员的素质和水平，同时制定有效的应急方案，使事故发生后对环境的影响减至最低程度。</w:t>
      </w:r>
    </w:p>
    <w:p w14:paraId="17980121">
      <w:pPr>
        <w:ind w:firstLine="480"/>
        <w:rPr>
          <w:rFonts w:ascii="Times New Roman" w:hAnsi="Times New Roman" w:cs="Times New Roman"/>
          <w:color w:val="auto"/>
        </w:rPr>
      </w:pPr>
      <w:r>
        <w:rPr>
          <w:rFonts w:ascii="Times New Roman" w:hAnsi="Times New Roman" w:cs="Times New Roman"/>
          <w:color w:val="auto"/>
        </w:rPr>
        <w:t>建设单位在按照本报告书的要求做好各项风险预防措施及应急预案的前提下，所产生的环境风险可以控制在可接受水平内。</w:t>
      </w:r>
    </w:p>
    <w:p w14:paraId="65F60AE7">
      <w:pPr>
        <w:pStyle w:val="4"/>
        <w:numPr>
          <w:ilvl w:val="1"/>
          <w:numId w:val="1"/>
        </w:numPr>
        <w:ind w:left="120"/>
        <w:rPr>
          <w:rFonts w:ascii="Times New Roman" w:hAnsi="Times New Roman" w:cs="Times New Roman"/>
          <w:color w:val="auto"/>
        </w:rPr>
      </w:pPr>
      <w:bookmarkStart w:id="268" w:name="_Toc27488"/>
      <w:r>
        <w:rPr>
          <w:rFonts w:ascii="Times New Roman" w:hAnsi="Times New Roman" w:cs="Times New Roman"/>
          <w:color w:val="auto"/>
        </w:rPr>
        <w:t>温室气体排放影响分析</w:t>
      </w:r>
      <w:bookmarkEnd w:id="268"/>
    </w:p>
    <w:p w14:paraId="3FABAF3D">
      <w:pPr>
        <w:ind w:firstLine="480"/>
        <w:rPr>
          <w:rFonts w:ascii="Times New Roman" w:hAnsi="Times New Roman" w:cs="Times New Roman"/>
          <w:color w:val="auto"/>
        </w:rPr>
      </w:pPr>
      <w:r>
        <w:rPr>
          <w:rFonts w:ascii="Times New Roman" w:hAnsi="Times New Roman" w:cs="Times New Roman"/>
          <w:color w:val="auto"/>
        </w:rPr>
        <w:t>根据</w:t>
      </w:r>
      <w:r>
        <w:rPr>
          <w:rFonts w:hint="eastAsia" w:cs="Times New Roman"/>
          <w:color w:val="auto"/>
          <w:lang w:eastAsia="zh-CN"/>
        </w:rPr>
        <w:t>生态环境部</w:t>
      </w:r>
      <w:r>
        <w:rPr>
          <w:rFonts w:ascii="Times New Roman" w:hAnsi="Times New Roman" w:cs="Times New Roman"/>
          <w:color w:val="auto"/>
        </w:rPr>
        <w:t>发布的《关于加强高耗能、高排放建设项目生态环境源头防控的指导意见》</w:t>
      </w:r>
      <w:r>
        <w:rPr>
          <w:rFonts w:hint="eastAsia" w:cs="Times New Roman"/>
          <w:color w:val="auto"/>
          <w:lang w:eastAsia="zh-CN"/>
        </w:rPr>
        <w:t>（</w:t>
      </w:r>
      <w:r>
        <w:rPr>
          <w:rFonts w:ascii="Times New Roman" w:hAnsi="Times New Roman" w:cs="Times New Roman"/>
          <w:color w:val="auto"/>
        </w:rPr>
        <w:t>环办标征函〔2020〕57号</w:t>
      </w:r>
      <w:r>
        <w:rPr>
          <w:rFonts w:hint="eastAsia" w:cs="Times New Roman"/>
          <w:color w:val="auto"/>
          <w:lang w:eastAsia="zh-CN"/>
        </w:rPr>
        <w:t>）</w:t>
      </w:r>
      <w:r>
        <w:rPr>
          <w:rFonts w:ascii="Times New Roman" w:hAnsi="Times New Roman" w:cs="Times New Roman"/>
          <w:color w:val="auto"/>
        </w:rPr>
        <w:t>，意见指出“（七）将碳排放影响评价纳入环境影响评价体系。</w:t>
      </w:r>
    </w:p>
    <w:p w14:paraId="50956FCF">
      <w:pPr>
        <w:pStyle w:val="5"/>
        <w:numPr>
          <w:ilvl w:val="2"/>
          <w:numId w:val="1"/>
        </w:numPr>
        <w:ind w:left="120"/>
        <w:rPr>
          <w:rFonts w:ascii="Times New Roman" w:hAnsi="Times New Roman" w:cs="Times New Roman"/>
          <w:color w:val="auto"/>
        </w:rPr>
      </w:pPr>
      <w:bookmarkStart w:id="269" w:name="_Toc13342"/>
      <w:r>
        <w:rPr>
          <w:rFonts w:ascii="Times New Roman" w:hAnsi="Times New Roman" w:cs="Times New Roman"/>
          <w:color w:val="auto"/>
        </w:rPr>
        <w:t>温室气体排放影响因素分析</w:t>
      </w:r>
      <w:bookmarkEnd w:id="269"/>
    </w:p>
    <w:p w14:paraId="25E10D15">
      <w:pPr>
        <w:pStyle w:val="6"/>
        <w:numPr>
          <w:ilvl w:val="3"/>
          <w:numId w:val="1"/>
        </w:numPr>
        <w:rPr>
          <w:rFonts w:ascii="Times New Roman" w:hAnsi="Times New Roman" w:cs="Times New Roman"/>
          <w:color w:val="auto"/>
        </w:rPr>
      </w:pPr>
      <w:r>
        <w:rPr>
          <w:rFonts w:ascii="Times New Roman" w:hAnsi="Times New Roman" w:cs="Times New Roman"/>
          <w:color w:val="auto"/>
        </w:rPr>
        <w:t xml:space="preserve">核算边界 </w:t>
      </w:r>
    </w:p>
    <w:p w14:paraId="1486E8E5">
      <w:pPr>
        <w:ind w:firstLine="480"/>
        <w:rPr>
          <w:rFonts w:ascii="Times New Roman" w:hAnsi="Times New Roman" w:cs="Times New Roman"/>
          <w:color w:val="auto"/>
        </w:rPr>
      </w:pPr>
      <w:r>
        <w:rPr>
          <w:rFonts w:ascii="Times New Roman" w:hAnsi="Times New Roman" w:cs="Times New Roman"/>
          <w:color w:val="auto"/>
        </w:rPr>
        <w:t>根据本项目的建设特点，本次环评中的核算边界确定为本项目</w:t>
      </w:r>
      <w:r>
        <w:rPr>
          <w:rFonts w:hint="eastAsia" w:ascii="Times New Roman" w:hAnsi="Times New Roman" w:cs="Times New Roman"/>
          <w:color w:val="auto"/>
          <w:lang w:val="en-US" w:eastAsia="zh-CN"/>
        </w:rPr>
        <w:t>家禽养殖</w:t>
      </w:r>
      <w:r>
        <w:rPr>
          <w:rFonts w:ascii="Times New Roman" w:hAnsi="Times New Roman" w:cs="Times New Roman"/>
          <w:color w:val="auto"/>
        </w:rPr>
        <w:t>产生的温室气体排放。</w:t>
      </w:r>
    </w:p>
    <w:p w14:paraId="05DB20CE">
      <w:pPr>
        <w:pStyle w:val="6"/>
        <w:numPr>
          <w:ilvl w:val="3"/>
          <w:numId w:val="1"/>
        </w:numPr>
        <w:rPr>
          <w:rFonts w:ascii="Times New Roman" w:hAnsi="Times New Roman" w:cs="Times New Roman"/>
          <w:color w:val="auto"/>
        </w:rPr>
      </w:pPr>
      <w:r>
        <w:rPr>
          <w:rFonts w:ascii="Times New Roman" w:hAnsi="Times New Roman" w:cs="Times New Roman"/>
          <w:color w:val="auto"/>
        </w:rPr>
        <w:t>排放源</w:t>
      </w:r>
    </w:p>
    <w:p w14:paraId="4C58D650">
      <w:pPr>
        <w:ind w:firstLine="480"/>
        <w:rPr>
          <w:rFonts w:ascii="Times New Roman" w:hAnsi="Times New Roman" w:cs="Times New Roman"/>
          <w:color w:val="auto"/>
        </w:rPr>
      </w:pPr>
      <w:r>
        <w:rPr>
          <w:rFonts w:ascii="Times New Roman" w:hAnsi="Times New Roman" w:cs="Times New Roman"/>
          <w:color w:val="auto"/>
        </w:rPr>
        <w:t>本项目主要的</w:t>
      </w:r>
      <w:r>
        <w:rPr>
          <w:rFonts w:hint="eastAsia" w:cs="Times New Roman"/>
          <w:color w:val="auto"/>
          <w:lang w:val="en-US" w:eastAsia="zh-CN"/>
        </w:rPr>
        <w:t>核算</w:t>
      </w:r>
      <w:r>
        <w:rPr>
          <w:rFonts w:ascii="Times New Roman" w:hAnsi="Times New Roman" w:cs="Times New Roman"/>
          <w:color w:val="auto"/>
        </w:rPr>
        <w:t>排放源包括：</w:t>
      </w:r>
    </w:p>
    <w:p w14:paraId="2F4DB086">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本项目年存栏</w:t>
      </w:r>
      <w:r>
        <w:rPr>
          <w:rFonts w:hint="eastAsia" w:ascii="Times New Roman" w:hAnsi="Times New Roman" w:cs="Times New Roman"/>
          <w:color w:val="auto"/>
          <w:lang w:eastAsia="zh-CN"/>
        </w:rPr>
        <w:t>种鸭</w:t>
      </w:r>
      <w:r>
        <w:rPr>
          <w:rFonts w:hint="eastAsia" w:cs="Times New Roman"/>
          <w:color w:val="auto"/>
          <w:lang w:val="en-US" w:eastAsia="zh-CN"/>
        </w:rPr>
        <w:t>18</w:t>
      </w:r>
      <w:r>
        <w:rPr>
          <w:rFonts w:hint="eastAsia" w:ascii="Times New Roman" w:hAnsi="Times New Roman" w:cs="Times New Roman"/>
          <w:color w:val="auto"/>
          <w:lang w:val="en-US" w:eastAsia="zh-CN"/>
        </w:rPr>
        <w:t>万只</w:t>
      </w:r>
      <w:r>
        <w:rPr>
          <w:rFonts w:ascii="Times New Roman" w:hAnsi="Times New Roman" w:cs="Times New Roman"/>
          <w:color w:val="auto"/>
        </w:rPr>
        <w:t>。动物粪便管理排放CH</w:t>
      </w:r>
      <w:r>
        <w:rPr>
          <w:rFonts w:ascii="Times New Roman" w:hAnsi="Times New Roman" w:cs="Times New Roman"/>
          <w:color w:val="auto"/>
          <w:vertAlign w:val="subscript"/>
        </w:rPr>
        <w:t>4</w:t>
      </w:r>
      <w:r>
        <w:rPr>
          <w:rFonts w:hint="eastAsia" w:ascii="Times New Roman" w:hAnsi="Times New Roman" w:cs="Times New Roman"/>
          <w:color w:val="auto"/>
          <w:lang w:eastAsia="zh-CN"/>
        </w:rPr>
        <w:t>，</w:t>
      </w:r>
      <w:r>
        <w:rPr>
          <w:rFonts w:hint="eastAsia" w:cs="Times New Roman"/>
          <w:color w:val="auto"/>
          <w:lang w:val="en-US" w:eastAsia="zh-CN"/>
        </w:rPr>
        <w:t>N</w:t>
      </w:r>
      <w:r>
        <w:rPr>
          <w:rFonts w:hint="eastAsia" w:cs="Times New Roman"/>
          <w:color w:val="auto"/>
          <w:vertAlign w:val="subscript"/>
          <w:lang w:val="en-US" w:eastAsia="zh-CN"/>
        </w:rPr>
        <w:t>2</w:t>
      </w:r>
      <w:r>
        <w:rPr>
          <w:rFonts w:hint="eastAsia" w:cs="Times New Roman"/>
          <w:color w:val="auto"/>
          <w:lang w:val="en-US" w:eastAsia="zh-CN"/>
        </w:rPr>
        <w:t>O，</w:t>
      </w:r>
      <w:r>
        <w:rPr>
          <w:rFonts w:hint="eastAsia" w:ascii="Times New Roman" w:hAnsi="Times New Roman" w:cs="Times New Roman"/>
          <w:color w:val="auto"/>
          <w:lang w:val="en-US" w:eastAsia="zh-CN"/>
        </w:rPr>
        <w:t>最终</w:t>
      </w:r>
      <w:r>
        <w:rPr>
          <w:rFonts w:hint="eastAsia" w:cs="Times New Roman"/>
          <w:color w:val="auto"/>
          <w:lang w:val="en-US" w:eastAsia="zh-CN"/>
        </w:rPr>
        <w:t>转化为CO</w:t>
      </w:r>
      <w:r>
        <w:rPr>
          <w:rFonts w:hint="eastAsia" w:cs="Times New Roman"/>
          <w:color w:val="auto"/>
          <w:vertAlign w:val="subscript"/>
          <w:lang w:val="en-US" w:eastAsia="zh-CN"/>
        </w:rPr>
        <w:t>2</w:t>
      </w:r>
      <w:r>
        <w:rPr>
          <w:rFonts w:hint="eastAsia" w:cs="Times New Roman"/>
          <w:color w:val="auto"/>
          <w:lang w:val="en-US" w:eastAsia="zh-CN"/>
        </w:rPr>
        <w:t>，形成碳排放</w:t>
      </w:r>
      <w:r>
        <w:rPr>
          <w:rFonts w:ascii="Times New Roman" w:hAnsi="Times New Roman" w:cs="Times New Roman"/>
          <w:color w:val="auto"/>
        </w:rPr>
        <w:t>。本项目采用干清粪工艺，</w:t>
      </w:r>
      <w:r>
        <w:rPr>
          <w:rFonts w:hint="eastAsia" w:ascii="Times New Roman" w:hAnsi="Times New Roman" w:cs="Times New Roman"/>
          <w:color w:val="auto"/>
          <w:lang w:eastAsia="zh-CN"/>
        </w:rPr>
        <w:t>鸭粪</w:t>
      </w:r>
      <w:r>
        <w:rPr>
          <w:rFonts w:ascii="Times New Roman" w:hAnsi="Times New Roman" w:cs="Times New Roman"/>
          <w:color w:val="auto"/>
        </w:rPr>
        <w:t>及垫草料产生量为</w:t>
      </w:r>
      <w:r>
        <w:rPr>
          <w:rFonts w:hint="eastAsia"/>
          <w:color w:val="000000" w:themeColor="text1"/>
          <w:lang w:val="en-US" w:eastAsia="zh-CN"/>
          <w14:textFill>
            <w14:solidFill>
              <w14:schemeClr w14:val="tx1"/>
            </w14:solidFill>
          </w14:textFill>
        </w:rPr>
        <w:t>4360.5</w:t>
      </w:r>
      <w:r>
        <w:rPr>
          <w:rFonts w:ascii="Times New Roman" w:hAnsi="Times New Roman"/>
          <w:color w:val="000000" w:themeColor="text1"/>
          <w14:textFill>
            <w14:solidFill>
              <w14:schemeClr w14:val="tx1"/>
            </w14:solidFill>
          </w14:textFill>
        </w:rPr>
        <w:t>t/a</w:t>
      </w:r>
      <w:r>
        <w:rPr>
          <w:rFonts w:ascii="Times New Roman" w:hAnsi="Times New Roman" w:cs="Times New Roman"/>
          <w:color w:val="auto"/>
        </w:rPr>
        <w:t>，</w:t>
      </w:r>
      <w:r>
        <w:rPr>
          <w:rFonts w:hint="eastAsia" w:ascii="Times New Roman" w:hAnsi="Times New Roman" w:cs="Times New Roman"/>
          <w:color w:val="auto"/>
          <w:lang w:eastAsia="zh-CN"/>
        </w:rPr>
        <w:t>鸭粪</w:t>
      </w:r>
      <w:r>
        <w:rPr>
          <w:rFonts w:ascii="Times New Roman" w:hAnsi="Times New Roman" w:cs="Times New Roman"/>
          <w:color w:val="auto"/>
        </w:rPr>
        <w:t>及垫草料不在项目区贮存，直接拉运至</w:t>
      </w:r>
      <w:r>
        <w:rPr>
          <w:rFonts w:hint="eastAsia" w:ascii="Times New Roman" w:hAnsi="Times New Roman" w:cs="Times New Roman"/>
          <w:color w:val="auto"/>
          <w:lang w:val="en-US" w:eastAsia="zh-CN"/>
        </w:rPr>
        <w:t>63团3连粪污处理场</w:t>
      </w:r>
      <w:r>
        <w:rPr>
          <w:rFonts w:ascii="Times New Roman" w:hAnsi="Times New Roman" w:cs="Times New Roman"/>
          <w:color w:val="auto"/>
        </w:rPr>
        <w:t>外售。</w:t>
      </w:r>
    </w:p>
    <w:p w14:paraId="20C3AE9A">
      <w:pPr>
        <w:ind w:firstLine="480"/>
        <w:rPr>
          <w:rFonts w:hint="eastAsia" w:cs="Times New Roman"/>
          <w:color w:val="auto"/>
          <w:lang w:val="en-US" w:eastAsia="zh-CN"/>
        </w:rPr>
      </w:pPr>
      <w:r>
        <w:rPr>
          <w:rFonts w:hint="default" w:ascii="Times New Roman" w:hAnsi="Times New Roman" w:cs="Times New Roman"/>
          <w:color w:val="auto"/>
        </w:rPr>
        <w:t>②</w:t>
      </w:r>
      <w:r>
        <w:rPr>
          <w:rFonts w:hint="eastAsia" w:cs="Times New Roman"/>
          <w:color w:val="auto"/>
          <w:lang w:val="en-US" w:eastAsia="zh-CN"/>
        </w:rPr>
        <w:t>本项目生物质燃料燃烧排放</w:t>
      </w:r>
      <w:r>
        <w:rPr>
          <w:rFonts w:ascii="Times New Roman" w:hAnsi="Times New Roman" w:cs="Times New Roman"/>
          <w:color w:val="auto"/>
        </w:rPr>
        <w:t>CO</w:t>
      </w:r>
      <w:r>
        <w:rPr>
          <w:rFonts w:ascii="Times New Roman" w:hAnsi="Times New Roman" w:cs="Times New Roman"/>
          <w:color w:val="auto"/>
          <w:vertAlign w:val="subscript"/>
        </w:rPr>
        <w:t>2</w:t>
      </w:r>
      <w:r>
        <w:rPr>
          <w:rFonts w:hint="eastAsia" w:cs="Times New Roman"/>
          <w:color w:val="auto"/>
          <w:lang w:eastAsia="zh-CN"/>
        </w:rPr>
        <w:t>，</w:t>
      </w:r>
      <w:r>
        <w:rPr>
          <w:rFonts w:hint="eastAsia" w:cs="Times New Roman"/>
          <w:color w:val="auto"/>
          <w:lang w:val="en-US" w:eastAsia="zh-CN"/>
        </w:rPr>
        <w:t>生物质燃料按照1000t核算。</w:t>
      </w:r>
    </w:p>
    <w:p w14:paraId="31EC2912">
      <w:pPr>
        <w:ind w:firstLine="480"/>
        <w:rPr>
          <w:rFonts w:hint="default" w:cs="Times New Roman"/>
          <w:color w:val="auto"/>
          <w:lang w:val="en-US" w:eastAsia="zh-CN"/>
        </w:rPr>
      </w:pPr>
      <w:r>
        <w:rPr>
          <w:rFonts w:hint="default" w:cs="Times New Roman"/>
          <w:color w:val="auto"/>
          <w:lang w:val="en-US" w:eastAsia="zh-CN"/>
        </w:rPr>
        <w:t>③</w:t>
      </w:r>
      <w:r>
        <w:rPr>
          <w:rFonts w:hint="eastAsia" w:cs="Times New Roman"/>
          <w:color w:val="auto"/>
          <w:lang w:val="en-US" w:eastAsia="zh-CN"/>
        </w:rPr>
        <w:t>项目养殖过程中用电及交通运输排放：本项目为大气二级评价项目，用电和交通运输源排放量相对较小，本次环评不做碳排放核算。</w:t>
      </w:r>
    </w:p>
    <w:p w14:paraId="3F76D224">
      <w:pPr>
        <w:pStyle w:val="6"/>
        <w:numPr>
          <w:ilvl w:val="3"/>
          <w:numId w:val="1"/>
        </w:numPr>
        <w:rPr>
          <w:rFonts w:ascii="Times New Roman" w:hAnsi="Times New Roman" w:cs="Times New Roman"/>
          <w:color w:val="auto"/>
        </w:rPr>
      </w:pPr>
      <w:r>
        <w:rPr>
          <w:rFonts w:ascii="Times New Roman" w:hAnsi="Times New Roman" w:cs="Times New Roman"/>
          <w:color w:val="auto"/>
        </w:rPr>
        <w:t>核算方法</w:t>
      </w:r>
    </w:p>
    <w:p w14:paraId="392BBB3C">
      <w:pPr>
        <w:ind w:firstLine="480"/>
        <w:rPr>
          <w:rFonts w:ascii="Times New Roman" w:hAnsi="Times New Roman" w:cs="Times New Roman"/>
          <w:color w:val="auto"/>
        </w:rPr>
      </w:pPr>
      <w:r>
        <w:rPr>
          <w:rFonts w:ascii="Times New Roman" w:hAnsi="Times New Roman" w:cs="Times New Roman"/>
          <w:color w:val="auto"/>
        </w:rPr>
        <w:t>本次核算参考北京市地方标准《畜牧产品温室气体排放核算指南》（DB11/T1565-2018）中温室气体的核算方法，从本项目</w:t>
      </w:r>
      <w:r>
        <w:rPr>
          <w:rFonts w:hint="eastAsia" w:ascii="Times New Roman" w:hAnsi="Times New Roman" w:cs="Times New Roman"/>
          <w:color w:val="auto"/>
          <w:lang w:eastAsia="zh-CN"/>
        </w:rPr>
        <w:t>涉及的</w:t>
      </w:r>
      <w:r>
        <w:rPr>
          <w:rFonts w:ascii="Times New Roman" w:hAnsi="Times New Roman" w:cs="Times New Roman"/>
          <w:color w:val="auto"/>
        </w:rPr>
        <w:t>动物粪便管理排放和电力购入等方面核算本项目的温室气体产生情况。</w:t>
      </w:r>
    </w:p>
    <w:p w14:paraId="7BAA27E4">
      <w:pPr>
        <w:ind w:firstLine="480"/>
        <w:rPr>
          <w:rFonts w:ascii="Times New Roman" w:hAnsi="Times New Roman" w:cs="Times New Roman"/>
          <w:color w:val="auto"/>
        </w:rPr>
      </w:pPr>
      <w:r>
        <w:rPr>
          <w:rFonts w:ascii="Times New Roman" w:hAnsi="Times New Roman" w:cs="Times New Roman"/>
          <w:color w:val="auto"/>
        </w:rPr>
        <w:t>（1）动物粪便管理排放</w:t>
      </w:r>
    </w:p>
    <w:p w14:paraId="7DFEEBE7">
      <w:pPr>
        <w:ind w:firstLine="480"/>
        <w:rPr>
          <w:rFonts w:ascii="Times New Roman" w:hAnsi="Times New Roman" w:cs="Times New Roman"/>
          <w:color w:val="auto"/>
        </w:rPr>
      </w:pPr>
      <w:r>
        <w:rPr>
          <w:rFonts w:ascii="Times New Roman" w:hAnsi="Times New Roman" w:cs="Times New Roman"/>
          <w:color w:val="auto"/>
        </w:rPr>
        <w:fldChar w:fldCharType="begin"/>
      </w:r>
      <w:r>
        <w:rPr>
          <w:rFonts w:cs="Times New Roman"/>
          <w:color w:val="auto"/>
        </w:rPr>
        <w:instrText xml:space="preserve"> = 1 \* GB3 \* MERGEFORMAT </w:instrText>
      </w:r>
      <w:r>
        <w:rPr>
          <w:rFonts w:ascii="Times New Roman" w:hAnsi="Times New Roman" w:cs="Times New Roman"/>
          <w:color w:val="auto"/>
        </w:rPr>
        <w:fldChar w:fldCharType="separate"/>
      </w:r>
      <w:r>
        <w:rPr>
          <w:rFonts w:hint="eastAsia" w:ascii="Times New Roman" w:hAnsi="Times New Roman" w:eastAsia="宋体" w:cs="宋体"/>
          <w:color w:val="auto"/>
        </w:rPr>
        <w:t>①</w:t>
      </w:r>
      <w:r>
        <w:rPr>
          <w:rFonts w:ascii="Times New Roman" w:hAnsi="Times New Roman" w:cs="Times New Roman"/>
          <w:color w:val="auto"/>
        </w:rPr>
        <w:fldChar w:fldCharType="end"/>
      </w:r>
      <w:r>
        <w:rPr>
          <w:rFonts w:ascii="Times New Roman" w:hAnsi="Times New Roman" w:cs="Times New Roman"/>
          <w:color w:val="auto"/>
        </w:rPr>
        <w:t>动物粪便管理甲烷排放，按以下公式计算：</w:t>
      </w:r>
    </w:p>
    <w:p w14:paraId="7D219E28">
      <w:pPr>
        <w:ind w:firstLine="480"/>
        <w:jc w:val="center"/>
        <w:rPr>
          <w:rFonts w:ascii="Times New Roman" w:hAnsi="Times New Roman" w:cs="Times New Roman"/>
          <w:color w:val="auto"/>
        </w:rPr>
      </w:pPr>
      <w:r>
        <w:rPr>
          <w:rFonts w:cs="Times New Roman"/>
          <w:color w:val="auto"/>
          <w:position w:val="-8"/>
        </w:rPr>
        <w:object>
          <v:shape id="_x0000_i1033" o:spt="75" type="#_x0000_t75" style="height:23.1pt;width:197pt;" o:ole="t" filled="f" o:preferrelative="t" stroked="f" coordsize="21600,21600">
            <v:path/>
            <v:fill on="f" focussize="0,0"/>
            <v:stroke on="f" joinstyle="miter"/>
            <v:imagedata r:id="rId57" o:title=""/>
            <o:lock v:ext="edit" aspectratio="t"/>
            <w10:wrap type="none"/>
            <w10:anchorlock/>
          </v:shape>
          <o:OLEObject Type="Embed" ProgID="Equation.KSEE3" ShapeID="_x0000_i1033" DrawAspect="Content" ObjectID="_1468075733" r:id="rId56">
            <o:LockedField>false</o:LockedField>
          </o:OLEObject>
        </w:object>
      </w:r>
    </w:p>
    <w:p w14:paraId="509DBDC1">
      <w:pPr>
        <w:ind w:firstLine="480"/>
        <w:rPr>
          <w:rFonts w:ascii="Times New Roman" w:hAnsi="Times New Roman" w:cs="Times New Roman"/>
          <w:color w:val="auto"/>
        </w:rPr>
      </w:pPr>
      <w:r>
        <w:rPr>
          <w:rFonts w:ascii="Times New Roman" w:hAnsi="Times New Roman" w:cs="Times New Roman"/>
          <w:color w:val="auto"/>
        </w:rPr>
        <w:t>式中：</w:t>
      </w:r>
    </w:p>
    <w:p w14:paraId="4409EE6C">
      <w:pPr>
        <w:ind w:firstLine="480"/>
        <w:rPr>
          <w:rFonts w:ascii="Times New Roman" w:hAnsi="Times New Roman" w:cs="Times New Roman"/>
          <w:color w:val="auto"/>
        </w:rPr>
      </w:pPr>
      <w:r>
        <w:rPr>
          <w:rFonts w:ascii="Times New Roman" w:hAnsi="Times New Roman" w:cs="Times New Roman"/>
          <w:color w:val="auto"/>
        </w:rPr>
        <w:t>E</w:t>
      </w:r>
      <w:r>
        <w:rPr>
          <w:rFonts w:ascii="Times New Roman" w:hAnsi="Times New Roman" w:cs="Times New Roman"/>
          <w:color w:val="auto"/>
          <w:vertAlign w:val="subscript"/>
        </w:rPr>
        <w:t>M-CH4</w:t>
      </w:r>
      <w:r>
        <w:rPr>
          <w:rFonts w:ascii="Times New Roman" w:hAnsi="Times New Roman" w:cs="Times New Roman"/>
          <w:color w:val="auto"/>
        </w:rPr>
        <w:t>——动物粪便管理甲烷排放量（t）；</w:t>
      </w:r>
    </w:p>
    <w:p w14:paraId="5EF0E776">
      <w:pPr>
        <w:ind w:firstLine="480"/>
        <w:rPr>
          <w:rFonts w:ascii="Times New Roman" w:hAnsi="Times New Roman" w:cs="Times New Roman"/>
          <w:color w:val="auto"/>
        </w:rPr>
      </w:pPr>
      <w:r>
        <w:rPr>
          <w:rFonts w:ascii="Times New Roman" w:hAnsi="Times New Roman" w:cs="Times New Roman"/>
          <w:color w:val="auto"/>
        </w:rPr>
        <w:t>E</w:t>
      </w:r>
      <w:r>
        <w:rPr>
          <w:rFonts w:ascii="Times New Roman" w:hAnsi="Times New Roman" w:cs="Times New Roman"/>
          <w:color w:val="auto"/>
          <w:vertAlign w:val="subscript"/>
        </w:rPr>
        <w:t>M-CH4，i</w:t>
      </w:r>
      <w:r>
        <w:rPr>
          <w:rFonts w:ascii="Times New Roman" w:hAnsi="Times New Roman" w:cs="Times New Roman"/>
          <w:color w:val="auto"/>
        </w:rPr>
        <w:t>——第i种动物粪便管理甲烷排放量（t）；</w:t>
      </w:r>
    </w:p>
    <w:p w14:paraId="08C05DB5">
      <w:pPr>
        <w:ind w:firstLine="480"/>
        <w:rPr>
          <w:rFonts w:ascii="Times New Roman" w:hAnsi="Times New Roman" w:cs="Times New Roman"/>
          <w:color w:val="auto"/>
        </w:rPr>
      </w:pPr>
      <w:r>
        <w:rPr>
          <w:rFonts w:ascii="Times New Roman" w:hAnsi="Times New Roman" w:cs="Times New Roman"/>
          <w:color w:val="auto"/>
        </w:rPr>
        <w:t>GWP——甲烷的全球变暖潜势值。根据附录A，IPCC第五次评估报告甲烷的全球变暖潜势值取34。</w:t>
      </w:r>
    </w:p>
    <w:p w14:paraId="29E6E443">
      <w:pPr>
        <w:ind w:firstLine="480"/>
        <w:rPr>
          <w:rFonts w:ascii="Times New Roman" w:hAnsi="Times New Roman" w:cs="Times New Roman"/>
          <w:color w:val="auto"/>
        </w:rPr>
      </w:pPr>
      <w:r>
        <w:rPr>
          <w:rFonts w:ascii="Times New Roman" w:hAnsi="Times New Roman" w:cs="Times New Roman"/>
          <w:color w:val="auto"/>
        </w:rPr>
        <w:t>第i种动物肠道发酵甲烷排放量</w:t>
      </w:r>
      <w:r>
        <w:rPr>
          <w:rFonts w:ascii="Times New Roman" w:hAnsi="Times New Roman" w:cs="Times New Roman"/>
          <w:color w:val="auto"/>
          <w:vertAlign w:val="subscript"/>
        </w:rPr>
        <w:t>EM-CH4，i</w:t>
      </w:r>
      <w:r>
        <w:rPr>
          <w:rFonts w:ascii="Times New Roman" w:hAnsi="Times New Roman" w:cs="Times New Roman"/>
          <w:color w:val="auto"/>
        </w:rPr>
        <w:t>按以下公式计算：</w:t>
      </w:r>
    </w:p>
    <w:p w14:paraId="51048FDD">
      <w:pPr>
        <w:ind w:firstLine="480"/>
        <w:jc w:val="center"/>
        <w:rPr>
          <w:rFonts w:ascii="Times New Roman" w:hAnsi="Times New Roman" w:cs="Times New Roman"/>
          <w:color w:val="auto"/>
        </w:rPr>
      </w:pPr>
      <w:r>
        <w:rPr>
          <w:rFonts w:cs="Times New Roman"/>
          <w:color w:val="auto"/>
          <w:position w:val="-6"/>
        </w:rPr>
        <w:object>
          <v:shape id="_x0000_i1034" o:spt="75" type="#_x0000_t75" style="height:23.1pt;width:230.25pt;" o:ole="t" filled="f" o:preferrelative="t" stroked="f" coordsize="21600,21600">
            <v:path/>
            <v:fill on="f" focussize="0,0"/>
            <v:stroke on="f" joinstyle="miter"/>
            <v:imagedata r:id="rId59" o:title=""/>
            <o:lock v:ext="edit" aspectratio="t"/>
            <w10:wrap type="none"/>
            <w10:anchorlock/>
          </v:shape>
          <o:OLEObject Type="Embed" ProgID="Equation.KSEE3" ShapeID="_x0000_i1034" DrawAspect="Content" ObjectID="_1468075734" r:id="rId58">
            <o:LockedField>false</o:LockedField>
          </o:OLEObject>
        </w:object>
      </w:r>
    </w:p>
    <w:p w14:paraId="4349430A">
      <w:pPr>
        <w:ind w:firstLine="480"/>
        <w:rPr>
          <w:rFonts w:ascii="Times New Roman" w:hAnsi="Times New Roman" w:cs="Times New Roman"/>
          <w:color w:val="auto"/>
        </w:rPr>
      </w:pPr>
      <w:r>
        <w:rPr>
          <w:rFonts w:ascii="Times New Roman" w:hAnsi="Times New Roman" w:cs="Times New Roman"/>
          <w:color w:val="auto"/>
        </w:rPr>
        <w:t>式中：</w:t>
      </w:r>
    </w:p>
    <w:p w14:paraId="57B8B4ED">
      <w:pPr>
        <w:ind w:firstLine="480"/>
        <w:rPr>
          <w:rFonts w:ascii="Times New Roman" w:hAnsi="Times New Roman" w:cs="Times New Roman"/>
          <w:color w:val="auto"/>
        </w:rPr>
      </w:pPr>
      <w:r>
        <w:rPr>
          <w:rFonts w:ascii="Times New Roman" w:hAnsi="Times New Roman" w:cs="Times New Roman"/>
          <w:color w:val="auto"/>
        </w:rPr>
        <w:t>E</w:t>
      </w:r>
      <w:r>
        <w:rPr>
          <w:rFonts w:ascii="Times New Roman" w:hAnsi="Times New Roman" w:cs="Times New Roman"/>
          <w:color w:val="auto"/>
          <w:vertAlign w:val="subscript"/>
        </w:rPr>
        <w:t>M-CH4，i</w:t>
      </w:r>
      <w:r>
        <w:rPr>
          <w:rFonts w:ascii="Times New Roman" w:hAnsi="Times New Roman" w:cs="Times New Roman"/>
          <w:color w:val="auto"/>
        </w:rPr>
        <w:t>——第i种动物粪便管理甲烷排放量（t）；</w:t>
      </w:r>
    </w:p>
    <w:p w14:paraId="78EC3D16">
      <w:pPr>
        <w:ind w:firstLine="480"/>
        <w:rPr>
          <w:rFonts w:ascii="Times New Roman" w:hAnsi="Times New Roman" w:cs="Times New Roman"/>
          <w:color w:val="auto"/>
        </w:rPr>
      </w:pPr>
      <w:r>
        <w:rPr>
          <w:rFonts w:ascii="Times New Roman" w:hAnsi="Times New Roman" w:cs="Times New Roman"/>
          <w:color w:val="auto"/>
        </w:rPr>
        <w:t>EF</w:t>
      </w:r>
      <w:r>
        <w:rPr>
          <w:rFonts w:ascii="Times New Roman" w:hAnsi="Times New Roman" w:cs="Times New Roman"/>
          <w:color w:val="auto"/>
          <w:vertAlign w:val="subscript"/>
        </w:rPr>
        <w:t>M-CH4，i</w:t>
      </w:r>
      <w:r>
        <w:rPr>
          <w:rFonts w:ascii="Times New Roman" w:hAnsi="Times New Roman" w:cs="Times New Roman"/>
          <w:color w:val="auto"/>
        </w:rPr>
        <w:t>——第i种动物粪便管理甲烷排放因子（kgCH</w:t>
      </w:r>
      <w:r>
        <w:rPr>
          <w:rFonts w:ascii="Times New Roman" w:hAnsi="Times New Roman" w:cs="Times New Roman"/>
          <w:color w:val="auto"/>
          <w:vertAlign w:val="subscript"/>
        </w:rPr>
        <w:t>4</w:t>
      </w:r>
      <w:r>
        <w:rPr>
          <w:rFonts w:ascii="Times New Roman" w:hAnsi="Times New Roman" w:cs="Times New Roman"/>
          <w:color w:val="auto"/>
        </w:rPr>
        <w:t>/</w:t>
      </w:r>
      <w:r>
        <w:rPr>
          <w:rFonts w:hint="eastAsia" w:ascii="Times New Roman" w:hAnsi="Times New Roman" w:cs="Times New Roman"/>
          <w:color w:val="auto"/>
          <w:lang w:val="en-US" w:eastAsia="zh-CN"/>
        </w:rPr>
        <w:t>只</w:t>
      </w:r>
      <w:r>
        <w:rPr>
          <w:rFonts w:ascii="Times New Roman" w:hAnsi="Times New Roman" w:cs="Times New Roman"/>
          <w:color w:val="auto"/>
        </w:rPr>
        <w:t>/a）；根据附录B，</w:t>
      </w:r>
      <w:r>
        <w:rPr>
          <w:rFonts w:hint="eastAsia" w:ascii="Times New Roman" w:hAnsi="Times New Roman" w:cs="Times New Roman"/>
          <w:color w:val="auto"/>
          <w:lang w:eastAsia="zh-CN"/>
        </w:rPr>
        <w:t>种鸭</w:t>
      </w:r>
      <w:r>
        <w:rPr>
          <w:rFonts w:ascii="Times New Roman" w:hAnsi="Times New Roman" w:cs="Times New Roman"/>
          <w:color w:val="auto"/>
        </w:rPr>
        <w:t>粪便管理甲烷排放因子缺省值，EF</w:t>
      </w:r>
      <w:r>
        <w:rPr>
          <w:rFonts w:ascii="Times New Roman" w:hAnsi="Times New Roman" w:cs="Times New Roman"/>
          <w:color w:val="auto"/>
          <w:vertAlign w:val="subscript"/>
        </w:rPr>
        <w:t>M-CH4，i</w:t>
      </w:r>
      <w:r>
        <w:rPr>
          <w:rFonts w:ascii="Times New Roman" w:hAnsi="Times New Roman" w:cs="Times New Roman"/>
          <w:color w:val="auto"/>
        </w:rPr>
        <w:t>取值为</w:t>
      </w:r>
      <w:r>
        <w:rPr>
          <w:rFonts w:hint="eastAsia" w:ascii="Times New Roman" w:hAnsi="Times New Roman" w:cs="Times New Roman"/>
          <w:color w:val="auto"/>
          <w:lang w:val="en-US" w:eastAsia="zh-CN"/>
        </w:rPr>
        <w:t>0.01</w:t>
      </w:r>
      <w:r>
        <w:rPr>
          <w:rFonts w:ascii="Times New Roman" w:hAnsi="Times New Roman" w:cs="Times New Roman"/>
          <w:color w:val="auto"/>
        </w:rPr>
        <w:t>kgCH</w:t>
      </w:r>
      <w:r>
        <w:rPr>
          <w:rFonts w:ascii="Times New Roman" w:hAnsi="Times New Roman" w:cs="Times New Roman"/>
          <w:color w:val="auto"/>
          <w:vertAlign w:val="subscript"/>
        </w:rPr>
        <w:t>4</w:t>
      </w:r>
      <w:r>
        <w:rPr>
          <w:rFonts w:ascii="Times New Roman" w:hAnsi="Times New Roman" w:cs="Times New Roman"/>
          <w:color w:val="auto"/>
        </w:rPr>
        <w:t>/</w:t>
      </w:r>
      <w:r>
        <w:rPr>
          <w:rFonts w:hint="eastAsia" w:ascii="Times New Roman" w:hAnsi="Times New Roman" w:cs="Times New Roman"/>
          <w:color w:val="auto"/>
          <w:lang w:val="en-US" w:eastAsia="zh-CN"/>
        </w:rPr>
        <w:t>只</w:t>
      </w:r>
      <w:r>
        <w:rPr>
          <w:rFonts w:ascii="Times New Roman" w:hAnsi="Times New Roman" w:cs="Times New Roman"/>
          <w:color w:val="auto"/>
        </w:rPr>
        <w:t>/a；</w:t>
      </w:r>
    </w:p>
    <w:p w14:paraId="65820DFA">
      <w:pPr>
        <w:ind w:firstLine="480"/>
        <w:rPr>
          <w:rFonts w:ascii="Times New Roman" w:hAnsi="Times New Roman" w:cs="Times New Roman"/>
          <w:color w:val="auto"/>
        </w:rPr>
      </w:pPr>
      <w:r>
        <w:rPr>
          <w:rFonts w:ascii="Times New Roman" w:hAnsi="Times New Roman" w:cs="Times New Roman"/>
          <w:color w:val="auto"/>
        </w:rPr>
        <w:t>AP</w:t>
      </w:r>
      <w:r>
        <w:rPr>
          <w:rFonts w:ascii="Times New Roman" w:hAnsi="Times New Roman" w:cs="Times New Roman"/>
          <w:color w:val="auto"/>
          <w:vertAlign w:val="subscript"/>
        </w:rPr>
        <w:t>i</w:t>
      </w:r>
      <w:r>
        <w:rPr>
          <w:rFonts w:ascii="Times New Roman" w:hAnsi="Times New Roman" w:cs="Times New Roman"/>
          <w:color w:val="auto"/>
        </w:rPr>
        <w:t>——第i种动物的存栏数（</w:t>
      </w:r>
      <w:r>
        <w:rPr>
          <w:rFonts w:hint="eastAsia" w:ascii="Times New Roman" w:hAnsi="Times New Roman" w:cs="Times New Roman"/>
          <w:color w:val="auto"/>
          <w:lang w:val="en-US" w:eastAsia="zh-CN"/>
        </w:rPr>
        <w:t>只</w:t>
      </w:r>
      <w:r>
        <w:rPr>
          <w:rFonts w:ascii="Times New Roman" w:hAnsi="Times New Roman" w:cs="Times New Roman"/>
          <w:color w:val="auto"/>
        </w:rPr>
        <w:t>）。</w:t>
      </w:r>
    </w:p>
    <w:p w14:paraId="610CBD24">
      <w:pPr>
        <w:ind w:firstLine="480"/>
        <w:rPr>
          <w:rFonts w:hint="default" w:ascii="Times New Roman" w:hAnsi="Times New Roman" w:cs="Times New Roman" w:eastAsiaTheme="minorEastAsia"/>
          <w:color w:val="auto"/>
          <w:lang w:val="en-US" w:eastAsia="zh-CN"/>
        </w:rPr>
      </w:pPr>
      <w:r>
        <w:rPr>
          <w:rFonts w:ascii="Times New Roman" w:hAnsi="Times New Roman" w:cs="Times New Roman"/>
          <w:color w:val="auto"/>
        </w:rPr>
        <w:t>本项目年存栏</w:t>
      </w:r>
      <w:r>
        <w:rPr>
          <w:rFonts w:hint="eastAsia" w:ascii="Times New Roman" w:hAnsi="Times New Roman" w:cs="Times New Roman"/>
          <w:color w:val="auto"/>
          <w:lang w:eastAsia="zh-CN"/>
        </w:rPr>
        <w:t>种鸭</w:t>
      </w:r>
      <w:r>
        <w:rPr>
          <w:rFonts w:hint="eastAsia" w:cs="Times New Roman"/>
          <w:color w:val="auto"/>
          <w:lang w:val="en-US" w:eastAsia="zh-CN"/>
        </w:rPr>
        <w:t>18</w:t>
      </w:r>
      <w:r>
        <w:rPr>
          <w:rFonts w:hint="eastAsia" w:ascii="Times New Roman" w:hAnsi="Times New Roman" w:cs="Times New Roman"/>
          <w:color w:val="auto"/>
          <w:lang w:val="en-US" w:eastAsia="zh-CN"/>
        </w:rPr>
        <w:t>万只</w:t>
      </w:r>
      <w:r>
        <w:rPr>
          <w:rFonts w:ascii="Times New Roman" w:hAnsi="Times New Roman" w:cs="Times New Roman"/>
          <w:color w:val="auto"/>
        </w:rPr>
        <w:t>，根据上述计算公式和参数选取，本项目动物粪便管理甲烷排放量见表</w:t>
      </w:r>
      <w:r>
        <w:rPr>
          <w:rFonts w:hint="eastAsia" w:cs="Times New Roman"/>
          <w:color w:val="auto"/>
          <w:lang w:val="en-US" w:eastAsia="zh-CN"/>
        </w:rPr>
        <w:t>5</w:t>
      </w:r>
      <w:r>
        <w:rPr>
          <w:rFonts w:ascii="Times New Roman" w:hAnsi="Times New Roman" w:cs="Times New Roman"/>
          <w:color w:val="auto"/>
        </w:rPr>
        <w:t>.3-</w:t>
      </w:r>
      <w:r>
        <w:rPr>
          <w:rFonts w:hint="eastAsia" w:ascii="Times New Roman" w:hAnsi="Times New Roman" w:cs="Times New Roman"/>
          <w:color w:val="auto"/>
          <w:lang w:val="en-US" w:eastAsia="zh-CN"/>
        </w:rPr>
        <w:t>1.</w:t>
      </w:r>
    </w:p>
    <w:p w14:paraId="572F53D6">
      <w:pPr>
        <w:ind w:firstLine="0" w:firstLineChars="0"/>
        <w:jc w:val="center"/>
        <w:rPr>
          <w:rFonts w:ascii="Times New Roman" w:hAnsi="Times New Roman" w:cs="Times New Roman"/>
          <w:b/>
          <w:bCs/>
          <w:color w:val="auto"/>
        </w:rPr>
      </w:pPr>
      <w:r>
        <w:rPr>
          <w:rFonts w:ascii="Times New Roman" w:hAnsi="Times New Roman" w:cs="Times New Roman"/>
          <w:b/>
          <w:bCs/>
          <w:color w:val="auto"/>
        </w:rPr>
        <w:t>表</w:t>
      </w:r>
      <w:r>
        <w:rPr>
          <w:rFonts w:hint="eastAsia" w:cs="Times New Roman"/>
          <w:b/>
          <w:bCs/>
          <w:color w:val="auto"/>
          <w:lang w:val="en-US" w:eastAsia="zh-CN"/>
        </w:rPr>
        <w:t>5</w:t>
      </w:r>
      <w:r>
        <w:rPr>
          <w:rFonts w:ascii="Times New Roman" w:hAnsi="Times New Roman" w:cs="Times New Roman"/>
          <w:b/>
          <w:bCs/>
          <w:color w:val="auto"/>
        </w:rPr>
        <w:t>.3-</w:t>
      </w:r>
      <w:r>
        <w:rPr>
          <w:rFonts w:hint="eastAsia" w:ascii="Times New Roman" w:hAnsi="Times New Roman" w:cs="Times New Roman"/>
          <w:b/>
          <w:bCs/>
          <w:color w:val="auto"/>
          <w:lang w:val="en-US" w:eastAsia="zh-CN"/>
        </w:rPr>
        <w:t>1</w:t>
      </w:r>
      <w:r>
        <w:rPr>
          <w:rFonts w:ascii="Times New Roman" w:hAnsi="Times New Roman" w:cs="Times New Roman"/>
          <w:b/>
          <w:bCs/>
          <w:color w:val="auto"/>
        </w:rPr>
        <w:t xml:space="preserve">     动物粪便管理排放甲烷一览表</w:t>
      </w:r>
    </w:p>
    <w:tbl>
      <w:tblPr>
        <w:tblStyle w:val="81"/>
        <w:tblW w:w="8556"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05"/>
        <w:gridCol w:w="1601"/>
        <w:gridCol w:w="1480"/>
        <w:gridCol w:w="1510"/>
        <w:gridCol w:w="1480"/>
        <w:gridCol w:w="1480"/>
      </w:tblGrid>
      <w:tr w14:paraId="460CFB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1005" w:type="dxa"/>
            <w:vMerge w:val="restart"/>
            <w:tcBorders>
              <w:tl2br w:val="nil"/>
              <w:tr2bl w:val="nil"/>
            </w:tcBorders>
            <w:vAlign w:val="center"/>
          </w:tcPr>
          <w:p w14:paraId="53A45ECA">
            <w:pPr>
              <w:pStyle w:val="56"/>
              <w:autoSpaceDE w:val="0"/>
              <w:autoSpaceDN w:val="0"/>
              <w:ind w:left="480" w:leftChars="200"/>
              <w:rPr>
                <w:rFonts w:ascii="Times New Roman" w:hAnsi="Times New Roman"/>
                <w:color w:val="auto"/>
                <w:lang w:val="en-US" w:eastAsia="en-US"/>
              </w:rPr>
            </w:pPr>
            <w:r>
              <w:rPr>
                <w:rFonts w:asciiTheme="minorHAnsi" w:hAnsiTheme="minorHAnsi"/>
                <w:color w:val="auto"/>
                <w:lang w:eastAsia="en-US"/>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-8255</wp:posOffset>
                      </wp:positionV>
                      <wp:extent cx="635635" cy="628015"/>
                      <wp:effectExtent l="3175" t="3175" r="8890" b="16510"/>
                      <wp:wrapNone/>
                      <wp:docPr id="139" name="直接连接符 139"/>
                      <wp:cNvGraphicFramePr/>
                      <a:graphic xmlns:a="http://schemas.openxmlformats.org/drawingml/2006/main">
                        <a:graphicData uri="http://schemas.microsoft.com/office/word/2010/wordprocessingShape">
                          <wps:wsp>
                            <wps:cNvCnPr/>
                            <wps:spPr>
                              <a:xfrm>
                                <a:off x="678180" y="4057650"/>
                                <a:ext cx="635635" cy="628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0.65pt;height:49.45pt;width:50.05pt;z-index:251662336;mso-width-relative:page;mso-height-relative:page;" filled="f" stroked="t" coordsize="21600,21600" o:gfxdata="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yHpUXUAAAA&#10;BgEAAA8AAAAAAAAAAQAgAAAAIgAAAGRycy9kb3ducmV2LnhtbFBLAQIUABQAAAAIAIdO4kAKGgh4&#10;6AEAAK0DAAAOAAAAAAAAAAEAIAAAACMBAABkcnMvZTJvRG9jLnhtbFBLBQYAAAAABgAGAFkBAAB9&#10;BQAAAAA=&#10;">
                      <v:fill on="f" focussize="0,0"/>
                      <v:stroke color="#000000 [3213]" joinstyle="round"/>
                      <v:imagedata o:title=""/>
                      <o:lock v:ext="edit" aspectratio="f"/>
                    </v:line>
                  </w:pict>
                </mc:Fallback>
              </mc:AlternateContent>
            </w:r>
            <w:r>
              <w:rPr>
                <w:rFonts w:ascii="Times New Roman" w:hAnsi="Times New Roman"/>
                <w:color w:val="auto"/>
                <w:lang w:val="en-US" w:eastAsia="en-US"/>
              </w:rPr>
              <w:t>参数</w:t>
            </w:r>
          </w:p>
          <w:p w14:paraId="45E33B29">
            <w:pPr>
              <w:pStyle w:val="56"/>
              <w:autoSpaceDE w:val="0"/>
              <w:autoSpaceDN w:val="0"/>
              <w:jc w:val="both"/>
              <w:rPr>
                <w:rFonts w:ascii="Times New Roman" w:hAnsi="Times New Roman"/>
                <w:color w:val="auto"/>
                <w:lang w:val="en-US" w:eastAsia="en-US"/>
              </w:rPr>
            </w:pPr>
            <w:r>
              <w:rPr>
                <w:rFonts w:ascii="Times New Roman" w:hAnsi="Times New Roman"/>
                <w:color w:val="auto"/>
                <w:lang w:val="en-US" w:eastAsia="en-US"/>
              </w:rPr>
              <w:t>温室</w:t>
            </w:r>
          </w:p>
          <w:p w14:paraId="2F4963B8">
            <w:pPr>
              <w:pStyle w:val="56"/>
              <w:autoSpaceDE w:val="0"/>
              <w:autoSpaceDN w:val="0"/>
              <w:jc w:val="both"/>
              <w:rPr>
                <w:rFonts w:ascii="Times New Roman" w:hAnsi="Times New Roman"/>
                <w:color w:val="auto"/>
                <w:lang w:val="en-US" w:eastAsia="en-US"/>
              </w:rPr>
            </w:pPr>
            <w:r>
              <w:rPr>
                <w:rFonts w:ascii="Times New Roman" w:hAnsi="Times New Roman"/>
                <w:color w:val="auto"/>
                <w:lang w:val="en-US" w:eastAsia="en-US"/>
              </w:rPr>
              <w:t>气体</w:t>
            </w:r>
          </w:p>
        </w:tc>
        <w:tc>
          <w:tcPr>
            <w:tcW w:w="1601" w:type="dxa"/>
            <w:tcBorders>
              <w:tl2br w:val="nil"/>
              <w:tr2bl w:val="nil"/>
            </w:tcBorders>
            <w:vAlign w:val="center"/>
          </w:tcPr>
          <w:p w14:paraId="5795865E">
            <w:pPr>
              <w:pStyle w:val="56"/>
              <w:autoSpaceDE w:val="0"/>
              <w:autoSpaceDN w:val="0"/>
              <w:rPr>
                <w:rFonts w:ascii="Times New Roman" w:hAnsi="Times New Roman"/>
                <w:color w:val="auto"/>
                <w:lang w:eastAsia="en-US"/>
              </w:rPr>
            </w:pPr>
            <w:r>
              <w:rPr>
                <w:rFonts w:ascii="Times New Roman" w:hAnsi="Times New Roman"/>
                <w:color w:val="auto"/>
                <w:lang w:val="en-US" w:eastAsia="en-US"/>
              </w:rPr>
              <w:t>EF</w:t>
            </w:r>
            <w:r>
              <w:rPr>
                <w:rFonts w:ascii="Times New Roman" w:hAnsi="Times New Roman"/>
                <w:color w:val="auto"/>
                <w:vertAlign w:val="subscript"/>
                <w:lang w:val="en-US" w:eastAsia="en-US"/>
              </w:rPr>
              <w:t>M-CH4</w:t>
            </w:r>
            <w:r>
              <w:rPr>
                <w:rFonts w:hint="eastAsia"/>
                <w:color w:val="auto"/>
                <w:vertAlign w:val="subscript"/>
                <w:lang w:val="en-US" w:eastAsia="zh-CN"/>
              </w:rPr>
              <w:t xml:space="preserve">, </w:t>
            </w:r>
            <w:r>
              <w:rPr>
                <w:rFonts w:ascii="Times New Roman" w:hAnsi="Times New Roman"/>
                <w:color w:val="auto"/>
                <w:vertAlign w:val="subscript"/>
                <w:lang w:val="en-US" w:eastAsia="en-US"/>
              </w:rPr>
              <w:t>i</w:t>
            </w:r>
          </w:p>
        </w:tc>
        <w:tc>
          <w:tcPr>
            <w:tcW w:w="1480" w:type="dxa"/>
            <w:tcBorders>
              <w:tl2br w:val="nil"/>
              <w:tr2bl w:val="nil"/>
            </w:tcBorders>
            <w:vAlign w:val="center"/>
          </w:tcPr>
          <w:p w14:paraId="0C497E92">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AP</w:t>
            </w:r>
            <w:r>
              <w:rPr>
                <w:rFonts w:ascii="Times New Roman" w:hAnsi="Times New Roman"/>
                <w:color w:val="auto"/>
                <w:vertAlign w:val="subscript"/>
                <w:lang w:val="en-US" w:eastAsia="en-US"/>
              </w:rPr>
              <w:t>i</w:t>
            </w:r>
          </w:p>
        </w:tc>
        <w:tc>
          <w:tcPr>
            <w:tcW w:w="1510" w:type="dxa"/>
            <w:tcBorders>
              <w:tl2br w:val="nil"/>
              <w:tr2bl w:val="nil"/>
            </w:tcBorders>
            <w:vAlign w:val="center"/>
          </w:tcPr>
          <w:p w14:paraId="52FEFAB7">
            <w:pPr>
              <w:pStyle w:val="56"/>
              <w:autoSpaceDE w:val="0"/>
              <w:autoSpaceDN w:val="0"/>
              <w:rPr>
                <w:rFonts w:ascii="Times New Roman" w:hAnsi="Times New Roman"/>
                <w:color w:val="auto"/>
                <w:lang w:eastAsia="en-US"/>
              </w:rPr>
            </w:pPr>
            <w:r>
              <w:rPr>
                <w:rFonts w:ascii="Times New Roman" w:hAnsi="Times New Roman"/>
                <w:color w:val="auto"/>
                <w:lang w:val="en-US" w:eastAsia="en-US"/>
              </w:rPr>
              <w:t>GWP</w:t>
            </w:r>
          </w:p>
        </w:tc>
        <w:tc>
          <w:tcPr>
            <w:tcW w:w="1480" w:type="dxa"/>
            <w:tcBorders>
              <w:tl2br w:val="nil"/>
              <w:tr2bl w:val="nil"/>
            </w:tcBorders>
            <w:vAlign w:val="center"/>
          </w:tcPr>
          <w:p w14:paraId="09E99111">
            <w:pPr>
              <w:pStyle w:val="56"/>
              <w:autoSpaceDE w:val="0"/>
              <w:autoSpaceDN w:val="0"/>
              <w:rPr>
                <w:rFonts w:ascii="Cambria Math" w:hAnsi="Cambria Math"/>
                <w:color w:val="auto"/>
                <w:lang w:val="en-US" w:eastAsia="en-US"/>
                <w:oMath/>
              </w:rPr>
            </w:pPr>
            <w:r>
              <w:rPr>
                <w:rFonts w:ascii="Times New Roman" w:hAnsi="Times New Roman"/>
                <w:color w:val="auto"/>
                <w:lang w:val="en-US" w:eastAsia="en-US"/>
              </w:rPr>
              <w:t>E</w:t>
            </w:r>
            <w:r>
              <w:rPr>
                <w:rFonts w:ascii="Times New Roman" w:hAnsi="Times New Roman"/>
                <w:color w:val="auto"/>
                <w:vertAlign w:val="subscript"/>
                <w:lang w:val="en-US" w:eastAsia="en-US"/>
              </w:rPr>
              <w:t>M-CH4</w:t>
            </w:r>
          </w:p>
        </w:tc>
        <w:tc>
          <w:tcPr>
            <w:tcW w:w="1480" w:type="dxa"/>
            <w:tcBorders>
              <w:tl2br w:val="nil"/>
              <w:tr2bl w:val="nil"/>
            </w:tcBorders>
            <w:vAlign w:val="center"/>
          </w:tcPr>
          <w:p w14:paraId="1408E016">
            <w:pPr>
              <w:pStyle w:val="56"/>
              <w:autoSpaceDE w:val="0"/>
              <w:autoSpaceDN w:val="0"/>
              <w:rPr>
                <w:rFonts w:hint="default" w:ascii="Times New Roman" w:hAnsi="Times New Roman" w:eastAsia="宋体"/>
                <w:color w:val="auto"/>
                <w:lang w:val="en-US" w:eastAsia="zh-CN"/>
              </w:rPr>
            </w:pPr>
            <w:r>
              <w:rPr>
                <w:rFonts w:ascii="Times New Roman" w:hAnsi="Times New Roman" w:cs="Times New Roman"/>
                <w:color w:val="auto"/>
              </w:rPr>
              <w:t>E</w:t>
            </w:r>
            <w:r>
              <w:rPr>
                <w:rFonts w:hint="eastAsia" w:cs="Times New Roman"/>
                <w:color w:val="auto"/>
                <w:lang w:val="en-US" w:eastAsia="zh-CN"/>
              </w:rPr>
              <w:t>co</w:t>
            </w:r>
            <w:r>
              <w:rPr>
                <w:rFonts w:hint="eastAsia" w:cs="Times New Roman"/>
                <w:color w:val="auto"/>
                <w:vertAlign w:val="subscript"/>
                <w:lang w:val="en-US" w:eastAsia="zh-CN"/>
              </w:rPr>
              <w:t>2</w:t>
            </w:r>
          </w:p>
        </w:tc>
      </w:tr>
      <w:tr w14:paraId="170233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1005" w:type="dxa"/>
            <w:vMerge w:val="continue"/>
            <w:tcBorders>
              <w:tl2br w:val="nil"/>
              <w:tr2bl w:val="nil"/>
            </w:tcBorders>
            <w:vAlign w:val="center"/>
          </w:tcPr>
          <w:p w14:paraId="4F9B5FE7">
            <w:pPr>
              <w:pStyle w:val="56"/>
              <w:autoSpaceDE w:val="0"/>
              <w:autoSpaceDN w:val="0"/>
              <w:rPr>
                <w:rFonts w:ascii="Times New Roman" w:hAnsi="Times New Roman"/>
                <w:color w:val="auto"/>
                <w:lang w:eastAsia="en-US"/>
              </w:rPr>
            </w:pPr>
          </w:p>
        </w:tc>
        <w:tc>
          <w:tcPr>
            <w:tcW w:w="1601" w:type="dxa"/>
            <w:tcBorders>
              <w:tl2br w:val="nil"/>
              <w:tr2bl w:val="nil"/>
            </w:tcBorders>
            <w:vAlign w:val="center"/>
          </w:tcPr>
          <w:p w14:paraId="6C06B38E">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kgCH</w:t>
            </w:r>
            <w:r>
              <w:rPr>
                <w:rFonts w:ascii="Times New Roman" w:hAnsi="Times New Roman"/>
                <w:color w:val="auto"/>
                <w:vertAlign w:val="subscript"/>
                <w:lang w:val="en-US" w:eastAsia="en-US"/>
              </w:rPr>
              <w:t>4</w:t>
            </w:r>
            <w:r>
              <w:rPr>
                <w:rFonts w:ascii="Times New Roman" w:hAnsi="Times New Roman"/>
                <w:color w:val="auto"/>
                <w:lang w:val="en-US" w:eastAsia="en-US"/>
              </w:rPr>
              <w:t>/</w:t>
            </w:r>
            <w:r>
              <w:rPr>
                <w:rFonts w:hint="eastAsia" w:ascii="Times New Roman" w:hAnsi="Times New Roman"/>
                <w:color w:val="auto"/>
                <w:lang w:val="en-US" w:eastAsia="zh-CN"/>
              </w:rPr>
              <w:t>只</w:t>
            </w:r>
            <w:r>
              <w:rPr>
                <w:rFonts w:ascii="Times New Roman" w:hAnsi="Times New Roman"/>
                <w:color w:val="auto"/>
                <w:lang w:val="en-US" w:eastAsia="en-US"/>
              </w:rPr>
              <w:t>/a</w:t>
            </w:r>
          </w:p>
        </w:tc>
        <w:tc>
          <w:tcPr>
            <w:tcW w:w="1480" w:type="dxa"/>
            <w:tcBorders>
              <w:tl2br w:val="nil"/>
              <w:tr2bl w:val="nil"/>
            </w:tcBorders>
            <w:vAlign w:val="center"/>
          </w:tcPr>
          <w:p w14:paraId="1EBCC918">
            <w:pPr>
              <w:pStyle w:val="56"/>
              <w:autoSpaceDE w:val="0"/>
              <w:autoSpaceDN w:val="0"/>
              <w:rPr>
                <w:rFonts w:hint="eastAsia" w:ascii="Times New Roman" w:hAnsi="Times New Roman" w:eastAsia="宋体"/>
                <w:color w:val="auto"/>
                <w:lang w:val="en-US" w:eastAsia="zh-CN"/>
              </w:rPr>
            </w:pPr>
            <w:r>
              <w:rPr>
                <w:rFonts w:hint="eastAsia" w:ascii="Times New Roman" w:hAnsi="Times New Roman"/>
                <w:color w:val="auto"/>
                <w:lang w:val="en-US" w:eastAsia="zh-CN"/>
              </w:rPr>
              <w:t>只</w:t>
            </w:r>
          </w:p>
        </w:tc>
        <w:tc>
          <w:tcPr>
            <w:tcW w:w="1510" w:type="dxa"/>
            <w:tcBorders>
              <w:tl2br w:val="nil"/>
              <w:tr2bl w:val="nil"/>
            </w:tcBorders>
            <w:vAlign w:val="center"/>
          </w:tcPr>
          <w:p w14:paraId="450A50B6">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w:t>
            </w:r>
          </w:p>
        </w:tc>
        <w:tc>
          <w:tcPr>
            <w:tcW w:w="1480" w:type="dxa"/>
            <w:tcBorders>
              <w:tl2br w:val="nil"/>
              <w:tr2bl w:val="nil"/>
            </w:tcBorders>
            <w:vAlign w:val="center"/>
          </w:tcPr>
          <w:p w14:paraId="22F39CF9">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t</w:t>
            </w:r>
          </w:p>
        </w:tc>
        <w:tc>
          <w:tcPr>
            <w:tcW w:w="1480" w:type="dxa"/>
            <w:tcBorders>
              <w:tl2br w:val="nil"/>
              <w:tr2bl w:val="nil"/>
            </w:tcBorders>
            <w:vAlign w:val="center"/>
          </w:tcPr>
          <w:p w14:paraId="280E1E2E">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t</w:t>
            </w:r>
          </w:p>
        </w:tc>
      </w:tr>
      <w:tr w14:paraId="51D9DD8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005" w:type="dxa"/>
            <w:tcBorders>
              <w:tl2br w:val="nil"/>
              <w:tr2bl w:val="nil"/>
            </w:tcBorders>
            <w:vAlign w:val="center"/>
          </w:tcPr>
          <w:p w14:paraId="5628F25C">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CH</w:t>
            </w:r>
            <w:r>
              <w:rPr>
                <w:rFonts w:ascii="Times New Roman" w:hAnsi="Times New Roman"/>
                <w:color w:val="auto"/>
                <w:vertAlign w:val="subscript"/>
                <w:lang w:val="en-US" w:eastAsia="en-US"/>
              </w:rPr>
              <w:t>4</w:t>
            </w:r>
          </w:p>
        </w:tc>
        <w:tc>
          <w:tcPr>
            <w:tcW w:w="1601" w:type="dxa"/>
            <w:tcBorders>
              <w:tl2br w:val="nil"/>
              <w:tr2bl w:val="nil"/>
            </w:tcBorders>
            <w:vAlign w:val="center"/>
          </w:tcPr>
          <w:p w14:paraId="5D1471DB">
            <w:pPr>
              <w:pStyle w:val="56"/>
              <w:autoSpaceDE w:val="0"/>
              <w:autoSpaceDN w:val="0"/>
              <w:rPr>
                <w:rFonts w:hint="default" w:ascii="Times New Roman" w:hAnsi="Times New Roman" w:eastAsia="宋体"/>
                <w:color w:val="auto"/>
                <w:lang w:val="en-US" w:eastAsia="zh-CN"/>
              </w:rPr>
            </w:pPr>
            <w:r>
              <w:rPr>
                <w:rFonts w:hint="eastAsia" w:ascii="Times New Roman" w:hAnsi="Times New Roman"/>
                <w:color w:val="auto"/>
                <w:lang w:val="en-US" w:eastAsia="zh-CN"/>
              </w:rPr>
              <w:t>0.01</w:t>
            </w:r>
          </w:p>
        </w:tc>
        <w:tc>
          <w:tcPr>
            <w:tcW w:w="1480" w:type="dxa"/>
            <w:tcBorders>
              <w:tl2br w:val="nil"/>
              <w:tr2bl w:val="nil"/>
            </w:tcBorders>
            <w:vAlign w:val="center"/>
          </w:tcPr>
          <w:p w14:paraId="46971219">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18</w:t>
            </w:r>
            <w:r>
              <w:rPr>
                <w:rFonts w:hint="eastAsia" w:ascii="Times New Roman" w:hAnsi="Times New Roman"/>
                <w:color w:val="auto"/>
                <w:lang w:val="en-US" w:eastAsia="zh-CN"/>
              </w:rPr>
              <w:t>万</w:t>
            </w:r>
          </w:p>
        </w:tc>
        <w:tc>
          <w:tcPr>
            <w:tcW w:w="1510" w:type="dxa"/>
            <w:tcBorders>
              <w:tl2br w:val="nil"/>
              <w:tr2bl w:val="nil"/>
            </w:tcBorders>
            <w:vAlign w:val="center"/>
          </w:tcPr>
          <w:p w14:paraId="697B578D">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34</w:t>
            </w:r>
          </w:p>
        </w:tc>
        <w:tc>
          <w:tcPr>
            <w:tcW w:w="1480" w:type="dxa"/>
            <w:tcBorders>
              <w:tl2br w:val="nil"/>
              <w:tr2bl w:val="nil"/>
            </w:tcBorders>
            <w:vAlign w:val="center"/>
          </w:tcPr>
          <w:p w14:paraId="17636F9C">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61.2</w:t>
            </w:r>
          </w:p>
        </w:tc>
        <w:tc>
          <w:tcPr>
            <w:tcW w:w="1480" w:type="dxa"/>
            <w:tcBorders>
              <w:tl2br w:val="nil"/>
              <w:tr2bl w:val="nil"/>
            </w:tcBorders>
            <w:vAlign w:val="center"/>
          </w:tcPr>
          <w:p w14:paraId="3CC22714">
            <w:pPr>
              <w:pStyle w:val="56"/>
              <w:autoSpaceDE w:val="0"/>
              <w:autoSpaceDN w:val="0"/>
              <w:rPr>
                <w:rFonts w:hint="default"/>
                <w:color w:val="auto"/>
                <w:lang w:val="en-US" w:eastAsia="zh-CN"/>
              </w:rPr>
            </w:pPr>
            <w:r>
              <w:rPr>
                <w:rFonts w:hint="eastAsia"/>
                <w:color w:val="auto"/>
                <w:lang w:val="en-US" w:eastAsia="zh-CN"/>
              </w:rPr>
              <w:t>168.3</w:t>
            </w:r>
          </w:p>
        </w:tc>
      </w:tr>
      <w:tr w14:paraId="36CFA3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005" w:type="dxa"/>
            <w:tcBorders>
              <w:tl2br w:val="nil"/>
              <w:tr2bl w:val="nil"/>
            </w:tcBorders>
            <w:vAlign w:val="center"/>
          </w:tcPr>
          <w:p w14:paraId="5BF74797">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合计</w:t>
            </w:r>
          </w:p>
        </w:tc>
        <w:tc>
          <w:tcPr>
            <w:tcW w:w="1601" w:type="dxa"/>
            <w:tcBorders>
              <w:tl2br w:val="nil"/>
              <w:tr2bl w:val="nil"/>
            </w:tcBorders>
            <w:vAlign w:val="center"/>
          </w:tcPr>
          <w:p w14:paraId="13498ABC">
            <w:pPr>
              <w:pStyle w:val="56"/>
              <w:autoSpaceDE w:val="0"/>
              <w:autoSpaceDN w:val="0"/>
              <w:rPr>
                <w:rFonts w:ascii="Times New Roman" w:hAnsi="Times New Roman"/>
                <w:color w:val="auto"/>
                <w:lang w:val="en-US" w:eastAsia="en-US"/>
              </w:rPr>
            </w:pPr>
          </w:p>
        </w:tc>
        <w:tc>
          <w:tcPr>
            <w:tcW w:w="1480" w:type="dxa"/>
            <w:tcBorders>
              <w:tl2br w:val="nil"/>
              <w:tr2bl w:val="nil"/>
            </w:tcBorders>
            <w:vAlign w:val="center"/>
          </w:tcPr>
          <w:p w14:paraId="4DB9296C">
            <w:pPr>
              <w:pStyle w:val="56"/>
              <w:autoSpaceDE w:val="0"/>
              <w:autoSpaceDN w:val="0"/>
              <w:rPr>
                <w:rFonts w:ascii="Times New Roman" w:hAnsi="Times New Roman"/>
                <w:color w:val="auto"/>
                <w:lang w:val="en-US" w:eastAsia="en-US"/>
              </w:rPr>
            </w:pPr>
          </w:p>
        </w:tc>
        <w:tc>
          <w:tcPr>
            <w:tcW w:w="1510" w:type="dxa"/>
            <w:tcBorders>
              <w:tl2br w:val="nil"/>
              <w:tr2bl w:val="nil"/>
            </w:tcBorders>
            <w:vAlign w:val="center"/>
          </w:tcPr>
          <w:p w14:paraId="26263BF5">
            <w:pPr>
              <w:pStyle w:val="56"/>
              <w:autoSpaceDE w:val="0"/>
              <w:autoSpaceDN w:val="0"/>
              <w:rPr>
                <w:rFonts w:ascii="Times New Roman" w:hAnsi="Times New Roman"/>
                <w:color w:val="auto"/>
                <w:lang w:val="en-US" w:eastAsia="en-US"/>
              </w:rPr>
            </w:pPr>
          </w:p>
        </w:tc>
        <w:tc>
          <w:tcPr>
            <w:tcW w:w="1480" w:type="dxa"/>
            <w:tcBorders>
              <w:tl2br w:val="nil"/>
              <w:tr2bl w:val="nil"/>
            </w:tcBorders>
            <w:vAlign w:val="center"/>
          </w:tcPr>
          <w:p w14:paraId="21E18943">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61.2</w:t>
            </w:r>
          </w:p>
        </w:tc>
        <w:tc>
          <w:tcPr>
            <w:tcW w:w="1480" w:type="dxa"/>
            <w:tcBorders>
              <w:tl2br w:val="nil"/>
              <w:tr2bl w:val="nil"/>
            </w:tcBorders>
            <w:vAlign w:val="center"/>
          </w:tcPr>
          <w:p w14:paraId="5455E4E6">
            <w:pPr>
              <w:pStyle w:val="56"/>
              <w:autoSpaceDE w:val="0"/>
              <w:autoSpaceDN w:val="0"/>
              <w:rPr>
                <w:rFonts w:hint="default"/>
                <w:color w:val="auto"/>
                <w:lang w:val="en-US" w:eastAsia="zh-CN"/>
              </w:rPr>
            </w:pPr>
            <w:r>
              <w:rPr>
                <w:rFonts w:hint="eastAsia"/>
                <w:color w:val="auto"/>
                <w:lang w:val="en-US" w:eastAsia="zh-CN"/>
              </w:rPr>
              <w:t>168.3</w:t>
            </w:r>
          </w:p>
        </w:tc>
      </w:tr>
    </w:tbl>
    <w:p w14:paraId="763F2C97">
      <w:pPr>
        <w:ind w:firstLine="480"/>
        <w:rPr>
          <w:rFonts w:hint="default" w:ascii="Times New Roman" w:hAnsi="Times New Roman" w:cs="Times New Roman" w:eastAsiaTheme="minorEastAsia"/>
          <w:color w:val="auto"/>
          <w:lang w:val="en-US" w:eastAsia="zh-CN"/>
        </w:rPr>
      </w:pPr>
      <w:r>
        <w:rPr>
          <w:rFonts w:hint="eastAsia" w:cs="Times New Roman"/>
          <w:color w:val="auto"/>
          <w:lang w:val="en-US" w:eastAsia="zh-CN"/>
        </w:rPr>
        <w:t>即本项目养殖鸭年排放甲烷61.2t，等效形成碳排放168.3t/a。</w:t>
      </w:r>
    </w:p>
    <w:p w14:paraId="21099D4A">
      <w:pPr>
        <w:ind w:firstLine="480"/>
        <w:rPr>
          <w:rFonts w:ascii="Times New Roman" w:hAnsi="Times New Roman" w:cs="Times New Roman"/>
          <w:color w:val="auto"/>
        </w:rPr>
      </w:pPr>
      <w:r>
        <w:rPr>
          <w:rFonts w:ascii="Times New Roman" w:hAnsi="Times New Roman" w:cs="Times New Roman"/>
          <w:color w:val="auto"/>
        </w:rPr>
        <w:fldChar w:fldCharType="begin"/>
      </w:r>
      <w:r>
        <w:rPr>
          <w:rFonts w:cs="Times New Roman"/>
          <w:color w:val="auto"/>
        </w:rPr>
        <w:instrText xml:space="preserve"> = 2 \* GB3 \* MERGEFORMAT </w:instrText>
      </w:r>
      <w:r>
        <w:rPr>
          <w:rFonts w:ascii="Times New Roman" w:hAnsi="Times New Roman" w:cs="Times New Roman"/>
          <w:color w:val="auto"/>
        </w:rPr>
        <w:fldChar w:fldCharType="separate"/>
      </w:r>
      <w:r>
        <w:rPr>
          <w:rFonts w:hint="eastAsia" w:ascii="Times New Roman" w:hAnsi="Times New Roman" w:eastAsia="宋体" w:cs="宋体"/>
          <w:color w:val="auto"/>
        </w:rPr>
        <w:t>②</w:t>
      </w:r>
      <w:r>
        <w:rPr>
          <w:rFonts w:ascii="Times New Roman" w:hAnsi="Times New Roman" w:cs="Times New Roman"/>
          <w:color w:val="auto"/>
        </w:rPr>
        <w:fldChar w:fldCharType="end"/>
      </w:r>
      <w:r>
        <w:rPr>
          <w:rFonts w:ascii="Times New Roman" w:hAnsi="Times New Roman" w:cs="Times New Roman"/>
          <w:color w:val="auto"/>
        </w:rPr>
        <w:t>动物粪便管理氧化亚氮排放包括粪便管理过</w:t>
      </w:r>
      <w:r>
        <w:rPr>
          <w:rFonts w:hint="eastAsia" w:cs="Times New Roman"/>
          <w:color w:val="auto"/>
          <w:lang w:eastAsia="zh-CN"/>
        </w:rPr>
        <w:t>程中</w:t>
      </w:r>
      <w:r>
        <w:rPr>
          <w:rFonts w:ascii="Times New Roman" w:hAnsi="Times New Roman" w:cs="Times New Roman"/>
          <w:color w:val="auto"/>
        </w:rPr>
        <w:t>产生的氧化亚氮直接排放和间接排放两部分，按以下公式计算：</w:t>
      </w:r>
    </w:p>
    <w:p w14:paraId="50F9FFF4">
      <w:pPr>
        <w:ind w:firstLine="0" w:firstLineChars="0"/>
        <w:jc w:val="center"/>
        <w:rPr>
          <w:rFonts w:ascii="Times New Roman" w:hAnsi="Times New Roman" w:cs="Times New Roman"/>
          <w:color w:val="auto"/>
        </w:rPr>
      </w:pPr>
      <w:r>
        <w:rPr>
          <w:rFonts w:cs="Times New Roman"/>
          <w:color w:val="auto"/>
          <w:position w:val="-6"/>
        </w:rPr>
        <w:object>
          <v:shape id="_x0000_i1035" o:spt="75" type="#_x0000_t75" style="height:21.05pt;width:237.05pt;" o:ole="t" filled="f" o:preferrelative="t" stroked="f" coordsize="21600,21600">
            <v:path/>
            <v:fill on="f" focussize="0,0"/>
            <v:stroke on="f" joinstyle="miter"/>
            <v:imagedata r:id="rId61" o:title=""/>
            <o:lock v:ext="edit" aspectratio="t"/>
            <w10:wrap type="none"/>
            <w10:anchorlock/>
          </v:shape>
          <o:OLEObject Type="Embed" ProgID="Equation.KSEE3" ShapeID="_x0000_i1035" DrawAspect="Content" ObjectID="_1468075735" r:id="rId60">
            <o:LockedField>false</o:LockedField>
          </o:OLEObject>
        </w:object>
      </w:r>
    </w:p>
    <w:p w14:paraId="069C5020">
      <w:pPr>
        <w:ind w:firstLine="480"/>
        <w:rPr>
          <w:rFonts w:ascii="Times New Roman" w:hAnsi="Times New Roman" w:cs="Times New Roman"/>
          <w:color w:val="auto"/>
        </w:rPr>
      </w:pPr>
      <w:r>
        <w:rPr>
          <w:rFonts w:ascii="Times New Roman" w:hAnsi="Times New Roman" w:cs="Times New Roman"/>
          <w:color w:val="auto"/>
        </w:rPr>
        <w:t>式中：</w:t>
      </w:r>
    </w:p>
    <w:p w14:paraId="6F59D235">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——动物粪便管理氧化亚氮排放量（t）；</w:t>
      </w:r>
    </w:p>
    <w:p w14:paraId="6D2D29A7">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M−D−</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——动物粪便管理氧化亚氮直接排放量（t）；</w:t>
      </w:r>
    </w:p>
    <w:p w14:paraId="1B434223">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M−I−</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——动物粪便管理氧化亚氮间接排放量（t）。</w:t>
      </w:r>
    </w:p>
    <w:p w14:paraId="5852D5AD">
      <w:pPr>
        <w:ind w:firstLine="480"/>
        <w:rPr>
          <w:rFonts w:ascii="Times New Roman" w:hAnsi="Times New Roman" w:cs="Times New Roman"/>
          <w:color w:val="auto"/>
        </w:rPr>
      </w:pPr>
      <w:r>
        <w:rPr>
          <w:rFonts w:ascii="Times New Roman" w:hAnsi="Times New Roman" w:cs="Times New Roman"/>
          <w:color w:val="auto"/>
        </w:rPr>
        <w:t>a.动物粪便管理氧化亚氮直接排放量</w:t>
      </w: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M−D−</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按以下公式计算：</w:t>
      </w:r>
    </w:p>
    <w:p w14:paraId="678AF2FA">
      <w:pPr>
        <w:ind w:firstLine="0" w:firstLineChars="0"/>
        <w:jc w:val="center"/>
        <w:rPr>
          <w:rFonts w:ascii="Times New Roman" w:hAnsi="Times New Roman" w:cs="Times New Roman"/>
          <w:color w:val="auto"/>
        </w:rPr>
      </w:pPr>
      <w:r>
        <w:rPr>
          <w:rFonts w:cs="Times New Roman"/>
          <w:color w:val="auto"/>
          <w:position w:val="-14"/>
        </w:rPr>
        <w:object>
          <v:shape id="_x0000_i1036" o:spt="75" type="#_x0000_t75" style="height:28.55pt;width:253.35pt;" o:ole="t" filled="f" o:preferrelative="t" stroked="f" coordsize="21600,21600">
            <v:path/>
            <v:fill on="f" focussize="0,0"/>
            <v:stroke on="f" joinstyle="miter"/>
            <v:imagedata r:id="rId63" o:title=""/>
            <o:lock v:ext="edit" aspectratio="t"/>
            <w10:wrap type="none"/>
            <w10:anchorlock/>
          </v:shape>
          <o:OLEObject Type="Embed" ProgID="Equation.KSEE3" ShapeID="_x0000_i1036" DrawAspect="Content" ObjectID="_1468075736" r:id="rId62">
            <o:LockedField>false</o:LockedField>
          </o:OLEObject>
        </w:object>
      </w:r>
    </w:p>
    <w:p w14:paraId="5E619810">
      <w:pPr>
        <w:ind w:firstLine="480"/>
        <w:rPr>
          <w:rFonts w:ascii="Times New Roman" w:hAnsi="Times New Roman" w:cs="Times New Roman"/>
          <w:color w:val="auto"/>
        </w:rPr>
      </w:pPr>
      <w:r>
        <w:rPr>
          <w:rFonts w:ascii="Times New Roman" w:hAnsi="Times New Roman" w:cs="Times New Roman"/>
          <w:color w:val="auto"/>
        </w:rPr>
        <w:t>式中：</w:t>
      </w:r>
    </w:p>
    <w:p w14:paraId="660D1B30">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M−D−</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——动物粪便管理氧化亚氮直接排放量（t）；</w:t>
      </w:r>
    </w:p>
    <w:p w14:paraId="16194C00">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——第i种动物粪便管理氧化亚氮直接排放量（t）；</w:t>
      </w:r>
    </w:p>
    <w:p w14:paraId="4FF43A97">
      <w:pPr>
        <w:ind w:firstLine="480"/>
        <w:rPr>
          <w:rFonts w:ascii="Times New Roman" w:hAnsi="Times New Roman" w:cs="Times New Roman"/>
          <w:color w:val="auto"/>
        </w:rPr>
      </w:pPr>
      <w:r>
        <w:rPr>
          <w:rFonts w:ascii="Times New Roman" w:hAnsi="Times New Roman" w:cs="Times New Roman"/>
          <w:color w:val="auto"/>
        </w:rPr>
        <w:t>GWP——氧化亚氮的全球变暖潜势值。根据附录A，IPCC第五次评估报告氧化亚氮的全球变暖潜势值取265。</w:t>
      </w:r>
    </w:p>
    <w:p w14:paraId="612FD509">
      <w:pPr>
        <w:ind w:firstLine="480"/>
        <w:rPr>
          <w:rFonts w:ascii="Times New Roman" w:hAnsi="Times New Roman" w:cs="Times New Roman"/>
          <w:color w:val="auto"/>
        </w:rPr>
      </w:pPr>
      <w:r>
        <w:rPr>
          <w:rFonts w:ascii="Times New Roman" w:hAnsi="Times New Roman" w:cs="Times New Roman"/>
          <w:color w:val="auto"/>
        </w:rPr>
        <w:t>第i种动物粪便管理氧化亚氮直接排放量</w:t>
      </w: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按以下公式计算：</w:t>
      </w:r>
    </w:p>
    <w:p w14:paraId="4CF07BC8">
      <w:pPr>
        <w:ind w:firstLine="0" w:firstLineChars="0"/>
        <w:jc w:val="center"/>
        <w:rPr>
          <w:rFonts w:ascii="Times New Roman" w:hAnsi="Times New Roman" w:cs="Times New Roman"/>
          <w:color w:val="auto"/>
        </w:rPr>
      </w:pPr>
      <w:r>
        <w:rPr>
          <w:rFonts w:cs="Times New Roman"/>
          <w:color w:val="auto"/>
          <w:position w:val="-6"/>
        </w:rPr>
        <w:object>
          <v:shape id="_x0000_i1037" o:spt="75" type="#_x0000_t75" style="height:23.1pt;width:264.9pt;" o:ole="t" filled="f" o:preferrelative="t" stroked="f" coordsize="21600,21600">
            <v:path/>
            <v:fill on="f" focussize="0,0"/>
            <v:stroke on="f" joinstyle="miter"/>
            <v:imagedata r:id="rId65" o:title=""/>
            <o:lock v:ext="edit" aspectratio="t"/>
            <w10:wrap type="none"/>
            <w10:anchorlock/>
          </v:shape>
          <o:OLEObject Type="Embed" ProgID="Equation.KSEE3" ShapeID="_x0000_i1037" DrawAspect="Content" ObjectID="_1468075737" r:id="rId64">
            <o:LockedField>false</o:LockedField>
          </o:OLEObject>
        </w:object>
      </w:r>
    </w:p>
    <w:p w14:paraId="5014EDF8">
      <w:pPr>
        <w:ind w:firstLine="480"/>
        <w:rPr>
          <w:rFonts w:ascii="Times New Roman" w:hAnsi="Times New Roman" w:cs="Times New Roman"/>
          <w:color w:val="auto"/>
        </w:rPr>
      </w:pPr>
      <w:r>
        <w:rPr>
          <w:rFonts w:ascii="Times New Roman" w:hAnsi="Times New Roman" w:cs="Times New Roman"/>
          <w:color w:val="auto"/>
        </w:rPr>
        <w:t>式中：</w:t>
      </w:r>
    </w:p>
    <w:p w14:paraId="0E92DFAB">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m:t>
            </m:r>
            <m:sSub>
              <m:sSubPr>
                <m:ctrlPr>
                  <w:rPr>
                    <w:rFonts w:ascii="Cambria Math" w:hAnsi="Cambria Math" w:cs="Times New Roman"/>
                    <w:color w:val="auto"/>
                  </w:rPr>
                </m:ctrlPr>
              </m:sSubPr>
              <m:e>
                <m:r>
                  <m:rPr>
                    <m:sty m:val="p"/>
                  </m:rPr>
                  <w:rPr>
                    <w:rFonts w:ascii="Cambria Math" w:hAnsi="Cambria Math" w:cs="Times New Roman"/>
                    <w:color w:val="auto"/>
                  </w:rPr>
                  <m:t>D−N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——第i种动物粪便管理氧化亚氮直接排放量（t）；</w:t>
      </w:r>
    </w:p>
    <w:p w14:paraId="2AA34D23">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EF</m:t>
            </m:r>
            <m:ctrlPr>
              <w:rPr>
                <w:rFonts w:ascii="Cambria Math" w:hAnsi="Cambria Math" w:cs="Times New Roman"/>
                <w:color w:val="auto"/>
              </w:rPr>
            </m:ctrlPr>
          </m:e>
          <m:sub>
            <m:r>
              <m:rPr>
                <m:sty m:val="p"/>
              </m:rPr>
              <w:rPr>
                <w:rFonts w:ascii="Cambria Math" w:hAnsi="Cambria Math" w:cs="Times New Roman"/>
                <w:color w:val="auto"/>
              </w:rPr>
              <m:t>M−</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——第i种动物粪便管理氧化亚氮排放因子（kgN</w:t>
      </w:r>
      <w:r>
        <w:rPr>
          <w:rFonts w:ascii="Times New Roman" w:hAnsi="Times New Roman" w:cs="Times New Roman"/>
          <w:color w:val="auto"/>
          <w:vertAlign w:val="subscript"/>
        </w:rPr>
        <w:t>2</w:t>
      </w:r>
      <w:r>
        <w:rPr>
          <w:rFonts w:ascii="Times New Roman" w:hAnsi="Times New Roman" w:cs="Times New Roman"/>
          <w:color w:val="auto"/>
        </w:rPr>
        <w:t>O/</w:t>
      </w:r>
      <w:r>
        <w:rPr>
          <w:rFonts w:hint="eastAsia" w:ascii="Times New Roman" w:hAnsi="Times New Roman" w:cs="Times New Roman"/>
          <w:color w:val="auto"/>
          <w:lang w:val="en-US" w:eastAsia="zh-CN"/>
        </w:rPr>
        <w:t>只</w:t>
      </w:r>
      <w:r>
        <w:rPr>
          <w:rFonts w:ascii="Times New Roman" w:hAnsi="Times New Roman" w:cs="Times New Roman"/>
          <w:color w:val="auto"/>
        </w:rPr>
        <w:t>/a）；根据附录B，</w:t>
      </w:r>
      <w:r>
        <w:rPr>
          <w:rFonts w:hint="eastAsia" w:ascii="Times New Roman" w:hAnsi="Times New Roman" w:cs="Times New Roman"/>
          <w:color w:val="auto"/>
          <w:lang w:eastAsia="zh-CN"/>
        </w:rPr>
        <w:t>种鸭</w:t>
      </w:r>
      <w:r>
        <w:rPr>
          <w:rFonts w:ascii="Times New Roman" w:hAnsi="Times New Roman" w:cs="Times New Roman"/>
          <w:color w:val="auto"/>
        </w:rPr>
        <w:t>的粪便管理氧化亚氮直接排放因子缺省值，</w:t>
      </w:r>
      <m:oMath>
        <m:sSub>
          <m:sSubPr>
            <m:ctrlPr>
              <w:rPr>
                <w:rFonts w:ascii="Cambria Math" w:hAnsi="Cambria Math" w:cs="Times New Roman"/>
                <w:color w:val="auto"/>
              </w:rPr>
            </m:ctrlPr>
          </m:sSubPr>
          <m:e>
            <m:r>
              <m:rPr>
                <m:sty m:val="p"/>
              </m:rPr>
              <w:rPr>
                <w:rFonts w:ascii="Cambria Math" w:hAnsi="Cambria Math" w:cs="Times New Roman"/>
                <w:color w:val="auto"/>
              </w:rPr>
              <m:t>EF</m:t>
            </m:r>
            <m:ctrlPr>
              <w:rPr>
                <w:rFonts w:ascii="Cambria Math" w:hAnsi="Cambria Math" w:cs="Times New Roman"/>
                <w:color w:val="auto"/>
              </w:rPr>
            </m:ctrlPr>
          </m:e>
          <m:sub>
            <m:r>
              <m:rPr>
                <m:sty m:val="p"/>
              </m:rPr>
              <w:rPr>
                <w:rFonts w:ascii="Cambria Math" w:hAnsi="Cambria Math" w:cs="Times New Roman"/>
                <w:color w:val="auto"/>
              </w:rPr>
              <m:t>M−</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取值为</w:t>
      </w:r>
      <w:r>
        <w:rPr>
          <w:rFonts w:hint="eastAsia" w:ascii="Times New Roman" w:hAnsi="Times New Roman" w:cs="Times New Roman"/>
          <w:color w:val="auto"/>
          <w:lang w:val="en-US" w:eastAsia="zh-CN"/>
        </w:rPr>
        <w:t>0.02</w:t>
      </w:r>
      <w:r>
        <w:rPr>
          <w:rFonts w:ascii="Times New Roman" w:hAnsi="Times New Roman" w:cs="Times New Roman"/>
          <w:color w:val="auto"/>
        </w:rPr>
        <w:t>kgN</w:t>
      </w:r>
      <w:r>
        <w:rPr>
          <w:rFonts w:ascii="Times New Roman" w:hAnsi="Times New Roman" w:cs="Times New Roman"/>
          <w:color w:val="auto"/>
          <w:vertAlign w:val="subscript"/>
        </w:rPr>
        <w:t>2</w:t>
      </w:r>
      <w:r>
        <w:rPr>
          <w:rFonts w:ascii="Times New Roman" w:hAnsi="Times New Roman" w:cs="Times New Roman"/>
          <w:color w:val="auto"/>
        </w:rPr>
        <w:t>O/</w:t>
      </w:r>
      <w:r>
        <w:rPr>
          <w:rFonts w:hint="eastAsia" w:ascii="Times New Roman" w:hAnsi="Times New Roman" w:cs="Times New Roman"/>
          <w:color w:val="auto"/>
          <w:lang w:val="en-US" w:eastAsia="zh-CN"/>
        </w:rPr>
        <w:t>只</w:t>
      </w:r>
      <w:r>
        <w:rPr>
          <w:rFonts w:ascii="Times New Roman" w:hAnsi="Times New Roman" w:cs="Times New Roman"/>
          <w:color w:val="auto"/>
        </w:rPr>
        <w:t>/a；</w:t>
      </w:r>
    </w:p>
    <w:p w14:paraId="0DFEB308">
      <w:pPr>
        <w:ind w:firstLine="480"/>
        <w:rPr>
          <w:rFonts w:ascii="Times New Roman" w:hAnsi="Times New Roman" w:cs="Times New Roman"/>
          <w:color w:val="auto"/>
        </w:rPr>
      </w:pPr>
      <w:r>
        <w:rPr>
          <w:rFonts w:ascii="Times New Roman" w:hAnsi="Times New Roman" w:cs="Times New Roman"/>
          <w:color w:val="auto"/>
        </w:rPr>
        <w:t>APi——第i种动物的存栏数（</w:t>
      </w:r>
      <w:r>
        <w:rPr>
          <w:rFonts w:hint="eastAsia" w:ascii="Times New Roman" w:hAnsi="Times New Roman" w:cs="Times New Roman"/>
          <w:color w:val="auto"/>
          <w:lang w:val="en-US" w:eastAsia="zh-CN"/>
        </w:rPr>
        <w:t>只</w:t>
      </w:r>
      <w:r>
        <w:rPr>
          <w:rFonts w:ascii="Times New Roman" w:hAnsi="Times New Roman" w:cs="Times New Roman"/>
          <w:color w:val="auto"/>
        </w:rPr>
        <w:t>）。</w:t>
      </w:r>
    </w:p>
    <w:p w14:paraId="00845271">
      <w:pPr>
        <w:ind w:firstLine="480"/>
        <w:rPr>
          <w:rFonts w:ascii="Times New Roman" w:hAnsi="Times New Roman" w:cs="Times New Roman"/>
          <w:color w:val="auto"/>
        </w:rPr>
      </w:pPr>
      <w:r>
        <w:rPr>
          <w:rFonts w:ascii="Times New Roman" w:hAnsi="Times New Roman" w:cs="Times New Roman"/>
          <w:color w:val="auto"/>
        </w:rPr>
        <w:t>b.动物粪便管理氧化亚氮间接排放量</w:t>
      </w: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M−I−</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按以下公式计算：</w:t>
      </w:r>
    </w:p>
    <w:p w14:paraId="7A051BD4">
      <w:pPr>
        <w:ind w:firstLine="0" w:firstLineChars="0"/>
        <w:jc w:val="center"/>
        <w:rPr>
          <w:rFonts w:ascii="Times New Roman" w:hAnsi="Times New Roman" w:cs="Times New Roman"/>
          <w:color w:val="auto"/>
        </w:rPr>
      </w:pPr>
      <w:r>
        <w:rPr>
          <w:rFonts w:cs="Times New Roman"/>
          <w:color w:val="auto"/>
          <w:position w:val="-14"/>
        </w:rPr>
        <w:object>
          <v:shape id="_x0000_i1038" o:spt="75" type="#_x0000_t75" style="height:28.55pt;width:245.9pt;" o:ole="t" filled="f" o:preferrelative="t" stroked="f" coordsize="21600,21600">
            <v:path/>
            <v:fill on="f" focussize="0,0"/>
            <v:stroke on="f" joinstyle="miter"/>
            <v:imagedata r:id="rId67" o:title=""/>
            <o:lock v:ext="edit" aspectratio="t"/>
            <w10:wrap type="none"/>
            <w10:anchorlock/>
          </v:shape>
          <o:OLEObject Type="Embed" ProgID="Equation.KSEE3" ShapeID="_x0000_i1038" DrawAspect="Content" ObjectID="_1468075738" r:id="rId66">
            <o:LockedField>false</o:LockedField>
          </o:OLEObject>
        </w:object>
      </w:r>
    </w:p>
    <w:p w14:paraId="4A91B94E">
      <w:pPr>
        <w:ind w:firstLine="480"/>
        <w:rPr>
          <w:rFonts w:ascii="Times New Roman" w:hAnsi="Times New Roman" w:cs="Times New Roman"/>
          <w:color w:val="auto"/>
        </w:rPr>
      </w:pPr>
      <w:r>
        <w:rPr>
          <w:rFonts w:ascii="Times New Roman" w:hAnsi="Times New Roman" w:cs="Times New Roman"/>
          <w:color w:val="auto"/>
        </w:rPr>
        <w:t>式中：</w:t>
      </w:r>
    </w:p>
    <w:p w14:paraId="0018C929">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M−I−</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——动物粪便管理氧化亚氮间接排放量（t）；</w:t>
      </w:r>
    </w:p>
    <w:p w14:paraId="5AA74CBA">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M−I−</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——第i种动物粪便管理氧化亚氮间接排放量（t）；</w:t>
      </w:r>
    </w:p>
    <w:p w14:paraId="2C95E4E5">
      <w:pPr>
        <w:ind w:firstLine="480"/>
        <w:rPr>
          <w:rFonts w:ascii="Times New Roman" w:hAnsi="Times New Roman" w:cs="Times New Roman"/>
          <w:color w:val="auto"/>
        </w:rPr>
      </w:pPr>
      <w:r>
        <w:rPr>
          <w:rFonts w:ascii="Times New Roman" w:hAnsi="Times New Roman" w:cs="Times New Roman"/>
          <w:color w:val="auto"/>
        </w:rPr>
        <w:t>GWP——氧化亚氮的全球变暖潜势值。根据附录A，IPCC第五次评估报告氧化亚氮的全球变暖潜势值取265。</w:t>
      </w:r>
    </w:p>
    <w:p w14:paraId="3DC0BEF0">
      <w:pPr>
        <w:ind w:firstLine="480"/>
        <w:rPr>
          <w:rFonts w:ascii="Times New Roman" w:hAnsi="Times New Roman" w:cs="Times New Roman"/>
          <w:color w:val="auto"/>
        </w:rPr>
      </w:pPr>
      <w:r>
        <w:rPr>
          <w:rFonts w:ascii="Times New Roman" w:hAnsi="Times New Roman" w:cs="Times New Roman"/>
          <w:color w:val="auto"/>
        </w:rPr>
        <w:t>第i种动物粪便管理氧化亚氮间接排放量</w:t>
      </w: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M−I−</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按以下公式计算：</w:t>
      </w:r>
    </w:p>
    <w:p w14:paraId="6BE3E926">
      <w:pPr>
        <w:ind w:firstLine="0" w:firstLineChars="0"/>
        <w:jc w:val="center"/>
        <w:rPr>
          <w:rFonts w:ascii="Times New Roman" w:hAnsi="Times New Roman" w:cs="Times New Roman"/>
          <w:color w:val="auto"/>
        </w:rPr>
      </w:pPr>
      <w:r>
        <w:rPr>
          <w:rFonts w:cs="Times New Roman"/>
          <w:color w:val="auto"/>
          <w:position w:val="-24"/>
        </w:rPr>
        <w:object>
          <v:shape id="_x0000_i1039" o:spt="75" type="#_x0000_t75" style="height:44.15pt;width:296.85pt;" o:ole="t" filled="f" o:preferrelative="t" stroked="f" coordsize="21600,21600">
            <v:path/>
            <v:fill on="f" focussize="0,0"/>
            <v:stroke on="f" joinstyle="miter"/>
            <v:imagedata r:id="rId69" o:title=""/>
            <o:lock v:ext="edit" aspectratio="t"/>
            <w10:wrap type="none"/>
            <w10:anchorlock/>
          </v:shape>
          <o:OLEObject Type="Embed" ProgID="Equation.KSEE3" ShapeID="_x0000_i1039" DrawAspect="Content" ObjectID="_1468075739" r:id="rId68">
            <o:LockedField>false</o:LockedField>
          </o:OLEObject>
        </w:object>
      </w:r>
    </w:p>
    <w:p w14:paraId="5A130570">
      <w:pPr>
        <w:ind w:firstLine="480"/>
        <w:rPr>
          <w:rFonts w:ascii="Times New Roman" w:hAnsi="Times New Roman" w:cs="Times New Roman"/>
          <w:color w:val="auto"/>
        </w:rPr>
      </w:pPr>
      <w:r>
        <w:rPr>
          <w:rFonts w:ascii="Times New Roman" w:hAnsi="Times New Roman" w:cs="Times New Roman"/>
          <w:color w:val="auto"/>
        </w:rPr>
        <w:t>式中：</w:t>
      </w:r>
    </w:p>
    <w:p w14:paraId="7F99BE67">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M−I−</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O,i</m:t>
            </m:r>
            <m:ctrlPr>
              <w:rPr>
                <w:rFonts w:ascii="Cambria Math" w:hAnsi="Cambria Math" w:cs="Times New Roman"/>
                <w:color w:val="auto"/>
              </w:rPr>
            </m:ctrlPr>
          </m:sub>
        </m:sSub>
      </m:oMath>
      <w:r>
        <w:rPr>
          <w:rFonts w:ascii="Times New Roman" w:hAnsi="Times New Roman" w:cs="Times New Roman"/>
          <w:color w:val="auto"/>
        </w:rPr>
        <w:t>——第i种动物粪便管理氧化亚氮间接排放量（t）；</w:t>
      </w:r>
    </w:p>
    <w:p w14:paraId="25E2C8EC">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EF</m:t>
            </m:r>
            <m:ctrlPr>
              <w:rPr>
                <w:rFonts w:ascii="Cambria Math" w:hAnsi="Cambria Math" w:cs="Times New Roman"/>
                <w:color w:val="auto"/>
              </w:rPr>
            </m:ctrlPr>
          </m:e>
          <m:sub>
            <m:r>
              <m:rPr>
                <m:sty m:val="p"/>
              </m:rPr>
              <w:rPr>
                <w:rFonts w:ascii="Cambria Math" w:hAnsi="Cambria Math" w:cs="Times New Roman"/>
                <w:color w:val="auto"/>
              </w:rPr>
              <m:t>4</m:t>
            </m:r>
            <m:ctrlPr>
              <w:rPr>
                <w:rFonts w:ascii="Cambria Math" w:hAnsi="Cambria Math" w:cs="Times New Roman"/>
                <w:color w:val="auto"/>
              </w:rPr>
            </m:ctrlPr>
          </m:sub>
        </m:sSub>
      </m:oMath>
      <w:r>
        <w:rPr>
          <w:rFonts w:ascii="Times New Roman" w:hAnsi="Times New Roman" w:cs="Times New Roman"/>
          <w:color w:val="auto"/>
        </w:rPr>
        <w:t>——土壤和水面大气氮沉积中产生的N</w:t>
      </w:r>
      <w:r>
        <w:rPr>
          <w:rFonts w:ascii="Times New Roman" w:hAnsi="Times New Roman" w:cs="Times New Roman"/>
          <w:color w:val="auto"/>
          <w:vertAlign w:val="subscript"/>
        </w:rPr>
        <w:t>2</w:t>
      </w:r>
      <w:r>
        <w:rPr>
          <w:rFonts w:ascii="Times New Roman" w:hAnsi="Times New Roman" w:cs="Times New Roman"/>
          <w:color w:val="auto"/>
        </w:rPr>
        <w:t>O排放的排放因子，缺省值为</w:t>
      </w:r>
      <w:r>
        <w:rPr>
          <w:rFonts w:hint="eastAsia" w:ascii="Times New Roman" w:hAnsi="Times New Roman" w:cs="Times New Roman"/>
          <w:color w:val="auto"/>
          <w:lang w:val="en-US" w:eastAsia="zh-CN"/>
        </w:rPr>
        <w:t>0.01</w:t>
      </w:r>
      <w:r>
        <w:rPr>
          <w:rFonts w:ascii="Times New Roman" w:hAnsi="Times New Roman" w:cs="Times New Roman"/>
          <w:color w:val="auto"/>
        </w:rPr>
        <w:t>kgN</w:t>
      </w:r>
      <w:r>
        <w:rPr>
          <w:rFonts w:ascii="Times New Roman" w:hAnsi="Times New Roman" w:cs="Times New Roman"/>
          <w:color w:val="auto"/>
          <w:vertAlign w:val="subscript"/>
        </w:rPr>
        <w:t>2</w:t>
      </w:r>
      <w:r>
        <w:rPr>
          <w:rFonts w:ascii="Times New Roman" w:hAnsi="Times New Roman" w:cs="Times New Roman"/>
          <w:color w:val="auto"/>
        </w:rPr>
        <w:t>O-N/（kgNH</w:t>
      </w:r>
      <w:r>
        <w:rPr>
          <w:rFonts w:ascii="Times New Roman" w:hAnsi="Times New Roman" w:cs="Times New Roman"/>
          <w:color w:val="auto"/>
          <w:vertAlign w:val="subscript"/>
        </w:rPr>
        <w:t>3</w:t>
      </w:r>
      <w:r>
        <w:rPr>
          <w:rFonts w:ascii="Times New Roman" w:hAnsi="Times New Roman" w:cs="Times New Roman"/>
          <w:color w:val="auto"/>
        </w:rPr>
        <w:t>-N+NO</w:t>
      </w:r>
      <w:r>
        <w:rPr>
          <w:rFonts w:ascii="Times New Roman" w:hAnsi="Times New Roman" w:cs="Times New Roman"/>
          <w:color w:val="auto"/>
          <w:vertAlign w:val="subscript"/>
        </w:rPr>
        <w:t>x</w:t>
      </w:r>
      <w:r>
        <w:rPr>
          <w:rFonts w:ascii="Times New Roman" w:hAnsi="Times New Roman" w:cs="Times New Roman"/>
          <w:color w:val="auto"/>
        </w:rPr>
        <w:t>-N挥发）</w:t>
      </w:r>
      <w:r>
        <w:rPr>
          <w:rFonts w:hint="eastAsia" w:ascii="Times New Roman" w:hAnsi="Times New Roman" w:cs="Times New Roman"/>
          <w:color w:val="auto"/>
          <w:lang w:val="en-US" w:eastAsia="zh-CN"/>
        </w:rPr>
        <w:t>舍内粪坑贮存</w:t>
      </w:r>
      <w:r>
        <w:rPr>
          <w:rFonts w:ascii="Times New Roman" w:hAnsi="Times New Roman" w:cs="Times New Roman"/>
          <w:color w:val="auto"/>
        </w:rPr>
        <w:t>；</w:t>
      </w:r>
    </w:p>
    <w:p w14:paraId="66760181">
      <w:pPr>
        <w:ind w:firstLine="480"/>
        <w:rPr>
          <w:rFonts w:ascii="Times New Roman" w:hAnsi="Times New Roman" w:cs="Times New Roman"/>
          <w:color w:val="auto"/>
        </w:rPr>
      </w:pPr>
      <w:r>
        <w:rPr>
          <w:rFonts w:ascii="Times New Roman" w:hAnsi="Times New Roman" w:cs="Times New Roman"/>
          <w:color w:val="auto"/>
        </w:rPr>
        <w:t>N</w:t>
      </w:r>
      <w:r>
        <w:rPr>
          <w:rFonts w:ascii="Times New Roman" w:hAnsi="Times New Roman" w:cs="Times New Roman"/>
          <w:color w:val="auto"/>
          <w:vertAlign w:val="subscript"/>
        </w:rPr>
        <w:t>V-MMS,i</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和NO</w:t>
      </w:r>
      <w:r>
        <w:rPr>
          <w:rFonts w:ascii="Times New Roman" w:hAnsi="Times New Roman" w:cs="Times New Roman"/>
          <w:color w:val="auto"/>
          <w:vertAlign w:val="subscript"/>
        </w:rPr>
        <w:t>x</w:t>
      </w:r>
      <w:r>
        <w:rPr>
          <w:rFonts w:ascii="Times New Roman" w:hAnsi="Times New Roman" w:cs="Times New Roman"/>
          <w:color w:val="auto"/>
        </w:rPr>
        <w:t>挥发引起的粪肥氮的损失量（kgN/a）。</w:t>
      </w:r>
    </w:p>
    <w:p w14:paraId="2C2F40D7">
      <w:pPr>
        <w:ind w:firstLine="480"/>
        <w:rPr>
          <w:rFonts w:ascii="Times New Roman" w:hAnsi="Times New Roman" w:cs="Times New Roman"/>
          <w:color w:val="auto"/>
        </w:rPr>
      </w:pPr>
      <w:r>
        <w:rPr>
          <w:rFonts w:ascii="Times New Roman" w:hAnsi="Times New Roman" w:cs="Times New Roman"/>
          <w:color w:val="auto"/>
        </w:rPr>
        <w:t>c.粪便管理系统中由于挥发引起的氮损失按以下公式计算：</w:t>
      </w:r>
    </w:p>
    <w:p w14:paraId="7E12D44B">
      <w:pPr>
        <w:ind w:firstLine="0" w:firstLineChars="0"/>
        <w:jc w:val="center"/>
        <w:rPr>
          <w:rFonts w:ascii="Times New Roman" w:hAnsi="Times New Roman" w:cs="Times New Roman"/>
          <w:color w:val="auto"/>
        </w:rPr>
      </w:pPr>
      <w:r>
        <w:rPr>
          <w:rFonts w:cs="Times New Roman"/>
          <w:color w:val="auto"/>
          <w:position w:val="-30"/>
        </w:rPr>
        <w:object>
          <v:shape id="_x0000_i1040" o:spt="75" type="#_x0000_t75" style="height:50.95pt;width:387.15pt;" o:ole="t" filled="f" o:preferrelative="t" stroked="f" coordsize="21600,21600">
            <v:path/>
            <v:fill on="f" focussize="0,0"/>
            <v:stroke on="f" joinstyle="miter"/>
            <v:imagedata r:id="rId71" o:title=""/>
            <o:lock v:ext="edit" aspectratio="t"/>
            <w10:wrap type="none"/>
            <w10:anchorlock/>
          </v:shape>
          <o:OLEObject Type="Embed" ProgID="Equation.KSEE3" ShapeID="_x0000_i1040" DrawAspect="Content" ObjectID="_1468075740" r:id="rId70">
            <o:LockedField>false</o:LockedField>
          </o:OLEObject>
        </w:object>
      </w:r>
    </w:p>
    <w:p w14:paraId="6332E52A">
      <w:pPr>
        <w:ind w:firstLine="480"/>
        <w:rPr>
          <w:rFonts w:ascii="Times New Roman" w:hAnsi="Times New Roman" w:cs="Times New Roman"/>
          <w:color w:val="auto"/>
        </w:rPr>
      </w:pPr>
      <w:r>
        <w:rPr>
          <w:rFonts w:ascii="Times New Roman" w:hAnsi="Times New Roman" w:cs="Times New Roman"/>
          <w:color w:val="auto"/>
        </w:rPr>
        <w:t>式中：</w:t>
      </w:r>
    </w:p>
    <w:p w14:paraId="340D450E">
      <w:pPr>
        <w:ind w:firstLine="480"/>
        <w:rPr>
          <w:rFonts w:ascii="Times New Roman" w:hAnsi="Times New Roman" w:cs="Times New Roman"/>
          <w:color w:val="auto"/>
        </w:rPr>
      </w:pPr>
      <w:r>
        <w:rPr>
          <w:rFonts w:ascii="Times New Roman" w:hAnsi="Times New Roman" w:cs="Times New Roman"/>
          <w:color w:val="auto"/>
        </w:rPr>
        <w:t>N</w:t>
      </w:r>
      <w:r>
        <w:rPr>
          <w:rFonts w:ascii="Times New Roman" w:hAnsi="Times New Roman" w:cs="Times New Roman"/>
          <w:color w:val="auto"/>
          <w:vertAlign w:val="subscript"/>
        </w:rPr>
        <w:t>V-MMS,i</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和NO</w:t>
      </w:r>
      <w:r>
        <w:rPr>
          <w:rFonts w:ascii="Times New Roman" w:hAnsi="Times New Roman" w:cs="Times New Roman"/>
          <w:color w:val="auto"/>
          <w:vertAlign w:val="subscript"/>
        </w:rPr>
        <w:t>x</w:t>
      </w:r>
      <w:r>
        <w:rPr>
          <w:rFonts w:ascii="Times New Roman" w:hAnsi="Times New Roman" w:cs="Times New Roman"/>
          <w:color w:val="auto"/>
        </w:rPr>
        <w:t>挥发引起的粪肥氮的损失量（kgN/a）；</w:t>
      </w:r>
    </w:p>
    <w:p w14:paraId="620E7C35">
      <w:pPr>
        <w:ind w:firstLine="480"/>
        <w:rPr>
          <w:rFonts w:ascii="Times New Roman" w:hAnsi="Times New Roman" w:cs="Times New Roman"/>
          <w:color w:val="auto"/>
        </w:rPr>
      </w:pPr>
      <w:r>
        <w:rPr>
          <w:rFonts w:ascii="Times New Roman" w:hAnsi="Times New Roman" w:cs="Times New Roman"/>
          <w:color w:val="auto"/>
        </w:rPr>
        <w:t>N</w:t>
      </w:r>
      <w:r>
        <w:rPr>
          <w:rFonts w:ascii="Times New Roman" w:hAnsi="Times New Roman" w:cs="Times New Roman"/>
          <w:color w:val="auto"/>
          <w:vertAlign w:val="subscript"/>
        </w:rPr>
        <w:t>i</w:t>
      </w:r>
      <w:r>
        <w:rPr>
          <w:rFonts w:ascii="Times New Roman" w:hAnsi="Times New Roman" w:cs="Times New Roman"/>
          <w:color w:val="auto"/>
        </w:rPr>
        <w:t>——第i类动物的存栏数（头）；</w:t>
      </w:r>
    </w:p>
    <w:p w14:paraId="59E4E395">
      <w:pPr>
        <w:ind w:firstLine="480"/>
        <w:rPr>
          <w:rFonts w:ascii="Times New Roman" w:hAnsi="Times New Roman" w:cs="Times New Roman"/>
          <w:color w:val="auto"/>
        </w:rPr>
      </w:pPr>
      <w:r>
        <w:rPr>
          <w:rFonts w:ascii="Times New Roman" w:hAnsi="Times New Roman" w:cs="Times New Roman"/>
          <w:color w:val="auto"/>
        </w:rPr>
        <w:t>Nex</w:t>
      </w:r>
      <w:r>
        <w:rPr>
          <w:rFonts w:ascii="Times New Roman" w:hAnsi="Times New Roman" w:cs="Times New Roman"/>
          <w:color w:val="auto"/>
          <w:vertAlign w:val="subscript"/>
        </w:rPr>
        <w:t>i</w:t>
      </w:r>
      <w:r>
        <w:rPr>
          <w:rFonts w:ascii="Times New Roman" w:hAnsi="Times New Roman" w:cs="Times New Roman"/>
          <w:color w:val="auto"/>
        </w:rPr>
        <w:t>——第i类动物粪便中年氮排泄量（kgN/头/a）；根据附录B，</w:t>
      </w:r>
      <w:r>
        <w:rPr>
          <w:rFonts w:hint="eastAsia" w:ascii="Times New Roman" w:hAnsi="Times New Roman" w:cs="Times New Roman"/>
          <w:color w:val="auto"/>
          <w:lang w:eastAsia="zh-CN"/>
        </w:rPr>
        <w:t>种鸭</w:t>
      </w:r>
      <w:r>
        <w:rPr>
          <w:rFonts w:ascii="Times New Roman" w:hAnsi="Times New Roman" w:cs="Times New Roman"/>
          <w:color w:val="auto"/>
        </w:rPr>
        <w:t>的Nex</w:t>
      </w:r>
      <w:r>
        <w:rPr>
          <w:rFonts w:ascii="Times New Roman" w:hAnsi="Times New Roman" w:cs="Times New Roman"/>
          <w:color w:val="auto"/>
          <w:vertAlign w:val="subscript"/>
        </w:rPr>
        <w:t>i</w:t>
      </w:r>
      <w:r>
        <w:rPr>
          <w:rFonts w:ascii="Times New Roman" w:hAnsi="Times New Roman" w:cs="Times New Roman"/>
          <w:color w:val="auto"/>
        </w:rPr>
        <w:t>取值为</w:t>
      </w:r>
      <w:r>
        <w:rPr>
          <w:rFonts w:hint="eastAsia" w:ascii="Times New Roman" w:hAnsi="Times New Roman" w:cs="Times New Roman"/>
          <w:color w:val="auto"/>
          <w:lang w:val="en-US" w:eastAsia="zh-CN"/>
        </w:rPr>
        <w:t>0.85</w:t>
      </w:r>
      <w:r>
        <w:rPr>
          <w:rFonts w:ascii="Times New Roman" w:hAnsi="Times New Roman" w:cs="Times New Roman"/>
          <w:color w:val="auto"/>
        </w:rPr>
        <w:t>kg头/a；</w:t>
      </w:r>
    </w:p>
    <w:p w14:paraId="1CD31FF0">
      <w:pPr>
        <w:ind w:firstLine="480"/>
        <w:rPr>
          <w:rFonts w:ascii="Times New Roman" w:hAnsi="Times New Roman" w:cs="Times New Roman"/>
          <w:color w:val="auto"/>
        </w:rPr>
      </w:pPr>
      <w:r>
        <w:rPr>
          <w:rFonts w:ascii="Times New Roman" w:hAnsi="Times New Roman" w:cs="Times New Roman"/>
          <w:color w:val="auto"/>
        </w:rPr>
        <w:t>MS</w:t>
      </w:r>
      <w:r>
        <w:rPr>
          <w:rFonts w:ascii="Times New Roman" w:hAnsi="Times New Roman" w:cs="Times New Roman"/>
          <w:color w:val="auto"/>
          <w:vertAlign w:val="subscript"/>
        </w:rPr>
        <w:t>i,j</w:t>
      </w:r>
      <w:r>
        <w:rPr>
          <w:rFonts w:ascii="Times New Roman" w:hAnsi="Times New Roman" w:cs="Times New Roman"/>
          <w:color w:val="auto"/>
        </w:rPr>
        <w:t>——第i类动物在粪便管理方式j所占比例（%）；</w:t>
      </w:r>
    </w:p>
    <w:p w14:paraId="3AB4B0AD">
      <w:pPr>
        <w:ind w:firstLine="480"/>
        <w:rPr>
          <w:rFonts w:ascii="Times New Roman" w:hAnsi="Times New Roman" w:cs="Times New Roman"/>
          <w:color w:val="auto"/>
        </w:rPr>
      </w:pPr>
      <w:r>
        <w:rPr>
          <w:rFonts w:ascii="Times New Roman" w:hAnsi="Times New Roman" w:cs="Times New Roman"/>
          <w:color w:val="auto"/>
        </w:rPr>
        <w:t>Frac</w:t>
      </w:r>
      <w:r>
        <w:rPr>
          <w:rFonts w:ascii="Times New Roman" w:hAnsi="Times New Roman" w:cs="Times New Roman"/>
          <w:color w:val="auto"/>
          <w:vertAlign w:val="subscript"/>
        </w:rPr>
        <w:t>Gas，MS</w:t>
      </w:r>
      <w:r>
        <w:rPr>
          <w:rFonts w:ascii="Times New Roman" w:hAnsi="Times New Roman" w:cs="Times New Roman"/>
          <w:color w:val="auto"/>
        </w:rPr>
        <w:t>——粪便管理方式j中，第i类动物的管理粪肥通过NH</w:t>
      </w:r>
      <w:r>
        <w:rPr>
          <w:rFonts w:ascii="Times New Roman" w:hAnsi="Times New Roman" w:cs="Times New Roman"/>
          <w:color w:val="auto"/>
          <w:vertAlign w:val="subscript"/>
        </w:rPr>
        <w:t>3</w:t>
      </w:r>
      <w:r>
        <w:rPr>
          <w:rFonts w:ascii="Times New Roman" w:hAnsi="Times New Roman" w:cs="Times New Roman"/>
          <w:color w:val="auto"/>
        </w:rPr>
        <w:t>和NOx挥发的比例（%）。根据附录B，</w:t>
      </w:r>
      <w:r>
        <w:rPr>
          <w:rFonts w:hint="eastAsia" w:ascii="Times New Roman" w:hAnsi="Times New Roman" w:cs="Times New Roman"/>
          <w:color w:val="auto"/>
          <w:lang w:eastAsia="zh-CN"/>
        </w:rPr>
        <w:t>种鸭</w:t>
      </w:r>
      <w:r>
        <w:rPr>
          <w:rFonts w:ascii="Times New Roman" w:hAnsi="Times New Roman" w:cs="Times New Roman"/>
          <w:color w:val="auto"/>
        </w:rPr>
        <w:t>的管理粪肥方式</w:t>
      </w:r>
      <w:r>
        <w:rPr>
          <w:rFonts w:hint="eastAsia" w:ascii="Times New Roman" w:hAnsi="Times New Roman" w:cs="Times New Roman"/>
          <w:color w:val="auto"/>
          <w:lang w:val="en-US" w:eastAsia="zh-CN"/>
        </w:rPr>
        <w:t>舍内有垫料粪坑存储</w:t>
      </w:r>
      <w:r>
        <w:rPr>
          <w:rFonts w:ascii="Times New Roman" w:hAnsi="Times New Roman" w:cs="Times New Roman"/>
          <w:color w:val="auto"/>
        </w:rPr>
        <w:t>Frac</w:t>
      </w:r>
      <w:r>
        <w:rPr>
          <w:rFonts w:ascii="Times New Roman" w:hAnsi="Times New Roman" w:cs="Times New Roman"/>
          <w:color w:val="auto"/>
          <w:vertAlign w:val="subscript"/>
        </w:rPr>
        <w:t>Gas，MS</w:t>
      </w:r>
      <w:r>
        <w:rPr>
          <w:rFonts w:ascii="Times New Roman" w:hAnsi="Times New Roman" w:cs="Times New Roman"/>
          <w:color w:val="auto"/>
        </w:rPr>
        <w:t>取值为</w:t>
      </w:r>
      <w:r>
        <w:rPr>
          <w:rFonts w:hint="eastAsia" w:ascii="Times New Roman" w:hAnsi="Times New Roman" w:cs="Times New Roman"/>
          <w:color w:val="auto"/>
          <w:lang w:val="en-US" w:eastAsia="zh-CN"/>
        </w:rPr>
        <w:t>40</w:t>
      </w:r>
      <w:r>
        <w:rPr>
          <w:rFonts w:ascii="Times New Roman" w:hAnsi="Times New Roman" w:cs="Times New Roman"/>
          <w:color w:val="auto"/>
        </w:rPr>
        <w:t>%。</w:t>
      </w:r>
    </w:p>
    <w:p w14:paraId="5D54E1FF">
      <w:pPr>
        <w:ind w:firstLine="480"/>
        <w:rPr>
          <w:rFonts w:ascii="Times New Roman" w:hAnsi="Times New Roman" w:cs="Times New Roman"/>
          <w:color w:val="auto"/>
        </w:rPr>
      </w:pPr>
      <w:r>
        <w:rPr>
          <w:rFonts w:ascii="Times New Roman" w:hAnsi="Times New Roman" w:cs="Times New Roman"/>
          <w:color w:val="auto"/>
        </w:rPr>
        <w:t>本项目采用干清粪工艺，</w:t>
      </w:r>
      <w:r>
        <w:rPr>
          <w:rFonts w:hint="eastAsia" w:ascii="Times New Roman" w:hAnsi="Times New Roman" w:cs="Times New Roman"/>
          <w:color w:val="auto"/>
          <w:lang w:eastAsia="zh-CN"/>
        </w:rPr>
        <w:t>鸭粪</w:t>
      </w:r>
      <w:r>
        <w:rPr>
          <w:rFonts w:ascii="Times New Roman" w:hAnsi="Times New Roman" w:cs="Times New Roman"/>
          <w:color w:val="auto"/>
        </w:rPr>
        <w:t>及垫草料产生量为</w:t>
      </w:r>
      <w:r>
        <w:rPr>
          <w:rFonts w:hint="eastAsia"/>
          <w:color w:val="000000" w:themeColor="text1"/>
          <w:lang w:val="en-US" w:eastAsia="zh-CN"/>
          <w14:textFill>
            <w14:solidFill>
              <w14:schemeClr w14:val="tx1"/>
            </w14:solidFill>
          </w14:textFill>
        </w:rPr>
        <w:t>4360.5</w:t>
      </w:r>
      <w:r>
        <w:rPr>
          <w:rFonts w:ascii="Times New Roman" w:hAnsi="Times New Roman"/>
          <w:color w:val="000000" w:themeColor="text1"/>
          <w14:textFill>
            <w14:solidFill>
              <w14:schemeClr w14:val="tx1"/>
            </w14:solidFill>
          </w14:textFill>
        </w:rPr>
        <w:t>t/a</w:t>
      </w:r>
      <w:r>
        <w:rPr>
          <w:rFonts w:ascii="Times New Roman" w:hAnsi="Times New Roman" w:cs="Times New Roman"/>
          <w:color w:val="auto"/>
        </w:rPr>
        <w:t>，</w:t>
      </w:r>
      <w:r>
        <w:rPr>
          <w:rFonts w:hint="eastAsia" w:ascii="Times New Roman" w:hAnsi="Times New Roman" w:cs="Times New Roman"/>
          <w:color w:val="auto"/>
          <w:lang w:eastAsia="zh-CN"/>
        </w:rPr>
        <w:t>鸭粪</w:t>
      </w:r>
      <w:r>
        <w:rPr>
          <w:rFonts w:ascii="Times New Roman" w:hAnsi="Times New Roman" w:cs="Times New Roman"/>
          <w:color w:val="auto"/>
        </w:rPr>
        <w:t>及垫草料不在项目区贮存，直接拉运至生物园区有机肥车间加工为有机肥外售。本项目</w:t>
      </w:r>
      <w:r>
        <w:rPr>
          <w:rFonts w:hint="eastAsia" w:ascii="Times New Roman" w:hAnsi="Times New Roman" w:cs="Times New Roman"/>
          <w:color w:val="auto"/>
          <w:lang w:eastAsia="zh-CN"/>
        </w:rPr>
        <w:t>种鸭</w:t>
      </w:r>
      <w:r>
        <w:rPr>
          <w:rFonts w:ascii="Times New Roman" w:hAnsi="Times New Roman" w:cs="Times New Roman"/>
          <w:color w:val="auto"/>
        </w:rPr>
        <w:t>养殖粪便管理方式干燥育肥场所占比例为</w:t>
      </w:r>
      <w:r>
        <w:rPr>
          <w:rFonts w:hint="eastAsia" w:ascii="Times New Roman" w:hAnsi="Times New Roman" w:cs="Times New Roman"/>
          <w:color w:val="auto"/>
          <w:lang w:val="en-US" w:eastAsia="zh-CN"/>
        </w:rPr>
        <w:t>100</w:t>
      </w:r>
      <w:r>
        <w:rPr>
          <w:rFonts w:ascii="Times New Roman" w:hAnsi="Times New Roman" w:cs="Times New Roman"/>
          <w:color w:val="auto"/>
        </w:rPr>
        <w:t>%。根据上述计算公式和参数选取，本项目动物粪便管理排放温室气体见表</w:t>
      </w:r>
      <w:r>
        <w:rPr>
          <w:rFonts w:hint="eastAsia" w:cs="Times New Roman"/>
          <w:color w:val="auto"/>
          <w:lang w:val="en-US" w:eastAsia="zh-CN"/>
        </w:rPr>
        <w:t>5</w:t>
      </w:r>
      <w:r>
        <w:rPr>
          <w:rFonts w:ascii="Times New Roman" w:hAnsi="Times New Roman" w:cs="Times New Roman"/>
          <w:color w:val="auto"/>
        </w:rPr>
        <w:t>.3-</w:t>
      </w:r>
      <w:r>
        <w:rPr>
          <w:rFonts w:hint="eastAsia" w:ascii="Times New Roman" w:hAnsi="Times New Roman"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5</w:t>
      </w:r>
      <w:r>
        <w:rPr>
          <w:rFonts w:ascii="Times New Roman" w:hAnsi="Times New Roman" w:cs="Times New Roman"/>
          <w:color w:val="auto"/>
        </w:rPr>
        <w:t>.3-</w:t>
      </w:r>
      <w:r>
        <w:rPr>
          <w:rFonts w:hint="eastAsia" w:ascii="Times New Roman" w:hAnsi="Times New Roman" w:cs="Times New Roman"/>
          <w:color w:val="auto"/>
          <w:lang w:val="en-US" w:eastAsia="zh-CN"/>
        </w:rPr>
        <w:t>3</w:t>
      </w:r>
      <w:r>
        <w:rPr>
          <w:rFonts w:ascii="Times New Roman" w:hAnsi="Times New Roman" w:cs="Times New Roman"/>
          <w:color w:val="auto"/>
        </w:rPr>
        <w:t>和</w:t>
      </w:r>
      <w:r>
        <w:rPr>
          <w:rFonts w:hint="eastAsia" w:cs="Times New Roman"/>
          <w:color w:val="auto"/>
          <w:lang w:val="en-US" w:eastAsia="zh-CN"/>
        </w:rPr>
        <w:t>5</w:t>
      </w:r>
      <w:r>
        <w:rPr>
          <w:rFonts w:ascii="Times New Roman" w:hAnsi="Times New Roman" w:cs="Times New Roman"/>
          <w:color w:val="auto"/>
        </w:rPr>
        <w:t>.3-</w:t>
      </w:r>
      <w:r>
        <w:rPr>
          <w:rFonts w:hint="eastAsia" w:ascii="Times New Roman" w:hAnsi="Times New Roman" w:cs="Times New Roman"/>
          <w:color w:val="auto"/>
          <w:lang w:val="en-US" w:eastAsia="zh-CN"/>
        </w:rPr>
        <w:t>4</w:t>
      </w:r>
      <w:r>
        <w:rPr>
          <w:rFonts w:ascii="Times New Roman" w:hAnsi="Times New Roman" w:cs="Times New Roman"/>
          <w:color w:val="auto"/>
        </w:rPr>
        <w:t xml:space="preserve">。 </w:t>
      </w:r>
    </w:p>
    <w:p w14:paraId="22570D23">
      <w:pPr>
        <w:ind w:firstLine="0" w:firstLineChars="0"/>
        <w:jc w:val="center"/>
        <w:rPr>
          <w:rFonts w:ascii="Times New Roman" w:hAnsi="Times New Roman" w:cs="Times New Roman"/>
          <w:b/>
          <w:bCs/>
          <w:color w:val="auto"/>
        </w:rPr>
      </w:pPr>
      <w:r>
        <w:rPr>
          <w:rFonts w:ascii="Times New Roman" w:hAnsi="Times New Roman" w:cs="Times New Roman"/>
          <w:b/>
          <w:bCs/>
          <w:color w:val="auto"/>
        </w:rPr>
        <w:t>表</w:t>
      </w:r>
      <w:r>
        <w:rPr>
          <w:rFonts w:hint="eastAsia" w:cs="Times New Roman"/>
          <w:b/>
          <w:bCs/>
          <w:color w:val="auto"/>
          <w:lang w:val="en-US" w:eastAsia="zh-CN"/>
        </w:rPr>
        <w:t>5</w:t>
      </w:r>
      <w:r>
        <w:rPr>
          <w:rFonts w:hint="eastAsia" w:ascii="Times New Roman" w:hAnsi="Times New Roman" w:cs="Times New Roman"/>
          <w:b/>
          <w:bCs/>
          <w:color w:val="auto"/>
          <w:lang w:val="en-US" w:eastAsia="zh-CN"/>
        </w:rPr>
        <w:t>.3-2</w:t>
      </w:r>
      <w:r>
        <w:rPr>
          <w:rFonts w:ascii="Times New Roman" w:hAnsi="Times New Roman" w:cs="Times New Roman"/>
          <w:b/>
          <w:bCs/>
          <w:color w:val="auto"/>
        </w:rPr>
        <w:t xml:space="preserve">     动物粪便管理氧化亚氮直接排放一览表</w:t>
      </w:r>
    </w:p>
    <w:tbl>
      <w:tblPr>
        <w:tblStyle w:val="81"/>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066"/>
        <w:gridCol w:w="1589"/>
        <w:gridCol w:w="1371"/>
        <w:gridCol w:w="1513"/>
        <w:gridCol w:w="1152"/>
        <w:gridCol w:w="1153"/>
      </w:tblGrid>
      <w:tr w14:paraId="3629F9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restart"/>
            <w:tcBorders>
              <w:tl2br w:val="nil"/>
              <w:tr2bl w:val="nil"/>
            </w:tcBorders>
            <w:vAlign w:val="center"/>
          </w:tcPr>
          <w:p w14:paraId="5B405A55">
            <w:pPr>
              <w:pStyle w:val="56"/>
              <w:autoSpaceDE w:val="0"/>
              <w:autoSpaceDN w:val="0"/>
              <w:rPr>
                <w:rFonts w:ascii="Times New Roman" w:hAnsi="Times New Roman"/>
                <w:color w:val="auto"/>
                <w:lang w:val="en-US" w:eastAsia="en-US"/>
              </w:rPr>
            </w:pPr>
            <w:r>
              <w:rPr>
                <w:rFonts w:asciiTheme="minorHAnsi" w:hAnsiTheme="minorHAnsi"/>
                <w:color w:val="auto"/>
                <w:lang w:eastAsia="en-US"/>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23495</wp:posOffset>
                      </wp:positionV>
                      <wp:extent cx="1289685" cy="584200"/>
                      <wp:effectExtent l="1905" t="4445" r="3810" b="20955"/>
                      <wp:wrapNone/>
                      <wp:docPr id="140" name="直接连接符 140"/>
                      <wp:cNvGraphicFramePr/>
                      <a:graphic xmlns:a="http://schemas.openxmlformats.org/drawingml/2006/main">
                        <a:graphicData uri="http://schemas.microsoft.com/office/word/2010/wordprocessingShape">
                          <wps:wsp>
                            <wps:cNvCnPr/>
                            <wps:spPr>
                              <a:xfrm>
                                <a:off x="0" y="0"/>
                                <a:ext cx="1289685" cy="584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pt;margin-top:1.85pt;height:46pt;width:101.55pt;z-index:251660288;mso-width-relative:page;mso-height-relative:page;" filled="f" stroked="t" coordsize="21600,21600" o:gfxdata="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rTmre1AAAAAYBAAAPAAAAAAAA&#10;AAEAIAAAACIAAABkcnMvZG93bnJldi54bWxQSwECFAAUAAAACACHTuJAlsWvDN0BAACjAwAADgAA&#10;AAAAAAABACAAAAAjAQAAZHJzL2Uyb0RvYy54bWxQSwUGAAAAAAYABgBZAQAAcgUAAAAA&#10;">
                      <v:fill on="f" focussize="0,0"/>
                      <v:stroke color="#000000 [3213]" joinstyle="round"/>
                      <v:imagedata o:title=""/>
                      <o:lock v:ext="edit" aspectratio="f"/>
                    </v:line>
                  </w:pict>
                </mc:Fallback>
              </mc:AlternateContent>
            </w:r>
            <w:r>
              <w:rPr>
                <w:rFonts w:ascii="Times New Roman" w:hAnsi="Times New Roman"/>
                <w:color w:val="auto"/>
                <w:lang w:val="en-US" w:eastAsia="en-US"/>
              </w:rPr>
              <w:t>参数</w:t>
            </w:r>
          </w:p>
          <w:p w14:paraId="6329F70D">
            <w:pPr>
              <w:pStyle w:val="56"/>
              <w:autoSpaceDE w:val="0"/>
              <w:autoSpaceDN w:val="0"/>
              <w:rPr>
                <w:rFonts w:ascii="Times New Roman" w:hAnsi="Times New Roman"/>
                <w:color w:val="auto"/>
                <w:lang w:val="en-US" w:eastAsia="en-US"/>
              </w:rPr>
            </w:pPr>
          </w:p>
          <w:p w14:paraId="4CD9AE28">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温室气体</w:t>
            </w:r>
          </w:p>
        </w:tc>
        <w:tc>
          <w:tcPr>
            <w:tcW w:w="1589" w:type="dxa"/>
            <w:tcBorders>
              <w:tl2br w:val="nil"/>
              <w:tr2bl w:val="nil"/>
            </w:tcBorders>
            <w:vAlign w:val="center"/>
          </w:tcPr>
          <w:p w14:paraId="60C66D92">
            <w:pPr>
              <w:pStyle w:val="56"/>
              <w:autoSpaceDE w:val="0"/>
              <w:autoSpaceDN w:val="0"/>
              <w:rPr>
                <w:rFonts w:ascii="Times New Roman" w:hAnsi="Times New Roman"/>
                <w:color w:val="auto"/>
                <w:lang w:val="en-US" w:eastAsia="en-US"/>
              </w:rPr>
            </w:pPr>
            <m:oMathPara>
              <m:oMath>
                <m:sSub>
                  <m:sSubPr>
                    <m:ctrlPr>
                      <w:rPr>
                        <w:rFonts w:ascii="Cambria Math" w:hAnsi="Cambria Math"/>
                        <w:color w:val="auto"/>
                        <w:lang w:val="en-US" w:eastAsia="en-US"/>
                      </w:rPr>
                    </m:ctrlPr>
                  </m:sSubPr>
                  <m:e>
                    <m:r>
                      <m:rPr>
                        <m:sty m:val="p"/>
                      </m:rPr>
                      <w:rPr>
                        <w:rFonts w:ascii="Cambria Math" w:hAnsi="Cambria Math"/>
                        <w:color w:val="auto"/>
                        <w:lang w:val="en-US" w:eastAsia="en-US"/>
                      </w:rPr>
                      <m:t>EF</m:t>
                    </m:r>
                    <m:ctrlPr>
                      <w:rPr>
                        <w:rFonts w:ascii="Cambria Math" w:hAnsi="Cambria Math"/>
                        <w:color w:val="auto"/>
                        <w:lang w:val="en-US" w:eastAsia="en-US"/>
                      </w:rPr>
                    </m:ctrlPr>
                  </m:e>
                  <m:sub>
                    <m:r>
                      <m:rPr>
                        <m:sty m:val="p"/>
                      </m:rPr>
                      <w:rPr>
                        <w:rFonts w:ascii="Cambria Math" w:hAnsi="Cambria Math"/>
                        <w:color w:val="auto"/>
                        <w:lang w:val="en-US" w:eastAsia="en-US"/>
                      </w:rPr>
                      <m:t>M−</m:t>
                    </m:r>
                    <m:sSub>
                      <m:sSubPr>
                        <m:ctrlPr>
                          <w:rPr>
                            <w:rFonts w:ascii="Cambria Math" w:hAnsi="Cambria Math"/>
                            <w:color w:val="auto"/>
                            <w:lang w:val="en-US" w:eastAsia="en-US"/>
                          </w:rPr>
                        </m:ctrlPr>
                      </m:sSubPr>
                      <m:e>
                        <m:r>
                          <m:rPr>
                            <m:sty m:val="p"/>
                          </m:rPr>
                          <w:rPr>
                            <w:rFonts w:ascii="Cambria Math" w:hAnsi="Cambria Math"/>
                            <w:color w:val="auto"/>
                            <w:lang w:val="en-US" w:eastAsia="en-US"/>
                          </w:rPr>
                          <m:t>N</m:t>
                        </m:r>
                        <m:ctrlPr>
                          <w:rPr>
                            <w:rFonts w:ascii="Cambria Math" w:hAnsi="Cambria Math"/>
                            <w:color w:val="auto"/>
                            <w:lang w:val="en-US" w:eastAsia="en-US"/>
                          </w:rPr>
                        </m:ctrlPr>
                      </m:e>
                      <m:sub>
                        <m:r>
                          <m:rPr>
                            <m:sty m:val="p"/>
                          </m:rPr>
                          <w:rPr>
                            <w:rFonts w:ascii="Cambria Math" w:hAnsi="Cambria Math"/>
                            <w:color w:val="auto"/>
                            <w:lang w:val="en-US" w:eastAsia="en-US"/>
                          </w:rPr>
                          <m:t>2</m:t>
                        </m:r>
                        <m:ctrlPr>
                          <w:rPr>
                            <w:rFonts w:ascii="Cambria Math" w:hAnsi="Cambria Math"/>
                            <w:color w:val="auto"/>
                            <w:lang w:val="en-US" w:eastAsia="en-US"/>
                          </w:rPr>
                        </m:ctrlPr>
                      </m:sub>
                    </m:sSub>
                    <m:r>
                      <m:rPr>
                        <m:sty m:val="p"/>
                      </m:rPr>
                      <w:rPr>
                        <w:rFonts w:ascii="Cambria Math" w:hAnsi="Cambria Math"/>
                        <w:color w:val="auto"/>
                        <w:lang w:val="en-US" w:eastAsia="en-US"/>
                      </w:rPr>
                      <m:t>O,i</m:t>
                    </m:r>
                    <m:ctrlPr>
                      <w:rPr>
                        <w:rFonts w:ascii="Cambria Math" w:hAnsi="Cambria Math"/>
                        <w:color w:val="auto"/>
                        <w:lang w:val="en-US" w:eastAsia="en-US"/>
                      </w:rPr>
                    </m:ctrlPr>
                  </m:sub>
                </m:sSub>
              </m:oMath>
            </m:oMathPara>
          </w:p>
        </w:tc>
        <w:tc>
          <w:tcPr>
            <w:tcW w:w="1371" w:type="dxa"/>
            <w:tcBorders>
              <w:tl2br w:val="nil"/>
              <w:tr2bl w:val="nil"/>
            </w:tcBorders>
            <w:vAlign w:val="center"/>
          </w:tcPr>
          <w:p w14:paraId="1529DFE4">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APi</w:t>
            </w:r>
          </w:p>
        </w:tc>
        <w:tc>
          <w:tcPr>
            <w:tcW w:w="1513" w:type="dxa"/>
            <w:tcBorders>
              <w:tl2br w:val="nil"/>
              <w:tr2bl w:val="nil"/>
            </w:tcBorders>
            <w:vAlign w:val="center"/>
          </w:tcPr>
          <w:p w14:paraId="478DA66C">
            <w:pPr>
              <w:pStyle w:val="56"/>
              <w:autoSpaceDE w:val="0"/>
              <w:autoSpaceDN w:val="0"/>
              <w:rPr>
                <w:rFonts w:ascii="Times New Roman" w:hAnsi="Times New Roman"/>
                <w:color w:val="auto"/>
                <w:lang w:val="en-US" w:eastAsia="en-US"/>
              </w:rPr>
            </w:pPr>
            <m:oMathPara>
              <m:oMath>
                <m:sSub>
                  <m:sSubPr>
                    <m:ctrlPr>
                      <w:rPr>
                        <w:rFonts w:ascii="Cambria Math" w:hAnsi="Cambria Math"/>
                        <w:color w:val="auto"/>
                        <w:lang w:val="en-US" w:eastAsia="en-US"/>
                      </w:rPr>
                    </m:ctrlPr>
                  </m:sSubPr>
                  <m:e>
                    <m:r>
                      <m:rPr>
                        <m:sty m:val="p"/>
                      </m:rPr>
                      <w:rPr>
                        <w:rFonts w:ascii="Cambria Math" w:hAnsi="Cambria Math"/>
                        <w:color w:val="auto"/>
                        <w:lang w:val="en-US" w:eastAsia="en-US"/>
                      </w:rPr>
                      <m:t>E</m:t>
                    </m:r>
                    <m:ctrlPr>
                      <w:rPr>
                        <w:rFonts w:ascii="Cambria Math" w:hAnsi="Cambria Math"/>
                        <w:color w:val="auto"/>
                        <w:lang w:val="en-US" w:eastAsia="en-US"/>
                      </w:rPr>
                    </m:ctrlPr>
                  </m:e>
                  <m:sub>
                    <m:r>
                      <m:rPr>
                        <m:sty m:val="p"/>
                      </m:rPr>
                      <w:rPr>
                        <w:rFonts w:ascii="Cambria Math" w:hAnsi="Cambria Math"/>
                        <w:color w:val="auto"/>
                        <w:lang w:val="en-US" w:eastAsia="en-US"/>
                      </w:rPr>
                      <m:t>M−</m:t>
                    </m:r>
                    <m:sSub>
                      <m:sSubPr>
                        <m:ctrlPr>
                          <w:rPr>
                            <w:rFonts w:ascii="Cambria Math" w:hAnsi="Cambria Math"/>
                            <w:color w:val="auto"/>
                            <w:lang w:val="en-US" w:eastAsia="en-US"/>
                          </w:rPr>
                        </m:ctrlPr>
                      </m:sSubPr>
                      <m:e>
                        <m:r>
                          <m:rPr>
                            <m:sty m:val="p"/>
                          </m:rPr>
                          <w:rPr>
                            <w:rFonts w:ascii="Cambria Math" w:hAnsi="Cambria Math"/>
                            <w:color w:val="auto"/>
                            <w:lang w:val="en-US" w:eastAsia="en-US"/>
                          </w:rPr>
                          <m:t>D−N</m:t>
                        </m:r>
                        <m:ctrlPr>
                          <w:rPr>
                            <w:rFonts w:ascii="Cambria Math" w:hAnsi="Cambria Math"/>
                            <w:color w:val="auto"/>
                            <w:lang w:val="en-US" w:eastAsia="en-US"/>
                          </w:rPr>
                        </m:ctrlPr>
                      </m:e>
                      <m:sub>
                        <m:r>
                          <m:rPr>
                            <m:sty m:val="p"/>
                          </m:rPr>
                          <w:rPr>
                            <w:rFonts w:ascii="Cambria Math" w:hAnsi="Cambria Math"/>
                            <w:color w:val="auto"/>
                            <w:lang w:val="en-US" w:eastAsia="en-US"/>
                          </w:rPr>
                          <m:t>2</m:t>
                        </m:r>
                        <m:ctrlPr>
                          <w:rPr>
                            <w:rFonts w:ascii="Cambria Math" w:hAnsi="Cambria Math"/>
                            <w:color w:val="auto"/>
                            <w:lang w:val="en-US" w:eastAsia="en-US"/>
                          </w:rPr>
                        </m:ctrlPr>
                      </m:sub>
                    </m:sSub>
                    <m:r>
                      <m:rPr>
                        <m:sty m:val="p"/>
                      </m:rPr>
                      <w:rPr>
                        <w:rFonts w:ascii="Cambria Math" w:hAnsi="Cambria Math"/>
                        <w:color w:val="auto"/>
                        <w:lang w:val="en-US" w:eastAsia="en-US"/>
                      </w:rPr>
                      <m:t>O,i</m:t>
                    </m:r>
                    <m:ctrlPr>
                      <w:rPr>
                        <w:rFonts w:ascii="Cambria Math" w:hAnsi="Cambria Math"/>
                        <w:color w:val="auto"/>
                        <w:lang w:val="en-US" w:eastAsia="en-US"/>
                      </w:rPr>
                    </m:ctrlPr>
                  </m:sub>
                </m:sSub>
              </m:oMath>
            </m:oMathPara>
          </w:p>
        </w:tc>
        <w:tc>
          <w:tcPr>
            <w:tcW w:w="1152" w:type="dxa"/>
            <w:tcBorders>
              <w:tl2br w:val="nil"/>
              <w:tr2bl w:val="nil"/>
            </w:tcBorders>
            <w:vAlign w:val="center"/>
          </w:tcPr>
          <w:p w14:paraId="5C37F7F1">
            <w:pPr>
              <w:pStyle w:val="56"/>
              <w:autoSpaceDE w:val="0"/>
              <w:autoSpaceDN w:val="0"/>
              <w:rPr>
                <w:rFonts w:ascii="Cambria Math" w:hAnsi="Cambria Math"/>
                <w:color w:val="auto"/>
                <w:lang w:val="en-US" w:eastAsia="en-US"/>
                <w:oMath/>
              </w:rPr>
            </w:pPr>
            <w:r>
              <w:rPr>
                <w:rFonts w:ascii="Times New Roman" w:hAnsi="Times New Roman"/>
                <w:color w:val="auto"/>
                <w:lang w:val="en-US" w:eastAsia="en-US"/>
              </w:rPr>
              <w:t>GWP</w:t>
            </w:r>
          </w:p>
        </w:tc>
        <w:tc>
          <w:tcPr>
            <w:tcW w:w="1153" w:type="dxa"/>
            <w:tcBorders>
              <w:tl2br w:val="nil"/>
              <w:tr2bl w:val="nil"/>
            </w:tcBorders>
            <w:vAlign w:val="center"/>
          </w:tcPr>
          <w:p w14:paraId="0D689F9D">
            <w:pPr>
              <w:pStyle w:val="56"/>
              <w:autoSpaceDE w:val="0"/>
              <w:autoSpaceDN w:val="0"/>
              <w:rPr>
                <w:rFonts w:ascii="Cambria Math" w:hAnsi="Cambria Math"/>
                <w:color w:val="auto"/>
                <w:lang w:val="en-US" w:eastAsia="en-US"/>
                <w:oMath/>
              </w:rPr>
            </w:pPr>
            <m:oMathPara>
              <m:oMath>
                <m:sSub>
                  <m:sSubPr>
                    <m:ctrlPr>
                      <w:rPr>
                        <w:rFonts w:ascii="Cambria Math" w:hAnsi="Cambria Math"/>
                        <w:color w:val="auto"/>
                        <w:lang w:val="en-US" w:eastAsia="en-US"/>
                      </w:rPr>
                    </m:ctrlPr>
                  </m:sSubPr>
                  <m:e>
                    <m:r>
                      <m:rPr>
                        <m:sty m:val="p"/>
                      </m:rPr>
                      <w:rPr>
                        <w:rFonts w:ascii="Cambria Math" w:hAnsi="Cambria Math"/>
                        <w:color w:val="auto"/>
                        <w:lang w:val="en-US" w:eastAsia="en-US"/>
                      </w:rPr>
                      <m:t>E</m:t>
                    </m:r>
                    <m:ctrlPr>
                      <w:rPr>
                        <w:rFonts w:ascii="Cambria Math" w:hAnsi="Cambria Math"/>
                        <w:color w:val="auto"/>
                        <w:lang w:val="en-US" w:eastAsia="en-US"/>
                      </w:rPr>
                    </m:ctrlPr>
                  </m:e>
                  <m:sub>
                    <m:r>
                      <m:rPr>
                        <m:sty m:val="p"/>
                      </m:rPr>
                      <w:rPr>
                        <w:rFonts w:ascii="Cambria Math" w:hAnsi="Cambria Math"/>
                        <w:color w:val="auto"/>
                        <w:lang w:val="en-US" w:eastAsia="en-US"/>
                      </w:rPr>
                      <m:t>M−D−</m:t>
                    </m:r>
                    <m:sSub>
                      <m:sSubPr>
                        <m:ctrlPr>
                          <w:rPr>
                            <w:rFonts w:ascii="Cambria Math" w:hAnsi="Cambria Math"/>
                            <w:color w:val="auto"/>
                            <w:lang w:val="en-US" w:eastAsia="en-US"/>
                          </w:rPr>
                        </m:ctrlPr>
                      </m:sSubPr>
                      <m:e>
                        <m:r>
                          <m:rPr>
                            <m:sty m:val="p"/>
                          </m:rPr>
                          <w:rPr>
                            <w:rFonts w:ascii="Cambria Math" w:hAnsi="Cambria Math"/>
                            <w:color w:val="auto"/>
                            <w:lang w:val="en-US" w:eastAsia="en-US"/>
                          </w:rPr>
                          <m:t>N</m:t>
                        </m:r>
                        <m:ctrlPr>
                          <w:rPr>
                            <w:rFonts w:ascii="Cambria Math" w:hAnsi="Cambria Math"/>
                            <w:color w:val="auto"/>
                            <w:lang w:val="en-US" w:eastAsia="en-US"/>
                          </w:rPr>
                        </m:ctrlPr>
                      </m:e>
                      <m:sub>
                        <m:r>
                          <m:rPr>
                            <m:sty m:val="p"/>
                          </m:rPr>
                          <w:rPr>
                            <w:rFonts w:ascii="Cambria Math" w:hAnsi="Cambria Math"/>
                            <w:color w:val="auto"/>
                            <w:lang w:val="en-US" w:eastAsia="en-US"/>
                          </w:rPr>
                          <m:t>2</m:t>
                        </m:r>
                        <m:ctrlPr>
                          <w:rPr>
                            <w:rFonts w:ascii="Cambria Math" w:hAnsi="Cambria Math"/>
                            <w:color w:val="auto"/>
                            <w:lang w:val="en-US" w:eastAsia="en-US"/>
                          </w:rPr>
                        </m:ctrlPr>
                      </m:sub>
                    </m:sSub>
                    <m:r>
                      <m:rPr>
                        <m:sty m:val="p"/>
                      </m:rPr>
                      <w:rPr>
                        <w:rFonts w:ascii="Cambria Math" w:hAnsi="Cambria Math"/>
                        <w:color w:val="auto"/>
                        <w:lang w:val="en-US" w:eastAsia="en-US"/>
                      </w:rPr>
                      <m:t>O</m:t>
                    </m:r>
                    <m:ctrlPr>
                      <w:rPr>
                        <w:rFonts w:ascii="Cambria Math" w:hAnsi="Cambria Math"/>
                        <w:color w:val="auto"/>
                        <w:lang w:val="en-US" w:eastAsia="en-US"/>
                      </w:rPr>
                    </m:ctrlPr>
                  </m:sub>
                </m:sSub>
              </m:oMath>
            </m:oMathPara>
          </w:p>
        </w:tc>
      </w:tr>
      <w:tr w14:paraId="0B692D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continue"/>
            <w:tcBorders>
              <w:tl2br w:val="nil"/>
              <w:tr2bl w:val="nil"/>
            </w:tcBorders>
            <w:vAlign w:val="center"/>
          </w:tcPr>
          <w:p w14:paraId="51817614">
            <w:pPr>
              <w:pStyle w:val="56"/>
              <w:autoSpaceDE w:val="0"/>
              <w:autoSpaceDN w:val="0"/>
              <w:rPr>
                <w:rFonts w:ascii="Times New Roman" w:hAnsi="Times New Roman"/>
                <w:color w:val="auto"/>
                <w:lang w:val="en-US" w:eastAsia="en-US"/>
              </w:rPr>
            </w:pPr>
          </w:p>
        </w:tc>
        <w:tc>
          <w:tcPr>
            <w:tcW w:w="1589" w:type="dxa"/>
            <w:tcBorders>
              <w:tl2br w:val="nil"/>
              <w:tr2bl w:val="nil"/>
            </w:tcBorders>
            <w:vAlign w:val="center"/>
          </w:tcPr>
          <w:p w14:paraId="250CBC71">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kg N</w:t>
            </w:r>
            <w:r>
              <w:rPr>
                <w:rFonts w:ascii="Times New Roman" w:hAnsi="Times New Roman"/>
                <w:color w:val="auto"/>
                <w:vertAlign w:val="subscript"/>
                <w:lang w:val="en-US" w:eastAsia="en-US"/>
              </w:rPr>
              <w:t>2</w:t>
            </w:r>
            <w:r>
              <w:rPr>
                <w:rFonts w:ascii="Times New Roman" w:hAnsi="Times New Roman"/>
                <w:color w:val="auto"/>
                <w:lang w:val="en-US" w:eastAsia="en-US"/>
              </w:rPr>
              <w:t>O/</w:t>
            </w:r>
            <w:r>
              <w:rPr>
                <w:rFonts w:hint="eastAsia" w:ascii="Times New Roman" w:hAnsi="Times New Roman"/>
                <w:color w:val="auto"/>
                <w:lang w:val="en-US" w:eastAsia="zh-CN"/>
              </w:rPr>
              <w:t>只</w:t>
            </w:r>
            <w:r>
              <w:rPr>
                <w:rFonts w:ascii="Times New Roman" w:hAnsi="Times New Roman"/>
                <w:color w:val="auto"/>
                <w:lang w:val="en-US" w:eastAsia="en-US"/>
              </w:rPr>
              <w:t>/a</w:t>
            </w:r>
          </w:p>
        </w:tc>
        <w:tc>
          <w:tcPr>
            <w:tcW w:w="1371" w:type="dxa"/>
            <w:tcBorders>
              <w:tl2br w:val="nil"/>
              <w:tr2bl w:val="nil"/>
            </w:tcBorders>
            <w:vAlign w:val="center"/>
          </w:tcPr>
          <w:p w14:paraId="377CAC4E">
            <w:pPr>
              <w:pStyle w:val="56"/>
              <w:autoSpaceDE w:val="0"/>
              <w:autoSpaceDN w:val="0"/>
              <w:rPr>
                <w:rFonts w:hint="eastAsia" w:ascii="Times New Roman" w:hAnsi="Times New Roman" w:eastAsia="宋体"/>
                <w:color w:val="auto"/>
                <w:lang w:val="en-US" w:eastAsia="zh-CN"/>
              </w:rPr>
            </w:pPr>
            <w:r>
              <w:rPr>
                <w:rFonts w:hint="eastAsia" w:ascii="Times New Roman" w:hAnsi="Times New Roman"/>
                <w:color w:val="auto"/>
                <w:lang w:val="en-US" w:eastAsia="zh-CN"/>
              </w:rPr>
              <w:t>只</w:t>
            </w:r>
          </w:p>
        </w:tc>
        <w:tc>
          <w:tcPr>
            <w:tcW w:w="1513" w:type="dxa"/>
            <w:tcBorders>
              <w:tl2br w:val="nil"/>
              <w:tr2bl w:val="nil"/>
            </w:tcBorders>
            <w:vAlign w:val="center"/>
          </w:tcPr>
          <w:p w14:paraId="4072AB00">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t</w:t>
            </w:r>
          </w:p>
        </w:tc>
        <w:tc>
          <w:tcPr>
            <w:tcW w:w="1152" w:type="dxa"/>
            <w:tcBorders>
              <w:tl2br w:val="nil"/>
              <w:tr2bl w:val="nil"/>
            </w:tcBorders>
            <w:vAlign w:val="center"/>
          </w:tcPr>
          <w:p w14:paraId="245AFC5B">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w:t>
            </w:r>
          </w:p>
        </w:tc>
        <w:tc>
          <w:tcPr>
            <w:tcW w:w="1153" w:type="dxa"/>
            <w:tcBorders>
              <w:tl2br w:val="nil"/>
              <w:tr2bl w:val="nil"/>
            </w:tcBorders>
            <w:vAlign w:val="center"/>
          </w:tcPr>
          <w:p w14:paraId="73201BE0">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t</w:t>
            </w:r>
          </w:p>
        </w:tc>
      </w:tr>
      <w:tr w14:paraId="3CBAF3C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tcBorders>
              <w:tl2br w:val="nil"/>
              <w:tr2bl w:val="nil"/>
            </w:tcBorders>
            <w:vAlign w:val="center"/>
          </w:tcPr>
          <w:p w14:paraId="6966E7C0">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N</w:t>
            </w:r>
            <w:r>
              <w:rPr>
                <w:rFonts w:ascii="Times New Roman" w:hAnsi="Times New Roman"/>
                <w:color w:val="auto"/>
                <w:vertAlign w:val="subscript"/>
                <w:lang w:val="en-US" w:eastAsia="en-US"/>
              </w:rPr>
              <w:t>2</w:t>
            </w:r>
            <w:r>
              <w:rPr>
                <w:rFonts w:ascii="Times New Roman" w:hAnsi="Times New Roman"/>
                <w:color w:val="auto"/>
                <w:lang w:val="en-US" w:eastAsia="en-US"/>
              </w:rPr>
              <w:t>O</w:t>
            </w:r>
          </w:p>
        </w:tc>
        <w:tc>
          <w:tcPr>
            <w:tcW w:w="1589" w:type="dxa"/>
            <w:tcBorders>
              <w:tl2br w:val="nil"/>
              <w:tr2bl w:val="nil"/>
            </w:tcBorders>
            <w:vAlign w:val="center"/>
          </w:tcPr>
          <w:p w14:paraId="52DF78C5">
            <w:pPr>
              <w:pStyle w:val="56"/>
              <w:autoSpaceDE w:val="0"/>
              <w:autoSpaceDN w:val="0"/>
              <w:rPr>
                <w:rFonts w:hint="default" w:ascii="Times New Roman" w:hAnsi="Times New Roman" w:eastAsia="宋体"/>
                <w:color w:val="auto"/>
                <w:lang w:val="en-US" w:eastAsia="zh-CN"/>
              </w:rPr>
            </w:pPr>
            <w:r>
              <w:rPr>
                <w:rFonts w:hint="eastAsia" w:ascii="Times New Roman" w:hAnsi="Times New Roman"/>
                <w:color w:val="auto"/>
                <w:lang w:val="en-US" w:eastAsia="zh-CN"/>
              </w:rPr>
              <w:t>0.02</w:t>
            </w:r>
          </w:p>
        </w:tc>
        <w:tc>
          <w:tcPr>
            <w:tcW w:w="1371" w:type="dxa"/>
            <w:tcBorders>
              <w:tl2br w:val="nil"/>
              <w:tr2bl w:val="nil"/>
            </w:tcBorders>
            <w:vAlign w:val="center"/>
          </w:tcPr>
          <w:p w14:paraId="08D18303">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18</w:t>
            </w:r>
            <w:r>
              <w:rPr>
                <w:rFonts w:hint="eastAsia" w:ascii="Times New Roman" w:hAnsi="Times New Roman"/>
                <w:color w:val="auto"/>
                <w:lang w:val="en-US" w:eastAsia="zh-CN"/>
              </w:rPr>
              <w:t>0000</w:t>
            </w:r>
          </w:p>
        </w:tc>
        <w:tc>
          <w:tcPr>
            <w:tcW w:w="1513" w:type="dxa"/>
            <w:tcBorders>
              <w:tl2br w:val="nil"/>
              <w:tr2bl w:val="nil"/>
            </w:tcBorders>
            <w:vAlign w:val="center"/>
          </w:tcPr>
          <w:p w14:paraId="580A758A">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3</w:t>
            </w:r>
            <w:r>
              <w:rPr>
                <w:rFonts w:hint="eastAsia" w:ascii="Times New Roman" w:hAnsi="Times New Roman"/>
                <w:color w:val="auto"/>
                <w:lang w:val="en-US" w:eastAsia="zh-CN"/>
              </w:rPr>
              <w:t>.6</w:t>
            </w:r>
          </w:p>
        </w:tc>
        <w:tc>
          <w:tcPr>
            <w:tcW w:w="1152" w:type="dxa"/>
            <w:tcBorders>
              <w:tl2br w:val="nil"/>
              <w:tr2bl w:val="nil"/>
            </w:tcBorders>
            <w:vAlign w:val="center"/>
          </w:tcPr>
          <w:p w14:paraId="70A3BAF1">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265</w:t>
            </w:r>
          </w:p>
        </w:tc>
        <w:tc>
          <w:tcPr>
            <w:tcW w:w="1153" w:type="dxa"/>
            <w:tcBorders>
              <w:tl2br w:val="nil"/>
              <w:tr2bl w:val="nil"/>
            </w:tcBorders>
            <w:vAlign w:val="center"/>
          </w:tcPr>
          <w:p w14:paraId="071B2148">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954</w:t>
            </w:r>
          </w:p>
        </w:tc>
      </w:tr>
      <w:tr w14:paraId="3783258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2066" w:type="dxa"/>
            <w:tcBorders>
              <w:tl2br w:val="nil"/>
              <w:tr2bl w:val="nil"/>
            </w:tcBorders>
            <w:vAlign w:val="center"/>
          </w:tcPr>
          <w:p w14:paraId="3D421E57">
            <w:pPr>
              <w:pStyle w:val="56"/>
              <w:autoSpaceDE w:val="0"/>
              <w:autoSpaceDN w:val="0"/>
              <w:rPr>
                <w:rFonts w:ascii="Times New Roman" w:hAnsi="Times New Roman"/>
                <w:color w:val="auto"/>
                <w:lang w:eastAsia="en-US"/>
              </w:rPr>
            </w:pPr>
            <w:r>
              <w:rPr>
                <w:rFonts w:ascii="Times New Roman" w:hAnsi="Times New Roman"/>
                <w:color w:val="auto"/>
                <w:lang w:eastAsia="en-US"/>
              </w:rPr>
              <w:t>合计</w:t>
            </w:r>
          </w:p>
        </w:tc>
        <w:tc>
          <w:tcPr>
            <w:tcW w:w="1589" w:type="dxa"/>
            <w:tcBorders>
              <w:tl2br w:val="nil"/>
              <w:tr2bl w:val="nil"/>
            </w:tcBorders>
            <w:vAlign w:val="center"/>
          </w:tcPr>
          <w:p w14:paraId="41C09D60">
            <w:pPr>
              <w:pStyle w:val="56"/>
              <w:autoSpaceDE w:val="0"/>
              <w:autoSpaceDN w:val="0"/>
              <w:rPr>
                <w:rFonts w:ascii="Times New Roman" w:hAnsi="Times New Roman"/>
                <w:color w:val="auto"/>
                <w:lang w:eastAsia="en-US"/>
              </w:rPr>
            </w:pPr>
          </w:p>
        </w:tc>
        <w:tc>
          <w:tcPr>
            <w:tcW w:w="1371" w:type="dxa"/>
            <w:tcBorders>
              <w:tl2br w:val="nil"/>
              <w:tr2bl w:val="nil"/>
            </w:tcBorders>
            <w:vAlign w:val="center"/>
          </w:tcPr>
          <w:p w14:paraId="41A83BFB">
            <w:pPr>
              <w:pStyle w:val="56"/>
              <w:autoSpaceDE w:val="0"/>
              <w:autoSpaceDN w:val="0"/>
              <w:rPr>
                <w:rFonts w:ascii="Times New Roman" w:hAnsi="Times New Roman"/>
                <w:color w:val="auto"/>
                <w:lang w:eastAsia="en-US"/>
              </w:rPr>
            </w:pPr>
          </w:p>
        </w:tc>
        <w:tc>
          <w:tcPr>
            <w:tcW w:w="1513" w:type="dxa"/>
            <w:tcBorders>
              <w:tl2br w:val="nil"/>
              <w:tr2bl w:val="nil"/>
            </w:tcBorders>
            <w:vAlign w:val="center"/>
          </w:tcPr>
          <w:p w14:paraId="6DB6911F">
            <w:pPr>
              <w:pStyle w:val="56"/>
              <w:autoSpaceDE w:val="0"/>
              <w:autoSpaceDN w:val="0"/>
              <w:rPr>
                <w:rFonts w:ascii="Times New Roman" w:hAnsi="Times New Roman"/>
                <w:color w:val="auto"/>
                <w:lang w:val="en-US" w:eastAsia="en-US"/>
              </w:rPr>
            </w:pPr>
          </w:p>
        </w:tc>
        <w:tc>
          <w:tcPr>
            <w:tcW w:w="1152" w:type="dxa"/>
            <w:tcBorders>
              <w:tl2br w:val="nil"/>
              <w:tr2bl w:val="nil"/>
            </w:tcBorders>
            <w:vAlign w:val="center"/>
          </w:tcPr>
          <w:p w14:paraId="70B1CF21">
            <w:pPr>
              <w:pStyle w:val="56"/>
              <w:autoSpaceDE w:val="0"/>
              <w:autoSpaceDN w:val="0"/>
              <w:rPr>
                <w:rFonts w:ascii="Times New Roman" w:hAnsi="Times New Roman"/>
                <w:color w:val="auto"/>
                <w:lang w:val="en-US" w:eastAsia="en-US"/>
              </w:rPr>
            </w:pPr>
          </w:p>
        </w:tc>
        <w:tc>
          <w:tcPr>
            <w:tcW w:w="1153" w:type="dxa"/>
            <w:tcBorders>
              <w:tl2br w:val="nil"/>
              <w:tr2bl w:val="nil"/>
            </w:tcBorders>
            <w:vAlign w:val="center"/>
          </w:tcPr>
          <w:p w14:paraId="0C2E8793">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954</w:t>
            </w:r>
          </w:p>
        </w:tc>
      </w:tr>
    </w:tbl>
    <w:p w14:paraId="1C73BAA6">
      <w:pPr>
        <w:ind w:firstLine="0" w:firstLineChars="0"/>
        <w:jc w:val="center"/>
        <w:rPr>
          <w:rFonts w:ascii="Times New Roman" w:hAnsi="Times New Roman" w:cs="Times New Roman"/>
          <w:b/>
          <w:bCs/>
          <w:color w:val="auto"/>
        </w:rPr>
      </w:pPr>
      <w:r>
        <w:rPr>
          <w:rFonts w:ascii="Times New Roman" w:hAnsi="Times New Roman" w:cs="Times New Roman"/>
          <w:b/>
          <w:bCs/>
          <w:color w:val="auto"/>
        </w:rPr>
        <w:t>表</w:t>
      </w:r>
      <w:r>
        <w:rPr>
          <w:rFonts w:hint="eastAsia" w:cs="Times New Roman"/>
          <w:b/>
          <w:bCs/>
          <w:color w:val="auto"/>
          <w:lang w:val="en-US" w:eastAsia="zh-CN"/>
        </w:rPr>
        <w:t>5</w:t>
      </w:r>
      <w:r>
        <w:rPr>
          <w:rFonts w:hint="eastAsia" w:ascii="Times New Roman" w:hAnsi="Times New Roman" w:cs="Times New Roman"/>
          <w:b/>
          <w:bCs/>
          <w:color w:val="auto"/>
          <w:lang w:val="en-US" w:eastAsia="zh-CN"/>
        </w:rPr>
        <w:t>.3-3</w:t>
      </w:r>
      <w:r>
        <w:rPr>
          <w:rFonts w:ascii="Times New Roman" w:hAnsi="Times New Roman" w:cs="Times New Roman"/>
          <w:b/>
          <w:bCs/>
          <w:color w:val="auto"/>
        </w:rPr>
        <w:t xml:space="preserve">     动物粪便管理氧化亚氮间接排放一览表</w:t>
      </w:r>
    </w:p>
    <w:tbl>
      <w:tblPr>
        <w:tblStyle w:val="81"/>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83"/>
        <w:gridCol w:w="601"/>
        <w:gridCol w:w="797"/>
        <w:gridCol w:w="1060"/>
        <w:gridCol w:w="995"/>
        <w:gridCol w:w="699"/>
        <w:gridCol w:w="1655"/>
        <w:gridCol w:w="764"/>
        <w:gridCol w:w="470"/>
        <w:gridCol w:w="720"/>
      </w:tblGrid>
      <w:tr w14:paraId="1834B5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1083" w:type="dxa"/>
            <w:vMerge w:val="restart"/>
            <w:tcBorders>
              <w:tl2br w:val="nil"/>
              <w:tr2bl w:val="nil"/>
            </w:tcBorders>
            <w:vAlign w:val="center"/>
          </w:tcPr>
          <w:p w14:paraId="10D07FF2">
            <w:pPr>
              <w:pStyle w:val="56"/>
              <w:autoSpaceDE w:val="0"/>
              <w:autoSpaceDN w:val="0"/>
              <w:rPr>
                <w:rFonts w:ascii="Times New Roman" w:hAnsi="Times New Roman"/>
                <w:color w:val="auto"/>
                <w:sz w:val="20"/>
                <w:szCs w:val="20"/>
                <w:lang w:val="en-US" w:eastAsia="en-US"/>
              </w:rPr>
            </w:pPr>
            <w:r>
              <w:rPr>
                <w:rFonts w:asciiTheme="minorHAnsi" w:hAnsiTheme="minorHAnsi"/>
                <w:color w:val="auto"/>
                <w:sz w:val="20"/>
                <w:szCs w:val="20"/>
                <w:lang w:eastAsia="en-US"/>
              </w:rPr>
              <mc:AlternateContent>
                <mc:Choice Requires="wps">
                  <w:drawing>
                    <wp:anchor distT="0" distB="0" distL="114300" distR="114300" simplePos="0" relativeHeight="251664384" behindDoc="0" locked="0" layoutInCell="1" allowOverlap="1">
                      <wp:simplePos x="0" y="0"/>
                      <wp:positionH relativeFrom="column">
                        <wp:posOffset>41275</wp:posOffset>
                      </wp:positionH>
                      <wp:positionV relativeFrom="paragraph">
                        <wp:posOffset>-10795</wp:posOffset>
                      </wp:positionV>
                      <wp:extent cx="645795" cy="1257300"/>
                      <wp:effectExtent l="4445" t="1905" r="16510" b="17145"/>
                      <wp:wrapNone/>
                      <wp:docPr id="141" name="直接连接符 141"/>
                      <wp:cNvGraphicFramePr/>
                      <a:graphic xmlns:a="http://schemas.openxmlformats.org/drawingml/2006/main">
                        <a:graphicData uri="http://schemas.microsoft.com/office/word/2010/wordprocessingShape">
                          <wps:wsp>
                            <wps:cNvCnPr/>
                            <wps:spPr>
                              <a:xfrm>
                                <a:off x="0" y="0"/>
                                <a:ext cx="645795" cy="1257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0.85pt;height:99pt;width:50.85pt;z-index:251664384;mso-width-relative:page;mso-height-relative:page;" filled="f" stroked="t" coordsize="21600,21600" o:gfxdata="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28JQf1wAAAAgBAAAP&#10;AAAAAAAAAAEAIAAAACIAAABkcnMvZG93bnJldi54bWxQSwECFAAUAAAACACHTuJA6alVYOABAACj&#10;AwAADgAAAAAAAAABACAAAAAmAQAAZHJzL2Uyb0RvYy54bWxQSwUGAAAAAAYABgBZAQAAeAUAAAAA&#10;">
                      <v:fill on="f" focussize="0,0"/>
                      <v:stroke color="#000000 [3213]" joinstyle="round"/>
                      <v:imagedata o:title=""/>
                      <o:lock v:ext="edit" aspectratio="f"/>
                    </v:line>
                  </w:pict>
                </mc:Fallback>
              </mc:AlternateContent>
            </w:r>
            <w:r>
              <w:rPr>
                <w:rFonts w:ascii="Times New Roman" w:hAnsi="Times New Roman"/>
                <w:color w:val="auto"/>
                <w:sz w:val="20"/>
                <w:szCs w:val="20"/>
                <w:lang w:val="en-US" w:eastAsia="zh-CN"/>
              </w:rPr>
              <w:t xml:space="preserve">  </w:t>
            </w:r>
            <w:r>
              <w:rPr>
                <w:rFonts w:ascii="Times New Roman" w:hAnsi="Times New Roman"/>
                <w:color w:val="auto"/>
                <w:sz w:val="20"/>
                <w:szCs w:val="20"/>
                <w:lang w:val="en-US" w:eastAsia="en-US"/>
              </w:rPr>
              <w:t>参数</w:t>
            </w:r>
          </w:p>
          <w:p w14:paraId="5E157A8C">
            <w:pPr>
              <w:pStyle w:val="56"/>
              <w:autoSpaceDE w:val="0"/>
              <w:autoSpaceDN w:val="0"/>
              <w:rPr>
                <w:rFonts w:ascii="Times New Roman" w:hAnsi="Times New Roman"/>
                <w:color w:val="auto"/>
                <w:sz w:val="20"/>
                <w:szCs w:val="20"/>
                <w:lang w:val="en-US" w:eastAsia="en-US"/>
              </w:rPr>
            </w:pPr>
          </w:p>
          <w:p w14:paraId="121C7E28">
            <w:pPr>
              <w:pStyle w:val="56"/>
              <w:autoSpaceDE w:val="0"/>
              <w:autoSpaceDN w:val="0"/>
              <w:rPr>
                <w:rFonts w:ascii="Times New Roman" w:hAnsi="Times New Roman"/>
                <w:color w:val="auto"/>
                <w:sz w:val="20"/>
                <w:szCs w:val="20"/>
                <w:lang w:val="en-US" w:eastAsia="en-US"/>
              </w:rPr>
            </w:pPr>
          </w:p>
          <w:p w14:paraId="0ED9E30E">
            <w:pPr>
              <w:pStyle w:val="56"/>
              <w:autoSpaceDE w:val="0"/>
              <w:autoSpaceDN w:val="0"/>
              <w:rPr>
                <w:rFonts w:ascii="Times New Roman" w:hAnsi="Times New Roman"/>
                <w:color w:val="auto"/>
                <w:sz w:val="20"/>
                <w:szCs w:val="20"/>
                <w:lang w:val="en-US" w:eastAsia="en-US"/>
              </w:rPr>
            </w:pPr>
          </w:p>
          <w:p w14:paraId="71114504">
            <w:pPr>
              <w:pStyle w:val="56"/>
              <w:autoSpaceDE w:val="0"/>
              <w:autoSpaceDN w:val="0"/>
              <w:jc w:val="both"/>
              <w:rPr>
                <w:rFonts w:ascii="Times New Roman" w:hAnsi="Times New Roman"/>
                <w:color w:val="auto"/>
                <w:sz w:val="20"/>
                <w:szCs w:val="20"/>
                <w:lang w:val="en-US" w:eastAsia="en-US"/>
              </w:rPr>
            </w:pPr>
            <w:r>
              <w:rPr>
                <w:rFonts w:ascii="Times New Roman" w:hAnsi="Times New Roman"/>
                <w:color w:val="auto"/>
                <w:sz w:val="20"/>
                <w:szCs w:val="20"/>
                <w:lang w:val="en-US" w:eastAsia="en-US"/>
              </w:rPr>
              <w:t>温室</w:t>
            </w:r>
          </w:p>
          <w:p w14:paraId="764C5AD6">
            <w:pPr>
              <w:pStyle w:val="56"/>
              <w:autoSpaceDE w:val="0"/>
              <w:autoSpaceDN w:val="0"/>
              <w:jc w:val="both"/>
              <w:rPr>
                <w:rFonts w:ascii="Times New Roman" w:hAnsi="Times New Roman"/>
                <w:color w:val="auto"/>
                <w:sz w:val="20"/>
                <w:szCs w:val="20"/>
                <w:lang w:val="en-US" w:eastAsia="en-US"/>
              </w:rPr>
            </w:pPr>
            <w:r>
              <w:rPr>
                <w:rFonts w:ascii="Times New Roman" w:hAnsi="Times New Roman"/>
                <w:color w:val="auto"/>
                <w:sz w:val="20"/>
                <w:szCs w:val="20"/>
                <w:lang w:val="en-US" w:eastAsia="en-US"/>
              </w:rPr>
              <w:t>气体</w:t>
            </w:r>
          </w:p>
        </w:tc>
        <w:tc>
          <w:tcPr>
            <w:tcW w:w="601" w:type="dxa"/>
            <w:vMerge w:val="restart"/>
            <w:tcBorders>
              <w:tl2br w:val="nil"/>
              <w:tr2bl w:val="nil"/>
            </w:tcBorders>
            <w:vAlign w:val="center"/>
          </w:tcPr>
          <w:p w14:paraId="42A357EA">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N</w:t>
            </w:r>
            <w:r>
              <w:rPr>
                <w:rFonts w:ascii="Times New Roman" w:hAnsi="Times New Roman"/>
                <w:color w:val="auto"/>
                <w:sz w:val="20"/>
                <w:szCs w:val="20"/>
                <w:vertAlign w:val="subscript"/>
                <w:lang w:val="en-US" w:eastAsia="en-US"/>
              </w:rPr>
              <w:t>i</w:t>
            </w:r>
          </w:p>
        </w:tc>
        <w:tc>
          <w:tcPr>
            <w:tcW w:w="797" w:type="dxa"/>
            <w:vMerge w:val="restart"/>
            <w:tcBorders>
              <w:tl2br w:val="nil"/>
              <w:tr2bl w:val="nil"/>
            </w:tcBorders>
            <w:vAlign w:val="center"/>
          </w:tcPr>
          <w:p w14:paraId="7BBAC8ED">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Nex</w:t>
            </w:r>
            <w:r>
              <w:rPr>
                <w:rFonts w:ascii="Times New Roman" w:hAnsi="Times New Roman"/>
                <w:color w:val="auto"/>
                <w:sz w:val="20"/>
                <w:szCs w:val="20"/>
                <w:vertAlign w:val="subscript"/>
                <w:lang w:val="en-US" w:eastAsia="en-US"/>
              </w:rPr>
              <w:t>i</w:t>
            </w:r>
          </w:p>
        </w:tc>
        <w:tc>
          <w:tcPr>
            <w:tcW w:w="1060" w:type="dxa"/>
            <w:tcBorders>
              <w:tl2br w:val="nil"/>
              <w:tr2bl w:val="nil"/>
            </w:tcBorders>
            <w:vAlign w:val="center"/>
          </w:tcPr>
          <w:p w14:paraId="06689396">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MS</w:t>
            </w:r>
            <w:r>
              <w:rPr>
                <w:rFonts w:ascii="Times New Roman" w:hAnsi="Times New Roman"/>
                <w:color w:val="auto"/>
                <w:sz w:val="20"/>
                <w:szCs w:val="20"/>
                <w:vertAlign w:val="subscript"/>
                <w:lang w:val="en-US" w:eastAsia="en-US"/>
              </w:rPr>
              <w:t>i,j</w:t>
            </w:r>
          </w:p>
        </w:tc>
        <w:tc>
          <w:tcPr>
            <w:tcW w:w="995" w:type="dxa"/>
            <w:tcBorders>
              <w:tl2br w:val="nil"/>
              <w:tr2bl w:val="nil"/>
            </w:tcBorders>
            <w:vAlign w:val="center"/>
          </w:tcPr>
          <w:p w14:paraId="50B4C3D3">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Frac</w:t>
            </w:r>
            <w:r>
              <w:rPr>
                <w:rFonts w:ascii="Times New Roman" w:hAnsi="Times New Roman"/>
                <w:color w:val="auto"/>
                <w:sz w:val="20"/>
                <w:szCs w:val="20"/>
                <w:vertAlign w:val="subscript"/>
                <w:lang w:val="en-US" w:eastAsia="en-US"/>
              </w:rPr>
              <w:t>Gas,MS</w:t>
            </w:r>
          </w:p>
        </w:tc>
        <w:tc>
          <w:tcPr>
            <w:tcW w:w="699" w:type="dxa"/>
            <w:vMerge w:val="restart"/>
            <w:tcBorders>
              <w:tl2br w:val="nil"/>
              <w:tr2bl w:val="nil"/>
            </w:tcBorders>
            <w:vAlign w:val="center"/>
          </w:tcPr>
          <w:p w14:paraId="1BB7DC42">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N</w:t>
            </w:r>
            <w:r>
              <w:rPr>
                <w:rFonts w:ascii="Times New Roman" w:hAnsi="Times New Roman"/>
                <w:color w:val="auto"/>
                <w:sz w:val="20"/>
                <w:szCs w:val="20"/>
                <w:vertAlign w:val="subscript"/>
                <w:lang w:val="en-US" w:eastAsia="en-US"/>
              </w:rPr>
              <w:t>V-MMS,i</w:t>
            </w:r>
          </w:p>
        </w:tc>
        <w:tc>
          <w:tcPr>
            <w:tcW w:w="1655" w:type="dxa"/>
            <w:vMerge w:val="restart"/>
            <w:tcBorders>
              <w:tl2br w:val="nil"/>
              <w:tr2bl w:val="nil"/>
            </w:tcBorders>
            <w:vAlign w:val="center"/>
          </w:tcPr>
          <w:p w14:paraId="7DE41CE1">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EF</w:t>
            </w:r>
            <w:r>
              <w:rPr>
                <w:rFonts w:ascii="Times New Roman" w:hAnsi="Times New Roman"/>
                <w:color w:val="auto"/>
                <w:sz w:val="20"/>
                <w:szCs w:val="20"/>
                <w:vertAlign w:val="subscript"/>
                <w:lang w:val="en-US" w:eastAsia="en-US"/>
              </w:rPr>
              <w:t>4</w:t>
            </w:r>
          </w:p>
        </w:tc>
        <w:tc>
          <w:tcPr>
            <w:tcW w:w="764" w:type="dxa"/>
            <w:vMerge w:val="restart"/>
            <w:tcBorders>
              <w:tl2br w:val="nil"/>
              <w:tr2bl w:val="nil"/>
            </w:tcBorders>
            <w:vAlign w:val="center"/>
          </w:tcPr>
          <w:p w14:paraId="59D41137">
            <w:pPr>
              <w:pStyle w:val="56"/>
              <w:autoSpaceDE w:val="0"/>
              <w:autoSpaceDN w:val="0"/>
              <w:rPr>
                <w:rFonts w:ascii="Cambria Math" w:hAnsi="Cambria Math"/>
                <w:color w:val="auto"/>
                <w:sz w:val="20"/>
                <w:szCs w:val="20"/>
                <w:lang w:val="en-US" w:eastAsia="en-US"/>
                <w:oMath/>
              </w:rPr>
            </w:pPr>
            <m:oMathPara>
              <m:oMath>
                <m:sSub>
                  <m:sSubPr>
                    <m:ctrlPr>
                      <w:rPr>
                        <w:rFonts w:ascii="Cambria Math" w:hAnsi="Cambria Math"/>
                        <w:color w:val="auto"/>
                        <w:sz w:val="20"/>
                        <w:szCs w:val="20"/>
                        <w:lang w:val="en-US" w:eastAsia="en-US"/>
                      </w:rPr>
                    </m:ctrlPr>
                  </m:sSubPr>
                  <m:e>
                    <m:r>
                      <m:rPr>
                        <m:sty m:val="p"/>
                      </m:rPr>
                      <w:rPr>
                        <w:rFonts w:ascii="Cambria Math" w:hAnsi="Cambria Math"/>
                        <w:color w:val="auto"/>
                        <w:sz w:val="20"/>
                        <w:szCs w:val="20"/>
                        <w:lang w:val="en-US" w:eastAsia="en-US"/>
                      </w:rPr>
                      <m:t>E</m:t>
                    </m:r>
                    <m:ctrlPr>
                      <w:rPr>
                        <w:rFonts w:ascii="Cambria Math" w:hAnsi="Cambria Math"/>
                        <w:color w:val="auto"/>
                        <w:sz w:val="20"/>
                        <w:szCs w:val="20"/>
                        <w:lang w:val="en-US" w:eastAsia="en-US"/>
                      </w:rPr>
                    </m:ctrlPr>
                  </m:e>
                  <m:sub>
                    <m:r>
                      <m:rPr>
                        <m:sty m:val="p"/>
                      </m:rPr>
                      <w:rPr>
                        <w:rFonts w:ascii="Cambria Math" w:hAnsi="Cambria Math"/>
                        <w:color w:val="auto"/>
                        <w:sz w:val="20"/>
                        <w:szCs w:val="20"/>
                        <w:lang w:val="en-US" w:eastAsia="en-US"/>
                      </w:rPr>
                      <m:t>M−I−</m:t>
                    </m:r>
                    <m:sSub>
                      <m:sSubPr>
                        <m:ctrlPr>
                          <w:rPr>
                            <w:rFonts w:ascii="Cambria Math" w:hAnsi="Cambria Math"/>
                            <w:color w:val="auto"/>
                            <w:sz w:val="20"/>
                            <w:szCs w:val="20"/>
                            <w:lang w:val="en-US" w:eastAsia="en-US"/>
                          </w:rPr>
                        </m:ctrlPr>
                      </m:sSubPr>
                      <m:e>
                        <m:r>
                          <m:rPr>
                            <m:sty m:val="p"/>
                          </m:rPr>
                          <w:rPr>
                            <w:rFonts w:ascii="Cambria Math" w:hAnsi="Cambria Math"/>
                            <w:color w:val="auto"/>
                            <w:sz w:val="20"/>
                            <w:szCs w:val="20"/>
                            <w:lang w:val="en-US" w:eastAsia="en-US"/>
                          </w:rPr>
                          <m:t>N</m:t>
                        </m:r>
                        <m:ctrlPr>
                          <w:rPr>
                            <w:rFonts w:ascii="Cambria Math" w:hAnsi="Cambria Math"/>
                            <w:color w:val="auto"/>
                            <w:sz w:val="20"/>
                            <w:szCs w:val="20"/>
                            <w:lang w:val="en-US" w:eastAsia="en-US"/>
                          </w:rPr>
                        </m:ctrlPr>
                      </m:e>
                      <m:sub>
                        <m:r>
                          <m:rPr>
                            <m:sty m:val="p"/>
                          </m:rPr>
                          <w:rPr>
                            <w:rFonts w:ascii="Cambria Math" w:hAnsi="Cambria Math"/>
                            <w:color w:val="auto"/>
                            <w:sz w:val="20"/>
                            <w:szCs w:val="20"/>
                            <w:lang w:val="en-US" w:eastAsia="en-US"/>
                          </w:rPr>
                          <m:t>2</m:t>
                        </m:r>
                        <m:ctrlPr>
                          <w:rPr>
                            <w:rFonts w:ascii="Cambria Math" w:hAnsi="Cambria Math"/>
                            <w:color w:val="auto"/>
                            <w:sz w:val="20"/>
                            <w:szCs w:val="20"/>
                            <w:lang w:val="en-US" w:eastAsia="en-US"/>
                          </w:rPr>
                        </m:ctrlPr>
                      </m:sub>
                    </m:sSub>
                    <m:r>
                      <m:rPr>
                        <m:sty m:val="p"/>
                      </m:rPr>
                      <w:rPr>
                        <w:rFonts w:ascii="Cambria Math" w:hAnsi="Cambria Math"/>
                        <w:color w:val="auto"/>
                        <w:sz w:val="20"/>
                        <w:szCs w:val="20"/>
                        <w:lang w:val="en-US" w:eastAsia="en-US"/>
                      </w:rPr>
                      <m:t>O,i</m:t>
                    </m:r>
                    <m:ctrlPr>
                      <w:rPr>
                        <w:rFonts w:ascii="Cambria Math" w:hAnsi="Cambria Math"/>
                        <w:color w:val="auto"/>
                        <w:sz w:val="20"/>
                        <w:szCs w:val="20"/>
                        <w:lang w:val="en-US" w:eastAsia="en-US"/>
                      </w:rPr>
                    </m:ctrlPr>
                  </m:sub>
                </m:sSub>
              </m:oMath>
            </m:oMathPara>
          </w:p>
        </w:tc>
        <w:tc>
          <w:tcPr>
            <w:tcW w:w="470" w:type="dxa"/>
            <w:vMerge w:val="restart"/>
            <w:tcBorders>
              <w:tl2br w:val="nil"/>
              <w:tr2bl w:val="nil"/>
            </w:tcBorders>
            <w:vAlign w:val="center"/>
          </w:tcPr>
          <w:p w14:paraId="319EB402">
            <w:pPr>
              <w:pStyle w:val="56"/>
              <w:autoSpaceDE w:val="0"/>
              <w:autoSpaceDN w:val="0"/>
              <w:rPr>
                <w:rFonts w:ascii="Cambria Math" w:hAnsi="Cambria Math"/>
                <w:color w:val="auto"/>
                <w:sz w:val="20"/>
                <w:szCs w:val="20"/>
                <w:lang w:val="en-US" w:eastAsia="en-US"/>
                <w:oMath/>
              </w:rPr>
            </w:pPr>
            <w:r>
              <w:rPr>
                <w:rFonts w:ascii="Times New Roman" w:hAnsi="Times New Roman"/>
                <w:color w:val="auto"/>
                <w:sz w:val="20"/>
                <w:szCs w:val="20"/>
                <w:lang w:val="en-US" w:eastAsia="en-US"/>
              </w:rPr>
              <w:t>GWP</w:t>
            </w:r>
          </w:p>
        </w:tc>
        <w:tc>
          <w:tcPr>
            <w:tcW w:w="720" w:type="dxa"/>
            <w:vMerge w:val="restart"/>
            <w:tcBorders>
              <w:tl2br w:val="nil"/>
              <w:tr2bl w:val="nil"/>
            </w:tcBorders>
            <w:vAlign w:val="center"/>
          </w:tcPr>
          <w:p w14:paraId="609B0D4C">
            <w:pPr>
              <w:pStyle w:val="56"/>
              <w:autoSpaceDE w:val="0"/>
              <w:autoSpaceDN w:val="0"/>
              <w:rPr>
                <w:rFonts w:ascii="Times New Roman" w:hAnsi="Times New Roman"/>
                <w:color w:val="auto"/>
                <w:sz w:val="20"/>
                <w:szCs w:val="20"/>
                <w:lang w:val="en-US" w:eastAsia="en-US"/>
              </w:rPr>
            </w:pPr>
            <m:oMathPara>
              <m:oMath>
                <m:sSub>
                  <m:sSubPr>
                    <m:ctrlPr>
                      <w:rPr>
                        <w:rFonts w:ascii="Cambria Math" w:hAnsi="Cambria Math"/>
                        <w:color w:val="auto"/>
                        <w:sz w:val="20"/>
                        <w:szCs w:val="20"/>
                        <w:lang w:val="en-US" w:eastAsia="en-US"/>
                      </w:rPr>
                    </m:ctrlPr>
                  </m:sSubPr>
                  <m:e>
                    <m:r>
                      <m:rPr>
                        <m:sty m:val="p"/>
                      </m:rPr>
                      <w:rPr>
                        <w:rFonts w:ascii="Cambria Math" w:hAnsi="Cambria Math"/>
                        <w:color w:val="auto"/>
                        <w:sz w:val="20"/>
                        <w:szCs w:val="20"/>
                        <w:lang w:val="en-US" w:eastAsia="en-US"/>
                      </w:rPr>
                      <m:t>E</m:t>
                    </m:r>
                    <m:ctrlPr>
                      <w:rPr>
                        <w:rFonts w:ascii="Cambria Math" w:hAnsi="Cambria Math"/>
                        <w:color w:val="auto"/>
                        <w:sz w:val="20"/>
                        <w:szCs w:val="20"/>
                        <w:lang w:val="en-US" w:eastAsia="en-US"/>
                      </w:rPr>
                    </m:ctrlPr>
                  </m:e>
                  <m:sub>
                    <m:r>
                      <m:rPr>
                        <m:sty m:val="p"/>
                      </m:rPr>
                      <w:rPr>
                        <w:rFonts w:ascii="Cambria Math" w:hAnsi="Cambria Math"/>
                        <w:color w:val="auto"/>
                        <w:sz w:val="20"/>
                        <w:szCs w:val="20"/>
                        <w:lang w:val="en-US" w:eastAsia="en-US"/>
                      </w:rPr>
                      <m:t>M−I−</m:t>
                    </m:r>
                    <m:sSub>
                      <m:sSubPr>
                        <m:ctrlPr>
                          <w:rPr>
                            <w:rFonts w:ascii="Cambria Math" w:hAnsi="Cambria Math"/>
                            <w:color w:val="auto"/>
                            <w:sz w:val="20"/>
                            <w:szCs w:val="20"/>
                            <w:lang w:val="en-US" w:eastAsia="en-US"/>
                          </w:rPr>
                        </m:ctrlPr>
                      </m:sSubPr>
                      <m:e>
                        <m:r>
                          <m:rPr>
                            <m:sty m:val="p"/>
                          </m:rPr>
                          <w:rPr>
                            <w:rFonts w:ascii="Cambria Math" w:hAnsi="Cambria Math"/>
                            <w:color w:val="auto"/>
                            <w:sz w:val="20"/>
                            <w:szCs w:val="20"/>
                            <w:lang w:val="en-US" w:eastAsia="en-US"/>
                          </w:rPr>
                          <m:t>N</m:t>
                        </m:r>
                        <m:ctrlPr>
                          <w:rPr>
                            <w:rFonts w:ascii="Cambria Math" w:hAnsi="Cambria Math"/>
                            <w:color w:val="auto"/>
                            <w:sz w:val="20"/>
                            <w:szCs w:val="20"/>
                            <w:lang w:val="en-US" w:eastAsia="en-US"/>
                          </w:rPr>
                        </m:ctrlPr>
                      </m:e>
                      <m:sub>
                        <m:r>
                          <m:rPr>
                            <m:sty m:val="p"/>
                          </m:rPr>
                          <w:rPr>
                            <w:rFonts w:ascii="Cambria Math" w:hAnsi="Cambria Math"/>
                            <w:color w:val="auto"/>
                            <w:sz w:val="20"/>
                            <w:szCs w:val="20"/>
                            <w:lang w:val="en-US" w:eastAsia="en-US"/>
                          </w:rPr>
                          <m:t>2</m:t>
                        </m:r>
                        <m:ctrlPr>
                          <w:rPr>
                            <w:rFonts w:ascii="Cambria Math" w:hAnsi="Cambria Math"/>
                            <w:color w:val="auto"/>
                            <w:sz w:val="20"/>
                            <w:szCs w:val="20"/>
                            <w:lang w:val="en-US" w:eastAsia="en-US"/>
                          </w:rPr>
                        </m:ctrlPr>
                      </m:sub>
                    </m:sSub>
                    <m:r>
                      <m:rPr>
                        <m:sty m:val="p"/>
                      </m:rPr>
                      <w:rPr>
                        <w:rFonts w:ascii="Cambria Math" w:hAnsi="Cambria Math"/>
                        <w:color w:val="auto"/>
                        <w:sz w:val="20"/>
                        <w:szCs w:val="20"/>
                        <w:lang w:val="en-US" w:eastAsia="en-US"/>
                      </w:rPr>
                      <m:t>O</m:t>
                    </m:r>
                    <m:ctrlPr>
                      <w:rPr>
                        <w:rFonts w:ascii="Cambria Math" w:hAnsi="Cambria Math"/>
                        <w:color w:val="auto"/>
                        <w:sz w:val="20"/>
                        <w:szCs w:val="20"/>
                        <w:lang w:val="en-US" w:eastAsia="en-US"/>
                      </w:rPr>
                    </m:ctrlPr>
                  </m:sub>
                </m:sSub>
              </m:oMath>
            </m:oMathPara>
          </w:p>
        </w:tc>
      </w:tr>
      <w:tr w14:paraId="5DBEE4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1083" w:type="dxa"/>
            <w:vMerge w:val="continue"/>
            <w:tcBorders>
              <w:tl2br w:val="nil"/>
              <w:tr2bl w:val="nil"/>
            </w:tcBorders>
            <w:vAlign w:val="center"/>
          </w:tcPr>
          <w:p w14:paraId="447547E1">
            <w:pPr>
              <w:pStyle w:val="56"/>
              <w:autoSpaceDE w:val="0"/>
              <w:autoSpaceDN w:val="0"/>
              <w:rPr>
                <w:rFonts w:ascii="Times New Roman" w:hAnsi="Times New Roman"/>
                <w:color w:val="auto"/>
                <w:sz w:val="20"/>
                <w:szCs w:val="20"/>
                <w:lang w:eastAsia="en-US"/>
              </w:rPr>
            </w:pPr>
          </w:p>
        </w:tc>
        <w:tc>
          <w:tcPr>
            <w:tcW w:w="601" w:type="dxa"/>
            <w:vMerge w:val="continue"/>
            <w:tcBorders>
              <w:tl2br w:val="nil"/>
              <w:tr2bl w:val="nil"/>
            </w:tcBorders>
            <w:vAlign w:val="center"/>
          </w:tcPr>
          <w:p w14:paraId="7BA05862">
            <w:pPr>
              <w:pStyle w:val="56"/>
              <w:autoSpaceDE w:val="0"/>
              <w:autoSpaceDN w:val="0"/>
              <w:rPr>
                <w:rFonts w:ascii="Times New Roman" w:hAnsi="Times New Roman"/>
                <w:color w:val="auto"/>
                <w:sz w:val="20"/>
                <w:szCs w:val="20"/>
                <w:lang w:eastAsia="en-US"/>
              </w:rPr>
            </w:pPr>
          </w:p>
        </w:tc>
        <w:tc>
          <w:tcPr>
            <w:tcW w:w="797" w:type="dxa"/>
            <w:vMerge w:val="continue"/>
            <w:tcBorders>
              <w:tl2br w:val="nil"/>
              <w:tr2bl w:val="nil"/>
            </w:tcBorders>
            <w:vAlign w:val="center"/>
          </w:tcPr>
          <w:p w14:paraId="5ACE510C">
            <w:pPr>
              <w:pStyle w:val="56"/>
              <w:autoSpaceDE w:val="0"/>
              <w:autoSpaceDN w:val="0"/>
              <w:rPr>
                <w:rFonts w:ascii="Times New Roman" w:hAnsi="Times New Roman"/>
                <w:color w:val="auto"/>
                <w:sz w:val="20"/>
                <w:szCs w:val="20"/>
                <w:lang w:eastAsia="en-US"/>
              </w:rPr>
            </w:pPr>
          </w:p>
        </w:tc>
        <w:tc>
          <w:tcPr>
            <w:tcW w:w="1060" w:type="dxa"/>
            <w:tcBorders>
              <w:tl2br w:val="nil"/>
              <w:tr2bl w:val="nil"/>
            </w:tcBorders>
            <w:vAlign w:val="center"/>
          </w:tcPr>
          <w:p w14:paraId="043994CE">
            <w:pPr>
              <w:pStyle w:val="56"/>
              <w:autoSpaceDE w:val="0"/>
              <w:autoSpaceDN w:val="0"/>
              <w:rPr>
                <w:rFonts w:ascii="Times New Roman" w:hAnsi="Times New Roman"/>
                <w:color w:val="auto"/>
                <w:sz w:val="20"/>
                <w:szCs w:val="20"/>
                <w:lang w:val="en-US" w:eastAsia="en-US"/>
              </w:rPr>
            </w:pPr>
            <w:r>
              <w:rPr>
                <w:rFonts w:hint="eastAsia" w:ascii="Times New Roman" w:hAnsi="Times New Roman" w:cs="Times New Roman"/>
                <w:color w:val="auto"/>
                <w:lang w:val="en-US" w:eastAsia="zh-CN"/>
              </w:rPr>
              <w:t>舍内粪坑存储</w:t>
            </w:r>
          </w:p>
        </w:tc>
        <w:tc>
          <w:tcPr>
            <w:tcW w:w="995" w:type="dxa"/>
            <w:tcBorders>
              <w:tl2br w:val="nil"/>
              <w:tr2bl w:val="nil"/>
            </w:tcBorders>
            <w:vAlign w:val="center"/>
          </w:tcPr>
          <w:p w14:paraId="61B73033">
            <w:pPr>
              <w:pStyle w:val="56"/>
              <w:autoSpaceDE w:val="0"/>
              <w:autoSpaceDN w:val="0"/>
              <w:rPr>
                <w:rFonts w:ascii="Times New Roman" w:hAnsi="Times New Roman"/>
                <w:color w:val="auto"/>
                <w:sz w:val="20"/>
                <w:szCs w:val="20"/>
                <w:lang w:val="en-US" w:eastAsia="en-US"/>
              </w:rPr>
            </w:pPr>
            <w:r>
              <w:rPr>
                <w:rFonts w:hint="eastAsia" w:ascii="Times New Roman" w:hAnsi="Times New Roman" w:cs="Times New Roman"/>
                <w:color w:val="auto"/>
                <w:lang w:val="en-US" w:eastAsia="zh-CN"/>
              </w:rPr>
              <w:t>舍内粪坑存储</w:t>
            </w:r>
          </w:p>
        </w:tc>
        <w:tc>
          <w:tcPr>
            <w:tcW w:w="699" w:type="dxa"/>
            <w:vMerge w:val="continue"/>
            <w:tcBorders>
              <w:tl2br w:val="nil"/>
              <w:tr2bl w:val="nil"/>
            </w:tcBorders>
            <w:vAlign w:val="center"/>
          </w:tcPr>
          <w:p w14:paraId="72786CAB">
            <w:pPr>
              <w:pStyle w:val="56"/>
              <w:autoSpaceDE w:val="0"/>
              <w:autoSpaceDN w:val="0"/>
              <w:rPr>
                <w:rFonts w:ascii="Times New Roman" w:hAnsi="Times New Roman"/>
                <w:color w:val="auto"/>
                <w:sz w:val="20"/>
                <w:szCs w:val="20"/>
                <w:lang w:val="en-US" w:eastAsia="en-US"/>
              </w:rPr>
            </w:pPr>
          </w:p>
        </w:tc>
        <w:tc>
          <w:tcPr>
            <w:tcW w:w="1655" w:type="dxa"/>
            <w:vMerge w:val="continue"/>
            <w:tcBorders>
              <w:tl2br w:val="nil"/>
              <w:tr2bl w:val="nil"/>
            </w:tcBorders>
            <w:vAlign w:val="center"/>
          </w:tcPr>
          <w:p w14:paraId="356ED806">
            <w:pPr>
              <w:pStyle w:val="56"/>
              <w:autoSpaceDE w:val="0"/>
              <w:autoSpaceDN w:val="0"/>
              <w:rPr>
                <w:rFonts w:ascii="Times New Roman" w:hAnsi="Times New Roman"/>
                <w:color w:val="auto"/>
                <w:sz w:val="20"/>
                <w:szCs w:val="20"/>
                <w:lang w:val="en-US" w:eastAsia="en-US"/>
              </w:rPr>
            </w:pPr>
          </w:p>
        </w:tc>
        <w:tc>
          <w:tcPr>
            <w:tcW w:w="764" w:type="dxa"/>
            <w:vMerge w:val="continue"/>
            <w:tcBorders>
              <w:tl2br w:val="nil"/>
              <w:tr2bl w:val="nil"/>
            </w:tcBorders>
            <w:vAlign w:val="center"/>
          </w:tcPr>
          <w:p w14:paraId="41B5B176">
            <w:pPr>
              <w:pStyle w:val="56"/>
              <w:autoSpaceDE w:val="0"/>
              <w:autoSpaceDN w:val="0"/>
              <w:rPr>
                <w:rFonts w:ascii="Times New Roman" w:hAnsi="Times New Roman"/>
                <w:color w:val="auto"/>
                <w:sz w:val="20"/>
                <w:szCs w:val="20"/>
                <w:lang w:val="en-US" w:eastAsia="en-US"/>
              </w:rPr>
            </w:pPr>
          </w:p>
        </w:tc>
        <w:tc>
          <w:tcPr>
            <w:tcW w:w="470" w:type="dxa"/>
            <w:vMerge w:val="continue"/>
            <w:tcBorders>
              <w:tl2br w:val="nil"/>
              <w:tr2bl w:val="nil"/>
            </w:tcBorders>
            <w:vAlign w:val="center"/>
          </w:tcPr>
          <w:p w14:paraId="522C0B00">
            <w:pPr>
              <w:pStyle w:val="56"/>
              <w:autoSpaceDE w:val="0"/>
              <w:autoSpaceDN w:val="0"/>
              <w:rPr>
                <w:rFonts w:ascii="Times New Roman" w:hAnsi="Times New Roman"/>
                <w:color w:val="auto"/>
                <w:sz w:val="20"/>
                <w:szCs w:val="20"/>
                <w:lang w:val="en-US" w:eastAsia="en-US"/>
              </w:rPr>
            </w:pPr>
          </w:p>
        </w:tc>
        <w:tc>
          <w:tcPr>
            <w:tcW w:w="720" w:type="dxa"/>
            <w:vMerge w:val="continue"/>
            <w:tcBorders>
              <w:tl2br w:val="nil"/>
              <w:tr2bl w:val="nil"/>
            </w:tcBorders>
            <w:vAlign w:val="center"/>
          </w:tcPr>
          <w:p w14:paraId="6EB553B6">
            <w:pPr>
              <w:pStyle w:val="56"/>
              <w:autoSpaceDE w:val="0"/>
              <w:autoSpaceDN w:val="0"/>
              <w:rPr>
                <w:rFonts w:ascii="Times New Roman" w:hAnsi="Times New Roman"/>
                <w:color w:val="auto"/>
                <w:sz w:val="20"/>
                <w:szCs w:val="20"/>
                <w:lang w:val="en-US" w:eastAsia="en-US"/>
              </w:rPr>
            </w:pPr>
          </w:p>
        </w:tc>
      </w:tr>
      <w:tr w14:paraId="58D653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83" w:type="dxa"/>
            <w:vMerge w:val="continue"/>
            <w:tcBorders>
              <w:tl2br w:val="nil"/>
              <w:tr2bl w:val="nil"/>
            </w:tcBorders>
            <w:vAlign w:val="center"/>
          </w:tcPr>
          <w:p w14:paraId="4E98B3E6">
            <w:pPr>
              <w:pStyle w:val="56"/>
              <w:autoSpaceDE w:val="0"/>
              <w:autoSpaceDN w:val="0"/>
              <w:rPr>
                <w:rFonts w:ascii="Times New Roman" w:hAnsi="Times New Roman"/>
                <w:color w:val="auto"/>
                <w:sz w:val="20"/>
                <w:szCs w:val="20"/>
                <w:lang w:val="en-US" w:eastAsia="en-US"/>
              </w:rPr>
            </w:pPr>
          </w:p>
        </w:tc>
        <w:tc>
          <w:tcPr>
            <w:tcW w:w="601" w:type="dxa"/>
            <w:tcBorders>
              <w:tl2br w:val="nil"/>
              <w:tr2bl w:val="nil"/>
            </w:tcBorders>
            <w:vAlign w:val="center"/>
          </w:tcPr>
          <w:p w14:paraId="30ACF665">
            <w:pPr>
              <w:pStyle w:val="56"/>
              <w:autoSpaceDE w:val="0"/>
              <w:autoSpaceDN w:val="0"/>
              <w:rPr>
                <w:rFonts w:hint="eastAsia" w:ascii="Times New Roman" w:hAnsi="Times New Roman" w:eastAsia="宋体"/>
                <w:color w:val="auto"/>
                <w:sz w:val="20"/>
                <w:szCs w:val="20"/>
                <w:lang w:val="en-US" w:eastAsia="zh-CN"/>
              </w:rPr>
            </w:pPr>
            <w:r>
              <w:rPr>
                <w:rFonts w:hint="eastAsia" w:ascii="Times New Roman" w:hAnsi="Times New Roman"/>
                <w:color w:val="auto"/>
                <w:sz w:val="20"/>
                <w:szCs w:val="20"/>
                <w:lang w:val="en-US" w:eastAsia="zh-CN"/>
              </w:rPr>
              <w:t>只</w:t>
            </w:r>
          </w:p>
        </w:tc>
        <w:tc>
          <w:tcPr>
            <w:tcW w:w="797" w:type="dxa"/>
            <w:tcBorders>
              <w:tl2br w:val="nil"/>
              <w:tr2bl w:val="nil"/>
            </w:tcBorders>
            <w:vAlign w:val="center"/>
          </w:tcPr>
          <w:p w14:paraId="04167D05">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kg N/</w:t>
            </w:r>
            <w:r>
              <w:rPr>
                <w:rFonts w:hint="eastAsia" w:ascii="Times New Roman" w:hAnsi="Times New Roman"/>
                <w:color w:val="auto"/>
                <w:sz w:val="20"/>
                <w:szCs w:val="20"/>
                <w:lang w:val="en-US" w:eastAsia="zh-CN"/>
              </w:rPr>
              <w:t>只</w:t>
            </w:r>
            <w:r>
              <w:rPr>
                <w:rFonts w:ascii="Times New Roman" w:hAnsi="Times New Roman"/>
                <w:color w:val="auto"/>
                <w:sz w:val="20"/>
                <w:szCs w:val="20"/>
                <w:lang w:val="en-US" w:eastAsia="en-US"/>
              </w:rPr>
              <w:t>/a</w:t>
            </w:r>
          </w:p>
        </w:tc>
        <w:tc>
          <w:tcPr>
            <w:tcW w:w="1060" w:type="dxa"/>
            <w:tcBorders>
              <w:tl2br w:val="nil"/>
              <w:tr2bl w:val="nil"/>
            </w:tcBorders>
            <w:vAlign w:val="center"/>
          </w:tcPr>
          <w:p w14:paraId="1417FAE0">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w:t>
            </w:r>
          </w:p>
        </w:tc>
        <w:tc>
          <w:tcPr>
            <w:tcW w:w="995" w:type="dxa"/>
            <w:tcBorders>
              <w:tl2br w:val="nil"/>
              <w:tr2bl w:val="nil"/>
            </w:tcBorders>
            <w:vAlign w:val="center"/>
          </w:tcPr>
          <w:p w14:paraId="5C277AF2">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w:t>
            </w:r>
          </w:p>
        </w:tc>
        <w:tc>
          <w:tcPr>
            <w:tcW w:w="699" w:type="dxa"/>
            <w:tcBorders>
              <w:tl2br w:val="nil"/>
              <w:tr2bl w:val="nil"/>
            </w:tcBorders>
            <w:vAlign w:val="center"/>
          </w:tcPr>
          <w:p w14:paraId="06678DF8">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kg</w:t>
            </w:r>
          </w:p>
        </w:tc>
        <w:tc>
          <w:tcPr>
            <w:tcW w:w="1655" w:type="dxa"/>
            <w:tcBorders>
              <w:tl2br w:val="nil"/>
              <w:tr2bl w:val="nil"/>
            </w:tcBorders>
            <w:vAlign w:val="center"/>
          </w:tcPr>
          <w:p w14:paraId="4A29F1AB">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kgN</w:t>
            </w:r>
            <w:r>
              <w:rPr>
                <w:rFonts w:ascii="Times New Roman" w:hAnsi="Times New Roman"/>
                <w:color w:val="auto"/>
                <w:sz w:val="20"/>
                <w:szCs w:val="20"/>
                <w:vertAlign w:val="subscript"/>
                <w:lang w:val="en-US" w:eastAsia="en-US"/>
              </w:rPr>
              <w:t>2</w:t>
            </w:r>
            <w:r>
              <w:rPr>
                <w:rFonts w:ascii="Times New Roman" w:hAnsi="Times New Roman"/>
                <w:color w:val="auto"/>
                <w:sz w:val="20"/>
                <w:szCs w:val="20"/>
                <w:lang w:val="en-US" w:eastAsia="en-US"/>
              </w:rPr>
              <w:t>O-N/(kgNH</w:t>
            </w:r>
            <w:r>
              <w:rPr>
                <w:rFonts w:ascii="Times New Roman" w:hAnsi="Times New Roman"/>
                <w:color w:val="auto"/>
                <w:sz w:val="20"/>
                <w:szCs w:val="20"/>
                <w:vertAlign w:val="subscript"/>
                <w:lang w:val="en-US" w:eastAsia="en-US"/>
              </w:rPr>
              <w:t>3</w:t>
            </w:r>
            <w:r>
              <w:rPr>
                <w:rFonts w:ascii="Times New Roman" w:hAnsi="Times New Roman"/>
                <w:color w:val="auto"/>
                <w:sz w:val="20"/>
                <w:szCs w:val="20"/>
                <w:lang w:val="en-US" w:eastAsia="en-US"/>
              </w:rPr>
              <w:t>-N+NO</w:t>
            </w:r>
            <w:r>
              <w:rPr>
                <w:rFonts w:ascii="Times New Roman" w:hAnsi="Times New Roman"/>
                <w:color w:val="auto"/>
                <w:sz w:val="20"/>
                <w:szCs w:val="20"/>
                <w:vertAlign w:val="subscript"/>
                <w:lang w:val="en-US" w:eastAsia="en-US"/>
              </w:rPr>
              <w:t>x</w:t>
            </w:r>
            <w:r>
              <w:rPr>
                <w:rFonts w:ascii="Times New Roman" w:hAnsi="Times New Roman"/>
                <w:color w:val="auto"/>
                <w:sz w:val="20"/>
                <w:szCs w:val="20"/>
                <w:lang w:val="en-US" w:eastAsia="en-US"/>
              </w:rPr>
              <w:t>-N挥发</w:t>
            </w:r>
            <w:r>
              <w:rPr>
                <w:rFonts w:hint="eastAsia"/>
                <w:color w:val="auto"/>
                <w:sz w:val="20"/>
                <w:szCs w:val="20"/>
                <w:lang w:val="en-US" w:eastAsia="zh-CN"/>
              </w:rPr>
              <w:t>）</w:t>
            </w:r>
          </w:p>
        </w:tc>
        <w:tc>
          <w:tcPr>
            <w:tcW w:w="764" w:type="dxa"/>
            <w:tcBorders>
              <w:tl2br w:val="nil"/>
              <w:tr2bl w:val="nil"/>
            </w:tcBorders>
            <w:vAlign w:val="center"/>
          </w:tcPr>
          <w:p w14:paraId="5348854C">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t</w:t>
            </w:r>
          </w:p>
        </w:tc>
        <w:tc>
          <w:tcPr>
            <w:tcW w:w="470" w:type="dxa"/>
            <w:tcBorders>
              <w:tl2br w:val="nil"/>
              <w:tr2bl w:val="nil"/>
            </w:tcBorders>
            <w:vAlign w:val="center"/>
          </w:tcPr>
          <w:p w14:paraId="47BD579D">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w:t>
            </w:r>
          </w:p>
        </w:tc>
        <w:tc>
          <w:tcPr>
            <w:tcW w:w="720" w:type="dxa"/>
            <w:tcBorders>
              <w:tl2br w:val="nil"/>
              <w:tr2bl w:val="nil"/>
            </w:tcBorders>
            <w:vAlign w:val="center"/>
          </w:tcPr>
          <w:p w14:paraId="502873D8">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t</w:t>
            </w:r>
          </w:p>
        </w:tc>
      </w:tr>
      <w:tr w14:paraId="542C5D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83" w:type="dxa"/>
            <w:tcBorders>
              <w:tl2br w:val="nil"/>
              <w:tr2bl w:val="nil"/>
            </w:tcBorders>
            <w:vAlign w:val="center"/>
          </w:tcPr>
          <w:p w14:paraId="44FD8EE8">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N</w:t>
            </w:r>
            <w:r>
              <w:rPr>
                <w:rFonts w:ascii="Times New Roman" w:hAnsi="Times New Roman"/>
                <w:color w:val="auto"/>
                <w:sz w:val="20"/>
                <w:szCs w:val="20"/>
                <w:vertAlign w:val="subscript"/>
                <w:lang w:val="en-US" w:eastAsia="en-US"/>
              </w:rPr>
              <w:t>2</w:t>
            </w:r>
            <w:r>
              <w:rPr>
                <w:rFonts w:ascii="Times New Roman" w:hAnsi="Times New Roman"/>
                <w:color w:val="auto"/>
                <w:sz w:val="20"/>
                <w:szCs w:val="20"/>
                <w:lang w:val="en-US" w:eastAsia="en-US"/>
              </w:rPr>
              <w:t>O</w:t>
            </w:r>
          </w:p>
        </w:tc>
        <w:tc>
          <w:tcPr>
            <w:tcW w:w="601" w:type="dxa"/>
            <w:tcBorders>
              <w:tl2br w:val="nil"/>
              <w:tr2bl w:val="nil"/>
            </w:tcBorders>
            <w:vAlign w:val="center"/>
          </w:tcPr>
          <w:p w14:paraId="16C5F675">
            <w:pPr>
              <w:pStyle w:val="56"/>
              <w:autoSpaceDE w:val="0"/>
              <w:autoSpaceDN w:val="0"/>
              <w:rPr>
                <w:rFonts w:hint="default" w:ascii="Times New Roman" w:hAnsi="Times New Roman" w:eastAsia="宋体"/>
                <w:color w:val="auto"/>
                <w:sz w:val="20"/>
                <w:szCs w:val="20"/>
                <w:lang w:val="en-US" w:eastAsia="zh-CN"/>
              </w:rPr>
            </w:pPr>
            <w:r>
              <w:rPr>
                <w:rFonts w:hint="eastAsia"/>
                <w:color w:val="auto"/>
                <w:sz w:val="20"/>
                <w:szCs w:val="20"/>
                <w:lang w:val="en-US" w:eastAsia="zh-CN"/>
              </w:rPr>
              <w:t>18</w:t>
            </w:r>
            <w:r>
              <w:rPr>
                <w:rFonts w:hint="eastAsia" w:ascii="Times New Roman" w:hAnsi="Times New Roman"/>
                <w:color w:val="auto"/>
                <w:sz w:val="20"/>
                <w:szCs w:val="20"/>
                <w:lang w:val="en-US" w:eastAsia="zh-CN"/>
              </w:rPr>
              <w:t>万</w:t>
            </w:r>
          </w:p>
        </w:tc>
        <w:tc>
          <w:tcPr>
            <w:tcW w:w="797" w:type="dxa"/>
            <w:tcBorders>
              <w:tl2br w:val="nil"/>
              <w:tr2bl w:val="nil"/>
            </w:tcBorders>
            <w:vAlign w:val="center"/>
          </w:tcPr>
          <w:p w14:paraId="3E926B9E">
            <w:pPr>
              <w:pStyle w:val="56"/>
              <w:autoSpaceDE w:val="0"/>
              <w:autoSpaceDN w:val="0"/>
              <w:rPr>
                <w:rFonts w:hint="default" w:ascii="Times New Roman" w:hAnsi="Times New Roman" w:eastAsia="宋体"/>
                <w:color w:val="auto"/>
                <w:sz w:val="20"/>
                <w:szCs w:val="20"/>
                <w:lang w:val="en-US" w:eastAsia="zh-CN"/>
              </w:rPr>
            </w:pPr>
            <w:r>
              <w:rPr>
                <w:rFonts w:hint="eastAsia" w:ascii="Times New Roman" w:hAnsi="Times New Roman"/>
                <w:color w:val="auto"/>
                <w:sz w:val="20"/>
                <w:szCs w:val="20"/>
                <w:lang w:val="en-US" w:eastAsia="zh-CN"/>
              </w:rPr>
              <w:t>0.85</w:t>
            </w:r>
          </w:p>
        </w:tc>
        <w:tc>
          <w:tcPr>
            <w:tcW w:w="1060" w:type="dxa"/>
            <w:tcBorders>
              <w:tl2br w:val="nil"/>
              <w:tr2bl w:val="nil"/>
            </w:tcBorders>
            <w:vAlign w:val="center"/>
          </w:tcPr>
          <w:p w14:paraId="65D75C69">
            <w:pPr>
              <w:pStyle w:val="56"/>
              <w:autoSpaceDE w:val="0"/>
              <w:autoSpaceDN w:val="0"/>
              <w:rPr>
                <w:rFonts w:hint="default" w:ascii="Times New Roman" w:hAnsi="Times New Roman" w:eastAsia="宋体"/>
                <w:color w:val="auto"/>
                <w:sz w:val="20"/>
                <w:szCs w:val="20"/>
                <w:lang w:val="en-US" w:eastAsia="zh-CN"/>
              </w:rPr>
            </w:pPr>
            <w:r>
              <w:rPr>
                <w:rFonts w:hint="eastAsia" w:ascii="Times New Roman" w:hAnsi="Times New Roman"/>
                <w:color w:val="auto"/>
                <w:sz w:val="20"/>
                <w:szCs w:val="20"/>
                <w:lang w:val="en-US" w:eastAsia="zh-CN"/>
              </w:rPr>
              <w:t>100</w:t>
            </w:r>
          </w:p>
        </w:tc>
        <w:tc>
          <w:tcPr>
            <w:tcW w:w="995" w:type="dxa"/>
            <w:tcBorders>
              <w:tl2br w:val="nil"/>
              <w:tr2bl w:val="nil"/>
            </w:tcBorders>
            <w:vAlign w:val="center"/>
          </w:tcPr>
          <w:p w14:paraId="4969633D">
            <w:pPr>
              <w:pStyle w:val="56"/>
              <w:autoSpaceDE w:val="0"/>
              <w:autoSpaceDN w:val="0"/>
              <w:rPr>
                <w:rFonts w:hint="default" w:ascii="Times New Roman" w:hAnsi="Times New Roman" w:eastAsia="宋体"/>
                <w:color w:val="auto"/>
                <w:sz w:val="20"/>
                <w:szCs w:val="20"/>
                <w:lang w:val="en-US" w:eastAsia="zh-CN"/>
              </w:rPr>
            </w:pPr>
            <w:r>
              <w:rPr>
                <w:rFonts w:hint="eastAsia" w:ascii="Times New Roman" w:hAnsi="Times New Roman"/>
                <w:color w:val="auto"/>
                <w:sz w:val="20"/>
                <w:szCs w:val="20"/>
                <w:lang w:val="en-US" w:eastAsia="zh-CN"/>
              </w:rPr>
              <w:t>40</w:t>
            </w:r>
          </w:p>
        </w:tc>
        <w:tc>
          <w:tcPr>
            <w:tcW w:w="699" w:type="dxa"/>
            <w:tcBorders>
              <w:tl2br w:val="nil"/>
              <w:tr2bl w:val="nil"/>
            </w:tcBorders>
            <w:vAlign w:val="center"/>
          </w:tcPr>
          <w:p w14:paraId="5206B2A3">
            <w:pPr>
              <w:pStyle w:val="56"/>
              <w:autoSpaceDE w:val="0"/>
              <w:autoSpaceDN w:val="0"/>
              <w:rPr>
                <w:rFonts w:hint="eastAsia" w:ascii="Times New Roman" w:hAnsi="Times New Roman"/>
                <w:color w:val="auto"/>
                <w:sz w:val="20"/>
                <w:szCs w:val="20"/>
                <w:lang w:val="en-US" w:eastAsia="en-US"/>
              </w:rPr>
            </w:pPr>
            <w:r>
              <w:rPr>
                <w:rFonts w:hint="eastAsia"/>
                <w:color w:val="auto"/>
                <w:sz w:val="20"/>
                <w:szCs w:val="20"/>
                <w:lang w:val="en-US" w:eastAsia="zh-CN"/>
              </w:rPr>
              <w:t>61</w:t>
            </w:r>
            <w:r>
              <w:rPr>
                <w:rFonts w:hint="default" w:ascii="Times New Roman" w:hAnsi="Times New Roman"/>
                <w:color w:val="auto"/>
                <w:sz w:val="20"/>
                <w:szCs w:val="20"/>
                <w:lang w:val="en-US" w:eastAsia="zh-CN"/>
              </w:rPr>
              <w:t>200</w:t>
            </w:r>
          </w:p>
        </w:tc>
        <w:tc>
          <w:tcPr>
            <w:tcW w:w="1655" w:type="dxa"/>
            <w:tcBorders>
              <w:tl2br w:val="nil"/>
              <w:tr2bl w:val="nil"/>
            </w:tcBorders>
            <w:vAlign w:val="center"/>
          </w:tcPr>
          <w:p w14:paraId="5540ED66">
            <w:pPr>
              <w:pStyle w:val="56"/>
              <w:autoSpaceDE w:val="0"/>
              <w:autoSpaceDN w:val="0"/>
              <w:rPr>
                <w:rFonts w:hint="eastAsia" w:ascii="Times New Roman" w:hAnsi="Times New Roman"/>
                <w:color w:val="auto"/>
                <w:sz w:val="20"/>
                <w:szCs w:val="20"/>
                <w:lang w:val="en-US" w:eastAsia="zh-CN"/>
              </w:rPr>
            </w:pPr>
            <w:r>
              <w:rPr>
                <w:rFonts w:hint="default" w:ascii="Times New Roman" w:hAnsi="Times New Roman"/>
                <w:color w:val="auto"/>
                <w:sz w:val="20"/>
                <w:szCs w:val="20"/>
                <w:lang w:val="en-US" w:eastAsia="zh-CN"/>
              </w:rPr>
              <w:t>0.01</w:t>
            </w:r>
          </w:p>
        </w:tc>
        <w:tc>
          <w:tcPr>
            <w:tcW w:w="764" w:type="dxa"/>
            <w:tcBorders>
              <w:tl2br w:val="nil"/>
              <w:tr2bl w:val="nil"/>
            </w:tcBorders>
            <w:vAlign w:val="center"/>
          </w:tcPr>
          <w:p w14:paraId="2353B8C0">
            <w:pPr>
              <w:pStyle w:val="56"/>
              <w:autoSpaceDE w:val="0"/>
              <w:autoSpaceDN w:val="0"/>
              <w:rPr>
                <w:rFonts w:hint="default" w:ascii="Times New Roman" w:hAnsi="Times New Roman"/>
                <w:color w:val="auto"/>
                <w:sz w:val="20"/>
                <w:szCs w:val="20"/>
                <w:lang w:val="en-US" w:eastAsia="en-US"/>
              </w:rPr>
            </w:pPr>
            <w:r>
              <w:rPr>
                <w:rFonts w:hint="eastAsia"/>
                <w:color w:val="auto"/>
                <w:sz w:val="20"/>
                <w:szCs w:val="20"/>
                <w:lang w:val="en-US" w:eastAsia="zh-CN"/>
              </w:rPr>
              <w:t>0.96</w:t>
            </w:r>
          </w:p>
        </w:tc>
        <w:tc>
          <w:tcPr>
            <w:tcW w:w="470" w:type="dxa"/>
            <w:tcBorders>
              <w:tl2br w:val="nil"/>
              <w:tr2bl w:val="nil"/>
            </w:tcBorders>
            <w:vAlign w:val="center"/>
          </w:tcPr>
          <w:p w14:paraId="76AE82A2">
            <w:pPr>
              <w:pStyle w:val="56"/>
              <w:autoSpaceDE w:val="0"/>
              <w:autoSpaceDN w:val="0"/>
              <w:rPr>
                <w:rFonts w:hint="eastAsia" w:ascii="Times New Roman" w:hAnsi="Times New Roman"/>
                <w:color w:val="auto"/>
                <w:sz w:val="20"/>
                <w:szCs w:val="20"/>
                <w:lang w:val="en-US" w:eastAsia="en-US"/>
              </w:rPr>
            </w:pPr>
            <w:r>
              <w:rPr>
                <w:rFonts w:hint="default" w:ascii="Times New Roman" w:hAnsi="Times New Roman"/>
                <w:color w:val="auto"/>
                <w:sz w:val="20"/>
                <w:szCs w:val="20"/>
                <w:lang w:val="en-US" w:eastAsia="zh-CN"/>
              </w:rPr>
              <w:t>265</w:t>
            </w:r>
          </w:p>
        </w:tc>
        <w:tc>
          <w:tcPr>
            <w:tcW w:w="720" w:type="dxa"/>
            <w:tcBorders>
              <w:tl2br w:val="nil"/>
              <w:tr2bl w:val="nil"/>
            </w:tcBorders>
            <w:vAlign w:val="center"/>
          </w:tcPr>
          <w:p w14:paraId="1A87F372">
            <w:pPr>
              <w:pStyle w:val="56"/>
              <w:autoSpaceDE w:val="0"/>
              <w:autoSpaceDN w:val="0"/>
              <w:rPr>
                <w:rFonts w:hint="eastAsia" w:ascii="Times New Roman" w:hAnsi="Times New Roman"/>
                <w:color w:val="auto"/>
                <w:sz w:val="20"/>
                <w:szCs w:val="20"/>
                <w:lang w:val="en-US" w:eastAsia="en-US"/>
              </w:rPr>
            </w:pPr>
            <w:r>
              <w:rPr>
                <w:rFonts w:hint="eastAsia"/>
                <w:color w:val="auto"/>
                <w:sz w:val="20"/>
                <w:szCs w:val="20"/>
                <w:lang w:val="en-US" w:eastAsia="zh-CN"/>
              </w:rPr>
              <w:t>254.8</w:t>
            </w:r>
            <w:r>
              <w:rPr>
                <w:rFonts w:hint="default" w:ascii="Times New Roman" w:hAnsi="Times New Roman"/>
                <w:color w:val="auto"/>
                <w:sz w:val="20"/>
                <w:szCs w:val="20"/>
                <w:lang w:val="en-US" w:eastAsia="zh-CN"/>
              </w:rPr>
              <w:t xml:space="preserve"> </w:t>
            </w:r>
          </w:p>
        </w:tc>
      </w:tr>
      <w:tr w14:paraId="464C46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1083" w:type="dxa"/>
            <w:tcBorders>
              <w:tl2br w:val="nil"/>
              <w:tr2bl w:val="nil"/>
            </w:tcBorders>
            <w:vAlign w:val="center"/>
          </w:tcPr>
          <w:p w14:paraId="1FC52AD3">
            <w:pPr>
              <w:pStyle w:val="56"/>
              <w:autoSpaceDE w:val="0"/>
              <w:autoSpaceDN w:val="0"/>
              <w:rPr>
                <w:rFonts w:ascii="Times New Roman" w:hAnsi="Times New Roman"/>
                <w:color w:val="auto"/>
                <w:sz w:val="20"/>
                <w:szCs w:val="20"/>
                <w:lang w:val="en-US" w:eastAsia="en-US"/>
              </w:rPr>
            </w:pPr>
            <w:r>
              <w:rPr>
                <w:rFonts w:ascii="Times New Roman" w:hAnsi="Times New Roman"/>
                <w:color w:val="auto"/>
                <w:sz w:val="20"/>
                <w:szCs w:val="20"/>
                <w:lang w:val="en-US" w:eastAsia="en-US"/>
              </w:rPr>
              <w:t>合计</w:t>
            </w:r>
          </w:p>
        </w:tc>
        <w:tc>
          <w:tcPr>
            <w:tcW w:w="601" w:type="dxa"/>
            <w:tcBorders>
              <w:tl2br w:val="nil"/>
              <w:tr2bl w:val="nil"/>
            </w:tcBorders>
            <w:vAlign w:val="center"/>
          </w:tcPr>
          <w:p w14:paraId="3CB34B60">
            <w:pPr>
              <w:pStyle w:val="56"/>
              <w:autoSpaceDE w:val="0"/>
              <w:autoSpaceDN w:val="0"/>
              <w:rPr>
                <w:rFonts w:ascii="Times New Roman" w:hAnsi="Times New Roman"/>
                <w:color w:val="auto"/>
                <w:sz w:val="20"/>
                <w:szCs w:val="20"/>
                <w:lang w:eastAsia="en-US"/>
              </w:rPr>
            </w:pPr>
          </w:p>
        </w:tc>
        <w:tc>
          <w:tcPr>
            <w:tcW w:w="797" w:type="dxa"/>
            <w:tcBorders>
              <w:tl2br w:val="nil"/>
              <w:tr2bl w:val="nil"/>
            </w:tcBorders>
            <w:vAlign w:val="center"/>
          </w:tcPr>
          <w:p w14:paraId="5DDEB078">
            <w:pPr>
              <w:pStyle w:val="56"/>
              <w:autoSpaceDE w:val="0"/>
              <w:autoSpaceDN w:val="0"/>
              <w:rPr>
                <w:rFonts w:ascii="Times New Roman" w:hAnsi="Times New Roman"/>
                <w:color w:val="auto"/>
                <w:sz w:val="20"/>
                <w:szCs w:val="20"/>
                <w:lang w:eastAsia="en-US"/>
              </w:rPr>
            </w:pPr>
          </w:p>
        </w:tc>
        <w:tc>
          <w:tcPr>
            <w:tcW w:w="1060" w:type="dxa"/>
            <w:tcBorders>
              <w:tl2br w:val="nil"/>
              <w:tr2bl w:val="nil"/>
            </w:tcBorders>
            <w:vAlign w:val="center"/>
          </w:tcPr>
          <w:p w14:paraId="2F6F1817">
            <w:pPr>
              <w:pStyle w:val="56"/>
              <w:autoSpaceDE w:val="0"/>
              <w:autoSpaceDN w:val="0"/>
              <w:rPr>
                <w:rFonts w:ascii="Times New Roman" w:hAnsi="Times New Roman"/>
                <w:color w:val="auto"/>
                <w:sz w:val="20"/>
                <w:szCs w:val="20"/>
                <w:lang w:eastAsia="en-US"/>
              </w:rPr>
            </w:pPr>
          </w:p>
        </w:tc>
        <w:tc>
          <w:tcPr>
            <w:tcW w:w="995" w:type="dxa"/>
            <w:tcBorders>
              <w:tl2br w:val="nil"/>
              <w:tr2bl w:val="nil"/>
            </w:tcBorders>
            <w:vAlign w:val="center"/>
          </w:tcPr>
          <w:p w14:paraId="6FCB0D4C">
            <w:pPr>
              <w:pStyle w:val="56"/>
              <w:autoSpaceDE w:val="0"/>
              <w:autoSpaceDN w:val="0"/>
              <w:rPr>
                <w:rFonts w:ascii="Times New Roman" w:hAnsi="Times New Roman"/>
                <w:color w:val="auto"/>
                <w:sz w:val="20"/>
                <w:szCs w:val="20"/>
                <w:lang w:eastAsia="en-US"/>
              </w:rPr>
            </w:pPr>
          </w:p>
        </w:tc>
        <w:tc>
          <w:tcPr>
            <w:tcW w:w="699" w:type="dxa"/>
            <w:tcBorders>
              <w:tl2br w:val="nil"/>
              <w:tr2bl w:val="nil"/>
            </w:tcBorders>
            <w:vAlign w:val="center"/>
          </w:tcPr>
          <w:p w14:paraId="19A2C045">
            <w:pPr>
              <w:pStyle w:val="56"/>
              <w:autoSpaceDE w:val="0"/>
              <w:autoSpaceDN w:val="0"/>
              <w:rPr>
                <w:rFonts w:ascii="Times New Roman" w:hAnsi="Times New Roman"/>
                <w:color w:val="auto"/>
                <w:sz w:val="20"/>
                <w:szCs w:val="20"/>
                <w:lang w:eastAsia="en-US"/>
              </w:rPr>
            </w:pPr>
          </w:p>
        </w:tc>
        <w:tc>
          <w:tcPr>
            <w:tcW w:w="1655" w:type="dxa"/>
            <w:tcBorders>
              <w:tl2br w:val="nil"/>
              <w:tr2bl w:val="nil"/>
            </w:tcBorders>
            <w:vAlign w:val="center"/>
          </w:tcPr>
          <w:p w14:paraId="42FE8FAA">
            <w:pPr>
              <w:pStyle w:val="56"/>
              <w:autoSpaceDE w:val="0"/>
              <w:autoSpaceDN w:val="0"/>
              <w:rPr>
                <w:rFonts w:ascii="Times New Roman" w:hAnsi="Times New Roman"/>
                <w:color w:val="auto"/>
                <w:sz w:val="20"/>
                <w:szCs w:val="20"/>
                <w:lang w:eastAsia="en-US"/>
              </w:rPr>
            </w:pPr>
          </w:p>
        </w:tc>
        <w:tc>
          <w:tcPr>
            <w:tcW w:w="764" w:type="dxa"/>
            <w:tcBorders>
              <w:tl2br w:val="nil"/>
              <w:tr2bl w:val="nil"/>
            </w:tcBorders>
            <w:vAlign w:val="center"/>
          </w:tcPr>
          <w:p w14:paraId="3B8C1803">
            <w:pPr>
              <w:pStyle w:val="56"/>
              <w:autoSpaceDE w:val="0"/>
              <w:autoSpaceDN w:val="0"/>
              <w:rPr>
                <w:rFonts w:ascii="Times New Roman" w:hAnsi="Times New Roman"/>
                <w:color w:val="auto"/>
                <w:sz w:val="20"/>
                <w:szCs w:val="20"/>
                <w:lang w:eastAsia="en-US"/>
              </w:rPr>
            </w:pPr>
          </w:p>
        </w:tc>
        <w:tc>
          <w:tcPr>
            <w:tcW w:w="470" w:type="dxa"/>
            <w:tcBorders>
              <w:tl2br w:val="nil"/>
              <w:tr2bl w:val="nil"/>
            </w:tcBorders>
            <w:vAlign w:val="center"/>
          </w:tcPr>
          <w:p w14:paraId="3E623179">
            <w:pPr>
              <w:pStyle w:val="56"/>
              <w:autoSpaceDE w:val="0"/>
              <w:autoSpaceDN w:val="0"/>
              <w:rPr>
                <w:rFonts w:ascii="Times New Roman" w:hAnsi="Times New Roman"/>
                <w:color w:val="auto"/>
                <w:sz w:val="20"/>
                <w:szCs w:val="20"/>
                <w:lang w:eastAsia="en-US"/>
              </w:rPr>
            </w:pPr>
          </w:p>
        </w:tc>
        <w:tc>
          <w:tcPr>
            <w:tcW w:w="720" w:type="dxa"/>
            <w:tcBorders>
              <w:tl2br w:val="nil"/>
              <w:tr2bl w:val="nil"/>
            </w:tcBorders>
            <w:vAlign w:val="center"/>
          </w:tcPr>
          <w:p w14:paraId="0B33F3C7">
            <w:pPr>
              <w:pStyle w:val="56"/>
              <w:autoSpaceDE w:val="0"/>
              <w:autoSpaceDN w:val="0"/>
              <w:rPr>
                <w:rFonts w:hint="default" w:ascii="Times New Roman" w:hAnsi="Times New Roman" w:eastAsia="宋体"/>
                <w:color w:val="auto"/>
                <w:sz w:val="20"/>
                <w:szCs w:val="20"/>
                <w:lang w:val="en-US" w:eastAsia="zh-CN"/>
              </w:rPr>
            </w:pPr>
            <w:r>
              <w:rPr>
                <w:rFonts w:hint="eastAsia"/>
                <w:color w:val="auto"/>
                <w:sz w:val="20"/>
                <w:szCs w:val="20"/>
                <w:lang w:val="en-US" w:eastAsia="zh-CN"/>
              </w:rPr>
              <w:t>254.8</w:t>
            </w:r>
          </w:p>
        </w:tc>
      </w:tr>
    </w:tbl>
    <w:p w14:paraId="16B31115">
      <w:pPr>
        <w:ind w:firstLine="0" w:firstLineChars="0"/>
        <w:jc w:val="center"/>
        <w:rPr>
          <w:rFonts w:ascii="Times New Roman" w:hAnsi="Times New Roman" w:cs="Times New Roman"/>
          <w:color w:val="auto"/>
        </w:rPr>
      </w:pPr>
      <w:r>
        <w:rPr>
          <w:rFonts w:ascii="Times New Roman" w:hAnsi="Times New Roman" w:cs="Times New Roman"/>
          <w:b/>
          <w:bCs/>
          <w:color w:val="auto"/>
        </w:rPr>
        <w:t>表</w:t>
      </w:r>
      <w:r>
        <w:rPr>
          <w:rFonts w:hint="eastAsia" w:cs="Times New Roman"/>
          <w:b/>
          <w:bCs/>
          <w:color w:val="auto"/>
          <w:lang w:val="en-US" w:eastAsia="zh-CN"/>
        </w:rPr>
        <w:t>5</w:t>
      </w:r>
      <w:r>
        <w:rPr>
          <w:rFonts w:hint="eastAsia" w:ascii="Times New Roman" w:hAnsi="Times New Roman" w:cs="Times New Roman"/>
          <w:b/>
          <w:bCs/>
          <w:color w:val="auto"/>
          <w:lang w:val="en-US" w:eastAsia="zh-CN"/>
        </w:rPr>
        <w:t>.3-4</w:t>
      </w:r>
      <w:r>
        <w:rPr>
          <w:rFonts w:ascii="Times New Roman" w:hAnsi="Times New Roman" w:cs="Times New Roman"/>
          <w:b/>
          <w:bCs/>
          <w:color w:val="auto"/>
        </w:rPr>
        <w:t xml:space="preserve">     动物粪便管理氧化亚氮排放总量一览表</w:t>
      </w:r>
    </w:p>
    <w:tbl>
      <w:tblPr>
        <w:tblStyle w:val="81"/>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066"/>
        <w:gridCol w:w="2259"/>
        <w:gridCol w:w="2259"/>
        <w:gridCol w:w="2260"/>
      </w:tblGrid>
      <w:tr w14:paraId="3B2B95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restart"/>
            <w:tcBorders>
              <w:tl2br w:val="nil"/>
              <w:tr2bl w:val="nil"/>
            </w:tcBorders>
            <w:vAlign w:val="center"/>
          </w:tcPr>
          <w:p w14:paraId="7ECFE624">
            <w:pPr>
              <w:pStyle w:val="56"/>
              <w:autoSpaceDE w:val="0"/>
              <w:autoSpaceDN w:val="0"/>
              <w:rPr>
                <w:rFonts w:ascii="Times New Roman" w:hAnsi="Times New Roman"/>
                <w:color w:val="auto"/>
                <w:lang w:val="en-US" w:eastAsia="en-US"/>
              </w:rPr>
            </w:pPr>
            <w:r>
              <w:rPr>
                <w:rFonts w:asciiTheme="minorHAnsi" w:hAnsiTheme="minorHAnsi"/>
                <w:color w:val="auto"/>
                <w:lang w:eastAsia="en-US"/>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23495</wp:posOffset>
                      </wp:positionV>
                      <wp:extent cx="1296670" cy="598170"/>
                      <wp:effectExtent l="1905" t="4445" r="15875" b="6985"/>
                      <wp:wrapNone/>
                      <wp:docPr id="143" name="直接连接符 143"/>
                      <wp:cNvGraphicFramePr/>
                      <a:graphic xmlns:a="http://schemas.openxmlformats.org/drawingml/2006/main">
                        <a:graphicData uri="http://schemas.microsoft.com/office/word/2010/wordprocessingShape">
                          <wps:wsp>
                            <wps:cNvCnPr/>
                            <wps:spPr>
                              <a:xfrm>
                                <a:off x="0" y="0"/>
                                <a:ext cx="1296670" cy="598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pt;margin-top:1.85pt;height:47.1pt;width:102.1pt;z-index:251665408;mso-width-relative:page;mso-height-relative:page;" filled="f" stroked="t" coordsize="21600,21600" o:gfxdata="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cyi+zVAAAABgEAAA8AAAAA&#10;AAAAAQAgAAAAIgAAAGRycy9kb3ducmV2LnhtbFBLAQIUABQAAAAIAIdO4kBmObNR3gEAAKMDAAAO&#10;AAAAAAAAAAEAIAAAACQBAABkcnMvZTJvRG9jLnhtbFBLBQYAAAAABgAGAFkBAAB0BQAAAAA=&#10;">
                      <v:fill on="f" focussize="0,0"/>
                      <v:stroke color="#000000 [3213]" joinstyle="round"/>
                      <v:imagedata o:title=""/>
                      <o:lock v:ext="edit" aspectratio="f"/>
                    </v:line>
                  </w:pict>
                </mc:Fallback>
              </mc:AlternateContent>
            </w:r>
            <w:r>
              <w:rPr>
                <w:rFonts w:ascii="Times New Roman" w:hAnsi="Times New Roman"/>
                <w:color w:val="auto"/>
                <w:lang w:val="en-US" w:eastAsia="en-US"/>
              </w:rPr>
              <w:t>参数</w:t>
            </w:r>
          </w:p>
          <w:p w14:paraId="0E3EBBC2">
            <w:pPr>
              <w:pStyle w:val="56"/>
              <w:autoSpaceDE w:val="0"/>
              <w:autoSpaceDN w:val="0"/>
              <w:rPr>
                <w:rFonts w:ascii="Times New Roman" w:hAnsi="Times New Roman"/>
                <w:color w:val="auto"/>
                <w:lang w:val="en-US" w:eastAsia="en-US"/>
              </w:rPr>
            </w:pPr>
          </w:p>
          <w:p w14:paraId="7C30A44E">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温室气体</w:t>
            </w:r>
          </w:p>
        </w:tc>
        <w:tc>
          <w:tcPr>
            <w:tcW w:w="2259" w:type="dxa"/>
            <w:tcBorders>
              <w:tl2br w:val="nil"/>
              <w:tr2bl w:val="nil"/>
            </w:tcBorders>
            <w:vAlign w:val="center"/>
          </w:tcPr>
          <w:p w14:paraId="7D250255">
            <w:pPr>
              <w:pStyle w:val="56"/>
              <w:autoSpaceDE w:val="0"/>
              <w:autoSpaceDN w:val="0"/>
              <w:rPr>
                <w:rFonts w:ascii="Times New Roman" w:hAnsi="Times New Roman"/>
                <w:color w:val="auto"/>
                <w:lang w:val="en-US" w:eastAsia="en-US"/>
              </w:rPr>
            </w:pPr>
            <m:oMathPara>
              <m:oMath>
                <m:sSub>
                  <m:sSubPr>
                    <m:ctrlPr>
                      <w:rPr>
                        <w:rFonts w:ascii="Cambria Math" w:hAnsi="Cambria Math"/>
                        <w:color w:val="auto"/>
                        <w:lang w:val="en-US" w:eastAsia="en-US"/>
                      </w:rPr>
                    </m:ctrlPr>
                  </m:sSubPr>
                  <m:e>
                    <m:r>
                      <m:rPr>
                        <m:sty m:val="p"/>
                      </m:rPr>
                      <w:rPr>
                        <w:rFonts w:ascii="Cambria Math" w:hAnsi="Cambria Math"/>
                        <w:color w:val="auto"/>
                        <w:lang w:val="en-US" w:eastAsia="en-US"/>
                      </w:rPr>
                      <m:t>E</m:t>
                    </m:r>
                    <m:ctrlPr>
                      <w:rPr>
                        <w:rFonts w:ascii="Cambria Math" w:hAnsi="Cambria Math"/>
                        <w:color w:val="auto"/>
                        <w:lang w:val="en-US" w:eastAsia="en-US"/>
                      </w:rPr>
                    </m:ctrlPr>
                  </m:e>
                  <m:sub>
                    <m:r>
                      <m:rPr>
                        <m:sty m:val="p"/>
                      </m:rPr>
                      <w:rPr>
                        <w:rFonts w:ascii="Cambria Math" w:hAnsi="Cambria Math"/>
                        <w:color w:val="auto"/>
                        <w:lang w:val="en-US" w:eastAsia="en-US"/>
                      </w:rPr>
                      <m:t>M−D−</m:t>
                    </m:r>
                    <m:sSub>
                      <m:sSubPr>
                        <m:ctrlPr>
                          <w:rPr>
                            <w:rFonts w:ascii="Cambria Math" w:hAnsi="Cambria Math"/>
                            <w:color w:val="auto"/>
                            <w:lang w:val="en-US" w:eastAsia="en-US"/>
                          </w:rPr>
                        </m:ctrlPr>
                      </m:sSubPr>
                      <m:e>
                        <m:r>
                          <m:rPr>
                            <m:sty m:val="p"/>
                          </m:rPr>
                          <w:rPr>
                            <w:rFonts w:ascii="Cambria Math" w:hAnsi="Cambria Math"/>
                            <w:color w:val="auto"/>
                            <w:lang w:val="en-US" w:eastAsia="en-US"/>
                          </w:rPr>
                          <m:t>N</m:t>
                        </m:r>
                        <m:ctrlPr>
                          <w:rPr>
                            <w:rFonts w:ascii="Cambria Math" w:hAnsi="Cambria Math"/>
                            <w:color w:val="auto"/>
                            <w:lang w:val="en-US" w:eastAsia="en-US"/>
                          </w:rPr>
                        </m:ctrlPr>
                      </m:e>
                      <m:sub>
                        <m:r>
                          <m:rPr>
                            <m:sty m:val="p"/>
                          </m:rPr>
                          <w:rPr>
                            <w:rFonts w:ascii="Cambria Math" w:hAnsi="Cambria Math"/>
                            <w:color w:val="auto"/>
                            <w:lang w:val="en-US" w:eastAsia="en-US"/>
                          </w:rPr>
                          <m:t>2</m:t>
                        </m:r>
                        <m:ctrlPr>
                          <w:rPr>
                            <w:rFonts w:ascii="Cambria Math" w:hAnsi="Cambria Math"/>
                            <w:color w:val="auto"/>
                            <w:lang w:val="en-US" w:eastAsia="en-US"/>
                          </w:rPr>
                        </m:ctrlPr>
                      </m:sub>
                    </m:sSub>
                    <m:r>
                      <m:rPr>
                        <m:sty m:val="p"/>
                      </m:rPr>
                      <w:rPr>
                        <w:rFonts w:ascii="Cambria Math" w:hAnsi="Cambria Math"/>
                        <w:color w:val="auto"/>
                        <w:lang w:val="en-US" w:eastAsia="en-US"/>
                      </w:rPr>
                      <m:t>O</m:t>
                    </m:r>
                    <m:ctrlPr>
                      <w:rPr>
                        <w:rFonts w:ascii="Cambria Math" w:hAnsi="Cambria Math"/>
                        <w:color w:val="auto"/>
                        <w:lang w:val="en-US" w:eastAsia="en-US"/>
                      </w:rPr>
                    </m:ctrlPr>
                  </m:sub>
                </m:sSub>
              </m:oMath>
            </m:oMathPara>
          </w:p>
        </w:tc>
        <w:tc>
          <w:tcPr>
            <w:tcW w:w="2259" w:type="dxa"/>
            <w:tcBorders>
              <w:tl2br w:val="nil"/>
              <w:tr2bl w:val="nil"/>
            </w:tcBorders>
            <w:vAlign w:val="center"/>
          </w:tcPr>
          <w:p w14:paraId="7D6A93CA">
            <w:pPr>
              <w:pStyle w:val="56"/>
              <w:autoSpaceDE w:val="0"/>
              <w:autoSpaceDN w:val="0"/>
              <w:rPr>
                <w:rFonts w:ascii="Times New Roman" w:hAnsi="Times New Roman"/>
                <w:color w:val="auto"/>
                <w:lang w:val="en-US" w:eastAsia="en-US"/>
              </w:rPr>
            </w:pPr>
            <m:oMathPara>
              <m:oMath>
                <m:sSub>
                  <m:sSubPr>
                    <m:ctrlPr>
                      <w:rPr>
                        <w:rFonts w:ascii="Cambria Math" w:hAnsi="Cambria Math"/>
                        <w:color w:val="auto"/>
                        <w:lang w:val="en-US" w:eastAsia="en-US"/>
                      </w:rPr>
                    </m:ctrlPr>
                  </m:sSubPr>
                  <m:e>
                    <m:r>
                      <m:rPr>
                        <m:sty m:val="p"/>
                      </m:rPr>
                      <w:rPr>
                        <w:rFonts w:ascii="Cambria Math" w:hAnsi="Cambria Math"/>
                        <w:color w:val="auto"/>
                        <w:lang w:val="en-US" w:eastAsia="en-US"/>
                      </w:rPr>
                      <m:t>E</m:t>
                    </m:r>
                    <m:ctrlPr>
                      <w:rPr>
                        <w:rFonts w:ascii="Cambria Math" w:hAnsi="Cambria Math"/>
                        <w:color w:val="auto"/>
                        <w:lang w:val="en-US" w:eastAsia="en-US"/>
                      </w:rPr>
                    </m:ctrlPr>
                  </m:e>
                  <m:sub>
                    <m:r>
                      <m:rPr>
                        <m:sty m:val="p"/>
                      </m:rPr>
                      <w:rPr>
                        <w:rFonts w:ascii="Cambria Math" w:hAnsi="Cambria Math"/>
                        <w:color w:val="auto"/>
                        <w:lang w:val="en-US" w:eastAsia="en-US"/>
                      </w:rPr>
                      <m:t>M−I−</m:t>
                    </m:r>
                    <m:sSub>
                      <m:sSubPr>
                        <m:ctrlPr>
                          <w:rPr>
                            <w:rFonts w:ascii="Cambria Math" w:hAnsi="Cambria Math"/>
                            <w:color w:val="auto"/>
                            <w:lang w:val="en-US" w:eastAsia="en-US"/>
                          </w:rPr>
                        </m:ctrlPr>
                      </m:sSubPr>
                      <m:e>
                        <m:r>
                          <m:rPr>
                            <m:sty m:val="p"/>
                          </m:rPr>
                          <w:rPr>
                            <w:rFonts w:ascii="Cambria Math" w:hAnsi="Cambria Math"/>
                            <w:color w:val="auto"/>
                            <w:lang w:val="en-US" w:eastAsia="en-US"/>
                          </w:rPr>
                          <m:t>N</m:t>
                        </m:r>
                        <m:ctrlPr>
                          <w:rPr>
                            <w:rFonts w:ascii="Cambria Math" w:hAnsi="Cambria Math"/>
                            <w:color w:val="auto"/>
                            <w:lang w:val="en-US" w:eastAsia="en-US"/>
                          </w:rPr>
                        </m:ctrlPr>
                      </m:e>
                      <m:sub>
                        <m:r>
                          <m:rPr>
                            <m:sty m:val="p"/>
                          </m:rPr>
                          <w:rPr>
                            <w:rFonts w:ascii="Cambria Math" w:hAnsi="Cambria Math"/>
                            <w:color w:val="auto"/>
                            <w:lang w:val="en-US" w:eastAsia="en-US"/>
                          </w:rPr>
                          <m:t>2</m:t>
                        </m:r>
                        <m:ctrlPr>
                          <w:rPr>
                            <w:rFonts w:ascii="Cambria Math" w:hAnsi="Cambria Math"/>
                            <w:color w:val="auto"/>
                            <w:lang w:val="en-US" w:eastAsia="en-US"/>
                          </w:rPr>
                        </m:ctrlPr>
                      </m:sub>
                    </m:sSub>
                    <m:r>
                      <m:rPr>
                        <m:sty m:val="p"/>
                      </m:rPr>
                      <w:rPr>
                        <w:rFonts w:ascii="Cambria Math" w:hAnsi="Cambria Math"/>
                        <w:color w:val="auto"/>
                        <w:lang w:val="en-US" w:eastAsia="en-US"/>
                      </w:rPr>
                      <m:t>O</m:t>
                    </m:r>
                    <m:ctrlPr>
                      <w:rPr>
                        <w:rFonts w:ascii="Cambria Math" w:hAnsi="Cambria Math"/>
                        <w:color w:val="auto"/>
                        <w:lang w:val="en-US" w:eastAsia="en-US"/>
                      </w:rPr>
                    </m:ctrlPr>
                  </m:sub>
                </m:sSub>
              </m:oMath>
            </m:oMathPara>
          </w:p>
        </w:tc>
        <w:tc>
          <w:tcPr>
            <w:tcW w:w="2260" w:type="dxa"/>
            <w:tcBorders>
              <w:tl2br w:val="nil"/>
              <w:tr2bl w:val="nil"/>
            </w:tcBorders>
            <w:vAlign w:val="center"/>
          </w:tcPr>
          <w:p w14:paraId="5C738BE1">
            <w:pPr>
              <w:pStyle w:val="56"/>
              <w:autoSpaceDE w:val="0"/>
              <w:autoSpaceDN w:val="0"/>
              <w:rPr>
                <w:rFonts w:ascii="Times New Roman" w:hAnsi="Times New Roman"/>
                <w:color w:val="auto"/>
                <w:lang w:val="en-US" w:eastAsia="en-US"/>
              </w:rPr>
            </w:pPr>
            <m:oMathPara>
              <m:oMath>
                <m:sSub>
                  <m:sSubPr>
                    <m:ctrlPr>
                      <w:rPr>
                        <w:rFonts w:ascii="Cambria Math" w:hAnsi="Cambria Math"/>
                        <w:color w:val="auto"/>
                        <w:lang w:val="en-US" w:eastAsia="en-US"/>
                      </w:rPr>
                    </m:ctrlPr>
                  </m:sSubPr>
                  <m:e>
                    <m:r>
                      <m:rPr>
                        <m:sty m:val="p"/>
                      </m:rPr>
                      <w:rPr>
                        <w:rFonts w:ascii="Cambria Math" w:hAnsi="Cambria Math"/>
                        <w:color w:val="auto"/>
                        <w:lang w:val="en-US" w:eastAsia="en-US"/>
                      </w:rPr>
                      <m:t>E</m:t>
                    </m:r>
                    <m:ctrlPr>
                      <w:rPr>
                        <w:rFonts w:ascii="Cambria Math" w:hAnsi="Cambria Math"/>
                        <w:color w:val="auto"/>
                        <w:lang w:val="en-US" w:eastAsia="en-US"/>
                      </w:rPr>
                    </m:ctrlPr>
                  </m:e>
                  <m:sub>
                    <m:r>
                      <m:rPr>
                        <m:sty m:val="p"/>
                      </m:rPr>
                      <w:rPr>
                        <w:rFonts w:ascii="Cambria Math" w:hAnsi="Cambria Math"/>
                        <w:color w:val="auto"/>
                        <w:lang w:val="en-US" w:eastAsia="en-US"/>
                      </w:rPr>
                      <m:t>M−</m:t>
                    </m:r>
                    <m:sSub>
                      <m:sSubPr>
                        <m:ctrlPr>
                          <w:rPr>
                            <w:rFonts w:ascii="Cambria Math" w:hAnsi="Cambria Math"/>
                            <w:color w:val="auto"/>
                            <w:lang w:val="en-US" w:eastAsia="en-US"/>
                          </w:rPr>
                        </m:ctrlPr>
                      </m:sSubPr>
                      <m:e>
                        <m:r>
                          <m:rPr>
                            <m:sty m:val="p"/>
                          </m:rPr>
                          <w:rPr>
                            <w:rFonts w:ascii="Cambria Math" w:hAnsi="Cambria Math"/>
                            <w:color w:val="auto"/>
                            <w:lang w:val="en-US" w:eastAsia="en-US"/>
                          </w:rPr>
                          <m:t>N</m:t>
                        </m:r>
                        <m:ctrlPr>
                          <w:rPr>
                            <w:rFonts w:ascii="Cambria Math" w:hAnsi="Cambria Math"/>
                            <w:color w:val="auto"/>
                            <w:lang w:val="en-US" w:eastAsia="en-US"/>
                          </w:rPr>
                        </m:ctrlPr>
                      </m:e>
                      <m:sub>
                        <m:r>
                          <m:rPr>
                            <m:sty m:val="p"/>
                          </m:rPr>
                          <w:rPr>
                            <w:rFonts w:ascii="Cambria Math" w:hAnsi="Cambria Math"/>
                            <w:color w:val="auto"/>
                            <w:lang w:val="en-US" w:eastAsia="en-US"/>
                          </w:rPr>
                          <m:t>2</m:t>
                        </m:r>
                        <m:ctrlPr>
                          <w:rPr>
                            <w:rFonts w:ascii="Cambria Math" w:hAnsi="Cambria Math"/>
                            <w:color w:val="auto"/>
                            <w:lang w:val="en-US" w:eastAsia="en-US"/>
                          </w:rPr>
                        </m:ctrlPr>
                      </m:sub>
                    </m:sSub>
                    <m:r>
                      <m:rPr>
                        <m:sty m:val="p"/>
                      </m:rPr>
                      <w:rPr>
                        <w:rFonts w:ascii="Cambria Math" w:hAnsi="Cambria Math"/>
                        <w:color w:val="auto"/>
                        <w:lang w:val="en-US" w:eastAsia="en-US"/>
                      </w:rPr>
                      <m:t>O</m:t>
                    </m:r>
                    <m:ctrlPr>
                      <w:rPr>
                        <w:rFonts w:ascii="Cambria Math" w:hAnsi="Cambria Math"/>
                        <w:color w:val="auto"/>
                        <w:lang w:val="en-US" w:eastAsia="en-US"/>
                      </w:rPr>
                    </m:ctrlPr>
                  </m:sub>
                </m:sSub>
              </m:oMath>
            </m:oMathPara>
          </w:p>
        </w:tc>
      </w:tr>
      <w:tr w14:paraId="11D45F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vMerge w:val="continue"/>
            <w:tcBorders>
              <w:tl2br w:val="nil"/>
              <w:tr2bl w:val="nil"/>
            </w:tcBorders>
            <w:vAlign w:val="center"/>
          </w:tcPr>
          <w:p w14:paraId="1975A1B9">
            <w:pPr>
              <w:pStyle w:val="56"/>
              <w:autoSpaceDE w:val="0"/>
              <w:autoSpaceDN w:val="0"/>
              <w:rPr>
                <w:rFonts w:ascii="Times New Roman" w:hAnsi="Times New Roman"/>
                <w:color w:val="auto"/>
                <w:lang w:val="en-US" w:eastAsia="en-US"/>
              </w:rPr>
            </w:pPr>
          </w:p>
        </w:tc>
        <w:tc>
          <w:tcPr>
            <w:tcW w:w="2259" w:type="dxa"/>
            <w:tcBorders>
              <w:tl2br w:val="nil"/>
              <w:tr2bl w:val="nil"/>
            </w:tcBorders>
            <w:vAlign w:val="center"/>
          </w:tcPr>
          <w:p w14:paraId="7CD15E76">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t</w:t>
            </w:r>
          </w:p>
        </w:tc>
        <w:tc>
          <w:tcPr>
            <w:tcW w:w="2259" w:type="dxa"/>
            <w:tcBorders>
              <w:tl2br w:val="nil"/>
              <w:tr2bl w:val="nil"/>
            </w:tcBorders>
            <w:vAlign w:val="center"/>
          </w:tcPr>
          <w:p w14:paraId="0108B2B8">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t</w:t>
            </w:r>
          </w:p>
        </w:tc>
        <w:tc>
          <w:tcPr>
            <w:tcW w:w="2260" w:type="dxa"/>
            <w:tcBorders>
              <w:tl2br w:val="nil"/>
              <w:tr2bl w:val="nil"/>
            </w:tcBorders>
            <w:vAlign w:val="center"/>
          </w:tcPr>
          <w:p w14:paraId="658590A2">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t</w:t>
            </w:r>
          </w:p>
        </w:tc>
      </w:tr>
      <w:tr w14:paraId="6270DD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2066" w:type="dxa"/>
            <w:tcBorders>
              <w:tl2br w:val="nil"/>
              <w:tr2bl w:val="nil"/>
            </w:tcBorders>
            <w:vAlign w:val="center"/>
          </w:tcPr>
          <w:p w14:paraId="3684EF29">
            <w:pPr>
              <w:pStyle w:val="56"/>
              <w:autoSpaceDE w:val="0"/>
              <w:autoSpaceDN w:val="0"/>
              <w:rPr>
                <w:rFonts w:ascii="Times New Roman" w:hAnsi="Times New Roman"/>
                <w:color w:val="auto"/>
                <w:lang w:val="en-US" w:eastAsia="en-US"/>
              </w:rPr>
            </w:pPr>
            <w:r>
              <w:rPr>
                <w:rFonts w:ascii="Times New Roman" w:hAnsi="Times New Roman"/>
                <w:color w:val="auto"/>
                <w:lang w:val="en-US" w:eastAsia="en-US"/>
              </w:rPr>
              <w:t>N</w:t>
            </w:r>
            <w:r>
              <w:rPr>
                <w:rFonts w:ascii="Times New Roman" w:hAnsi="Times New Roman"/>
                <w:color w:val="auto"/>
                <w:vertAlign w:val="subscript"/>
                <w:lang w:val="en-US" w:eastAsia="en-US"/>
              </w:rPr>
              <w:t>2</w:t>
            </w:r>
            <w:r>
              <w:rPr>
                <w:rFonts w:ascii="Times New Roman" w:hAnsi="Times New Roman"/>
                <w:color w:val="auto"/>
                <w:lang w:val="en-US" w:eastAsia="en-US"/>
              </w:rPr>
              <w:t>O</w:t>
            </w:r>
          </w:p>
        </w:tc>
        <w:tc>
          <w:tcPr>
            <w:tcW w:w="2259" w:type="dxa"/>
            <w:tcBorders>
              <w:tl2br w:val="nil"/>
              <w:tr2bl w:val="nil"/>
            </w:tcBorders>
            <w:vAlign w:val="center"/>
          </w:tcPr>
          <w:p w14:paraId="1430977A">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954</w:t>
            </w:r>
          </w:p>
        </w:tc>
        <w:tc>
          <w:tcPr>
            <w:tcW w:w="2259" w:type="dxa"/>
            <w:tcBorders>
              <w:tl2br w:val="nil"/>
              <w:tr2bl w:val="nil"/>
            </w:tcBorders>
            <w:vAlign w:val="center"/>
          </w:tcPr>
          <w:p w14:paraId="5748FC8F">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254.8</w:t>
            </w:r>
          </w:p>
        </w:tc>
        <w:tc>
          <w:tcPr>
            <w:tcW w:w="2260" w:type="dxa"/>
            <w:tcBorders>
              <w:tl2br w:val="nil"/>
              <w:tr2bl w:val="nil"/>
            </w:tcBorders>
            <w:vAlign w:val="center"/>
          </w:tcPr>
          <w:p w14:paraId="7F096383">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1208.8</w:t>
            </w:r>
          </w:p>
        </w:tc>
      </w:tr>
      <w:tr w14:paraId="527C87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2066" w:type="dxa"/>
            <w:tcBorders>
              <w:tl2br w:val="nil"/>
              <w:tr2bl w:val="nil"/>
            </w:tcBorders>
            <w:vAlign w:val="center"/>
          </w:tcPr>
          <w:p w14:paraId="00DA233F">
            <w:pPr>
              <w:pStyle w:val="56"/>
              <w:autoSpaceDE w:val="0"/>
              <w:autoSpaceDN w:val="0"/>
              <w:rPr>
                <w:rFonts w:ascii="Times New Roman" w:hAnsi="Times New Roman"/>
                <w:color w:val="auto"/>
                <w:lang w:eastAsia="en-US"/>
              </w:rPr>
            </w:pPr>
            <w:r>
              <w:rPr>
                <w:rFonts w:ascii="Times New Roman" w:hAnsi="Times New Roman"/>
                <w:color w:val="auto"/>
                <w:lang w:eastAsia="en-US"/>
              </w:rPr>
              <w:t>合计</w:t>
            </w:r>
          </w:p>
        </w:tc>
        <w:tc>
          <w:tcPr>
            <w:tcW w:w="2259" w:type="dxa"/>
            <w:tcBorders>
              <w:tl2br w:val="nil"/>
              <w:tr2bl w:val="nil"/>
            </w:tcBorders>
            <w:vAlign w:val="center"/>
          </w:tcPr>
          <w:p w14:paraId="2E8A4D41">
            <w:pPr>
              <w:pStyle w:val="56"/>
              <w:autoSpaceDE w:val="0"/>
              <w:autoSpaceDN w:val="0"/>
              <w:rPr>
                <w:rFonts w:ascii="Times New Roman" w:hAnsi="Times New Roman"/>
                <w:color w:val="auto"/>
                <w:lang w:eastAsia="en-US"/>
              </w:rPr>
            </w:pPr>
          </w:p>
        </w:tc>
        <w:tc>
          <w:tcPr>
            <w:tcW w:w="2259" w:type="dxa"/>
            <w:tcBorders>
              <w:tl2br w:val="nil"/>
              <w:tr2bl w:val="nil"/>
            </w:tcBorders>
            <w:vAlign w:val="center"/>
          </w:tcPr>
          <w:p w14:paraId="6A5A850F">
            <w:pPr>
              <w:pStyle w:val="56"/>
              <w:autoSpaceDE w:val="0"/>
              <w:autoSpaceDN w:val="0"/>
              <w:rPr>
                <w:rFonts w:ascii="Times New Roman" w:hAnsi="Times New Roman"/>
                <w:color w:val="auto"/>
                <w:lang w:eastAsia="en-US"/>
              </w:rPr>
            </w:pPr>
          </w:p>
        </w:tc>
        <w:tc>
          <w:tcPr>
            <w:tcW w:w="2260" w:type="dxa"/>
            <w:tcBorders>
              <w:tl2br w:val="nil"/>
              <w:tr2bl w:val="nil"/>
            </w:tcBorders>
            <w:vAlign w:val="center"/>
          </w:tcPr>
          <w:p w14:paraId="653ECBCE">
            <w:pPr>
              <w:pStyle w:val="56"/>
              <w:autoSpaceDE w:val="0"/>
              <w:autoSpaceDN w:val="0"/>
              <w:rPr>
                <w:rFonts w:ascii="Times New Roman" w:hAnsi="Times New Roman"/>
                <w:color w:val="auto"/>
                <w:lang w:val="en-US" w:eastAsia="en-US"/>
              </w:rPr>
            </w:pPr>
          </w:p>
        </w:tc>
      </w:tr>
    </w:tbl>
    <w:p w14:paraId="18F532B2">
      <w:pPr>
        <w:ind w:firstLine="480"/>
        <w:rPr>
          <w:rFonts w:hint="default" w:ascii="Times New Roman" w:hAnsi="Times New Roman" w:cs="Times New Roman" w:eastAsiaTheme="minorEastAsia"/>
          <w:color w:val="auto"/>
          <w:lang w:val="en-US" w:eastAsia="zh-CN"/>
        </w:rPr>
      </w:pPr>
      <w:r>
        <w:rPr>
          <w:rFonts w:ascii="Times New Roman" w:hAnsi="Times New Roman" w:cs="Times New Roman"/>
          <w:color w:val="auto"/>
        </w:rPr>
        <w:t>（</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生物质锅炉供热碳排放</w:t>
      </w:r>
    </w:p>
    <w:p w14:paraId="09123149">
      <w:pPr>
        <w:ind w:firstLine="480"/>
        <w:rPr>
          <w:rFonts w:hint="default" w:cs="Times New Roman"/>
          <w:color w:val="auto"/>
          <w:lang w:val="en-US" w:eastAsia="zh-CN"/>
        </w:rPr>
      </w:pPr>
      <w:r>
        <w:rPr>
          <w:rFonts w:hint="eastAsia" w:ascii="Times New Roman" w:hAnsi="Times New Roman" w:cs="Times New Roman"/>
          <w:color w:val="auto"/>
          <w:lang w:val="en-US" w:eastAsia="zh-CN"/>
        </w:rPr>
        <w:t>家禽养殖</w:t>
      </w:r>
      <w:r>
        <w:rPr>
          <w:rFonts w:ascii="Times New Roman" w:hAnsi="Times New Roman" w:cs="Times New Roman"/>
          <w:color w:val="auto"/>
        </w:rPr>
        <w:t>过程中</w:t>
      </w:r>
      <w:r>
        <w:rPr>
          <w:rFonts w:hint="eastAsia" w:cs="Times New Roman"/>
          <w:color w:val="auto"/>
          <w:lang w:val="en-US" w:eastAsia="zh-CN"/>
        </w:rPr>
        <w:t>生物质燃料消耗1000t/a，生物质燃料燃烧过程中，CO2的排放系数按照1.1计算，则全年供热过程中，形成的碳排放量约为1100t/a。</w:t>
      </w:r>
    </w:p>
    <w:p w14:paraId="1890382D">
      <w:pPr>
        <w:ind w:firstLine="480"/>
        <w:rPr>
          <w:rFonts w:ascii="Times New Roman" w:hAnsi="Times New Roman" w:cs="Times New Roman"/>
          <w:color w:val="auto"/>
        </w:rPr>
      </w:pPr>
      <w:r>
        <w:rPr>
          <w:rFonts w:ascii="Times New Roman" w:hAnsi="Times New Roman" w:cs="Times New Roman"/>
          <w:color w:val="auto"/>
        </w:rPr>
        <w:t>（4）温室气体排放量汇总</w:t>
      </w:r>
    </w:p>
    <w:p w14:paraId="47BFDFB3">
      <w:pPr>
        <w:ind w:firstLine="480"/>
        <w:rPr>
          <w:rFonts w:ascii="Times New Roman" w:hAnsi="Times New Roman" w:cs="Times New Roman"/>
          <w:color w:val="auto"/>
        </w:rPr>
      </w:pPr>
      <w:r>
        <w:rPr>
          <w:rFonts w:ascii="Times New Roman" w:hAnsi="Times New Roman" w:cs="Times New Roman"/>
          <w:color w:val="auto"/>
        </w:rPr>
        <w:t>生产畜产品温室气体排放量按以下公式计算：</w:t>
      </w:r>
    </w:p>
    <w:p w14:paraId="71C0B589">
      <w:pPr>
        <w:ind w:firstLine="0" w:firstLineChars="0"/>
        <w:jc w:val="center"/>
        <w:rPr>
          <w:rFonts w:ascii="Times New Roman" w:hAnsi="Times New Roman" w:cs="Times New Roman"/>
          <w:color w:val="auto"/>
        </w:rPr>
      </w:pPr>
      <w:r>
        <w:rPr>
          <w:rFonts w:cs="Times New Roman"/>
          <w:color w:val="auto"/>
          <w:position w:val="-8"/>
        </w:rPr>
        <w:object>
          <v:shape id="_x0000_i1041" o:spt="75" type="#_x0000_t75" style="height:21.05pt;width:290.05pt;" o:ole="t" filled="f" o:preferrelative="t" stroked="f" coordsize="21600,21600">
            <v:path/>
            <v:fill on="f" focussize="0,0"/>
            <v:stroke on="f" joinstyle="miter"/>
            <v:imagedata r:id="rId73" o:title=""/>
            <o:lock v:ext="edit" aspectratio="t"/>
            <w10:wrap type="none"/>
            <w10:anchorlock/>
          </v:shape>
          <o:OLEObject Type="Embed" ProgID="Equation.KSEE3" ShapeID="_x0000_i1041" DrawAspect="Content" ObjectID="_1468075741" r:id="rId72">
            <o:LockedField>false</o:LockedField>
          </o:OLEObject>
        </w:object>
      </w:r>
    </w:p>
    <w:p w14:paraId="71F5DDCD">
      <w:pPr>
        <w:ind w:firstLine="480"/>
        <w:rPr>
          <w:rFonts w:ascii="Times New Roman" w:hAnsi="Times New Roman" w:cs="Times New Roman"/>
          <w:color w:val="auto"/>
        </w:rPr>
      </w:pPr>
      <w:r>
        <w:rPr>
          <w:rFonts w:ascii="Times New Roman" w:hAnsi="Times New Roman" w:cs="Times New Roman"/>
          <w:color w:val="auto"/>
        </w:rPr>
        <w:t>式中：</w:t>
      </w:r>
    </w:p>
    <w:p w14:paraId="7138ECFC">
      <w:pPr>
        <w:ind w:firstLine="480"/>
        <w:rPr>
          <w:rFonts w:ascii="Times New Roman" w:hAnsi="Times New Roman" w:cs="Times New Roman"/>
          <w:color w:val="auto"/>
        </w:rPr>
      </w:pPr>
      <w:r>
        <w:rPr>
          <w:rFonts w:ascii="Times New Roman" w:hAnsi="Times New Roman" w:cs="Times New Roman"/>
          <w:color w:val="auto"/>
        </w:rPr>
        <w:t>E——生产</w:t>
      </w:r>
      <w:r>
        <w:rPr>
          <w:rFonts w:hint="eastAsia" w:ascii="Times New Roman" w:hAnsi="Times New Roman" w:cs="Times New Roman"/>
          <w:color w:val="auto"/>
          <w:lang w:val="en-US" w:eastAsia="zh-CN"/>
        </w:rPr>
        <w:t>家禽</w:t>
      </w:r>
      <w:r>
        <w:rPr>
          <w:rFonts w:ascii="Times New Roman" w:hAnsi="Times New Roman" w:cs="Times New Roman"/>
          <w:color w:val="auto"/>
        </w:rPr>
        <w:t>产品温室气体排放总量，（tCO</w:t>
      </w:r>
      <w:r>
        <w:rPr>
          <w:rFonts w:ascii="Times New Roman" w:hAnsi="Times New Roman" w:cs="Times New Roman"/>
          <w:color w:val="auto"/>
          <w:vertAlign w:val="subscript"/>
        </w:rPr>
        <w:t>2</w:t>
      </w:r>
      <w:r>
        <w:rPr>
          <w:rFonts w:ascii="Times New Roman" w:hAnsi="Times New Roman" w:cs="Times New Roman"/>
          <w:color w:val="auto"/>
        </w:rPr>
        <w:t>e）；</w:t>
      </w:r>
    </w:p>
    <w:p w14:paraId="151F707C">
      <w:pPr>
        <w:ind w:firstLine="480"/>
        <w:rPr>
          <w:rFonts w:ascii="Times New Roman" w:hAnsi="Times New Roman" w:cs="Times New Roman"/>
          <w:color w:val="auto"/>
        </w:rPr>
      </w:pPr>
      <w:r>
        <w:rPr>
          <w:rFonts w:ascii="Times New Roman" w:hAnsi="Times New Roman" w:cs="Times New Roman"/>
          <w:color w:val="auto"/>
        </w:rPr>
        <w:t>E</w:t>
      </w:r>
      <w:r>
        <w:rPr>
          <w:rFonts w:ascii="Times New Roman" w:hAnsi="Times New Roman" w:cs="Times New Roman"/>
          <w:color w:val="auto"/>
          <w:vertAlign w:val="subscript"/>
        </w:rPr>
        <w:t>E-CH4</w:t>
      </w:r>
      <w:r>
        <w:rPr>
          <w:rFonts w:ascii="Times New Roman" w:hAnsi="Times New Roman" w:cs="Times New Roman"/>
          <w:color w:val="auto"/>
        </w:rPr>
        <w:t>——生产</w:t>
      </w:r>
      <w:r>
        <w:rPr>
          <w:rFonts w:hint="eastAsia" w:ascii="Times New Roman" w:hAnsi="Times New Roman" w:cs="Times New Roman"/>
          <w:color w:val="auto"/>
          <w:lang w:val="en-US" w:eastAsia="zh-CN"/>
        </w:rPr>
        <w:t>家禽</w:t>
      </w:r>
      <w:r>
        <w:rPr>
          <w:rFonts w:ascii="Times New Roman" w:hAnsi="Times New Roman" w:cs="Times New Roman"/>
          <w:color w:val="auto"/>
        </w:rPr>
        <w:t>产品动物肠道发酵甲烷排放量</w:t>
      </w:r>
      <w:r>
        <w:rPr>
          <w:rFonts w:hint="eastAsia" w:ascii="Times New Roman" w:hAnsi="Times New Roman" w:cs="Times New Roman"/>
          <w:color w:val="auto"/>
          <w:lang w:eastAsia="zh-CN"/>
        </w:rPr>
        <w:t>，</w:t>
      </w:r>
      <w:r>
        <w:rPr>
          <w:rFonts w:ascii="Times New Roman" w:hAnsi="Times New Roman" w:cs="Times New Roman"/>
          <w:color w:val="auto"/>
        </w:rPr>
        <w:t>（tCO</w:t>
      </w:r>
      <w:r>
        <w:rPr>
          <w:rFonts w:ascii="Times New Roman" w:hAnsi="Times New Roman" w:cs="Times New Roman"/>
          <w:color w:val="auto"/>
          <w:vertAlign w:val="subscript"/>
        </w:rPr>
        <w:t>2</w:t>
      </w:r>
      <w:r>
        <w:rPr>
          <w:rFonts w:ascii="Times New Roman" w:hAnsi="Times New Roman" w:cs="Times New Roman"/>
          <w:color w:val="auto"/>
        </w:rPr>
        <w:t>e）；</w:t>
      </w:r>
    </w:p>
    <w:p w14:paraId="1CFAA842">
      <w:pPr>
        <w:ind w:firstLine="480"/>
        <w:rPr>
          <w:rFonts w:ascii="Times New Roman" w:hAnsi="Times New Roman" w:cs="Times New Roman"/>
          <w:color w:val="auto"/>
        </w:rPr>
      </w:pPr>
      <w:r>
        <w:rPr>
          <w:rFonts w:ascii="Times New Roman" w:hAnsi="Times New Roman" w:cs="Times New Roman"/>
          <w:color w:val="auto"/>
        </w:rPr>
        <w:t>E</w:t>
      </w:r>
      <w:r>
        <w:rPr>
          <w:rFonts w:ascii="Times New Roman" w:hAnsi="Times New Roman" w:cs="Times New Roman"/>
          <w:color w:val="auto"/>
          <w:vertAlign w:val="subscript"/>
        </w:rPr>
        <w:t>M-CH4</w:t>
      </w:r>
      <w:r>
        <w:rPr>
          <w:rFonts w:ascii="Times New Roman" w:hAnsi="Times New Roman" w:cs="Times New Roman"/>
          <w:color w:val="auto"/>
        </w:rPr>
        <w:t>——生产</w:t>
      </w:r>
      <w:r>
        <w:rPr>
          <w:rFonts w:hint="eastAsia" w:ascii="Times New Roman" w:hAnsi="Times New Roman" w:cs="Times New Roman"/>
          <w:color w:val="auto"/>
          <w:lang w:val="en-US" w:eastAsia="zh-CN"/>
        </w:rPr>
        <w:t>家禽</w:t>
      </w:r>
      <w:r>
        <w:rPr>
          <w:rFonts w:ascii="Times New Roman" w:hAnsi="Times New Roman" w:cs="Times New Roman"/>
          <w:color w:val="auto"/>
        </w:rPr>
        <w:t>产品动物粪便管理甲烷排放量，（tCO</w:t>
      </w:r>
      <w:r>
        <w:rPr>
          <w:rFonts w:ascii="Times New Roman" w:hAnsi="Times New Roman" w:cs="Times New Roman"/>
          <w:color w:val="auto"/>
          <w:vertAlign w:val="subscript"/>
        </w:rPr>
        <w:t>2</w:t>
      </w:r>
      <w:r>
        <w:rPr>
          <w:rFonts w:ascii="Times New Roman" w:hAnsi="Times New Roman" w:cs="Times New Roman"/>
          <w:color w:val="auto"/>
        </w:rPr>
        <w:t>e）；</w:t>
      </w:r>
    </w:p>
    <w:p w14:paraId="2BBA839E">
      <w:pPr>
        <w:ind w:firstLine="480"/>
        <w:rPr>
          <w:rFonts w:ascii="Times New Roman" w:hAnsi="Times New Roman" w:cs="Times New Roman"/>
          <w:color w:val="auto"/>
        </w:rPr>
      </w:pPr>
      <m:oMath>
        <m:sSub>
          <m:sSubPr>
            <m:ctrlPr>
              <w:rPr>
                <w:rFonts w:ascii="Cambria Math" w:hAnsi="Cambria Math" w:cs="Times New Roman"/>
                <w:color w:val="auto"/>
              </w:rPr>
            </m:ctrlPr>
          </m:sSubPr>
          <m:e>
            <m:r>
              <m:rPr>
                <m:sty m:val="p"/>
              </m:rPr>
              <w:rPr>
                <w:rFonts w:ascii="Cambria Math" w:hAnsi="Cambria Math" w:cs="Times New Roman"/>
                <w:color w:val="auto"/>
              </w:rPr>
              <m:t>E</m:t>
            </m:r>
            <m:ctrlPr>
              <w:rPr>
                <w:rFonts w:ascii="Cambria Math" w:hAnsi="Cambria Math" w:cs="Times New Roman"/>
                <w:color w:val="auto"/>
              </w:rPr>
            </m:ctrlPr>
          </m:e>
          <m:sub>
            <m:r>
              <m:rPr>
                <m:sty m:val="p"/>
              </m:rPr>
              <w:rPr>
                <w:rFonts w:ascii="Cambria Math" w:hAnsi="Cambria Math" w:cs="Times New Roman"/>
                <w:color w:val="auto"/>
              </w:rPr>
              <m:t>M−</m:t>
            </m:r>
            <m:sSub>
              <m:sSubPr>
                <m:ctrlPr>
                  <w:rPr>
                    <w:rFonts w:ascii="Cambria Math" w:hAnsi="Cambria Math" w:cs="Times New Roman"/>
                    <w:color w:val="auto"/>
                  </w:rPr>
                </m:ctrlPr>
              </m:sSubPr>
              <m:e>
                <m:r>
                  <m:rPr>
                    <m:sty m:val="p"/>
                  </m:rPr>
                  <w:rPr>
                    <w:rFonts w:ascii="Cambria Math" w:hAnsi="Cambria Math" w:cs="Times New Roman"/>
                    <w:color w:val="auto"/>
                  </w:rPr>
                  <m:t>N</m:t>
                </m:r>
                <m:ctrlPr>
                  <w:rPr>
                    <w:rFonts w:ascii="Cambria Math" w:hAnsi="Cambria Math" w:cs="Times New Roman"/>
                    <w:color w:val="auto"/>
                  </w:rPr>
                </m:ctrlPr>
              </m:e>
              <m:sub>
                <m:r>
                  <m:rPr>
                    <m:sty m:val="p"/>
                  </m:rPr>
                  <w:rPr>
                    <w:rFonts w:ascii="Cambria Math" w:hAnsi="Cambria Math" w:cs="Times New Roman"/>
                    <w:color w:val="auto"/>
                  </w:rPr>
                  <m:t>2</m:t>
                </m:r>
                <m:ctrlPr>
                  <w:rPr>
                    <w:rFonts w:ascii="Cambria Math" w:hAnsi="Cambria Math" w:cs="Times New Roman"/>
                    <w:color w:val="auto"/>
                  </w:rPr>
                </m:ctrlPr>
              </m:sub>
            </m:sSub>
            <m:r>
              <m:rPr>
                <m:sty m:val="p"/>
              </m:rPr>
              <w:rPr>
                <w:rFonts w:ascii="Cambria Math" w:hAnsi="Cambria Math" w:cs="Times New Roman"/>
                <w:color w:val="auto"/>
              </w:rPr>
              <m:t>O</m:t>
            </m:r>
            <m:ctrlPr>
              <w:rPr>
                <w:rFonts w:ascii="Cambria Math" w:hAnsi="Cambria Math" w:cs="Times New Roman"/>
                <w:color w:val="auto"/>
              </w:rPr>
            </m:ctrlPr>
          </m:sub>
        </m:sSub>
      </m:oMath>
      <w:r>
        <w:rPr>
          <w:rFonts w:ascii="Times New Roman" w:hAnsi="Times New Roman" w:cs="Times New Roman"/>
          <w:color w:val="auto"/>
        </w:rPr>
        <w:t>——生产</w:t>
      </w:r>
      <w:r>
        <w:rPr>
          <w:rFonts w:hint="eastAsia" w:ascii="Times New Roman" w:hAnsi="Times New Roman" w:cs="Times New Roman"/>
          <w:color w:val="auto"/>
          <w:lang w:val="en-US" w:eastAsia="zh-CN"/>
        </w:rPr>
        <w:t>家禽</w:t>
      </w:r>
      <w:r>
        <w:rPr>
          <w:rFonts w:ascii="Times New Roman" w:hAnsi="Times New Roman" w:cs="Times New Roman"/>
          <w:color w:val="auto"/>
        </w:rPr>
        <w:t>产品动物粪便管理氧化亚氮排放量，（tCO</w:t>
      </w:r>
      <w:r>
        <w:rPr>
          <w:rFonts w:ascii="Times New Roman" w:hAnsi="Times New Roman" w:cs="Times New Roman"/>
          <w:color w:val="auto"/>
          <w:vertAlign w:val="subscript"/>
        </w:rPr>
        <w:t>2</w:t>
      </w:r>
      <w:r>
        <w:rPr>
          <w:rFonts w:ascii="Times New Roman" w:hAnsi="Times New Roman" w:cs="Times New Roman"/>
          <w:color w:val="auto"/>
        </w:rPr>
        <w:t>e）；</w:t>
      </w:r>
    </w:p>
    <w:p w14:paraId="11F3E592">
      <w:pPr>
        <w:ind w:firstLine="0" w:firstLineChars="0"/>
        <w:jc w:val="center"/>
        <w:rPr>
          <w:rFonts w:ascii="Times New Roman" w:hAnsi="Times New Roman" w:cs="Times New Roman"/>
          <w:color w:val="auto"/>
        </w:rPr>
      </w:pPr>
      <w:r>
        <w:rPr>
          <w:rFonts w:ascii="Times New Roman" w:hAnsi="Times New Roman" w:cs="Times New Roman"/>
          <w:b/>
          <w:bCs/>
          <w:color w:val="auto"/>
        </w:rPr>
        <w:t>表</w:t>
      </w:r>
      <w:r>
        <w:rPr>
          <w:rFonts w:hint="eastAsia" w:ascii="Times New Roman" w:hAnsi="Times New Roman" w:cs="Times New Roman"/>
          <w:b/>
          <w:bCs/>
          <w:color w:val="auto"/>
          <w:lang w:val="en-US" w:eastAsia="zh-CN"/>
        </w:rPr>
        <w:t>6.3-5</w:t>
      </w:r>
      <w:r>
        <w:rPr>
          <w:rFonts w:ascii="Times New Roman" w:hAnsi="Times New Roman" w:cs="Times New Roman"/>
          <w:b/>
          <w:bCs/>
          <w:color w:val="auto"/>
        </w:rPr>
        <w:t xml:space="preserve">     本项目温室气体排放汇总表</w:t>
      </w:r>
    </w:p>
    <w:tbl>
      <w:tblPr>
        <w:tblStyle w:val="81"/>
        <w:tblW w:w="884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098"/>
        <w:gridCol w:w="4746"/>
      </w:tblGrid>
      <w:tr w14:paraId="0626CA8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098" w:type="dxa"/>
            <w:tcBorders>
              <w:tl2br w:val="nil"/>
              <w:tr2bl w:val="nil"/>
            </w:tcBorders>
            <w:vAlign w:val="center"/>
          </w:tcPr>
          <w:p w14:paraId="53BFC376">
            <w:pPr>
              <w:pStyle w:val="56"/>
              <w:autoSpaceDE w:val="0"/>
              <w:autoSpaceDN w:val="0"/>
              <w:rPr>
                <w:rFonts w:ascii="Times New Roman" w:hAnsi="Times New Roman"/>
                <w:color w:val="auto"/>
                <w:lang w:eastAsia="en-US"/>
              </w:rPr>
            </w:pPr>
            <w:r>
              <w:rPr>
                <w:rFonts w:ascii="Times New Roman" w:hAnsi="Times New Roman"/>
                <w:color w:val="auto"/>
                <w:lang w:eastAsia="en-US"/>
              </w:rPr>
              <w:t>排放</w:t>
            </w:r>
            <w:r>
              <w:rPr>
                <w:rFonts w:ascii="Times New Roman" w:hAnsi="Times New Roman"/>
                <w:color w:val="auto"/>
                <w:lang w:val="en-US" w:eastAsia="en-US"/>
              </w:rPr>
              <w:t>源</w:t>
            </w:r>
          </w:p>
        </w:tc>
        <w:tc>
          <w:tcPr>
            <w:tcW w:w="4746" w:type="dxa"/>
            <w:tcBorders>
              <w:tl2br w:val="nil"/>
              <w:tr2bl w:val="nil"/>
            </w:tcBorders>
            <w:vAlign w:val="center"/>
          </w:tcPr>
          <w:p w14:paraId="0D2AF29E">
            <w:pPr>
              <w:pStyle w:val="56"/>
              <w:autoSpaceDE w:val="0"/>
              <w:autoSpaceDN w:val="0"/>
              <w:rPr>
                <w:rFonts w:ascii="Times New Roman" w:hAnsi="Times New Roman"/>
                <w:color w:val="auto"/>
                <w:lang w:eastAsia="en-US"/>
              </w:rPr>
            </w:pPr>
            <w:r>
              <w:rPr>
                <w:rFonts w:ascii="Times New Roman" w:hAnsi="Times New Roman"/>
                <w:color w:val="auto"/>
                <w:lang w:eastAsia="en-US"/>
              </w:rPr>
              <w:t>排放量（t/a）</w:t>
            </w:r>
          </w:p>
        </w:tc>
      </w:tr>
      <w:tr w14:paraId="3ECC16C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6274436D">
            <w:pPr>
              <w:pStyle w:val="56"/>
              <w:autoSpaceDE w:val="0"/>
              <w:autoSpaceDN w:val="0"/>
              <w:rPr>
                <w:rFonts w:hint="default" w:ascii="Times New Roman" w:hAnsi="Times New Roman" w:eastAsia="宋体"/>
                <w:color w:val="auto"/>
                <w:lang w:val="en-US" w:eastAsia="zh-CN"/>
              </w:rPr>
            </w:pPr>
            <w:r>
              <w:rPr>
                <w:rFonts w:ascii="Times New Roman" w:hAnsi="Times New Roman"/>
                <w:color w:val="auto"/>
                <w:lang w:val="en-US" w:eastAsia="en-US"/>
              </w:rPr>
              <w:t>动物粪便管理E</w:t>
            </w:r>
            <w:r>
              <w:rPr>
                <w:rFonts w:ascii="Times New Roman" w:hAnsi="Times New Roman"/>
                <w:color w:val="auto"/>
                <w:vertAlign w:val="subscript"/>
                <w:lang w:val="en-US" w:eastAsia="en-US"/>
              </w:rPr>
              <w:t>M-CH4</w:t>
            </w:r>
            <w:r>
              <w:rPr>
                <w:rFonts w:hint="eastAsia" w:ascii="Times New Roman" w:hAnsi="Times New Roman"/>
                <w:color w:val="auto"/>
                <w:lang w:val="en-US" w:eastAsia="zh-CN"/>
              </w:rPr>
              <w:t>（</w:t>
            </w:r>
            <w:r>
              <w:rPr>
                <w:rFonts w:ascii="Times New Roman" w:hAnsi="Times New Roman" w:cs="Times New Roman"/>
                <w:color w:val="auto"/>
              </w:rPr>
              <w:t>CO</w:t>
            </w:r>
            <w:r>
              <w:rPr>
                <w:rFonts w:ascii="Times New Roman" w:hAnsi="Times New Roman" w:cs="Times New Roman"/>
                <w:color w:val="auto"/>
                <w:vertAlign w:val="subscript"/>
              </w:rPr>
              <w:t>2</w:t>
            </w:r>
            <w:r>
              <w:rPr>
                <w:rFonts w:hint="eastAsia"/>
                <w:color w:val="auto"/>
                <w:lang w:val="en-US" w:eastAsia="zh-CN"/>
              </w:rPr>
              <w:t>计</w:t>
            </w:r>
            <w:r>
              <w:rPr>
                <w:rFonts w:hint="eastAsia" w:ascii="Times New Roman" w:hAnsi="Times New Roman"/>
                <w:color w:val="auto"/>
                <w:lang w:val="en-US" w:eastAsia="zh-CN"/>
              </w:rPr>
              <w:t>）</w:t>
            </w:r>
          </w:p>
        </w:tc>
        <w:tc>
          <w:tcPr>
            <w:tcW w:w="4746" w:type="dxa"/>
            <w:tcBorders>
              <w:tl2br w:val="nil"/>
              <w:tr2bl w:val="nil"/>
            </w:tcBorders>
            <w:vAlign w:val="center"/>
          </w:tcPr>
          <w:p w14:paraId="3272A846">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168.3</w:t>
            </w:r>
          </w:p>
        </w:tc>
      </w:tr>
      <w:tr w14:paraId="2C3A9E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7702B04B">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生物质锅炉供热</w:t>
            </w:r>
            <w:r>
              <w:rPr>
                <w:rFonts w:hint="eastAsia" w:ascii="Times New Roman" w:hAnsi="Times New Roman"/>
                <w:color w:val="auto"/>
                <w:lang w:val="en-US" w:eastAsia="zh-CN"/>
              </w:rPr>
              <w:t>（</w:t>
            </w:r>
            <w:r>
              <w:rPr>
                <w:rFonts w:ascii="Times New Roman" w:hAnsi="Times New Roman" w:cs="Times New Roman"/>
                <w:color w:val="auto"/>
              </w:rPr>
              <w:t>CO</w:t>
            </w:r>
            <w:r>
              <w:rPr>
                <w:rFonts w:ascii="Times New Roman" w:hAnsi="Times New Roman" w:cs="Times New Roman"/>
                <w:color w:val="auto"/>
                <w:vertAlign w:val="subscript"/>
              </w:rPr>
              <w:t>2</w:t>
            </w:r>
            <w:r>
              <w:rPr>
                <w:rFonts w:hint="eastAsia"/>
                <w:color w:val="auto"/>
                <w:lang w:val="en-US" w:eastAsia="zh-CN"/>
              </w:rPr>
              <w:t>计</w:t>
            </w:r>
            <w:r>
              <w:rPr>
                <w:rFonts w:hint="eastAsia" w:ascii="Times New Roman" w:hAnsi="Times New Roman"/>
                <w:color w:val="auto"/>
                <w:lang w:val="en-US" w:eastAsia="zh-CN"/>
              </w:rPr>
              <w:t>）</w:t>
            </w:r>
          </w:p>
        </w:tc>
        <w:tc>
          <w:tcPr>
            <w:tcW w:w="4746" w:type="dxa"/>
            <w:tcBorders>
              <w:tl2br w:val="nil"/>
              <w:tr2bl w:val="nil"/>
            </w:tcBorders>
            <w:vAlign w:val="center"/>
          </w:tcPr>
          <w:p w14:paraId="4382FCCE">
            <w:pPr>
              <w:pStyle w:val="56"/>
              <w:autoSpaceDE w:val="0"/>
              <w:autoSpaceDN w:val="0"/>
              <w:rPr>
                <w:rFonts w:hint="default" w:ascii="Times New Roman" w:hAnsi="Times New Roman" w:eastAsia="宋体"/>
                <w:color w:val="auto"/>
                <w:lang w:val="en-US" w:eastAsia="zh-CN"/>
              </w:rPr>
            </w:pPr>
            <w:r>
              <w:rPr>
                <w:rFonts w:hint="eastAsia"/>
                <w:color w:val="auto"/>
                <w:lang w:val="en-US" w:eastAsia="zh-CN"/>
              </w:rPr>
              <w:t>1100</w:t>
            </w:r>
          </w:p>
        </w:tc>
      </w:tr>
      <w:tr w14:paraId="48FE99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vAlign w:val="center"/>
          </w:tcPr>
          <w:p w14:paraId="65FB245B">
            <w:pPr>
              <w:pStyle w:val="56"/>
              <w:autoSpaceDE w:val="0"/>
              <w:autoSpaceDN w:val="0"/>
              <w:rPr>
                <w:rFonts w:ascii="Times New Roman" w:hAnsi="Times New Roman"/>
                <w:b/>
                <w:bCs/>
                <w:color w:val="auto"/>
                <w:lang w:val="en-US" w:eastAsia="en-US"/>
              </w:rPr>
            </w:pPr>
            <w:r>
              <w:rPr>
                <w:rFonts w:hint="eastAsia"/>
                <w:b/>
                <w:bCs/>
                <w:color w:val="auto"/>
                <w:lang w:val="en-US" w:eastAsia="zh-CN"/>
              </w:rPr>
              <w:t>合计</w:t>
            </w:r>
            <w:r>
              <w:rPr>
                <w:rFonts w:hint="eastAsia" w:ascii="Times New Roman" w:hAnsi="Times New Roman"/>
                <w:b/>
                <w:bCs/>
                <w:color w:val="auto"/>
                <w:lang w:val="en-US" w:eastAsia="zh-CN"/>
              </w:rPr>
              <w:t>（</w:t>
            </w:r>
            <w:r>
              <w:rPr>
                <w:rFonts w:ascii="Times New Roman" w:hAnsi="Times New Roman" w:cs="Times New Roman"/>
                <w:b/>
                <w:bCs/>
                <w:color w:val="auto"/>
              </w:rPr>
              <w:t>CO</w:t>
            </w:r>
            <w:r>
              <w:rPr>
                <w:rFonts w:ascii="Times New Roman" w:hAnsi="Times New Roman" w:cs="Times New Roman"/>
                <w:b/>
                <w:bCs/>
                <w:color w:val="auto"/>
                <w:vertAlign w:val="subscript"/>
              </w:rPr>
              <w:t>2</w:t>
            </w:r>
            <w:r>
              <w:rPr>
                <w:rFonts w:hint="eastAsia"/>
                <w:b/>
                <w:bCs/>
                <w:color w:val="auto"/>
                <w:lang w:val="en-US" w:eastAsia="zh-CN"/>
              </w:rPr>
              <w:t>计</w:t>
            </w:r>
            <w:r>
              <w:rPr>
                <w:rFonts w:hint="eastAsia" w:ascii="Times New Roman" w:hAnsi="Times New Roman"/>
                <w:b/>
                <w:bCs/>
                <w:color w:val="auto"/>
                <w:lang w:val="en-US" w:eastAsia="zh-CN"/>
              </w:rPr>
              <w:t>）</w:t>
            </w:r>
          </w:p>
        </w:tc>
        <w:tc>
          <w:tcPr>
            <w:tcW w:w="4746" w:type="dxa"/>
            <w:tcBorders>
              <w:tl2br w:val="nil"/>
              <w:tr2bl w:val="nil"/>
            </w:tcBorders>
            <w:vAlign w:val="center"/>
          </w:tcPr>
          <w:p w14:paraId="023BE7AA">
            <w:pPr>
              <w:pStyle w:val="56"/>
              <w:autoSpaceDE w:val="0"/>
              <w:autoSpaceDN w:val="0"/>
              <w:rPr>
                <w:rFonts w:hint="default" w:ascii="Times New Roman" w:hAnsi="Times New Roman" w:eastAsia="宋体"/>
                <w:b/>
                <w:bCs/>
                <w:color w:val="auto"/>
                <w:lang w:val="en-US" w:eastAsia="zh-CN"/>
              </w:rPr>
            </w:pPr>
            <w:r>
              <w:rPr>
                <w:rFonts w:hint="eastAsia"/>
                <w:b/>
                <w:bCs/>
                <w:color w:val="auto"/>
                <w:lang w:val="en-US" w:eastAsia="zh-CN"/>
              </w:rPr>
              <w:t>1268.3</w:t>
            </w:r>
          </w:p>
        </w:tc>
      </w:tr>
      <w:tr w14:paraId="464F575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shd w:val="clear" w:color="auto" w:fill="auto"/>
            <w:vAlign w:val="center"/>
          </w:tcPr>
          <w:p w14:paraId="036DA68F">
            <w:pPr>
              <w:pStyle w:val="56"/>
              <w:autoSpaceDE w:val="0"/>
              <w:autoSpaceDN w:val="0"/>
              <w:ind w:firstLine="0" w:firstLineChars="0"/>
              <w:rPr>
                <w:rFonts w:ascii="Times New Roman" w:hAnsi="Times New Roman" w:eastAsia="宋体" w:cs="Times New Roman"/>
                <w:b w:val="0"/>
                <w:bCs w:val="0"/>
                <w:color w:val="auto"/>
                <w:kern w:val="2"/>
                <w:sz w:val="21"/>
                <w:szCs w:val="22"/>
                <w:lang w:val="en-US" w:eastAsia="en-US" w:bidi="zh-CN"/>
              </w:rPr>
            </w:pPr>
            <w:bookmarkStart w:id="270" w:name="_Toc19067"/>
            <w:r>
              <w:rPr>
                <w:rFonts w:ascii="Times New Roman" w:hAnsi="Times New Roman"/>
                <w:b w:val="0"/>
                <w:bCs w:val="0"/>
                <w:color w:val="auto"/>
                <w:lang w:val="en-US" w:eastAsia="zh-CN"/>
              </w:rPr>
              <w:t>动物粪便管理</w:t>
            </w:r>
            <m:oMath>
              <m:sSub>
                <m:sSubPr>
                  <m:ctrlPr>
                    <w:rPr>
                      <w:rFonts w:ascii="Cambria Math" w:hAnsi="Cambria Math"/>
                      <w:b w:val="0"/>
                      <w:bCs w:val="0"/>
                      <w:color w:val="auto"/>
                      <w:lang w:val="en-US" w:eastAsia="en-US"/>
                    </w:rPr>
                  </m:ctrlPr>
                </m:sSubPr>
                <m:e>
                  <m:r>
                    <m:rPr>
                      <m:sty m:val="p"/>
                    </m:rPr>
                    <w:rPr>
                      <w:rFonts w:hint="default" w:ascii="Cambria Math" w:hAnsi="Cambria Math"/>
                      <w:color w:val="auto"/>
                      <w:lang w:val="en-US" w:eastAsia="zh-CN"/>
                    </w:rPr>
                    <m:t>E</m:t>
                  </m:r>
                  <m:ctrlPr>
                    <w:rPr>
                      <w:rFonts w:ascii="Cambria Math" w:hAnsi="Cambria Math"/>
                      <w:b w:val="0"/>
                      <w:bCs w:val="0"/>
                      <w:color w:val="auto"/>
                      <w:lang w:val="en-US" w:eastAsia="en-US"/>
                    </w:rPr>
                  </m:ctrlPr>
                </m:e>
                <m:sub>
                  <m:r>
                    <m:rPr>
                      <m:sty m:val="p"/>
                    </m:rPr>
                    <w:rPr>
                      <w:rFonts w:hint="default" w:ascii="Cambria Math" w:hAnsi="Cambria Math"/>
                      <w:color w:val="auto"/>
                      <w:lang w:val="en-US" w:eastAsia="zh-CN"/>
                    </w:rPr>
                    <m:t>M−</m:t>
                  </m:r>
                  <m:sSub>
                    <m:sSubPr>
                      <m:ctrlPr>
                        <w:rPr>
                          <w:rFonts w:ascii="Cambria Math" w:hAnsi="Cambria Math"/>
                          <w:b w:val="0"/>
                          <w:bCs w:val="0"/>
                          <w:color w:val="auto"/>
                          <w:lang w:val="en-US" w:eastAsia="en-US"/>
                        </w:rPr>
                      </m:ctrlPr>
                    </m:sSubPr>
                    <m:e>
                      <m:r>
                        <m:rPr>
                          <m:sty m:val="p"/>
                        </m:rPr>
                        <w:rPr>
                          <w:rFonts w:hint="default" w:ascii="Cambria Math" w:hAnsi="Cambria Math"/>
                          <w:color w:val="auto"/>
                          <w:lang w:val="en-US" w:eastAsia="zh-CN"/>
                        </w:rPr>
                        <m:t>N</m:t>
                      </m:r>
                      <m:ctrlPr>
                        <w:rPr>
                          <w:rFonts w:ascii="Cambria Math" w:hAnsi="Cambria Math"/>
                          <w:b w:val="0"/>
                          <w:bCs w:val="0"/>
                          <w:color w:val="auto"/>
                          <w:lang w:val="en-US" w:eastAsia="en-US"/>
                        </w:rPr>
                      </m:ctrlPr>
                    </m:e>
                    <m:sub>
                      <m:r>
                        <m:rPr>
                          <m:sty m:val="p"/>
                        </m:rPr>
                        <w:rPr>
                          <w:rFonts w:hint="default" w:ascii="Cambria Math" w:hAnsi="Cambria Math"/>
                          <w:color w:val="auto"/>
                          <w:lang w:val="en-US" w:eastAsia="zh-CN"/>
                        </w:rPr>
                        <m:t>2</m:t>
                      </m:r>
                      <m:ctrlPr>
                        <w:rPr>
                          <w:rFonts w:ascii="Cambria Math" w:hAnsi="Cambria Math"/>
                          <w:b w:val="0"/>
                          <w:bCs w:val="0"/>
                          <w:color w:val="auto"/>
                          <w:lang w:val="en-US" w:eastAsia="en-US"/>
                        </w:rPr>
                      </m:ctrlPr>
                    </m:sub>
                  </m:sSub>
                  <m:r>
                    <m:rPr>
                      <m:sty m:val="p"/>
                    </m:rPr>
                    <w:rPr>
                      <w:rFonts w:hint="default" w:ascii="Cambria Math" w:hAnsi="Cambria Math"/>
                      <w:color w:val="auto"/>
                      <w:lang w:val="en-US" w:eastAsia="zh-CN"/>
                    </w:rPr>
                    <m:t>O</m:t>
                  </m:r>
                  <m:ctrlPr>
                    <w:rPr>
                      <w:rFonts w:ascii="Cambria Math" w:hAnsi="Cambria Math"/>
                      <w:b w:val="0"/>
                      <w:bCs w:val="0"/>
                      <w:color w:val="auto"/>
                      <w:lang w:val="en-US" w:eastAsia="en-US"/>
                    </w:rPr>
                  </m:ctrlPr>
                </m:sub>
              </m:sSub>
            </m:oMath>
          </w:p>
        </w:tc>
        <w:tc>
          <w:tcPr>
            <w:tcW w:w="4746" w:type="dxa"/>
            <w:tcBorders>
              <w:tl2br w:val="nil"/>
              <w:tr2bl w:val="nil"/>
            </w:tcBorders>
            <w:shd w:val="clear" w:color="auto" w:fill="auto"/>
            <w:vAlign w:val="center"/>
          </w:tcPr>
          <w:p w14:paraId="24974EA3">
            <w:pPr>
              <w:pStyle w:val="56"/>
              <w:autoSpaceDE w:val="0"/>
              <w:autoSpaceDN w:val="0"/>
              <w:ind w:firstLine="0" w:firstLineChars="0"/>
              <w:rPr>
                <w:rFonts w:hint="default" w:ascii="Times New Roman" w:hAnsi="Times New Roman" w:eastAsia="宋体" w:cs="Times New Roman"/>
                <w:b w:val="0"/>
                <w:bCs w:val="0"/>
                <w:color w:val="auto"/>
                <w:kern w:val="2"/>
                <w:sz w:val="21"/>
                <w:szCs w:val="22"/>
                <w:lang w:val="en-US" w:eastAsia="zh-CN" w:bidi="zh-CN"/>
              </w:rPr>
            </w:pPr>
            <w:r>
              <w:rPr>
                <w:rFonts w:hint="eastAsia"/>
                <w:b w:val="0"/>
                <w:bCs w:val="0"/>
                <w:color w:val="auto"/>
                <w:lang w:val="en-US" w:eastAsia="zh-CN"/>
              </w:rPr>
              <w:t>1208.8</w:t>
            </w:r>
          </w:p>
        </w:tc>
      </w:tr>
      <w:tr w14:paraId="4DEDC9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098" w:type="dxa"/>
            <w:tcBorders>
              <w:tl2br w:val="nil"/>
              <w:tr2bl w:val="nil"/>
            </w:tcBorders>
            <w:shd w:val="clear" w:color="auto" w:fill="auto"/>
            <w:vAlign w:val="center"/>
          </w:tcPr>
          <w:p w14:paraId="5078CBF0">
            <w:pPr>
              <w:pStyle w:val="56"/>
              <w:autoSpaceDE w:val="0"/>
              <w:autoSpaceDN w:val="0"/>
              <w:ind w:firstLine="0" w:firstLineChars="0"/>
              <w:rPr>
                <w:rFonts w:hint="default" w:ascii="Times New Roman" w:hAnsi="Times New Roman"/>
                <w:b/>
                <w:bCs/>
                <w:color w:val="auto"/>
                <w:lang w:val="en-US" w:eastAsia="zh-CN"/>
              </w:rPr>
            </w:pPr>
            <w:r>
              <w:rPr>
                <w:rFonts w:hint="eastAsia"/>
                <w:b/>
                <w:bCs/>
                <w:color w:val="auto"/>
                <w:lang w:val="en-US" w:eastAsia="zh-CN"/>
              </w:rPr>
              <w:t>总排放量</w:t>
            </w:r>
          </w:p>
        </w:tc>
        <w:tc>
          <w:tcPr>
            <w:tcW w:w="4746" w:type="dxa"/>
            <w:tcBorders>
              <w:tl2br w:val="nil"/>
              <w:tr2bl w:val="nil"/>
            </w:tcBorders>
            <w:shd w:val="clear" w:color="auto" w:fill="auto"/>
            <w:vAlign w:val="center"/>
          </w:tcPr>
          <w:p w14:paraId="70324281">
            <w:pPr>
              <w:pStyle w:val="56"/>
              <w:autoSpaceDE w:val="0"/>
              <w:autoSpaceDN w:val="0"/>
              <w:ind w:firstLine="0" w:firstLineChars="0"/>
              <w:rPr>
                <w:rFonts w:hint="default"/>
                <w:b/>
                <w:bCs/>
                <w:color w:val="auto"/>
                <w:lang w:val="en-US" w:eastAsia="zh-CN"/>
              </w:rPr>
            </w:pPr>
            <w:r>
              <w:rPr>
                <w:rFonts w:hint="eastAsia"/>
                <w:b/>
                <w:bCs/>
                <w:color w:val="auto"/>
                <w:lang w:val="en-US" w:eastAsia="zh-CN"/>
              </w:rPr>
              <w:t>2477.1</w:t>
            </w:r>
          </w:p>
        </w:tc>
      </w:tr>
    </w:tbl>
    <w:p w14:paraId="1A4A099F">
      <w:pPr>
        <w:pStyle w:val="5"/>
        <w:numPr>
          <w:ilvl w:val="2"/>
          <w:numId w:val="1"/>
        </w:numPr>
        <w:ind w:left="120"/>
        <w:rPr>
          <w:rFonts w:ascii="Times New Roman" w:hAnsi="Times New Roman" w:cs="Times New Roman"/>
          <w:color w:val="auto"/>
        </w:rPr>
      </w:pPr>
      <w:r>
        <w:rPr>
          <w:rFonts w:ascii="Times New Roman" w:hAnsi="Times New Roman" w:cs="Times New Roman"/>
          <w:color w:val="auto"/>
        </w:rPr>
        <w:t>减排潜力分析</w:t>
      </w:r>
      <w:bookmarkEnd w:id="270"/>
    </w:p>
    <w:p w14:paraId="525FA57E">
      <w:pPr>
        <w:ind w:firstLine="480"/>
        <w:rPr>
          <w:rFonts w:ascii="Times New Roman" w:hAnsi="Times New Roman" w:cs="Times New Roman"/>
          <w:color w:val="auto"/>
        </w:rPr>
      </w:pPr>
      <w:r>
        <w:rPr>
          <w:rFonts w:ascii="Times New Roman" w:hAnsi="Times New Roman" w:cs="Times New Roman"/>
          <w:color w:val="auto"/>
        </w:rPr>
        <w:t>本项目的温室气体排放源主要包括生产动物粪便管理甲烷排放和氧化亚氮排放量、净购入使用电力产生的碳排放，为减少温室气体的排放，本项目可通过采用工艺过程控制大量降低物料消耗、减少生产中各种污染物的产生和排放；同时建议优化工艺设计、设备选型、饲料选取、环保措施、电气系统、节能管理等方面，</w:t>
      </w:r>
      <w:r>
        <w:rPr>
          <w:rFonts w:hint="eastAsia" w:ascii="Times New Roman" w:hAnsi="Times New Roman" w:cs="Times New Roman"/>
          <w:color w:val="auto"/>
          <w:lang w:val="en-US" w:eastAsia="zh-CN"/>
        </w:rPr>
        <w:t>优化</w:t>
      </w:r>
      <w:r>
        <w:rPr>
          <w:rFonts w:ascii="Times New Roman" w:hAnsi="Times New Roman" w:cs="Times New Roman"/>
          <w:color w:val="auto"/>
        </w:rPr>
        <w:t>动物粪便管理排放和电力的使用，积极参加植树造林活动，以间接促进本项目温室气体排放量的减少。</w:t>
      </w:r>
    </w:p>
    <w:p w14:paraId="59DBC77F">
      <w:pPr>
        <w:pStyle w:val="5"/>
        <w:numPr>
          <w:ilvl w:val="2"/>
          <w:numId w:val="1"/>
        </w:numPr>
        <w:ind w:left="120"/>
        <w:rPr>
          <w:rFonts w:ascii="Times New Roman" w:hAnsi="Times New Roman" w:cs="Times New Roman"/>
          <w:color w:val="auto"/>
        </w:rPr>
      </w:pPr>
      <w:bookmarkStart w:id="271" w:name="_Toc23253"/>
      <w:r>
        <w:rPr>
          <w:rFonts w:ascii="Times New Roman" w:hAnsi="Times New Roman" w:cs="Times New Roman"/>
          <w:color w:val="auto"/>
        </w:rPr>
        <w:t>排放管理</w:t>
      </w:r>
      <w:bookmarkEnd w:id="271"/>
    </w:p>
    <w:p w14:paraId="6F492570">
      <w:pPr>
        <w:ind w:firstLine="480"/>
        <w:rPr>
          <w:rFonts w:ascii="Times New Roman" w:hAnsi="Times New Roman" w:cs="Times New Roman"/>
          <w:color w:val="auto"/>
        </w:rPr>
      </w:pPr>
      <w:r>
        <w:rPr>
          <w:rFonts w:ascii="Times New Roman" w:hAnsi="Times New Roman" w:cs="Times New Roman"/>
          <w:color w:val="auto"/>
        </w:rPr>
        <w:t>（1）组织管理</w:t>
      </w:r>
    </w:p>
    <w:p w14:paraId="0741C742">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建立制度</w:t>
      </w:r>
    </w:p>
    <w:p w14:paraId="0D1ECB76">
      <w:pPr>
        <w:ind w:firstLine="480"/>
        <w:rPr>
          <w:rFonts w:ascii="Times New Roman" w:hAnsi="Times New Roman" w:cs="Times New Roman"/>
          <w:color w:val="auto"/>
        </w:rPr>
      </w:pPr>
      <w:r>
        <w:rPr>
          <w:rFonts w:ascii="Times New Roman" w:hAnsi="Times New Roman" w:cs="Times New Roman"/>
          <w:color w:val="auto"/>
        </w:rPr>
        <w:t>本项目的温室气体排放管理工作建议纳入</w:t>
      </w:r>
      <w:r>
        <w:rPr>
          <w:rFonts w:hint="eastAsia" w:cs="Times New Roman"/>
          <w:color w:val="auto"/>
          <w:lang w:val="zh-CN"/>
        </w:rPr>
        <w:t>新疆鼎成农业科技有限公司</w:t>
      </w:r>
      <w:r>
        <w:rPr>
          <w:rFonts w:ascii="Times New Roman" w:hAnsi="Times New Roman" w:cs="Times New Roman"/>
          <w:color w:val="auto"/>
        </w:rPr>
        <w:t>统一管理。</w:t>
      </w:r>
      <w:r>
        <w:rPr>
          <w:rFonts w:hint="eastAsia" w:cs="Times New Roman"/>
          <w:color w:val="auto"/>
          <w:lang w:val="zh-CN"/>
        </w:rPr>
        <w:t>新疆鼎成农业科技有限公司</w:t>
      </w:r>
      <w:r>
        <w:rPr>
          <w:rFonts w:ascii="Times New Roman" w:hAnsi="Times New Roman" w:cs="Times New Roman"/>
          <w:color w:val="auto"/>
        </w:rPr>
        <w:t>可结合本项目实际情况，建立温室气体管理制度，包括但不限于建立企业温室气体管理工作组织体系；明确各岗位职责及权限范围；明确战略管理、温室气体排放管理、温室气体资产管理、信息公开等具体内容；明确各事项审批流程及时限；明确管理制度的时效性。</w:t>
      </w:r>
    </w:p>
    <w:p w14:paraId="022DFE35">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能力培养</w:t>
      </w:r>
    </w:p>
    <w:p w14:paraId="206D83BB">
      <w:pPr>
        <w:ind w:firstLine="480"/>
        <w:rPr>
          <w:rFonts w:ascii="Times New Roman" w:hAnsi="Times New Roman" w:cs="Times New Roman"/>
          <w:color w:val="auto"/>
        </w:rPr>
      </w:pPr>
      <w:r>
        <w:rPr>
          <w:rFonts w:ascii="Times New Roman" w:hAnsi="Times New Roman" w:cs="Times New Roman"/>
          <w:color w:val="auto"/>
        </w:rPr>
        <w:t>为确保企业内温室气体管理工作人员具备相应能力，企业应开展以下工作：通过教育、培训、技能和经验交流，确保从事温室气体管理有关工作人员具备相应的能力，并保存相关记录；对与温室气体管理工作有重大影响的人员进行岗位专业技能培训，并保存培训记录；企业可选择外派培训、内部培训和横向交流等方式开展培训工作。</w:t>
      </w:r>
    </w:p>
    <w:p w14:paraId="2D39A4D0">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意识培养</w:t>
      </w:r>
    </w:p>
    <w:p w14:paraId="6CB98978">
      <w:pPr>
        <w:ind w:firstLine="480"/>
        <w:rPr>
          <w:rFonts w:ascii="Times New Roman" w:hAnsi="Times New Roman" w:cs="Times New Roman"/>
          <w:color w:val="auto"/>
        </w:rPr>
      </w:pPr>
      <w:r>
        <w:rPr>
          <w:rFonts w:ascii="Times New Roman" w:hAnsi="Times New Roman" w:cs="Times New Roman"/>
          <w:color w:val="auto"/>
        </w:rPr>
        <w:t>企业应采取措施，使全体人员都意识到：实施企业温室气体管理工作的重要性；降低温室气体排放、提高温室气体排放绩效给企业带来的效益，以及个人工作改进能带来的温室气体排放绩效；偏离温室气体管理制度规定运行程序的潜在后果。</w:t>
      </w:r>
    </w:p>
    <w:p w14:paraId="36345D62">
      <w:pPr>
        <w:ind w:firstLine="480"/>
        <w:rPr>
          <w:rFonts w:ascii="Times New Roman" w:hAnsi="Times New Roman" w:cs="Times New Roman"/>
          <w:color w:val="auto"/>
        </w:rPr>
      </w:pPr>
      <w:r>
        <w:rPr>
          <w:rFonts w:ascii="Times New Roman" w:hAnsi="Times New Roman" w:cs="Times New Roman"/>
          <w:color w:val="auto"/>
        </w:rPr>
        <w:t>（2）排放管理</w:t>
      </w:r>
    </w:p>
    <w:p w14:paraId="2A70A4E0">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监测管理</w:t>
      </w:r>
    </w:p>
    <w:p w14:paraId="1BFA0FA1">
      <w:pPr>
        <w:ind w:firstLine="480"/>
        <w:rPr>
          <w:rFonts w:ascii="Times New Roman" w:hAnsi="Times New Roman" w:cs="Times New Roman"/>
          <w:color w:val="auto"/>
        </w:rPr>
      </w:pPr>
      <w:r>
        <w:rPr>
          <w:rFonts w:ascii="Times New Roman" w:hAnsi="Times New Roman" w:cs="Times New Roman"/>
          <w:color w:val="auto"/>
        </w:rPr>
        <w:t>企业应根据自身的生产工艺以及国家相关部门发布的技术指南的有关要求，确保对其运行中的决定温室气体排放绩效的关键特性进行定期监视、测量和分析，关键特性至少应包括但不限于：排放源设施、各温室气体源流数据、具备实测条件的与排放因子相关的数据、温室气体排放相关数据和生产相关数据获取方式、数据的准确性。</w:t>
      </w:r>
    </w:p>
    <w:p w14:paraId="1E730DCF">
      <w:pPr>
        <w:ind w:firstLine="480"/>
        <w:rPr>
          <w:rFonts w:ascii="Times New Roman" w:hAnsi="Times New Roman" w:cs="Times New Roman"/>
          <w:color w:val="auto"/>
        </w:rPr>
      </w:pPr>
      <w:r>
        <w:rPr>
          <w:rFonts w:ascii="Times New Roman" w:hAnsi="Times New Roman" w:cs="Times New Roman"/>
          <w:color w:val="auto"/>
        </w:rPr>
        <w:t>企业应对监视和测量获取的相关数据进行分析，应开展以下工作：a）规范温室气体排放数据的整理和分析；b）对数据来源进行分类整理；c）对排放因子及相关参数的监测数据进行分类整理；d）对数据进行处理并进行统计分析；e）形成数据分析报告并存档。</w:t>
      </w:r>
    </w:p>
    <w:p w14:paraId="295396A8">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报告管理单位应基于温室气体排放核算的结果编写温室气体排放报告，并对其进行校核。核算报告编写应符合主管部门所规定的格式要求，对经过内部质量控制的核算结果进行确认，形成最终企业盖章的温室气体排放报告，并按要求提交给主管部门的同时进行存档。</w:t>
      </w:r>
    </w:p>
    <w:p w14:paraId="3CF5B3E3">
      <w:pPr>
        <w:ind w:firstLine="480"/>
        <w:rPr>
          <w:rFonts w:ascii="Times New Roman" w:hAnsi="Times New Roman" w:cs="Times New Roman"/>
          <w:color w:val="auto"/>
        </w:rPr>
      </w:pPr>
      <w:r>
        <w:rPr>
          <w:rFonts w:ascii="Times New Roman" w:hAnsi="Times New Roman" w:cs="Times New Roman"/>
          <w:color w:val="auto"/>
        </w:rPr>
        <w:t>（3）信息公开</w:t>
      </w:r>
    </w:p>
    <w:p w14:paraId="1BD44462">
      <w:pPr>
        <w:ind w:firstLine="480"/>
        <w:rPr>
          <w:rFonts w:ascii="Times New Roman" w:hAnsi="Times New Roman" w:cs="Times New Roman"/>
          <w:color w:val="auto"/>
        </w:rPr>
      </w:pPr>
      <w:r>
        <w:rPr>
          <w:rFonts w:ascii="Times New Roman" w:hAnsi="Times New Roman" w:cs="Times New Roman"/>
          <w:color w:val="auto"/>
        </w:rPr>
        <w:t>企业应按照主管部门相关要求和规定，核算并上报企业温室气体排放情况。鼓励企业选取合适的自发性披露渠道和方式，面向社会发布企业温室气体排放情况。</w:t>
      </w:r>
    </w:p>
    <w:p w14:paraId="7C3D2AB3">
      <w:pPr>
        <w:pStyle w:val="5"/>
        <w:numPr>
          <w:ilvl w:val="2"/>
          <w:numId w:val="1"/>
        </w:numPr>
        <w:ind w:left="120"/>
        <w:rPr>
          <w:rFonts w:ascii="Times New Roman" w:hAnsi="Times New Roman" w:cs="Times New Roman"/>
          <w:color w:val="auto"/>
        </w:rPr>
      </w:pPr>
      <w:bookmarkStart w:id="272" w:name="_Toc23205"/>
      <w:r>
        <w:rPr>
          <w:rFonts w:ascii="Times New Roman" w:hAnsi="Times New Roman" w:cs="Times New Roman"/>
          <w:color w:val="auto"/>
        </w:rPr>
        <w:t>分析结论</w:t>
      </w:r>
      <w:bookmarkEnd w:id="272"/>
    </w:p>
    <w:p w14:paraId="028B2776">
      <w:pPr>
        <w:ind w:firstLine="480"/>
        <w:rPr>
          <w:rFonts w:ascii="Times New Roman" w:hAnsi="Times New Roman" w:cs="Times New Roman"/>
          <w:color w:val="auto"/>
        </w:rPr>
      </w:pPr>
      <w:r>
        <w:rPr>
          <w:rFonts w:ascii="Times New Roman" w:hAnsi="Times New Roman" w:cs="Times New Roman"/>
          <w:color w:val="auto"/>
        </w:rPr>
        <w:t>通过上述分析，本项目温室气体排放总量为</w:t>
      </w:r>
      <w:r>
        <w:rPr>
          <w:rFonts w:hint="eastAsia" w:cs="Times New Roman"/>
          <w:color w:val="auto"/>
          <w:lang w:val="en-US" w:eastAsia="zh-CN"/>
        </w:rPr>
        <w:t>2477.1</w:t>
      </w:r>
      <w:r>
        <w:rPr>
          <w:rFonts w:ascii="Times New Roman" w:hAnsi="Times New Roman" w:cs="Times New Roman"/>
          <w:color w:val="auto"/>
        </w:rPr>
        <w:t>t</w:t>
      </w:r>
      <w:r>
        <w:rPr>
          <w:rFonts w:hint="eastAsia" w:cs="Times New Roman"/>
          <w:color w:val="auto"/>
          <w:lang w:eastAsia="zh-CN"/>
        </w:rPr>
        <w:t>，</w:t>
      </w:r>
      <w:r>
        <w:rPr>
          <w:rFonts w:hint="eastAsia" w:cs="Times New Roman"/>
          <w:color w:val="auto"/>
          <w:lang w:val="en-US" w:eastAsia="zh-CN"/>
        </w:rPr>
        <w:t>其中碳排放1268.3t，N</w:t>
      </w:r>
      <w:r>
        <w:rPr>
          <w:rFonts w:hint="eastAsia" w:cs="Times New Roman"/>
          <w:color w:val="auto"/>
          <w:vertAlign w:val="subscript"/>
          <w:lang w:val="en-US" w:eastAsia="zh-CN"/>
        </w:rPr>
        <w:t>2</w:t>
      </w:r>
      <w:r>
        <w:rPr>
          <w:rFonts w:hint="eastAsia" w:cs="Times New Roman"/>
          <w:color w:val="auto"/>
          <w:lang w:val="en-US" w:eastAsia="zh-CN"/>
        </w:rPr>
        <w:t>O等效碳排放</w:t>
      </w:r>
      <w:r>
        <w:rPr>
          <w:rFonts w:hint="eastAsia"/>
          <w:b w:val="0"/>
          <w:bCs w:val="0"/>
          <w:color w:val="auto"/>
          <w:lang w:val="en-US" w:eastAsia="zh-CN"/>
        </w:rPr>
        <w:t>1208.8</w:t>
      </w:r>
      <w:r>
        <w:rPr>
          <w:rFonts w:hint="eastAsia" w:cs="Times New Roman"/>
          <w:color w:val="auto"/>
          <w:lang w:val="en-US" w:eastAsia="zh-CN"/>
        </w:rPr>
        <w:t>t</w:t>
      </w:r>
      <w:r>
        <w:rPr>
          <w:rFonts w:ascii="Times New Roman" w:hAnsi="Times New Roman" w:cs="Times New Roman"/>
          <w:color w:val="auto"/>
        </w:rPr>
        <w:t>。在工艺设计、设备选型、饲料选取、环保措施、电气系统、节能管理等方面，采用一系列优化和节能措施后可降低本项目的温室气体的排放量。</w:t>
      </w:r>
    </w:p>
    <w:bookmarkEnd w:id="167"/>
    <w:bookmarkEnd w:id="168"/>
    <w:p w14:paraId="0C40F4A0">
      <w:pPr>
        <w:pStyle w:val="46"/>
        <w:ind w:firstLine="480"/>
        <w:rPr>
          <w:rFonts w:ascii="Times New Roman" w:hAnsi="Times New Roman" w:cs="Times New Roman"/>
          <w:color w:val="auto"/>
        </w:rPr>
      </w:pPr>
      <w:bookmarkStart w:id="273" w:name="_Toc483492102"/>
      <w:bookmarkStart w:id="274" w:name="_Toc490417147"/>
    </w:p>
    <w:p w14:paraId="50EE611D">
      <w:pPr>
        <w:ind w:firstLine="480"/>
        <w:rPr>
          <w:rFonts w:ascii="Times New Roman" w:hAnsi="Times New Roman" w:cs="Times New Roman"/>
          <w:color w:val="auto"/>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bookmarkEnd w:id="273"/>
    <w:bookmarkEnd w:id="274"/>
    <w:p w14:paraId="720F53F2">
      <w:pPr>
        <w:pStyle w:val="3"/>
        <w:numPr>
          <w:ilvl w:val="0"/>
          <w:numId w:val="1"/>
        </w:numPr>
        <w:rPr>
          <w:rFonts w:ascii="Times New Roman" w:hAnsi="Times New Roman" w:cs="Times New Roman"/>
          <w:color w:val="auto"/>
        </w:rPr>
      </w:pPr>
      <w:bookmarkStart w:id="275" w:name="_Toc1454"/>
      <w:bookmarkStart w:id="276" w:name="_Toc490417138"/>
      <w:bookmarkStart w:id="277" w:name="_Toc483492085"/>
      <w:r>
        <w:rPr>
          <w:rFonts w:ascii="Times New Roman" w:hAnsi="Times New Roman" w:cs="Times New Roman"/>
          <w:color w:val="auto"/>
        </w:rPr>
        <w:t>环境保护措施及其可行性分析论证</w:t>
      </w:r>
      <w:bookmarkEnd w:id="275"/>
      <w:bookmarkEnd w:id="276"/>
      <w:bookmarkEnd w:id="277"/>
    </w:p>
    <w:p w14:paraId="07AF2245">
      <w:pPr>
        <w:pStyle w:val="4"/>
        <w:numPr>
          <w:ilvl w:val="1"/>
          <w:numId w:val="1"/>
        </w:numPr>
        <w:ind w:left="120"/>
        <w:rPr>
          <w:rFonts w:ascii="Times New Roman" w:hAnsi="Times New Roman" w:cs="Times New Roman"/>
          <w:color w:val="auto"/>
          <w:lang w:val="en-GB"/>
        </w:rPr>
      </w:pPr>
      <w:bookmarkStart w:id="278" w:name="_Toc6134"/>
      <w:r>
        <w:rPr>
          <w:rFonts w:ascii="Times New Roman" w:hAnsi="Times New Roman" w:cs="Times New Roman"/>
          <w:color w:val="auto"/>
          <w:lang w:val="en-GB"/>
        </w:rPr>
        <w:t>施工期污染防治措施及可行性分析</w:t>
      </w:r>
      <w:bookmarkEnd w:id="278"/>
    </w:p>
    <w:p w14:paraId="505FD99A">
      <w:pPr>
        <w:pStyle w:val="5"/>
        <w:numPr>
          <w:ilvl w:val="2"/>
          <w:numId w:val="1"/>
        </w:numPr>
        <w:ind w:left="120"/>
        <w:rPr>
          <w:rFonts w:ascii="Times New Roman" w:hAnsi="Times New Roman" w:cs="Times New Roman"/>
          <w:color w:val="auto"/>
        </w:rPr>
      </w:pPr>
      <w:r>
        <w:rPr>
          <w:rFonts w:ascii="Times New Roman" w:hAnsi="Times New Roman" w:cs="Times New Roman"/>
          <w:color w:val="auto"/>
        </w:rPr>
        <w:t>大气污染防治措施</w:t>
      </w:r>
    </w:p>
    <w:p w14:paraId="766028E4">
      <w:pPr>
        <w:ind w:firstLine="480"/>
        <w:rPr>
          <w:rFonts w:ascii="Times New Roman" w:hAnsi="Times New Roman" w:cs="Times New Roman"/>
          <w:color w:val="auto"/>
        </w:rPr>
      </w:pPr>
      <w:r>
        <w:rPr>
          <w:rFonts w:ascii="Times New Roman" w:hAnsi="Times New Roman" w:cs="Times New Roman"/>
          <w:color w:val="auto"/>
        </w:rPr>
        <w:t>为使施工过程中产生的施工废气和施工扬尘对周围大气环境的影响降低</w:t>
      </w:r>
      <w:r>
        <w:rPr>
          <w:rFonts w:hint="eastAsia" w:ascii="Times New Roman" w:hAnsi="Times New Roman" w:cs="Times New Roman"/>
          <w:color w:val="auto"/>
          <w:lang w:eastAsia="zh-CN"/>
        </w:rPr>
        <w:t>到最低程度</w:t>
      </w:r>
      <w:r>
        <w:rPr>
          <w:rFonts w:ascii="Times New Roman" w:hAnsi="Times New Roman" w:cs="Times New Roman"/>
          <w:color w:val="auto"/>
        </w:rPr>
        <w:t>，需采取以下防护措施：</w:t>
      </w:r>
    </w:p>
    <w:p w14:paraId="2F85FE39">
      <w:pPr>
        <w:ind w:firstLine="480"/>
        <w:rPr>
          <w:rFonts w:ascii="Times New Roman" w:hAnsi="Times New Roman" w:cs="Times New Roman"/>
          <w:color w:val="auto"/>
        </w:rPr>
      </w:pPr>
      <w:r>
        <w:rPr>
          <w:rFonts w:ascii="Times New Roman" w:hAnsi="Times New Roman" w:cs="Times New Roman"/>
          <w:color w:val="auto"/>
        </w:rPr>
        <w:t>（1）建设施工活动中，必须对施工区域实行封闭。对施工工地实行围挡封闭施工，围挡高度最少不能低于2.5m，且围挡要坚固、稳定、规范；围挡之间无缝隙。</w:t>
      </w:r>
    </w:p>
    <w:p w14:paraId="6C7DFCA4">
      <w:pPr>
        <w:ind w:firstLine="480"/>
        <w:rPr>
          <w:rFonts w:ascii="Times New Roman" w:hAnsi="Times New Roman" w:cs="Times New Roman"/>
          <w:color w:val="auto"/>
        </w:rPr>
      </w:pPr>
      <w:r>
        <w:rPr>
          <w:rFonts w:ascii="Times New Roman" w:hAnsi="Times New Roman" w:cs="Times New Roman"/>
          <w:color w:val="auto"/>
        </w:rPr>
        <w:t>（2）土方工程包括土的开挖、运输和填筑等施工过程。遇到干燥、易起尘的土方工程施工时，应辅以洒水压尘，尽量缩短起尘操作时间。遇到四级或四级以上大风天气，应停止土方作业，同时作业处覆以防尘网。</w:t>
      </w:r>
    </w:p>
    <w:p w14:paraId="12F6905A">
      <w:pPr>
        <w:ind w:firstLine="480"/>
        <w:rPr>
          <w:rFonts w:ascii="Times New Roman" w:hAnsi="Times New Roman" w:cs="Times New Roman"/>
          <w:color w:val="auto"/>
        </w:rPr>
      </w:pPr>
      <w:r>
        <w:rPr>
          <w:rFonts w:ascii="Times New Roman" w:hAnsi="Times New Roman" w:cs="Times New Roman"/>
          <w:color w:val="auto"/>
        </w:rPr>
        <w:t>（3）施工工地内及工地出口至铺装道路间的行车道路，应铺设钢板或者铺设水泥</w:t>
      </w:r>
      <w:r>
        <w:rPr>
          <w:rFonts w:hint="eastAsia" w:ascii="Times New Roman" w:hAnsi="Times New Roman" w:cs="Times New Roman"/>
          <w:color w:val="auto"/>
          <w:lang w:eastAsia="zh-CN"/>
        </w:rPr>
        <w:t>混凝土</w:t>
      </w:r>
      <w:r>
        <w:rPr>
          <w:rFonts w:ascii="Times New Roman" w:hAnsi="Times New Roman" w:cs="Times New Roman"/>
          <w:color w:val="auto"/>
        </w:rPr>
        <w:t>；铺设用细石或其他功能相当的材料、并辅以洒水抑尘等措施，以保持路面清洁，</w:t>
      </w:r>
      <w:r>
        <w:rPr>
          <w:rFonts w:hint="eastAsia" w:ascii="Times New Roman" w:hAnsi="Times New Roman" w:cs="Times New Roman"/>
          <w:color w:val="auto"/>
          <w:lang w:eastAsia="zh-CN"/>
        </w:rPr>
        <w:t>减少</w:t>
      </w:r>
      <w:r>
        <w:rPr>
          <w:rFonts w:ascii="Times New Roman" w:hAnsi="Times New Roman" w:cs="Times New Roman"/>
          <w:color w:val="auto"/>
        </w:rPr>
        <w:t>车辆扬尘。</w:t>
      </w:r>
    </w:p>
    <w:p w14:paraId="7F52B785">
      <w:pPr>
        <w:ind w:firstLine="480"/>
        <w:rPr>
          <w:rFonts w:ascii="Times New Roman" w:hAnsi="Times New Roman" w:cs="Times New Roman"/>
          <w:color w:val="auto"/>
        </w:rPr>
      </w:pPr>
      <w:r>
        <w:rPr>
          <w:rFonts w:ascii="Times New Roman" w:hAnsi="Times New Roman" w:cs="Times New Roman"/>
          <w:color w:val="auto"/>
        </w:rPr>
        <w:t>（4）施工过程使用水泥、砂石、涂料、铺装材料等易产生扬尘的建筑材料，应密闭存储或者设置围挡、堆砌围墙、采用防尘布苫盖等防尘措施。</w:t>
      </w:r>
    </w:p>
    <w:p w14:paraId="486A07E5">
      <w:pPr>
        <w:ind w:firstLine="480"/>
        <w:rPr>
          <w:rFonts w:ascii="Times New Roman" w:hAnsi="Times New Roman" w:cs="Times New Roman"/>
          <w:color w:val="auto"/>
        </w:rPr>
      </w:pPr>
      <w:r>
        <w:rPr>
          <w:rFonts w:ascii="Times New Roman" w:hAnsi="Times New Roman" w:cs="Times New Roman"/>
          <w:color w:val="auto"/>
        </w:rPr>
        <w:t>（5）施工过</w:t>
      </w:r>
      <w:r>
        <w:rPr>
          <w:rFonts w:hint="eastAsia" w:cs="Times New Roman"/>
          <w:color w:val="auto"/>
          <w:lang w:eastAsia="zh-CN"/>
        </w:rPr>
        <w:t>程中</w:t>
      </w:r>
      <w:r>
        <w:rPr>
          <w:rFonts w:ascii="Times New Roman" w:hAnsi="Times New Roman" w:cs="Times New Roman"/>
          <w:color w:val="auto"/>
        </w:rPr>
        <w:t>产生的弃料及其他建筑垃圾，应及时清运。进出工地的物料、渣土、垃圾运输车辆，应尽可能采用密闭车斗，并保证物料不遗撒外漏。若无密闭车斗，物料、垃圾、渣土的装载高度不得超过车辆槽帮上沿，车斗应用</w:t>
      </w:r>
      <w:r>
        <w:rPr>
          <w:rFonts w:hint="eastAsia" w:ascii="Times New Roman" w:hAnsi="Times New Roman" w:cs="Times New Roman"/>
          <w:color w:val="auto"/>
          <w:lang w:val="en-US" w:eastAsia="zh-CN"/>
        </w:rPr>
        <w:t>篷布</w:t>
      </w:r>
      <w:r>
        <w:rPr>
          <w:rFonts w:ascii="Times New Roman" w:hAnsi="Times New Roman" w:cs="Times New Roman"/>
          <w:color w:val="auto"/>
        </w:rPr>
        <w:t>遮盖严实。</w:t>
      </w:r>
    </w:p>
    <w:p w14:paraId="6846912A">
      <w:pPr>
        <w:ind w:firstLine="480"/>
        <w:rPr>
          <w:rFonts w:ascii="Times New Roman" w:hAnsi="Times New Roman" w:cs="Times New Roman"/>
          <w:color w:val="auto"/>
        </w:rPr>
      </w:pPr>
      <w:r>
        <w:rPr>
          <w:rFonts w:ascii="Times New Roman" w:hAnsi="Times New Roman" w:cs="Times New Roman"/>
          <w:color w:val="auto"/>
        </w:rPr>
        <w:t>（6）合理安排施工次序，采用科学的施工组织方式，加强施工的组织管理和运输车辆的管理。</w:t>
      </w:r>
    </w:p>
    <w:p w14:paraId="157A7069">
      <w:pPr>
        <w:ind w:firstLine="480"/>
        <w:rPr>
          <w:rFonts w:ascii="Times New Roman" w:hAnsi="Times New Roman" w:cs="Times New Roman"/>
          <w:color w:val="auto"/>
        </w:rPr>
      </w:pPr>
      <w:r>
        <w:rPr>
          <w:rFonts w:ascii="Times New Roman" w:hAnsi="Times New Roman" w:cs="Times New Roman"/>
          <w:color w:val="auto"/>
        </w:rPr>
        <w:t>（7）加强施工机械和运输车辆的维修、保养，确保施工机械和运输车辆尾气达标排放。</w:t>
      </w:r>
    </w:p>
    <w:p w14:paraId="58DF52D5">
      <w:pPr>
        <w:ind w:firstLine="480"/>
        <w:rPr>
          <w:rFonts w:ascii="Times New Roman" w:hAnsi="Times New Roman" w:cs="Times New Roman"/>
          <w:color w:val="auto"/>
        </w:rPr>
      </w:pPr>
      <w:r>
        <w:rPr>
          <w:rFonts w:ascii="Times New Roman" w:hAnsi="Times New Roman" w:cs="Times New Roman"/>
          <w:color w:val="auto"/>
        </w:rPr>
        <w:t>由于施工期大气污染物的排放都是暂时的，施工单位只要合理规划、科学管理，严格按照以上措施的要求进行作业，施工活动不会对区域环境空气质量产生明显影响，而且随着施工活动的结束，施工期环境影响也将逐渐消失，因此施工期对大气环境的影响是有限的。</w:t>
      </w:r>
    </w:p>
    <w:p w14:paraId="61B6BB96">
      <w:pPr>
        <w:pStyle w:val="5"/>
        <w:numPr>
          <w:ilvl w:val="2"/>
          <w:numId w:val="1"/>
        </w:numPr>
        <w:ind w:left="238" w:hanging="118"/>
        <w:rPr>
          <w:rFonts w:ascii="Times New Roman" w:hAnsi="Times New Roman" w:cs="Times New Roman"/>
          <w:color w:val="auto"/>
        </w:rPr>
      </w:pPr>
      <w:bookmarkStart w:id="279" w:name="6.1.2水环境污染防治措施及可行性分析"/>
      <w:bookmarkEnd w:id="279"/>
      <w:r>
        <w:rPr>
          <w:rFonts w:ascii="Times New Roman" w:hAnsi="Times New Roman" w:cs="Times New Roman"/>
          <w:color w:val="auto"/>
        </w:rPr>
        <w:t>水环境污染防治措施</w:t>
      </w:r>
    </w:p>
    <w:p w14:paraId="68963A13">
      <w:pPr>
        <w:ind w:firstLine="480"/>
        <w:rPr>
          <w:rFonts w:ascii="Times New Roman" w:hAnsi="Times New Roman" w:cs="Times New Roman"/>
          <w:color w:val="auto"/>
        </w:rPr>
      </w:pPr>
      <w:r>
        <w:rPr>
          <w:rFonts w:ascii="Times New Roman" w:hAnsi="Times New Roman" w:cs="Times New Roman"/>
          <w:color w:val="auto"/>
        </w:rPr>
        <w:t>（1）施工场地设沉砂池，将场地生产废水收集至沉淀池处理达标后用于施工场地洒水降尘；工程完工后，尽快对周边进行恢复或地面硬化。</w:t>
      </w:r>
    </w:p>
    <w:p w14:paraId="750D1C13">
      <w:pPr>
        <w:ind w:firstLine="480"/>
        <w:rPr>
          <w:rFonts w:ascii="Times New Roman" w:hAnsi="Times New Roman" w:cs="Times New Roman"/>
          <w:color w:val="auto"/>
        </w:rPr>
      </w:pPr>
      <w:r>
        <w:rPr>
          <w:rFonts w:ascii="Times New Roman" w:hAnsi="Times New Roman" w:cs="Times New Roman"/>
          <w:color w:val="auto"/>
        </w:rPr>
        <w:t>（2）对施工流动机械的冲洗设固定场所，进行简单的冲洗泥沙的工作，冲洗水进入沉淀池处理达标后用于施工场地洒水降尘。</w:t>
      </w:r>
    </w:p>
    <w:p w14:paraId="3E4A5C2F">
      <w:pPr>
        <w:ind w:firstLine="480"/>
        <w:rPr>
          <w:rFonts w:ascii="Times New Roman" w:hAnsi="Times New Roman" w:cs="Times New Roman"/>
          <w:color w:val="auto"/>
        </w:rPr>
      </w:pPr>
      <w:r>
        <w:rPr>
          <w:rFonts w:ascii="Times New Roman" w:hAnsi="Times New Roman" w:cs="Times New Roman"/>
          <w:color w:val="auto"/>
        </w:rPr>
        <w:t>（3）施工单位对施工场地用水应严格管理，贯彻“一水多用、重复利用、节约用水”的原则，尽量减少废水的排放量，减轻废水排放对周围环境的影响。</w:t>
      </w:r>
    </w:p>
    <w:p w14:paraId="5A624C84">
      <w:pPr>
        <w:ind w:firstLine="480"/>
        <w:rPr>
          <w:rFonts w:ascii="Times New Roman" w:hAnsi="Times New Roman" w:cs="Times New Roman"/>
          <w:color w:val="auto"/>
        </w:rPr>
      </w:pPr>
      <w:r>
        <w:rPr>
          <w:rFonts w:ascii="Times New Roman" w:hAnsi="Times New Roman" w:cs="Times New Roman"/>
          <w:color w:val="auto"/>
        </w:rPr>
        <w:t>（4）加强施工期工地用水管理，节约用水，尽可能避免施工用水过程中的“跑、冒、滴、漏”，减少施工废水外排量。</w:t>
      </w:r>
    </w:p>
    <w:p w14:paraId="3518BEF8">
      <w:pPr>
        <w:ind w:firstLine="480"/>
        <w:rPr>
          <w:rFonts w:ascii="Times New Roman" w:hAnsi="Times New Roman" w:cs="Times New Roman"/>
          <w:color w:val="auto"/>
        </w:rPr>
      </w:pPr>
      <w:r>
        <w:rPr>
          <w:rFonts w:ascii="Times New Roman" w:hAnsi="Times New Roman" w:cs="Times New Roman"/>
          <w:color w:val="auto"/>
        </w:rPr>
        <w:t>在采取上述废水污染防</w:t>
      </w:r>
      <w:r>
        <w:rPr>
          <w:rFonts w:hint="eastAsia" w:ascii="Times New Roman" w:hAnsi="Times New Roman" w:cs="Times New Roman"/>
          <w:color w:val="auto"/>
          <w:lang w:eastAsia="zh-CN"/>
        </w:rPr>
        <w:t>治</w:t>
      </w:r>
      <w:r>
        <w:rPr>
          <w:rFonts w:ascii="Times New Roman" w:hAnsi="Times New Roman" w:cs="Times New Roman"/>
          <w:color w:val="auto"/>
        </w:rPr>
        <w:t>措施后，施工期对水环境的影响较小。</w:t>
      </w:r>
    </w:p>
    <w:p w14:paraId="64893484">
      <w:pPr>
        <w:pStyle w:val="5"/>
        <w:numPr>
          <w:ilvl w:val="2"/>
          <w:numId w:val="1"/>
        </w:numPr>
        <w:ind w:left="120"/>
        <w:rPr>
          <w:rFonts w:ascii="Times New Roman" w:hAnsi="Times New Roman" w:cs="Times New Roman"/>
          <w:color w:val="auto"/>
        </w:rPr>
      </w:pPr>
      <w:bookmarkStart w:id="280" w:name="6.1.3噪声污染防治措施及可行性分析"/>
      <w:bookmarkEnd w:id="280"/>
      <w:r>
        <w:rPr>
          <w:rFonts w:ascii="Times New Roman" w:hAnsi="Times New Roman" w:cs="Times New Roman"/>
          <w:color w:val="auto"/>
        </w:rPr>
        <w:t>噪声污染防治措施</w:t>
      </w:r>
    </w:p>
    <w:p w14:paraId="27AB7111">
      <w:pPr>
        <w:ind w:firstLine="480"/>
        <w:rPr>
          <w:rFonts w:ascii="Times New Roman" w:hAnsi="Times New Roman" w:cs="Times New Roman"/>
          <w:color w:val="auto"/>
        </w:rPr>
      </w:pPr>
      <w:r>
        <w:rPr>
          <w:rFonts w:ascii="Times New Roman" w:hAnsi="Times New Roman" w:cs="Times New Roman"/>
          <w:color w:val="auto"/>
        </w:rPr>
        <w:t>施工期间的噪声问题是项目建设期最主要的环境影响问题，如对施工噪声控制不好，易造成噪声扰民、噪声超标排放，所以要求建设方严格按照本环评提出的噪声污染防治措施，尽量减小施工噪声对周围环境的影响。</w:t>
      </w:r>
    </w:p>
    <w:p w14:paraId="4FA3E758">
      <w:pPr>
        <w:ind w:firstLine="480"/>
        <w:rPr>
          <w:rFonts w:ascii="Times New Roman" w:hAnsi="Times New Roman" w:cs="Times New Roman"/>
          <w:color w:val="auto"/>
        </w:rPr>
      </w:pPr>
      <w:r>
        <w:rPr>
          <w:rFonts w:ascii="Times New Roman" w:hAnsi="Times New Roman" w:cs="Times New Roman"/>
          <w:color w:val="auto"/>
        </w:rPr>
        <w:t>（1）施工单位应合理布设总体施工顺序，在区域边界</w:t>
      </w:r>
      <w:r>
        <w:rPr>
          <w:rFonts w:hint="eastAsia" w:cs="Times New Roman"/>
          <w:color w:val="auto"/>
          <w:lang w:eastAsia="zh-CN"/>
        </w:rPr>
        <w:t>设置</w:t>
      </w:r>
      <w:r>
        <w:rPr>
          <w:rFonts w:ascii="Times New Roman" w:hAnsi="Times New Roman" w:cs="Times New Roman"/>
          <w:color w:val="auto"/>
        </w:rPr>
        <w:t>施工围挡等设施。</w:t>
      </w:r>
    </w:p>
    <w:p w14:paraId="760C6974">
      <w:pPr>
        <w:ind w:firstLine="480"/>
        <w:rPr>
          <w:rFonts w:ascii="Times New Roman" w:hAnsi="Times New Roman" w:cs="Times New Roman"/>
          <w:color w:val="auto"/>
        </w:rPr>
      </w:pPr>
      <w:r>
        <w:rPr>
          <w:rFonts w:ascii="Times New Roman" w:hAnsi="Times New Roman" w:cs="Times New Roman"/>
          <w:color w:val="auto"/>
        </w:rPr>
        <w:t>（2）施工单位可合理安排施工时间，避免长时间使用高噪声设备，使该项目在施工期造成的噪声污染降到最低。</w:t>
      </w:r>
    </w:p>
    <w:p w14:paraId="7DF27B07">
      <w:pPr>
        <w:ind w:firstLine="480"/>
        <w:rPr>
          <w:rFonts w:ascii="Times New Roman" w:hAnsi="Times New Roman" w:cs="Times New Roman"/>
          <w:color w:val="auto"/>
        </w:rPr>
      </w:pPr>
      <w:r>
        <w:rPr>
          <w:rFonts w:ascii="Times New Roman" w:hAnsi="Times New Roman" w:cs="Times New Roman"/>
          <w:color w:val="auto"/>
        </w:rPr>
        <w:t>（3）施工设备选型时，在满足施工需要的前提下，尽可能选取噪声低、振动小、能耗小的先进设备。加强施工机械的维护保养，避免由于设备性能差而使机械噪声增大的现象发生。</w:t>
      </w:r>
    </w:p>
    <w:p w14:paraId="59984A00">
      <w:pPr>
        <w:ind w:firstLine="480"/>
        <w:rPr>
          <w:rFonts w:ascii="Times New Roman" w:hAnsi="Times New Roman" w:cs="Times New Roman"/>
          <w:color w:val="auto"/>
        </w:rPr>
      </w:pPr>
      <w:r>
        <w:rPr>
          <w:rFonts w:ascii="Times New Roman" w:hAnsi="Times New Roman" w:cs="Times New Roman"/>
          <w:color w:val="auto"/>
        </w:rPr>
        <w:t>（4）项目施工作业阶段噪声影响最严重的时期是结构浇筑阶段，建设方应抓住主要问题，对结构浇筑阶段的噪声问题进行重点防治。</w:t>
      </w:r>
    </w:p>
    <w:p w14:paraId="5377E8C8">
      <w:pPr>
        <w:ind w:firstLine="480"/>
        <w:rPr>
          <w:rFonts w:ascii="Times New Roman" w:hAnsi="Times New Roman" w:cs="Times New Roman"/>
          <w:color w:val="auto"/>
        </w:rPr>
      </w:pPr>
      <w:r>
        <w:rPr>
          <w:rFonts w:ascii="Times New Roman" w:hAnsi="Times New Roman" w:cs="Times New Roman"/>
          <w:color w:val="auto"/>
        </w:rPr>
        <w:t>（5）提高施工人员特别是现场施工负责人员的环保意识，施工部门负责人应学习国家相关环保</w:t>
      </w:r>
      <w:r>
        <w:rPr>
          <w:rFonts w:hint="eastAsia" w:ascii="Times New Roman" w:hAnsi="Times New Roman" w:cs="Times New Roman"/>
          <w:color w:val="auto"/>
          <w:lang w:eastAsia="zh-CN"/>
        </w:rPr>
        <w:t>法律法规</w:t>
      </w:r>
      <w:r>
        <w:rPr>
          <w:rFonts w:ascii="Times New Roman" w:hAnsi="Times New Roman" w:cs="Times New Roman"/>
          <w:color w:val="auto"/>
        </w:rPr>
        <w:t>，增强环保意识，明确认识噪声对人体的危害。</w:t>
      </w:r>
    </w:p>
    <w:p w14:paraId="6EF0E478">
      <w:pPr>
        <w:ind w:firstLine="480"/>
        <w:rPr>
          <w:rFonts w:ascii="Times New Roman" w:hAnsi="Times New Roman" w:cs="Times New Roman"/>
          <w:color w:val="auto"/>
        </w:rPr>
      </w:pPr>
      <w:r>
        <w:rPr>
          <w:rFonts w:ascii="Times New Roman" w:hAnsi="Times New Roman" w:cs="Times New Roman"/>
          <w:color w:val="auto"/>
        </w:rPr>
        <w:t>施工期时段有限，采取以上污染控制措施后，可将施工期噪声影响降至最低程度，措施可行。</w:t>
      </w:r>
    </w:p>
    <w:p w14:paraId="15156E8E">
      <w:pPr>
        <w:pStyle w:val="5"/>
        <w:numPr>
          <w:ilvl w:val="2"/>
          <w:numId w:val="1"/>
        </w:numPr>
        <w:ind w:left="238" w:hanging="118"/>
        <w:rPr>
          <w:rFonts w:ascii="Times New Roman" w:hAnsi="Times New Roman" w:cs="Times New Roman"/>
          <w:color w:val="auto"/>
        </w:rPr>
      </w:pPr>
      <w:bookmarkStart w:id="281" w:name="6.1.4施工固体废弃物污染防治措施及可行性分析"/>
      <w:bookmarkEnd w:id="281"/>
      <w:r>
        <w:rPr>
          <w:rFonts w:ascii="Times New Roman" w:hAnsi="Times New Roman" w:cs="Times New Roman"/>
          <w:color w:val="auto"/>
        </w:rPr>
        <w:t>固体废弃物污染防治措施</w:t>
      </w:r>
    </w:p>
    <w:p w14:paraId="73FE5295">
      <w:pPr>
        <w:ind w:firstLine="480"/>
        <w:rPr>
          <w:rFonts w:ascii="Times New Roman" w:hAnsi="Times New Roman" w:cs="Times New Roman"/>
          <w:color w:val="auto"/>
        </w:rPr>
      </w:pPr>
      <w:r>
        <w:rPr>
          <w:rFonts w:ascii="Times New Roman" w:hAnsi="Times New Roman" w:cs="Times New Roman"/>
          <w:color w:val="auto"/>
        </w:rPr>
        <w:t>项目施工过程中会产生建筑垃圾。根据《城市建筑垃圾管理规定》（建设部令第139号，2005年3月23日）有关规定，建设单位和施工单位要重视和加强建筑垃圾的管理，采取积极措施防止其对环境的污染。</w:t>
      </w:r>
    </w:p>
    <w:p w14:paraId="4AE0A368">
      <w:pPr>
        <w:ind w:firstLine="480"/>
        <w:rPr>
          <w:rFonts w:ascii="Times New Roman" w:hAnsi="Times New Roman" w:cs="Times New Roman"/>
          <w:color w:val="auto"/>
        </w:rPr>
      </w:pPr>
      <w:r>
        <w:rPr>
          <w:rFonts w:ascii="Times New Roman" w:hAnsi="Times New Roman" w:cs="Times New Roman"/>
          <w:color w:val="auto"/>
        </w:rPr>
        <w:t>（1）建筑垃圾集中收集堆放，分选后对土石块就地填方，金属、木块等可回收利用的废物回收利用。</w:t>
      </w:r>
    </w:p>
    <w:p w14:paraId="4A55FCFA">
      <w:pPr>
        <w:ind w:firstLine="480"/>
        <w:rPr>
          <w:rFonts w:ascii="Times New Roman" w:hAnsi="Times New Roman" w:cs="Times New Roman"/>
          <w:color w:val="auto"/>
        </w:rPr>
      </w:pPr>
      <w:r>
        <w:rPr>
          <w:rFonts w:ascii="Times New Roman" w:hAnsi="Times New Roman" w:cs="Times New Roman"/>
          <w:color w:val="auto"/>
        </w:rPr>
        <w:t>（2）渣土尽量在场内周转，就地用于</w:t>
      </w:r>
      <w:r>
        <w:rPr>
          <w:rFonts w:hint="eastAsia" w:ascii="Times New Roman" w:hAnsi="Times New Roman" w:cs="Times New Roman"/>
          <w:color w:val="auto"/>
          <w:lang w:val="en-US" w:eastAsia="zh-CN"/>
        </w:rPr>
        <w:t>基础回填</w:t>
      </w:r>
      <w:r>
        <w:rPr>
          <w:rFonts w:ascii="Times New Roman" w:hAnsi="Times New Roman" w:cs="Times New Roman"/>
          <w:color w:val="auto"/>
        </w:rPr>
        <w:t>、土地平整及道路建设等建设使用。</w:t>
      </w:r>
    </w:p>
    <w:p w14:paraId="5395E7F6">
      <w:pPr>
        <w:ind w:firstLine="480"/>
        <w:rPr>
          <w:rFonts w:ascii="Times New Roman" w:hAnsi="Times New Roman" w:cs="Times New Roman"/>
          <w:color w:val="auto"/>
        </w:rPr>
      </w:pPr>
      <w:r>
        <w:rPr>
          <w:rFonts w:ascii="Times New Roman" w:hAnsi="Times New Roman" w:cs="Times New Roman"/>
          <w:color w:val="auto"/>
        </w:rPr>
        <w:t>（3）在工程竣工以后，施工单位应拆除各种临时施工设施，并负责将工地的剩余建筑垃圾、工程渣土处理干净，做到“工完、料尽、场地清”，建设单位应负责督促施工单位的固体废物处置清理工作。</w:t>
      </w:r>
    </w:p>
    <w:p w14:paraId="5ACD8DA8">
      <w:pPr>
        <w:ind w:firstLine="480"/>
        <w:rPr>
          <w:rFonts w:ascii="Times New Roman" w:hAnsi="Times New Roman" w:cs="Times New Roman"/>
          <w:color w:val="auto"/>
        </w:rPr>
      </w:pPr>
      <w:r>
        <w:rPr>
          <w:rFonts w:ascii="Times New Roman" w:hAnsi="Times New Roman" w:cs="Times New Roman"/>
          <w:color w:val="auto"/>
        </w:rPr>
        <w:t>评价认为，采取上述环保措施后，施工期固体废弃物对环境影响较小，各项措施通过加强施工期间的卫生管理，严禁乱堆、乱倒垃圾，可以减轻施工期固体废弃物对环境的影响。只要加强管理，采取切实可行的措施，这些废弃物不会给环境带来危害。</w:t>
      </w:r>
    </w:p>
    <w:p w14:paraId="4924C3BD">
      <w:pPr>
        <w:pStyle w:val="5"/>
        <w:numPr>
          <w:ilvl w:val="2"/>
          <w:numId w:val="1"/>
        </w:numPr>
        <w:ind w:left="238" w:hanging="118"/>
        <w:rPr>
          <w:rFonts w:ascii="Times New Roman" w:hAnsi="Times New Roman" w:cs="Times New Roman"/>
          <w:color w:val="auto"/>
        </w:rPr>
      </w:pPr>
      <w:bookmarkStart w:id="282" w:name="6.1.5生态环境保护措施"/>
      <w:bookmarkEnd w:id="282"/>
      <w:r>
        <w:rPr>
          <w:rFonts w:ascii="Times New Roman" w:hAnsi="Times New Roman" w:cs="Times New Roman"/>
          <w:color w:val="auto"/>
        </w:rPr>
        <w:t>生态环境保护措施</w:t>
      </w:r>
    </w:p>
    <w:p w14:paraId="5459C7BD">
      <w:pPr>
        <w:ind w:firstLine="480"/>
        <w:rPr>
          <w:rFonts w:ascii="Times New Roman" w:hAnsi="Times New Roman" w:cs="Times New Roman"/>
          <w:color w:val="auto"/>
        </w:rPr>
      </w:pPr>
      <w:bookmarkStart w:id="283" w:name="_Toc4959"/>
      <w:r>
        <w:rPr>
          <w:rFonts w:hint="eastAsia" w:cs="Times New Roman"/>
          <w:color w:val="auto"/>
          <w:lang w:eastAsia="zh-CN"/>
        </w:rPr>
        <w:t>1.</w:t>
      </w:r>
      <w:r>
        <w:rPr>
          <w:rFonts w:ascii="Times New Roman" w:hAnsi="Times New Roman" w:cs="Times New Roman"/>
          <w:color w:val="auto"/>
        </w:rPr>
        <w:t>施工期对植被的保护措施</w:t>
      </w:r>
      <w:bookmarkEnd w:id="283"/>
    </w:p>
    <w:p w14:paraId="74E1FE1E">
      <w:pPr>
        <w:ind w:firstLine="480"/>
        <w:rPr>
          <w:rFonts w:ascii="Times New Roman" w:hAnsi="Times New Roman" w:cs="Times New Roman"/>
          <w:color w:val="auto"/>
        </w:rPr>
      </w:pPr>
      <w:r>
        <w:rPr>
          <w:rFonts w:ascii="Times New Roman" w:hAnsi="Times New Roman" w:cs="Times New Roman"/>
          <w:color w:val="auto"/>
        </w:rPr>
        <w:t>本项目施工作业带范围内的土壤和植被都可能受到扰动和破坏。施工作业场地内的临时建筑尽可能采用成品或简易拼装方式，尽量减轻对土壤及植被的破坏。尽量减少施工人员及施工机械对作业场外的植被的破坏；严格规定施工车辆的行驶便道，防止施工车辆在有植被的地段任意行驶。严格要求施工人员，禁止踩踏和破坏周围植被，禁止铲除任何植被，将施工对区域植被的影响降到最低。</w:t>
      </w:r>
    </w:p>
    <w:p w14:paraId="62A73323">
      <w:pPr>
        <w:ind w:firstLine="480"/>
        <w:rPr>
          <w:rFonts w:ascii="Times New Roman" w:hAnsi="Times New Roman" w:cs="Times New Roman"/>
          <w:color w:val="auto"/>
        </w:rPr>
      </w:pPr>
      <w:bookmarkStart w:id="284" w:name="_Toc17813"/>
      <w:r>
        <w:rPr>
          <w:rFonts w:hint="eastAsia" w:cs="Times New Roman"/>
          <w:color w:val="auto"/>
          <w:lang w:eastAsia="zh-CN"/>
        </w:rPr>
        <w:t>2.</w:t>
      </w:r>
      <w:r>
        <w:rPr>
          <w:rFonts w:ascii="Times New Roman" w:hAnsi="Times New Roman" w:cs="Times New Roman"/>
          <w:color w:val="auto"/>
        </w:rPr>
        <w:t>施工期对动物的保护措施</w:t>
      </w:r>
      <w:bookmarkEnd w:id="284"/>
    </w:p>
    <w:p w14:paraId="59C3B551">
      <w:pPr>
        <w:ind w:firstLine="480"/>
        <w:rPr>
          <w:rFonts w:ascii="Times New Roman" w:hAnsi="Times New Roman" w:cs="Times New Roman"/>
          <w:color w:val="auto"/>
        </w:rPr>
      </w:pPr>
      <w:r>
        <w:rPr>
          <w:rFonts w:ascii="Times New Roman" w:hAnsi="Times New Roman" w:cs="Times New Roman"/>
          <w:color w:val="auto"/>
        </w:rPr>
        <w:t>施工期间施工人员活动以及工程施工过程都会对区域动物造成惊扰。施工期间，建设单位在施工进场前，应加强对施工人员的生态环境保护的宣传教育工作；在施工现场设置警示或提示牌，警示或提示施工人员在施工过程中发现有野生动植物出没要自觉加以保护，并严禁伤害与猎杀任何野生动物；尽量减少人员活动、施工噪声来控制对区域野生动物的生活环境的影响。</w:t>
      </w:r>
    </w:p>
    <w:p w14:paraId="32F7D9FD">
      <w:pPr>
        <w:ind w:firstLine="480"/>
        <w:rPr>
          <w:rFonts w:ascii="Times New Roman" w:hAnsi="Times New Roman" w:cs="Times New Roman"/>
          <w:color w:val="auto"/>
        </w:rPr>
      </w:pPr>
      <w:bookmarkStart w:id="285" w:name="_Toc18546"/>
      <w:r>
        <w:rPr>
          <w:rFonts w:hint="eastAsia" w:cs="Times New Roman"/>
          <w:color w:val="auto"/>
          <w:lang w:eastAsia="zh-CN"/>
        </w:rPr>
        <w:t>3.</w:t>
      </w:r>
      <w:r>
        <w:rPr>
          <w:rFonts w:ascii="Times New Roman" w:hAnsi="Times New Roman" w:cs="Times New Roman"/>
          <w:color w:val="auto"/>
        </w:rPr>
        <w:t>水土保持措施</w:t>
      </w:r>
      <w:bookmarkEnd w:id="285"/>
    </w:p>
    <w:p w14:paraId="3070B979">
      <w:pPr>
        <w:ind w:firstLine="480"/>
        <w:rPr>
          <w:rFonts w:ascii="Times New Roman" w:hAnsi="Times New Roman" w:cs="Times New Roman"/>
          <w:color w:val="auto"/>
        </w:rPr>
      </w:pPr>
      <w:r>
        <w:rPr>
          <w:rFonts w:ascii="Times New Roman" w:hAnsi="Times New Roman" w:cs="Times New Roman"/>
          <w:color w:val="auto"/>
        </w:rPr>
        <w:t>针对建设过程中扰动和破坏地表方式多种多样，水土流失强度及治理难度各异的特点，本项目水土流失可采用如下防治措施：</w:t>
      </w:r>
    </w:p>
    <w:p w14:paraId="4D063414">
      <w:pPr>
        <w:ind w:firstLine="480"/>
        <w:rPr>
          <w:rFonts w:ascii="Times New Roman" w:hAnsi="Times New Roman" w:cs="Times New Roman"/>
          <w:color w:val="auto"/>
        </w:rPr>
      </w:pPr>
      <w:r>
        <w:rPr>
          <w:rFonts w:ascii="Times New Roman" w:hAnsi="Times New Roman" w:cs="Times New Roman"/>
          <w:color w:val="auto"/>
        </w:rPr>
        <w:t>（1）加强水土保持法治宣传。对施工人员进行培训和教育，自觉保持水土，保护植被。大力宣传保护生态环境、防止沙漠化的重要性。</w:t>
      </w:r>
    </w:p>
    <w:p w14:paraId="53DF50C2">
      <w:pPr>
        <w:ind w:firstLine="480"/>
        <w:rPr>
          <w:rFonts w:ascii="Times New Roman" w:hAnsi="Times New Roman" w:cs="Times New Roman"/>
          <w:color w:val="auto"/>
        </w:rPr>
      </w:pPr>
      <w:r>
        <w:rPr>
          <w:rFonts w:ascii="Times New Roman" w:hAnsi="Times New Roman" w:cs="Times New Roman"/>
          <w:color w:val="auto"/>
        </w:rPr>
        <w:t>（2）设计应充分考虑</w:t>
      </w:r>
      <w:r>
        <w:rPr>
          <w:rFonts w:hint="eastAsia" w:ascii="Times New Roman" w:hAnsi="Times New Roman" w:cs="Times New Roman"/>
          <w:color w:val="auto"/>
          <w:lang w:val="en-US" w:eastAsia="zh-CN"/>
        </w:rPr>
        <w:t>挖方</w:t>
      </w:r>
      <w:r>
        <w:rPr>
          <w:rFonts w:ascii="Times New Roman" w:hAnsi="Times New Roman" w:cs="Times New Roman"/>
          <w:color w:val="auto"/>
        </w:rPr>
        <w:t>的合理综合利用，在建设总体规划中，合理安排工期和工程顺序，做到挖方、填方土石方平衡，减少土壤损失和地表破坏面积，特别是减少施工区以外的料场数量。</w:t>
      </w:r>
    </w:p>
    <w:p w14:paraId="43F1CE6B">
      <w:pPr>
        <w:ind w:firstLine="480"/>
        <w:rPr>
          <w:rFonts w:ascii="Times New Roman" w:hAnsi="Times New Roman" w:cs="Times New Roman"/>
          <w:color w:val="auto"/>
        </w:rPr>
      </w:pPr>
      <w:r>
        <w:rPr>
          <w:rFonts w:ascii="Times New Roman" w:hAnsi="Times New Roman" w:cs="Times New Roman"/>
          <w:color w:val="auto"/>
        </w:rPr>
        <w:t>（3）施工期间应划定施工活动范围，严格控制和管理运输车辆及重型机械的运行范围，不得离开运输道路随意行驶，以防破坏土壤和植被，从而引发水土流失。</w:t>
      </w:r>
    </w:p>
    <w:p w14:paraId="03D1D4A9">
      <w:pPr>
        <w:ind w:firstLine="480"/>
        <w:rPr>
          <w:rFonts w:ascii="Times New Roman" w:hAnsi="Times New Roman" w:cs="Times New Roman"/>
          <w:color w:val="auto"/>
        </w:rPr>
      </w:pPr>
      <w:bookmarkStart w:id="286" w:name="_Toc30862"/>
      <w:r>
        <w:rPr>
          <w:rFonts w:ascii="Times New Roman" w:hAnsi="Times New Roman" w:cs="Times New Roman"/>
          <w:color w:val="auto"/>
        </w:rPr>
        <w:t>（4）施工开挖土方、装卸运输土方等工序，应尽量避开降雨天。</w:t>
      </w:r>
      <w:bookmarkEnd w:id="286"/>
    </w:p>
    <w:p w14:paraId="0A9BF823">
      <w:pPr>
        <w:ind w:firstLine="480"/>
        <w:rPr>
          <w:rFonts w:ascii="Times New Roman" w:hAnsi="Times New Roman" w:cs="Times New Roman"/>
          <w:color w:val="auto"/>
        </w:rPr>
      </w:pPr>
      <w:r>
        <w:rPr>
          <w:rFonts w:ascii="Times New Roman" w:hAnsi="Times New Roman" w:cs="Times New Roman"/>
          <w:color w:val="auto"/>
        </w:rPr>
        <w:t>（5）尽量减少非生产生活车辆、机械进入施工区，施工中严格按照规划、设计施工占地要求，尽量减少地表植被及地表形态破坏。</w:t>
      </w:r>
    </w:p>
    <w:p w14:paraId="69141E54">
      <w:pPr>
        <w:ind w:firstLine="480"/>
        <w:rPr>
          <w:rFonts w:ascii="Times New Roman" w:hAnsi="Times New Roman" w:cs="Times New Roman"/>
          <w:color w:val="auto"/>
        </w:rPr>
      </w:pPr>
      <w:r>
        <w:rPr>
          <w:rFonts w:ascii="Times New Roman" w:hAnsi="Times New Roman" w:cs="Times New Roman"/>
          <w:color w:val="auto"/>
        </w:rPr>
        <w:t>（6）在装卸和运输土方、石灰等材料时，沿途尽量减少散落，定期清扫路面。厂区工程开挖造成的取土坑和回填好的坑待工序结束后，须及时压实整平，原土覆盖。</w:t>
      </w:r>
    </w:p>
    <w:p w14:paraId="59B44650">
      <w:pPr>
        <w:ind w:firstLine="480"/>
        <w:rPr>
          <w:rFonts w:ascii="Times New Roman" w:hAnsi="Times New Roman" w:cs="Times New Roman"/>
          <w:color w:val="auto"/>
        </w:rPr>
      </w:pPr>
      <w:r>
        <w:rPr>
          <w:rFonts w:ascii="Times New Roman" w:hAnsi="Times New Roman" w:cs="Times New Roman"/>
          <w:color w:val="auto"/>
        </w:rPr>
        <w:t>（7）施工过程中定时洒水，防治扬尘。</w:t>
      </w:r>
    </w:p>
    <w:p w14:paraId="5830B11F">
      <w:pPr>
        <w:ind w:firstLine="480"/>
        <w:rPr>
          <w:rFonts w:ascii="Times New Roman" w:hAnsi="Times New Roman" w:cs="Times New Roman"/>
          <w:color w:val="auto"/>
        </w:rPr>
      </w:pPr>
      <w:r>
        <w:rPr>
          <w:rFonts w:ascii="Times New Roman" w:hAnsi="Times New Roman" w:cs="Times New Roman"/>
          <w:color w:val="auto"/>
        </w:rPr>
        <w:t>（8）在大风天气尽量不要施工，并做好堆土和建筑材料的遮盖。</w:t>
      </w:r>
    </w:p>
    <w:p w14:paraId="1D84A1D3">
      <w:pPr>
        <w:ind w:firstLine="480"/>
        <w:rPr>
          <w:rFonts w:ascii="Times New Roman" w:hAnsi="Times New Roman" w:cs="Times New Roman"/>
          <w:color w:val="auto"/>
        </w:rPr>
      </w:pPr>
      <w:bookmarkStart w:id="287" w:name="_Toc28309"/>
      <w:r>
        <w:rPr>
          <w:rFonts w:hint="eastAsia" w:cs="Times New Roman"/>
          <w:color w:val="auto"/>
          <w:lang w:eastAsia="zh-CN"/>
        </w:rPr>
        <w:t>4.</w:t>
      </w:r>
      <w:r>
        <w:rPr>
          <w:rFonts w:ascii="Times New Roman" w:hAnsi="Times New Roman" w:cs="Times New Roman"/>
          <w:color w:val="auto"/>
        </w:rPr>
        <w:t>施工期对景观的保护措施</w:t>
      </w:r>
      <w:bookmarkEnd w:id="287"/>
    </w:p>
    <w:p w14:paraId="5DF8DC2A">
      <w:pPr>
        <w:ind w:firstLine="480"/>
        <w:rPr>
          <w:rFonts w:ascii="Times New Roman" w:hAnsi="Times New Roman" w:cs="Times New Roman"/>
          <w:color w:val="auto"/>
        </w:rPr>
      </w:pPr>
      <w:r>
        <w:rPr>
          <w:rFonts w:ascii="Times New Roman" w:hAnsi="Times New Roman" w:cs="Times New Roman"/>
          <w:color w:val="auto"/>
        </w:rPr>
        <w:t>项目占地对原地表形态、地层层序造成直接破坏，从而对原有景观造成一定的影响；因此，建设过程中要重视景观维护；同时，要尽量</w:t>
      </w:r>
      <w:r>
        <w:rPr>
          <w:rFonts w:hint="eastAsia" w:ascii="Times New Roman" w:hAnsi="Times New Roman" w:cs="Times New Roman"/>
          <w:color w:val="auto"/>
          <w:lang w:val="en-US" w:eastAsia="zh-CN"/>
        </w:rPr>
        <w:t>将临建设施布设在永久占地内，减少新增</w:t>
      </w:r>
      <w:r>
        <w:rPr>
          <w:rFonts w:ascii="Times New Roman" w:hAnsi="Times New Roman" w:cs="Times New Roman"/>
          <w:color w:val="auto"/>
        </w:rPr>
        <w:t>临时占地，施工结束后恢复地表。通过上述环保治理措施，可以有效消除企业在施工过程中存在的环境污染问题，企业应认真落实，严格管理，避免对区域环境造成严重污染。</w:t>
      </w:r>
    </w:p>
    <w:p w14:paraId="240F7926">
      <w:pPr>
        <w:numPr>
          <w:ilvl w:val="0"/>
          <w:numId w:val="2"/>
        </w:numPr>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防沙治沙措施</w:t>
      </w:r>
    </w:p>
    <w:p w14:paraId="33D38502">
      <w:pPr>
        <w:ind w:firstLine="480"/>
        <w:rPr>
          <w:rFonts w:hint="default" w:ascii="Times New Roman" w:hAnsi="Times New Roman"/>
          <w:lang w:val="en-US" w:eastAsia="zh-CN"/>
        </w:rPr>
      </w:pPr>
      <w:r>
        <w:rPr>
          <w:rFonts w:hint="eastAsia" w:ascii="Times New Roman" w:hAnsi="Times New Roman" w:cs="Times New Roman"/>
          <w:color w:val="auto"/>
          <w:lang w:val="en-US" w:eastAsia="zh-CN"/>
        </w:rPr>
        <w:t>本项目位于63团6连，本项目所在土地主要为沙地，本项目占地范围不属于沙化土地封禁保护区，本项目施工期严格控制占地范围，施工时项目区周围设置了彩钢板围挡，严禁破坏项目区周围植被。本项目开挖土石方全部综合利用，无弃土弃渣产生，施工过程中临时堆土采取防尘网苫盖和洒水降尘措施，本项目临建设施均布设在项目区永久占地范围内，没有新增临时占地，项目建成后，主要道路采用硬化路面</w:t>
      </w:r>
      <w:r>
        <w:rPr>
          <w:rFonts w:hint="eastAsia" w:ascii="Times New Roman" w:hAnsi="Times New Roman" w:cs="Times New Roman"/>
          <w:color w:val="auto"/>
          <w:lang w:val="zh-CN" w:eastAsia="zh-CN"/>
        </w:rPr>
        <w:t>，</w:t>
      </w:r>
      <w:r>
        <w:rPr>
          <w:rFonts w:hint="eastAsia" w:ascii="Times New Roman" w:hAnsi="Times New Roman" w:cs="Times New Roman"/>
          <w:color w:val="auto"/>
          <w:lang w:val="en-US" w:eastAsia="zh-CN"/>
        </w:rPr>
        <w:t>可起到防风固沙的作用。</w:t>
      </w:r>
    </w:p>
    <w:p w14:paraId="432A42FB">
      <w:pPr>
        <w:pStyle w:val="4"/>
        <w:numPr>
          <w:ilvl w:val="1"/>
          <w:numId w:val="1"/>
        </w:numPr>
        <w:ind w:left="120"/>
        <w:rPr>
          <w:rFonts w:ascii="Times New Roman" w:hAnsi="Times New Roman" w:cs="Times New Roman"/>
          <w:color w:val="auto"/>
          <w:lang w:val="en-GB"/>
        </w:rPr>
      </w:pPr>
      <w:bookmarkStart w:id="288" w:name="6.1.6施工期污染防治措施及效果汇总"/>
      <w:bookmarkEnd w:id="288"/>
      <w:bookmarkStart w:id="289" w:name="_Toc8762"/>
      <w:r>
        <w:rPr>
          <w:rFonts w:ascii="Times New Roman" w:hAnsi="Times New Roman" w:cs="Times New Roman"/>
          <w:color w:val="auto"/>
          <w:lang w:val="en-GB"/>
        </w:rPr>
        <w:t>运营期污染防治措施及可行性分析</w:t>
      </w:r>
      <w:bookmarkEnd w:id="289"/>
    </w:p>
    <w:p w14:paraId="2B18D34D">
      <w:pPr>
        <w:pStyle w:val="5"/>
        <w:numPr>
          <w:ilvl w:val="2"/>
          <w:numId w:val="1"/>
        </w:numPr>
        <w:ind w:left="120"/>
        <w:rPr>
          <w:rFonts w:ascii="Times New Roman" w:hAnsi="Times New Roman" w:cs="Times New Roman"/>
          <w:color w:val="auto"/>
        </w:rPr>
      </w:pPr>
      <w:bookmarkStart w:id="290" w:name="6.2.1大气污染防治措施及可行性分析"/>
      <w:bookmarkEnd w:id="290"/>
      <w:r>
        <w:rPr>
          <w:rFonts w:ascii="Times New Roman" w:hAnsi="Times New Roman" w:cs="Times New Roman"/>
          <w:color w:val="auto"/>
        </w:rPr>
        <w:t>大气污染防治措施及可行性分析</w:t>
      </w:r>
    </w:p>
    <w:p w14:paraId="6E026BEF">
      <w:pPr>
        <w:ind w:firstLine="480"/>
        <w:rPr>
          <w:rFonts w:ascii="Times New Roman" w:hAnsi="Times New Roman" w:cs="Times New Roman"/>
          <w:color w:val="auto"/>
        </w:rPr>
      </w:pPr>
      <w:bookmarkStart w:id="291" w:name="6.2.1.1养殖恶臭气体防治措施及可行性分析"/>
      <w:bookmarkEnd w:id="291"/>
      <w:r>
        <w:rPr>
          <w:rFonts w:ascii="Times New Roman" w:hAnsi="Times New Roman" w:cs="Times New Roman"/>
          <w:color w:val="auto"/>
        </w:rPr>
        <w:t>本项目运营后产生的废气</w:t>
      </w:r>
      <w:r>
        <w:rPr>
          <w:rFonts w:ascii="Times New Roman" w:hAnsi="Times New Roman" w:cs="Times New Roman"/>
          <w:color w:val="000000" w:themeColor="text1"/>
          <w14:textFill>
            <w14:solidFill>
              <w14:schemeClr w14:val="tx1"/>
            </w14:solidFill>
          </w14:textFill>
        </w:rPr>
        <w:t>主要为</w:t>
      </w:r>
      <w:r>
        <w:rPr>
          <w:rFonts w:hint="eastAsia" w:cs="Times New Roman"/>
          <w:color w:val="000000" w:themeColor="text1"/>
          <w:lang w:val="en-US" w:eastAsia="zh-CN"/>
          <w14:textFill>
            <w14:solidFill>
              <w14:schemeClr w14:val="tx1"/>
            </w14:solidFill>
          </w14:textFill>
        </w:rPr>
        <w:t>鸭舍及污水收集池</w:t>
      </w:r>
      <w:r>
        <w:rPr>
          <w:rFonts w:hint="eastAsia" w:ascii="Times New Roman" w:hAnsi="Times New Roman" w:cs="Times New Roman"/>
          <w:color w:val="000000" w:themeColor="text1"/>
          <w:lang w:val="en-US" w:eastAsia="zh-CN"/>
          <w14:textFill>
            <w14:solidFill>
              <w14:schemeClr w14:val="tx1"/>
            </w14:solidFill>
          </w14:textFill>
        </w:rPr>
        <w:t>恶臭无组织排放，</w:t>
      </w:r>
      <w:r>
        <w:rPr>
          <w:rFonts w:hint="eastAsia" w:cs="Times New Roman"/>
          <w:color w:val="000000" w:themeColor="text1"/>
          <w:lang w:val="en-US" w:eastAsia="zh-CN"/>
          <w14:textFill>
            <w14:solidFill>
              <w14:schemeClr w14:val="tx1"/>
            </w14:solidFill>
          </w14:textFill>
        </w:rPr>
        <w:t>供热期生物质锅炉烟气排放</w:t>
      </w:r>
      <w:r>
        <w:rPr>
          <w:rFonts w:hint="eastAsia" w:ascii="Times New Roman" w:hAnsi="Times New Roman" w:cs="Times New Roman"/>
          <w:color w:val="000000" w:themeColor="text1"/>
          <w:lang w:val="en-US" w:eastAsia="zh-CN"/>
          <w14:textFill>
            <w14:solidFill>
              <w14:schemeClr w14:val="tx1"/>
            </w14:solidFill>
          </w14:textFill>
        </w:rPr>
        <w:t>，饲料塔粉尘无组织排放，以及食堂油烟净化器处理后排放</w:t>
      </w:r>
      <w:r>
        <w:rPr>
          <w:rFonts w:ascii="Times New Roman" w:hAnsi="Times New Roman" w:cs="Times New Roman"/>
          <w:color w:val="auto"/>
        </w:rPr>
        <w:t>。</w:t>
      </w:r>
    </w:p>
    <w:p w14:paraId="029E12C6">
      <w:pPr>
        <w:ind w:firstLine="480"/>
        <w:rPr>
          <w:rFonts w:ascii="Times New Roman" w:hAnsi="Times New Roman" w:cs="Times New Roman"/>
          <w:color w:val="auto"/>
        </w:rPr>
      </w:pPr>
      <w:bookmarkStart w:id="292" w:name="_Toc23716"/>
      <w:r>
        <w:rPr>
          <w:rFonts w:hint="eastAsia" w:cs="Times New Roman"/>
          <w:color w:val="auto"/>
          <w:lang w:eastAsia="zh-CN"/>
        </w:rPr>
        <w:t>1.</w:t>
      </w:r>
      <w:r>
        <w:rPr>
          <w:rFonts w:ascii="Times New Roman" w:hAnsi="Times New Roman" w:cs="Times New Roman"/>
          <w:color w:val="auto"/>
        </w:rPr>
        <w:t>养殖区恶臭防治措施</w:t>
      </w:r>
      <w:bookmarkEnd w:id="292"/>
    </w:p>
    <w:p w14:paraId="50C21FFD">
      <w:pPr>
        <w:ind w:firstLine="480"/>
        <w:rPr>
          <w:rFonts w:ascii="Times New Roman" w:hAnsi="Times New Roman" w:cs="Times New Roman"/>
          <w:color w:val="auto"/>
        </w:rPr>
      </w:pPr>
      <w:r>
        <w:rPr>
          <w:rFonts w:ascii="Times New Roman" w:hAnsi="Times New Roman" w:cs="Times New Roman"/>
          <w:color w:val="auto"/>
        </w:rPr>
        <w:t>养殖区恶臭气体主要为NH</w:t>
      </w:r>
      <w:r>
        <w:rPr>
          <w:rFonts w:ascii="Times New Roman" w:hAnsi="Times New Roman" w:cs="Times New Roman"/>
          <w:color w:val="auto"/>
          <w:vertAlign w:val="subscript"/>
        </w:rPr>
        <w:t>3</w:t>
      </w:r>
      <w:r>
        <w:rPr>
          <w:rFonts w:ascii="Times New Roman" w:hAnsi="Times New Roman" w:cs="Times New Roman"/>
          <w:color w:val="auto"/>
        </w:rPr>
        <w:t>、H</w:t>
      </w:r>
      <w:r>
        <w:rPr>
          <w:rFonts w:ascii="Times New Roman" w:hAnsi="Times New Roman" w:cs="Times New Roman"/>
          <w:color w:val="auto"/>
          <w:vertAlign w:val="subscript"/>
        </w:rPr>
        <w:t>2</w:t>
      </w:r>
      <w:r>
        <w:rPr>
          <w:rFonts w:ascii="Times New Roman" w:hAnsi="Times New Roman" w:cs="Times New Roman"/>
          <w:color w:val="auto"/>
        </w:rPr>
        <w:t>S等，恶臭异味刺激人的嗅觉器官，会引起人的厌恶或不愉快。由于养殖区的恶臭污染源很分散，集中处理困难，最有效的控制方法是预防为主、源头控制。根据《畜禽养殖业污染治理工程技术规范》（HJ497-2009）及《畜禽养殖业污染防治技术规范》（HJ/T81-2001）相关要求，结合恶臭污染物的无组织排放特点，本项目主要通过管理措施和技术措施两方面进行控制，具体污染防治措施如下：</w:t>
      </w:r>
    </w:p>
    <w:p w14:paraId="59A28641">
      <w:pPr>
        <w:ind w:firstLine="480"/>
        <w:rPr>
          <w:rFonts w:ascii="Times New Roman" w:hAnsi="Times New Roman" w:cs="Times New Roman"/>
          <w:color w:val="auto"/>
        </w:rPr>
      </w:pPr>
      <w:bookmarkStart w:id="293" w:name="_Toc16359"/>
      <w:r>
        <w:rPr>
          <w:rFonts w:ascii="Times New Roman" w:hAnsi="Times New Roman" w:cs="Times New Roman"/>
          <w:color w:val="auto"/>
        </w:rPr>
        <w:t>（1）源头控制</w:t>
      </w:r>
      <w:bookmarkEnd w:id="293"/>
    </w:p>
    <w:p w14:paraId="12DB90B4">
      <w:pPr>
        <w:ind w:firstLine="480"/>
        <w:rPr>
          <w:rFonts w:ascii="Times New Roman" w:hAnsi="Times New Roman" w:cs="Times New Roman"/>
          <w:color w:val="auto"/>
          <w:lang w:bidi="zh-CN"/>
        </w:rPr>
      </w:pPr>
      <w:r>
        <w:rPr>
          <w:rFonts w:hint="eastAsia" w:ascii="Times New Roman" w:hAnsi="Times New Roman" w:eastAsia="宋体" w:cs="宋体"/>
          <w:color w:val="auto"/>
        </w:rPr>
        <w:t>①</w:t>
      </w:r>
      <w:r>
        <w:rPr>
          <w:rFonts w:ascii="Times New Roman" w:hAnsi="Times New Roman" w:cs="Times New Roman"/>
          <w:color w:val="auto"/>
        </w:rPr>
        <w:t>项目通过选择优质的饲料原料，在饲料中添加EM菌，并合理搭配饲料。EM是</w:t>
      </w:r>
      <w:r>
        <w:rPr>
          <w:rFonts w:ascii="Times New Roman" w:hAnsi="Times New Roman" w:cs="Times New Roman"/>
          <w:color w:val="auto"/>
          <w:lang w:bidi="zh-CN"/>
        </w:rPr>
        <w:t>新型复合微生物菌剂，含有光合细菌群。光合细菌群作为有益菌群，一方面抑制了腐败细菌的生长，改善有机物的分解途径，减少NH</w:t>
      </w:r>
      <w:r>
        <w:rPr>
          <w:rFonts w:ascii="Times New Roman" w:hAnsi="Times New Roman" w:cs="Times New Roman"/>
          <w:color w:val="auto"/>
          <w:vertAlign w:val="subscript"/>
          <w:lang w:bidi="zh-CN"/>
        </w:rPr>
        <w:t>3</w:t>
      </w:r>
      <w:r>
        <w:rPr>
          <w:rFonts w:ascii="Times New Roman" w:hAnsi="Times New Roman" w:cs="Times New Roman"/>
          <w:color w:val="auto"/>
          <w:lang w:bidi="zh-CN"/>
        </w:rPr>
        <w:t>和H</w:t>
      </w:r>
      <w:r>
        <w:rPr>
          <w:rFonts w:ascii="Times New Roman" w:hAnsi="Times New Roman" w:cs="Times New Roman"/>
          <w:color w:val="auto"/>
          <w:vertAlign w:val="subscript"/>
          <w:lang w:bidi="zh-CN"/>
        </w:rPr>
        <w:t>2</w:t>
      </w:r>
      <w:r>
        <w:rPr>
          <w:rFonts w:ascii="Times New Roman" w:hAnsi="Times New Roman" w:cs="Times New Roman"/>
          <w:color w:val="auto"/>
          <w:lang w:bidi="zh-CN"/>
        </w:rPr>
        <w:t>S的释放量和胺类物质的产生；另一方面它又可利用H</w:t>
      </w:r>
      <w:r>
        <w:rPr>
          <w:rFonts w:ascii="Times New Roman" w:hAnsi="Times New Roman" w:cs="Times New Roman"/>
          <w:color w:val="auto"/>
          <w:vertAlign w:val="subscript"/>
          <w:lang w:bidi="zh-CN"/>
        </w:rPr>
        <w:t>2</w:t>
      </w:r>
      <w:r>
        <w:rPr>
          <w:rFonts w:ascii="Times New Roman" w:hAnsi="Times New Roman" w:cs="Times New Roman"/>
          <w:color w:val="auto"/>
          <w:lang w:bidi="zh-CN"/>
        </w:rPr>
        <w:t>S作氢的受体，消耗H</w:t>
      </w:r>
      <w:r>
        <w:rPr>
          <w:rFonts w:ascii="Times New Roman" w:hAnsi="Times New Roman" w:cs="Times New Roman"/>
          <w:color w:val="auto"/>
          <w:vertAlign w:val="subscript"/>
          <w:lang w:bidi="zh-CN"/>
        </w:rPr>
        <w:t>2</w:t>
      </w:r>
      <w:r>
        <w:rPr>
          <w:rFonts w:ascii="Times New Roman" w:hAnsi="Times New Roman" w:cs="Times New Roman"/>
          <w:color w:val="auto"/>
          <w:lang w:bidi="zh-CN"/>
        </w:rPr>
        <w:t>S，从而减少恶臭量。</w:t>
      </w:r>
    </w:p>
    <w:p w14:paraId="495478DA">
      <w:pPr>
        <w:ind w:firstLine="480"/>
        <w:rPr>
          <w:rFonts w:ascii="Times New Roman" w:hAnsi="Times New Roman" w:cs="Times New Roman"/>
          <w:color w:val="auto"/>
        </w:rPr>
      </w:pPr>
      <w:r>
        <w:rPr>
          <w:rFonts w:hint="eastAsia" w:ascii="Times New Roman" w:hAnsi="Times New Roman" w:eastAsia="宋体" w:cs="宋体"/>
          <w:color w:val="auto"/>
        </w:rPr>
        <w:t>②</w:t>
      </w:r>
      <w:r>
        <w:rPr>
          <w:rFonts w:hint="eastAsia" w:ascii="Times New Roman" w:hAnsi="Times New Roman" w:eastAsia="宋体" w:cs="宋体"/>
          <w:color w:val="000000"/>
          <w:kern w:val="0"/>
          <w:sz w:val="24"/>
          <w:szCs w:val="24"/>
          <w:lang w:val="en-US" w:eastAsia="zh-CN" w:bidi="ar"/>
        </w:rPr>
        <w:t>科学</w:t>
      </w:r>
      <w:r>
        <w:rPr>
          <w:rFonts w:hint="eastAsia" w:eastAsia="宋体" w:cs="宋体"/>
          <w:color w:val="000000"/>
          <w:kern w:val="0"/>
          <w:sz w:val="24"/>
          <w:szCs w:val="24"/>
          <w:lang w:val="en-US" w:eastAsia="zh-CN" w:bidi="ar"/>
        </w:rPr>
        <w:t>地</w:t>
      </w:r>
      <w:r>
        <w:rPr>
          <w:rFonts w:hint="eastAsia" w:ascii="Times New Roman" w:hAnsi="Times New Roman" w:eastAsia="宋体" w:cs="宋体"/>
          <w:color w:val="000000"/>
          <w:kern w:val="0"/>
          <w:sz w:val="24"/>
          <w:szCs w:val="24"/>
          <w:lang w:val="en-US" w:eastAsia="zh-CN" w:bidi="ar"/>
        </w:rPr>
        <w:t>设计日粮，提高饲料利用率：提高日粮的消化率、减少干物质（特别是蛋白质）排出量，既减少肠道臭气的产生，又可减少粪便排出后的臭气的产生，这是减少恶臭来源的有效措施</w:t>
      </w:r>
      <w:r>
        <w:rPr>
          <w:rFonts w:ascii="Times New Roman" w:hAnsi="Times New Roman" w:cs="Times New Roman"/>
          <w:color w:val="auto"/>
        </w:rPr>
        <w:t>。</w:t>
      </w:r>
    </w:p>
    <w:p w14:paraId="03BCEBAF">
      <w:pPr>
        <w:ind w:firstLine="480"/>
        <w:rPr>
          <w:rFonts w:ascii="Times New Roman" w:hAnsi="Times New Roman" w:cs="Times New Roman"/>
          <w:color w:val="auto"/>
        </w:rPr>
      </w:pPr>
      <w:r>
        <w:rPr>
          <w:rFonts w:hint="eastAsia" w:ascii="Times New Roman" w:hAnsi="Times New Roman" w:eastAsia="宋体" w:cs="宋体"/>
          <w:color w:val="auto"/>
        </w:rPr>
        <w:t>③</w:t>
      </w:r>
      <w:r>
        <w:rPr>
          <w:rFonts w:hint="eastAsia" w:ascii="Times New Roman" w:hAnsi="Times New Roman" w:eastAsia="宋体" w:cs="宋体"/>
          <w:color w:val="000000"/>
          <w:kern w:val="0"/>
          <w:sz w:val="24"/>
          <w:szCs w:val="24"/>
          <w:lang w:val="en-US" w:eastAsia="zh-CN" w:bidi="ar"/>
        </w:rPr>
        <w:t>采用干清粪工艺，及时收集、清运产生的粪便，合理的粪便收集频率能减少禽畜畜栏的恶臭。在不利于污染物稀释、扩散的气象条件下，增加粪便的收集次数，减少粪便堆积挥发的恶臭污染物排放量</w:t>
      </w:r>
      <w:r>
        <w:rPr>
          <w:rFonts w:ascii="Times New Roman" w:hAnsi="Times New Roman" w:cs="Times New Roman"/>
          <w:color w:val="auto"/>
        </w:rPr>
        <w:t>。</w:t>
      </w:r>
    </w:p>
    <w:p w14:paraId="5E7BDD51">
      <w:pPr>
        <w:ind w:firstLine="480"/>
        <w:rPr>
          <w:rFonts w:ascii="Times New Roman" w:hAnsi="Times New Roman" w:cs="Times New Roman"/>
          <w:color w:val="auto"/>
        </w:rPr>
      </w:pPr>
      <w:bookmarkStart w:id="294" w:name="_Toc26356"/>
      <w:r>
        <w:rPr>
          <w:rFonts w:ascii="Times New Roman" w:hAnsi="Times New Roman" w:cs="Times New Roman"/>
          <w:color w:val="auto"/>
        </w:rPr>
        <w:t>（2）过程控制</w:t>
      </w:r>
      <w:bookmarkEnd w:id="294"/>
    </w:p>
    <w:p w14:paraId="3B3D9AB3">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定期对各圈舍喷洒除臭剂。本项目除臭剂采用天然</w:t>
      </w:r>
      <w:r>
        <w:rPr>
          <w:rFonts w:ascii="Times New Roman" w:hAnsi="Times New Roman"/>
          <w:color w:val="auto"/>
        </w:rPr>
        <w:fldChar w:fldCharType="begin"/>
      </w:r>
      <w:r>
        <w:rPr>
          <w:color w:val="auto"/>
        </w:rPr>
        <w:instrText xml:space="preserve"> HYPERLINK "https://baike.so.com/doc/8613694-8934652.html" \t "https://baike.so.com/doc/_blank" </w:instrText>
      </w:r>
      <w:r>
        <w:rPr>
          <w:rFonts w:ascii="Times New Roman" w:hAnsi="Times New Roman"/>
          <w:color w:val="auto"/>
        </w:rPr>
        <w:fldChar w:fldCharType="separate"/>
      </w:r>
      <w:r>
        <w:rPr>
          <w:rFonts w:ascii="Times New Roman" w:hAnsi="Times New Roman" w:cs="Times New Roman"/>
          <w:color w:val="auto"/>
        </w:rPr>
        <w:t>植物除臭剂</w:t>
      </w:r>
      <w:r>
        <w:rPr>
          <w:rFonts w:ascii="Times New Roman" w:hAnsi="Times New Roman" w:cs="Times New Roman"/>
          <w:color w:val="auto"/>
        </w:rPr>
        <w:fldChar w:fldCharType="end"/>
      </w:r>
      <w:r>
        <w:rPr>
          <w:rFonts w:ascii="Times New Roman" w:hAnsi="Times New Roman" w:cs="Times New Roman"/>
          <w:color w:val="auto"/>
        </w:rPr>
        <w:t>，根据查阅相关资料，除臭剂是提取植物中天然杀菌除臭因子精制而成。不添加任何化学物质，对人体、牲畜无任何毒副作用，使用安全。具有抑菌、杀菌和除臭功效，对</w:t>
      </w:r>
      <w:r>
        <w:rPr>
          <w:rFonts w:ascii="Times New Roman" w:hAnsi="Times New Roman" w:cs="Times New Roman"/>
          <w:color w:val="auto"/>
          <w:lang w:bidi="zh-CN"/>
        </w:rPr>
        <w:t>NH</w:t>
      </w:r>
      <w:r>
        <w:rPr>
          <w:rFonts w:ascii="Times New Roman" w:hAnsi="Times New Roman" w:cs="Times New Roman"/>
          <w:color w:val="auto"/>
          <w:vertAlign w:val="subscript"/>
          <w:lang w:bidi="zh-CN"/>
        </w:rPr>
        <w:t>3</w:t>
      </w:r>
      <w:r>
        <w:rPr>
          <w:rFonts w:ascii="Times New Roman" w:hAnsi="Times New Roman" w:cs="Times New Roman"/>
          <w:color w:val="auto"/>
        </w:rPr>
        <w:t>、</w:t>
      </w:r>
      <w:r>
        <w:rPr>
          <w:rFonts w:ascii="Times New Roman" w:hAnsi="Times New Roman" w:cs="Times New Roman"/>
          <w:color w:val="auto"/>
          <w:lang w:bidi="zh-CN"/>
        </w:rPr>
        <w:t>H</w:t>
      </w:r>
      <w:r>
        <w:rPr>
          <w:rFonts w:ascii="Times New Roman" w:hAnsi="Times New Roman" w:cs="Times New Roman"/>
          <w:color w:val="auto"/>
          <w:vertAlign w:val="subscript"/>
          <w:lang w:bidi="zh-CN"/>
        </w:rPr>
        <w:t>2</w:t>
      </w:r>
      <w:r>
        <w:rPr>
          <w:rFonts w:ascii="Times New Roman" w:hAnsi="Times New Roman" w:cs="Times New Roman"/>
          <w:color w:val="auto"/>
          <w:lang w:bidi="zh-CN"/>
        </w:rPr>
        <w:t>S</w:t>
      </w:r>
      <w:r>
        <w:rPr>
          <w:rFonts w:ascii="Times New Roman" w:hAnsi="Times New Roman" w:cs="Times New Roman"/>
          <w:color w:val="auto"/>
        </w:rPr>
        <w:t>等恶臭有良好的分解去除效果，其适用于大中型养殖场、垃圾中转站、垃圾填埋场等多种场所。</w:t>
      </w:r>
    </w:p>
    <w:p w14:paraId="2DA71AE7">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各圈舍设置通风口、风机等换气设备，定期进行通风换气，加快排除有害气体。</w:t>
      </w:r>
    </w:p>
    <w:p w14:paraId="2E28C1BD">
      <w:pPr>
        <w:ind w:firstLine="480"/>
        <w:rPr>
          <w:rFonts w:ascii="Times New Roman" w:hAnsi="Times New Roman" w:eastAsia="宋体"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及时清理圈舍，保持圈舍卫生；养殖场场区消毒应采用环境友好的消毒剂和消毒措施，</w:t>
      </w:r>
      <w:r>
        <w:rPr>
          <w:rFonts w:hint="eastAsia" w:ascii="Times New Roman" w:hAnsi="Times New Roman" w:cs="Times New Roman"/>
          <w:color w:val="auto"/>
          <w:lang w:val="en-US" w:eastAsia="zh-CN"/>
        </w:rPr>
        <w:t>不适用含氯消毒剂</w:t>
      </w:r>
      <w:r>
        <w:rPr>
          <w:rFonts w:ascii="Times New Roman" w:hAnsi="Times New Roman" w:cs="Times New Roman"/>
          <w:color w:val="auto"/>
        </w:rPr>
        <w:t>，防止产生氯代有机物及其他二次污染物。</w:t>
      </w:r>
    </w:p>
    <w:p w14:paraId="75450AFA">
      <w:pPr>
        <w:ind w:firstLine="480"/>
        <w:rPr>
          <w:rFonts w:ascii="Times New Roman" w:hAnsi="Times New Roman" w:cs="Times New Roman"/>
          <w:color w:val="auto"/>
        </w:rPr>
      </w:pPr>
      <w:bookmarkStart w:id="295" w:name="_Toc17661"/>
      <w:r>
        <w:rPr>
          <w:rFonts w:ascii="Times New Roman" w:hAnsi="Times New Roman" w:cs="Times New Roman"/>
          <w:color w:val="auto"/>
        </w:rPr>
        <w:t>根据《排污许可证申请与核发技术规范畜禽养殖行业》（HJ1029-2019），畜禽养殖行业无组织排放控制要求</w:t>
      </w:r>
      <w:r>
        <w:rPr>
          <w:rFonts w:hint="eastAsia" w:ascii="Times New Roman" w:hAnsi="Times New Roman" w:cs="Times New Roman"/>
          <w:color w:val="auto"/>
          <w:lang w:val="en-US" w:eastAsia="zh-CN"/>
        </w:rPr>
        <w:t>可行性分析</w:t>
      </w:r>
      <w:r>
        <w:rPr>
          <w:rFonts w:ascii="Times New Roman" w:hAnsi="Times New Roman" w:cs="Times New Roman"/>
          <w:color w:val="auto"/>
        </w:rPr>
        <w:t>见表</w:t>
      </w:r>
      <w:r>
        <w:rPr>
          <w:rFonts w:hint="eastAsia" w:cs="Times New Roman"/>
          <w:color w:val="auto"/>
          <w:lang w:val="en-US" w:eastAsia="zh-CN"/>
        </w:rPr>
        <w:t>6</w:t>
      </w:r>
      <w:r>
        <w:rPr>
          <w:rFonts w:ascii="Times New Roman" w:hAnsi="Times New Roman" w:cs="Times New Roman"/>
          <w:color w:val="auto"/>
        </w:rPr>
        <w:t>.2-1。</w:t>
      </w:r>
    </w:p>
    <w:p w14:paraId="0BA72FAC">
      <w:pPr>
        <w:ind w:firstLine="0" w:firstLineChars="0"/>
        <w:jc w:val="center"/>
        <w:rPr>
          <w:rFonts w:ascii="Times New Roman" w:hAnsi="Times New Roman" w:cs="Times New Roman"/>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6</w:t>
      </w:r>
      <w:r>
        <w:rPr>
          <w:rFonts w:ascii="Times New Roman" w:hAnsi="Times New Roman" w:eastAsia="宋体" w:cs="Times New Roman"/>
          <w:b/>
          <w:bCs/>
          <w:color w:val="auto"/>
        </w:rPr>
        <w:t>.2-1    畜禽养殖行业排污单位恶臭无组织排放控制要求</w:t>
      </w:r>
    </w:p>
    <w:tbl>
      <w:tblPr>
        <w:tblStyle w:val="81"/>
        <w:tblW w:w="83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631"/>
        <w:gridCol w:w="3153"/>
        <w:gridCol w:w="3597"/>
      </w:tblGrid>
      <w:tr w14:paraId="1B51B7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 w:hRule="atLeast"/>
          <w:jc w:val="center"/>
        </w:trPr>
        <w:tc>
          <w:tcPr>
            <w:tcW w:w="1631" w:type="dxa"/>
            <w:tcBorders>
              <w:tl2br w:val="nil"/>
              <w:tr2bl w:val="nil"/>
            </w:tcBorders>
            <w:vAlign w:val="center"/>
          </w:tcPr>
          <w:p w14:paraId="146E37BB">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主要生产设施</w:t>
            </w:r>
          </w:p>
        </w:tc>
        <w:tc>
          <w:tcPr>
            <w:tcW w:w="3153" w:type="dxa"/>
            <w:tcBorders>
              <w:tl2br w:val="nil"/>
              <w:tr2bl w:val="nil"/>
            </w:tcBorders>
            <w:vAlign w:val="center"/>
          </w:tcPr>
          <w:p w14:paraId="01D0EFB3">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《排污许可证申请与核发技术规范畜禽养殖行业》要求</w:t>
            </w:r>
          </w:p>
        </w:tc>
        <w:tc>
          <w:tcPr>
            <w:tcW w:w="3597" w:type="dxa"/>
            <w:tcBorders>
              <w:tl2br w:val="nil"/>
              <w:tr2bl w:val="nil"/>
            </w:tcBorders>
            <w:vAlign w:val="center"/>
          </w:tcPr>
          <w:p w14:paraId="4BC8192E">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本项目采取措施</w:t>
            </w:r>
          </w:p>
        </w:tc>
      </w:tr>
      <w:tr w14:paraId="58DE4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 w:hRule="atLeast"/>
          <w:jc w:val="center"/>
        </w:trPr>
        <w:tc>
          <w:tcPr>
            <w:tcW w:w="1631" w:type="dxa"/>
            <w:tcBorders>
              <w:tl2br w:val="nil"/>
              <w:tr2bl w:val="nil"/>
            </w:tcBorders>
            <w:vAlign w:val="center"/>
          </w:tcPr>
          <w:p w14:paraId="2178D7F8">
            <w:pPr>
              <w:pStyle w:val="56"/>
              <w:autoSpaceDE w:val="0"/>
              <w:autoSpaceDN w:val="0"/>
              <w:rPr>
                <w:rFonts w:ascii="Times New Roman" w:hAnsi="Times New Roman"/>
                <w:color w:val="auto"/>
                <w:szCs w:val="21"/>
                <w:lang w:eastAsia="en-US"/>
              </w:rPr>
            </w:pPr>
            <w:r>
              <w:rPr>
                <w:rFonts w:hint="eastAsia" w:ascii="Times New Roman" w:hAnsi="Times New Roman"/>
                <w:color w:val="auto"/>
                <w:szCs w:val="21"/>
                <w:lang w:val="en-US" w:eastAsia="zh-CN"/>
              </w:rPr>
              <w:t>圈</w:t>
            </w:r>
            <w:r>
              <w:rPr>
                <w:rFonts w:ascii="Times New Roman" w:hAnsi="Times New Roman"/>
                <w:color w:val="auto"/>
                <w:szCs w:val="21"/>
                <w:lang w:eastAsia="en-US"/>
              </w:rPr>
              <w:t>舍养殖</w:t>
            </w:r>
          </w:p>
        </w:tc>
        <w:tc>
          <w:tcPr>
            <w:tcW w:w="3153" w:type="dxa"/>
            <w:tcBorders>
              <w:tl2br w:val="nil"/>
              <w:tr2bl w:val="nil"/>
            </w:tcBorders>
            <w:vAlign w:val="center"/>
          </w:tcPr>
          <w:p w14:paraId="7B460DF6">
            <w:pPr>
              <w:pStyle w:val="56"/>
              <w:autoSpaceDE w:val="0"/>
              <w:autoSpaceDN w:val="0"/>
              <w:jc w:val="left"/>
              <w:rPr>
                <w:rFonts w:ascii="Times New Roman" w:hAnsi="Times New Roman"/>
                <w:color w:val="auto"/>
                <w:szCs w:val="21"/>
                <w:lang w:eastAsia="zh-CN"/>
              </w:rPr>
            </w:pPr>
            <w:r>
              <w:rPr>
                <w:rFonts w:hint="eastAsia"/>
                <w:color w:val="auto"/>
                <w:szCs w:val="21"/>
                <w:lang w:eastAsia="zh-CN"/>
              </w:rPr>
              <w:t>1.</w:t>
            </w:r>
            <w:r>
              <w:rPr>
                <w:rFonts w:ascii="Times New Roman" w:hAnsi="Times New Roman"/>
                <w:color w:val="auto"/>
                <w:szCs w:val="21"/>
                <w:lang w:eastAsia="zh-CN"/>
              </w:rPr>
              <w:t>选用益生菌配方饲料；</w:t>
            </w:r>
          </w:p>
          <w:p w14:paraId="6918B14F">
            <w:pPr>
              <w:pStyle w:val="56"/>
              <w:autoSpaceDE w:val="0"/>
              <w:autoSpaceDN w:val="0"/>
              <w:jc w:val="left"/>
              <w:rPr>
                <w:rFonts w:ascii="Times New Roman" w:hAnsi="Times New Roman"/>
                <w:color w:val="auto"/>
                <w:szCs w:val="21"/>
                <w:lang w:eastAsia="zh-CN"/>
              </w:rPr>
            </w:pPr>
            <w:r>
              <w:rPr>
                <w:rFonts w:hint="eastAsia"/>
                <w:color w:val="auto"/>
                <w:szCs w:val="21"/>
                <w:lang w:eastAsia="zh-CN"/>
              </w:rPr>
              <w:t>2.</w:t>
            </w:r>
            <w:r>
              <w:rPr>
                <w:rFonts w:ascii="Times New Roman" w:hAnsi="Times New Roman"/>
                <w:color w:val="auto"/>
                <w:szCs w:val="21"/>
                <w:lang w:eastAsia="zh-CN"/>
              </w:rPr>
              <w:t>及时清运粪污；</w:t>
            </w:r>
          </w:p>
          <w:p w14:paraId="2ECD1B92">
            <w:pPr>
              <w:pStyle w:val="56"/>
              <w:autoSpaceDE w:val="0"/>
              <w:autoSpaceDN w:val="0"/>
              <w:jc w:val="left"/>
              <w:rPr>
                <w:rFonts w:ascii="Times New Roman" w:hAnsi="Times New Roman"/>
                <w:color w:val="auto"/>
                <w:szCs w:val="21"/>
                <w:lang w:eastAsia="zh-CN"/>
              </w:rPr>
            </w:pPr>
            <w:r>
              <w:rPr>
                <w:rFonts w:hint="eastAsia"/>
                <w:color w:val="auto"/>
                <w:szCs w:val="21"/>
                <w:lang w:eastAsia="zh-CN"/>
              </w:rPr>
              <w:t>3.</w:t>
            </w:r>
            <w:r>
              <w:rPr>
                <w:rFonts w:ascii="Times New Roman" w:hAnsi="Times New Roman"/>
                <w:color w:val="auto"/>
                <w:szCs w:val="21"/>
                <w:lang w:eastAsia="zh-CN"/>
              </w:rPr>
              <w:t>向粪便或舍内投（铺）放吸附剂减少臭气的散发；</w:t>
            </w:r>
          </w:p>
          <w:p w14:paraId="3851D13C">
            <w:pPr>
              <w:pStyle w:val="56"/>
              <w:autoSpaceDE w:val="0"/>
              <w:autoSpaceDN w:val="0"/>
              <w:jc w:val="left"/>
              <w:rPr>
                <w:rFonts w:ascii="Times New Roman" w:hAnsi="Times New Roman"/>
                <w:color w:val="auto"/>
                <w:szCs w:val="21"/>
                <w:lang w:eastAsia="zh-CN"/>
              </w:rPr>
            </w:pPr>
            <w:r>
              <w:rPr>
                <w:rFonts w:hint="eastAsia"/>
                <w:color w:val="auto"/>
                <w:szCs w:val="21"/>
                <w:lang w:eastAsia="zh-CN"/>
              </w:rPr>
              <w:t>4.</w:t>
            </w:r>
            <w:r>
              <w:rPr>
                <w:rFonts w:ascii="Times New Roman" w:hAnsi="Times New Roman"/>
                <w:color w:val="auto"/>
                <w:szCs w:val="21"/>
                <w:lang w:eastAsia="zh-CN"/>
              </w:rPr>
              <w:t>投加或喷洒除臭剂。</w:t>
            </w:r>
          </w:p>
        </w:tc>
        <w:tc>
          <w:tcPr>
            <w:tcW w:w="3597" w:type="dxa"/>
            <w:tcBorders>
              <w:tl2br w:val="nil"/>
              <w:tr2bl w:val="nil"/>
            </w:tcBorders>
            <w:vAlign w:val="center"/>
          </w:tcPr>
          <w:p w14:paraId="50806765">
            <w:pPr>
              <w:pStyle w:val="56"/>
              <w:autoSpaceDE w:val="0"/>
              <w:autoSpaceDN w:val="0"/>
              <w:jc w:val="left"/>
              <w:rPr>
                <w:rFonts w:ascii="Times New Roman" w:hAnsi="Times New Roman"/>
                <w:color w:val="auto"/>
                <w:szCs w:val="21"/>
                <w:lang w:eastAsia="zh-CN"/>
              </w:rPr>
            </w:pPr>
            <w:r>
              <w:rPr>
                <w:rFonts w:hint="eastAsia"/>
                <w:color w:val="auto"/>
                <w:szCs w:val="21"/>
                <w:lang w:val="en-US" w:eastAsia="zh-CN"/>
              </w:rPr>
              <w:t>1.</w:t>
            </w:r>
            <w:r>
              <w:rPr>
                <w:rFonts w:ascii="Times New Roman" w:hAnsi="Times New Roman"/>
                <w:color w:val="auto"/>
                <w:szCs w:val="21"/>
                <w:lang w:eastAsia="zh-CN"/>
              </w:rPr>
              <w:t>选择优质的饲料原料，在饲料中添加EM</w:t>
            </w:r>
            <w:r>
              <w:rPr>
                <w:rFonts w:ascii="Times New Roman" w:hAnsi="Times New Roman"/>
                <w:color w:val="auto"/>
                <w:szCs w:val="21"/>
                <w:lang w:val="en-US" w:eastAsia="zh-CN"/>
              </w:rPr>
              <w:t>生物</w:t>
            </w:r>
            <w:r>
              <w:rPr>
                <w:rFonts w:ascii="Times New Roman" w:hAnsi="Times New Roman"/>
                <w:color w:val="auto"/>
                <w:szCs w:val="21"/>
                <w:lang w:eastAsia="zh-CN"/>
              </w:rPr>
              <w:t>菌；</w:t>
            </w:r>
          </w:p>
          <w:p w14:paraId="1F5DDA2F">
            <w:pPr>
              <w:pStyle w:val="56"/>
              <w:autoSpaceDE w:val="0"/>
              <w:autoSpaceDN w:val="0"/>
              <w:jc w:val="left"/>
              <w:rPr>
                <w:rFonts w:ascii="Times New Roman" w:hAnsi="Times New Roman"/>
                <w:color w:val="auto"/>
                <w:szCs w:val="21"/>
                <w:lang w:eastAsia="zh-CN"/>
              </w:rPr>
            </w:pPr>
            <w:r>
              <w:rPr>
                <w:rFonts w:hint="eastAsia"/>
                <w:color w:val="auto"/>
                <w:szCs w:val="21"/>
                <w:lang w:val="en-US" w:eastAsia="zh-CN"/>
              </w:rPr>
              <w:t>2.</w:t>
            </w:r>
            <w:r>
              <w:rPr>
                <w:rFonts w:ascii="Times New Roman" w:hAnsi="Times New Roman"/>
                <w:color w:val="auto"/>
                <w:szCs w:val="21"/>
                <w:lang w:eastAsia="zh-CN"/>
              </w:rPr>
              <w:t>加强圈舍的通风，及时清除粪便；</w:t>
            </w:r>
          </w:p>
          <w:p w14:paraId="7C56CD1E">
            <w:pPr>
              <w:pStyle w:val="56"/>
              <w:autoSpaceDE w:val="0"/>
              <w:autoSpaceDN w:val="0"/>
              <w:jc w:val="left"/>
              <w:rPr>
                <w:rFonts w:hint="default" w:ascii="Times New Roman" w:hAnsi="Times New Roman" w:eastAsia="宋体"/>
                <w:color w:val="auto"/>
                <w:szCs w:val="21"/>
                <w:lang w:val="en-US" w:eastAsia="zh-CN"/>
              </w:rPr>
            </w:pPr>
            <w:r>
              <w:rPr>
                <w:rFonts w:hint="eastAsia"/>
                <w:color w:val="auto"/>
                <w:szCs w:val="21"/>
                <w:lang w:val="en-US" w:eastAsia="zh-CN"/>
              </w:rPr>
              <w:t>3.</w:t>
            </w:r>
            <w:r>
              <w:rPr>
                <w:rFonts w:hint="eastAsia" w:ascii="Times New Roman" w:hAnsi="Times New Roman"/>
                <w:color w:val="auto"/>
                <w:szCs w:val="21"/>
                <w:lang w:val="en-US" w:eastAsia="zh-CN"/>
              </w:rPr>
              <w:t>鸭舍下方定期补充垫草料；</w:t>
            </w:r>
          </w:p>
          <w:p w14:paraId="44A9FAFE">
            <w:pPr>
              <w:pStyle w:val="56"/>
              <w:autoSpaceDE w:val="0"/>
              <w:autoSpaceDN w:val="0"/>
              <w:jc w:val="left"/>
              <w:rPr>
                <w:rFonts w:hint="eastAsia" w:ascii="Times New Roman" w:hAnsi="Times New Roman" w:eastAsia="宋体"/>
                <w:color w:val="auto"/>
                <w:szCs w:val="21"/>
                <w:lang w:eastAsia="zh-CN"/>
              </w:rPr>
            </w:pPr>
            <w:r>
              <w:rPr>
                <w:rFonts w:hint="eastAsia"/>
                <w:color w:val="auto"/>
                <w:szCs w:val="21"/>
                <w:lang w:val="en-US" w:eastAsia="zh-CN"/>
              </w:rPr>
              <w:t>4.</w:t>
            </w:r>
            <w:r>
              <w:rPr>
                <w:rFonts w:ascii="Times New Roman" w:hAnsi="Times New Roman"/>
                <w:color w:val="auto"/>
                <w:szCs w:val="21"/>
                <w:lang w:eastAsia="en-US"/>
              </w:rPr>
              <w:t>定期喷洒除臭剂</w:t>
            </w:r>
            <w:r>
              <w:rPr>
                <w:rFonts w:hint="eastAsia" w:ascii="Times New Roman" w:hAnsi="Times New Roman"/>
                <w:color w:val="auto"/>
                <w:szCs w:val="21"/>
                <w:lang w:eastAsia="zh-CN"/>
              </w:rPr>
              <w:t>。</w:t>
            </w:r>
          </w:p>
        </w:tc>
      </w:tr>
      <w:tr w14:paraId="11FCC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46" w:hRule="atLeast"/>
          <w:jc w:val="center"/>
        </w:trPr>
        <w:tc>
          <w:tcPr>
            <w:tcW w:w="1631" w:type="dxa"/>
            <w:tcBorders>
              <w:tl2br w:val="nil"/>
              <w:tr2bl w:val="nil"/>
            </w:tcBorders>
            <w:vAlign w:val="center"/>
          </w:tcPr>
          <w:p w14:paraId="7EE93AD6">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固体粪污处理</w:t>
            </w:r>
          </w:p>
        </w:tc>
        <w:tc>
          <w:tcPr>
            <w:tcW w:w="3153" w:type="dxa"/>
            <w:tcBorders>
              <w:tl2br w:val="nil"/>
              <w:tr2bl w:val="nil"/>
            </w:tcBorders>
            <w:vAlign w:val="center"/>
          </w:tcPr>
          <w:p w14:paraId="56DB993D">
            <w:pPr>
              <w:pStyle w:val="56"/>
              <w:autoSpaceDE w:val="0"/>
              <w:autoSpaceDN w:val="0"/>
              <w:jc w:val="left"/>
              <w:rPr>
                <w:rFonts w:ascii="Times New Roman" w:hAnsi="Times New Roman"/>
                <w:color w:val="auto"/>
                <w:szCs w:val="21"/>
                <w:lang w:eastAsia="zh-CN"/>
              </w:rPr>
            </w:pPr>
            <w:r>
              <w:rPr>
                <w:rFonts w:hint="eastAsia"/>
                <w:color w:val="auto"/>
                <w:szCs w:val="21"/>
                <w:lang w:eastAsia="zh-CN"/>
              </w:rPr>
              <w:t>1.</w:t>
            </w:r>
            <w:r>
              <w:rPr>
                <w:rFonts w:ascii="Times New Roman" w:hAnsi="Times New Roman"/>
                <w:color w:val="auto"/>
                <w:szCs w:val="21"/>
                <w:lang w:eastAsia="zh-CN"/>
              </w:rPr>
              <w:t>定期喷洒除臭剂；</w:t>
            </w:r>
          </w:p>
          <w:p w14:paraId="616E8287">
            <w:pPr>
              <w:pStyle w:val="56"/>
              <w:autoSpaceDE w:val="0"/>
              <w:autoSpaceDN w:val="0"/>
              <w:jc w:val="left"/>
              <w:rPr>
                <w:rFonts w:ascii="Times New Roman" w:hAnsi="Times New Roman"/>
                <w:color w:val="auto"/>
                <w:szCs w:val="21"/>
                <w:lang w:eastAsia="zh-CN"/>
              </w:rPr>
            </w:pPr>
            <w:r>
              <w:rPr>
                <w:rFonts w:hint="eastAsia"/>
                <w:color w:val="auto"/>
                <w:szCs w:val="21"/>
                <w:lang w:eastAsia="zh-CN"/>
              </w:rPr>
              <w:t>2.</w:t>
            </w:r>
            <w:r>
              <w:rPr>
                <w:rFonts w:ascii="Times New Roman" w:hAnsi="Times New Roman"/>
                <w:color w:val="auto"/>
                <w:szCs w:val="21"/>
                <w:lang w:eastAsia="zh-CN"/>
              </w:rPr>
              <w:t>及时清运固体粪污；</w:t>
            </w:r>
          </w:p>
          <w:p w14:paraId="173B984A">
            <w:pPr>
              <w:pStyle w:val="56"/>
              <w:autoSpaceDE w:val="0"/>
              <w:autoSpaceDN w:val="0"/>
              <w:jc w:val="left"/>
              <w:rPr>
                <w:rFonts w:ascii="Times New Roman" w:hAnsi="Times New Roman"/>
                <w:color w:val="auto"/>
                <w:szCs w:val="21"/>
                <w:lang w:eastAsia="zh-CN"/>
              </w:rPr>
            </w:pPr>
            <w:r>
              <w:rPr>
                <w:rFonts w:hint="eastAsia"/>
                <w:color w:val="auto"/>
                <w:szCs w:val="21"/>
                <w:lang w:eastAsia="zh-CN"/>
              </w:rPr>
              <w:t>3.</w:t>
            </w:r>
            <w:r>
              <w:rPr>
                <w:rFonts w:ascii="Times New Roman" w:hAnsi="Times New Roman"/>
                <w:color w:val="auto"/>
                <w:szCs w:val="21"/>
                <w:lang w:eastAsia="zh-CN"/>
              </w:rPr>
              <w:t>采用厌氧或好氧堆肥方式。</w:t>
            </w:r>
          </w:p>
        </w:tc>
        <w:tc>
          <w:tcPr>
            <w:tcW w:w="3597" w:type="dxa"/>
            <w:tcBorders>
              <w:tl2br w:val="nil"/>
              <w:tr2bl w:val="nil"/>
            </w:tcBorders>
            <w:vAlign w:val="center"/>
          </w:tcPr>
          <w:p w14:paraId="301BD184">
            <w:pPr>
              <w:pStyle w:val="56"/>
              <w:autoSpaceDE w:val="0"/>
              <w:autoSpaceDN w:val="0"/>
              <w:jc w:val="left"/>
              <w:rPr>
                <w:rFonts w:ascii="Times New Roman" w:hAnsi="Times New Roman"/>
                <w:color w:val="auto"/>
                <w:szCs w:val="21"/>
                <w:lang w:eastAsia="zh-CN"/>
              </w:rPr>
            </w:pPr>
            <w:r>
              <w:rPr>
                <w:rFonts w:hint="eastAsia"/>
                <w:color w:val="auto"/>
                <w:szCs w:val="21"/>
                <w:lang w:val="en-US" w:eastAsia="zh-CN"/>
              </w:rPr>
              <w:t>1.</w:t>
            </w:r>
            <w:r>
              <w:rPr>
                <w:rFonts w:ascii="Times New Roman" w:hAnsi="Times New Roman"/>
                <w:color w:val="auto"/>
                <w:szCs w:val="21"/>
                <w:lang w:val="en-US" w:eastAsia="zh-CN"/>
              </w:rPr>
              <w:t>定期喷洒除臭剂除臭</w:t>
            </w:r>
            <w:r>
              <w:rPr>
                <w:rFonts w:ascii="Times New Roman" w:hAnsi="Times New Roman"/>
                <w:color w:val="auto"/>
                <w:szCs w:val="21"/>
                <w:lang w:eastAsia="zh-CN"/>
              </w:rPr>
              <w:t>；</w:t>
            </w:r>
          </w:p>
          <w:p w14:paraId="6982E68E">
            <w:pPr>
              <w:pStyle w:val="56"/>
              <w:autoSpaceDE w:val="0"/>
              <w:autoSpaceDN w:val="0"/>
              <w:jc w:val="left"/>
              <w:rPr>
                <w:rFonts w:ascii="Times New Roman" w:hAnsi="Times New Roman"/>
                <w:color w:val="auto"/>
                <w:szCs w:val="21"/>
                <w:lang w:eastAsia="zh-CN"/>
              </w:rPr>
            </w:pPr>
            <w:r>
              <w:rPr>
                <w:rFonts w:hint="eastAsia"/>
                <w:color w:val="auto"/>
                <w:szCs w:val="21"/>
                <w:lang w:val="en-US" w:eastAsia="zh-CN"/>
              </w:rPr>
              <w:t>2.</w:t>
            </w:r>
            <w:r>
              <w:rPr>
                <w:rFonts w:ascii="Times New Roman" w:hAnsi="Times New Roman"/>
                <w:color w:val="auto"/>
                <w:szCs w:val="21"/>
                <w:lang w:val="en-US" w:eastAsia="zh-CN"/>
              </w:rPr>
              <w:t>固体粪污每</w:t>
            </w:r>
            <w:r>
              <w:rPr>
                <w:rFonts w:hint="eastAsia" w:ascii="Times New Roman" w:hAnsi="Times New Roman"/>
                <w:color w:val="auto"/>
                <w:szCs w:val="21"/>
                <w:lang w:val="en-US" w:eastAsia="zh-CN"/>
              </w:rPr>
              <w:t>3个月</w:t>
            </w:r>
            <w:r>
              <w:rPr>
                <w:rFonts w:ascii="Times New Roman" w:hAnsi="Times New Roman"/>
                <w:color w:val="auto"/>
                <w:szCs w:val="21"/>
                <w:lang w:val="en-US" w:eastAsia="zh-CN"/>
              </w:rPr>
              <w:t>清运一次，清运至</w:t>
            </w:r>
            <w:r>
              <w:rPr>
                <w:rFonts w:hint="eastAsia" w:ascii="Times New Roman" w:hAnsi="Times New Roman"/>
                <w:color w:val="auto"/>
                <w:szCs w:val="21"/>
                <w:lang w:val="en-US" w:eastAsia="zh-CN"/>
              </w:rPr>
              <w:t>63团3连粪污处理场</w:t>
            </w:r>
            <w:r>
              <w:rPr>
                <w:rFonts w:ascii="Times New Roman" w:hAnsi="Times New Roman"/>
                <w:color w:val="auto"/>
                <w:szCs w:val="21"/>
                <w:lang w:val="en-US" w:eastAsia="zh-CN"/>
              </w:rPr>
              <w:t>综合利用</w:t>
            </w:r>
            <w:r>
              <w:rPr>
                <w:rFonts w:ascii="Times New Roman" w:hAnsi="Times New Roman"/>
                <w:color w:val="auto"/>
                <w:szCs w:val="21"/>
                <w:lang w:eastAsia="zh-CN"/>
              </w:rPr>
              <w:t>；</w:t>
            </w:r>
          </w:p>
          <w:p w14:paraId="6FB1CB67">
            <w:pPr>
              <w:pStyle w:val="56"/>
              <w:autoSpaceDE w:val="0"/>
              <w:autoSpaceDN w:val="0"/>
              <w:jc w:val="left"/>
              <w:rPr>
                <w:rFonts w:ascii="Times New Roman" w:hAnsi="Times New Roman"/>
                <w:color w:val="auto"/>
                <w:szCs w:val="21"/>
                <w:lang w:eastAsia="zh-CN"/>
              </w:rPr>
            </w:pPr>
            <w:r>
              <w:rPr>
                <w:rFonts w:hint="eastAsia"/>
                <w:color w:val="auto"/>
                <w:szCs w:val="21"/>
                <w:lang w:val="en-US" w:eastAsia="zh-CN"/>
              </w:rPr>
              <w:t>3.</w:t>
            </w:r>
            <w:r>
              <w:rPr>
                <w:rFonts w:hint="eastAsia" w:ascii="Times New Roman" w:hAnsi="Times New Roman"/>
                <w:color w:val="auto"/>
                <w:szCs w:val="21"/>
                <w:lang w:val="en-US" w:eastAsia="zh-CN"/>
              </w:rPr>
              <w:t>粪污不在项目区内堆存</w:t>
            </w:r>
            <w:r>
              <w:rPr>
                <w:rFonts w:ascii="Times New Roman" w:hAnsi="Times New Roman"/>
                <w:color w:val="auto"/>
                <w:szCs w:val="21"/>
                <w:lang w:eastAsia="zh-CN"/>
              </w:rPr>
              <w:t>。</w:t>
            </w:r>
          </w:p>
        </w:tc>
      </w:tr>
      <w:tr w14:paraId="49CE75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 w:hRule="atLeast"/>
          <w:jc w:val="center"/>
        </w:trPr>
        <w:tc>
          <w:tcPr>
            <w:tcW w:w="1631" w:type="dxa"/>
            <w:tcBorders>
              <w:tl2br w:val="nil"/>
              <w:tr2bl w:val="nil"/>
            </w:tcBorders>
            <w:vAlign w:val="center"/>
          </w:tcPr>
          <w:p w14:paraId="26C5D912">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全场</w:t>
            </w:r>
          </w:p>
        </w:tc>
        <w:tc>
          <w:tcPr>
            <w:tcW w:w="3153" w:type="dxa"/>
            <w:tcBorders>
              <w:tl2br w:val="nil"/>
              <w:tr2bl w:val="nil"/>
            </w:tcBorders>
            <w:vAlign w:val="center"/>
          </w:tcPr>
          <w:p w14:paraId="671BEDDF">
            <w:pPr>
              <w:pStyle w:val="56"/>
              <w:autoSpaceDE w:val="0"/>
              <w:autoSpaceDN w:val="0"/>
              <w:jc w:val="left"/>
              <w:rPr>
                <w:rFonts w:ascii="Times New Roman" w:hAnsi="Times New Roman"/>
                <w:color w:val="auto"/>
                <w:szCs w:val="21"/>
                <w:lang w:eastAsia="zh-CN"/>
              </w:rPr>
            </w:pPr>
            <w:r>
              <w:rPr>
                <w:rFonts w:hint="eastAsia"/>
                <w:color w:val="auto"/>
                <w:szCs w:val="21"/>
                <w:lang w:eastAsia="zh-CN"/>
              </w:rPr>
              <w:t>1.</w:t>
            </w:r>
            <w:r>
              <w:rPr>
                <w:rFonts w:ascii="Times New Roman" w:hAnsi="Times New Roman"/>
                <w:color w:val="auto"/>
                <w:szCs w:val="21"/>
                <w:lang w:eastAsia="zh-CN"/>
              </w:rPr>
              <w:t>固体粪污规范还田利用；</w:t>
            </w:r>
          </w:p>
          <w:p w14:paraId="21BA7B88">
            <w:pPr>
              <w:pStyle w:val="56"/>
              <w:autoSpaceDE w:val="0"/>
              <w:autoSpaceDN w:val="0"/>
              <w:jc w:val="left"/>
              <w:rPr>
                <w:rFonts w:ascii="Times New Roman" w:hAnsi="Times New Roman"/>
                <w:color w:val="auto"/>
                <w:szCs w:val="21"/>
                <w:lang w:eastAsia="en-US"/>
              </w:rPr>
            </w:pPr>
            <w:r>
              <w:rPr>
                <w:rFonts w:hint="eastAsia"/>
                <w:color w:val="auto"/>
                <w:szCs w:val="21"/>
                <w:lang w:eastAsia="zh-CN"/>
              </w:rPr>
              <w:t>2.</w:t>
            </w:r>
            <w:r>
              <w:rPr>
                <w:rFonts w:ascii="Times New Roman" w:hAnsi="Times New Roman"/>
                <w:color w:val="auto"/>
                <w:szCs w:val="21"/>
                <w:lang w:eastAsia="zh-CN"/>
              </w:rPr>
              <w:t>场区运输道路全硬化、及时清扫、无积灰扬尘、定期洒水抑尘</w:t>
            </w:r>
            <w:r>
              <w:rPr>
                <w:rFonts w:ascii="Times New Roman" w:hAnsi="Times New Roman"/>
                <w:color w:val="auto"/>
                <w:szCs w:val="21"/>
                <w:lang w:eastAsia="en-US"/>
              </w:rPr>
              <w:t>。</w:t>
            </w:r>
          </w:p>
        </w:tc>
        <w:tc>
          <w:tcPr>
            <w:tcW w:w="3597" w:type="dxa"/>
            <w:tcBorders>
              <w:tl2br w:val="nil"/>
              <w:tr2bl w:val="nil"/>
            </w:tcBorders>
            <w:vAlign w:val="center"/>
          </w:tcPr>
          <w:p w14:paraId="3A667EDC">
            <w:pPr>
              <w:pStyle w:val="56"/>
              <w:autoSpaceDE w:val="0"/>
              <w:autoSpaceDN w:val="0"/>
              <w:jc w:val="left"/>
              <w:rPr>
                <w:rFonts w:ascii="Times New Roman" w:hAnsi="Times New Roman"/>
                <w:color w:val="auto"/>
                <w:szCs w:val="21"/>
                <w:lang w:eastAsia="zh-CN"/>
              </w:rPr>
            </w:pPr>
            <w:r>
              <w:rPr>
                <w:rFonts w:hint="eastAsia"/>
                <w:color w:val="auto"/>
                <w:szCs w:val="21"/>
                <w:lang w:val="en-US" w:eastAsia="zh-CN"/>
              </w:rPr>
              <w:t>1.</w:t>
            </w:r>
            <w:r>
              <w:rPr>
                <w:rFonts w:ascii="Times New Roman" w:hAnsi="Times New Roman"/>
                <w:color w:val="auto"/>
                <w:szCs w:val="21"/>
                <w:lang w:val="en-US" w:eastAsia="zh-CN"/>
              </w:rPr>
              <w:t>项目采用干清粪工艺，</w:t>
            </w:r>
            <w:r>
              <w:rPr>
                <w:rFonts w:hint="eastAsia" w:ascii="Times New Roman" w:hAnsi="Times New Roman"/>
                <w:color w:val="auto"/>
                <w:szCs w:val="21"/>
                <w:lang w:val="en-US" w:eastAsia="zh-CN"/>
              </w:rPr>
              <w:t>定期清运</w:t>
            </w:r>
            <w:r>
              <w:rPr>
                <w:rFonts w:ascii="Times New Roman" w:hAnsi="Times New Roman"/>
                <w:color w:val="auto"/>
                <w:szCs w:val="21"/>
                <w:lang w:val="en-US" w:eastAsia="zh-CN"/>
              </w:rPr>
              <w:t>至</w:t>
            </w:r>
            <w:r>
              <w:rPr>
                <w:rFonts w:hint="eastAsia" w:ascii="Times New Roman" w:hAnsi="Times New Roman"/>
                <w:color w:val="auto"/>
                <w:szCs w:val="21"/>
                <w:lang w:val="en-US" w:eastAsia="zh-CN"/>
              </w:rPr>
              <w:t>63团3连粪污处理场</w:t>
            </w:r>
            <w:r>
              <w:rPr>
                <w:rFonts w:ascii="Times New Roman" w:hAnsi="Times New Roman"/>
                <w:color w:val="auto"/>
                <w:szCs w:val="21"/>
                <w:lang w:val="en-US" w:eastAsia="zh-CN"/>
              </w:rPr>
              <w:t>综合利用</w:t>
            </w:r>
            <w:r>
              <w:rPr>
                <w:rFonts w:ascii="Times New Roman" w:hAnsi="Times New Roman"/>
                <w:color w:val="auto"/>
                <w:szCs w:val="21"/>
                <w:lang w:eastAsia="zh-CN"/>
              </w:rPr>
              <w:t>；</w:t>
            </w:r>
          </w:p>
          <w:p w14:paraId="1FDA6619">
            <w:pPr>
              <w:pStyle w:val="56"/>
              <w:autoSpaceDE w:val="0"/>
              <w:autoSpaceDN w:val="0"/>
              <w:jc w:val="left"/>
              <w:rPr>
                <w:rFonts w:ascii="Times New Roman" w:hAnsi="Times New Roman"/>
                <w:color w:val="auto"/>
                <w:szCs w:val="21"/>
                <w:lang w:eastAsia="zh-CN"/>
              </w:rPr>
            </w:pPr>
            <w:r>
              <w:rPr>
                <w:rFonts w:hint="eastAsia"/>
                <w:color w:val="auto"/>
                <w:szCs w:val="21"/>
                <w:lang w:val="en-US" w:eastAsia="zh-CN"/>
              </w:rPr>
              <w:t>2.</w:t>
            </w:r>
            <w:r>
              <w:rPr>
                <w:rFonts w:ascii="Times New Roman" w:hAnsi="Times New Roman"/>
                <w:color w:val="auto"/>
                <w:szCs w:val="21"/>
                <w:lang w:eastAsia="zh-CN"/>
              </w:rPr>
              <w:t>道路硬化</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定期洒水。</w:t>
            </w:r>
          </w:p>
        </w:tc>
      </w:tr>
    </w:tbl>
    <w:p w14:paraId="03D15BC3">
      <w:pPr>
        <w:ind w:firstLine="480"/>
        <w:rPr>
          <w:rFonts w:ascii="Times New Roman" w:hAnsi="Times New Roman" w:cs="Times New Roman"/>
          <w:color w:val="auto"/>
          <w:lang w:bidi="zh-CN"/>
        </w:rPr>
      </w:pPr>
      <w:r>
        <w:rPr>
          <w:rFonts w:ascii="Times New Roman" w:hAnsi="Times New Roman" w:cs="Times New Roman"/>
          <w:color w:val="auto"/>
          <w:lang w:bidi="zh-CN"/>
        </w:rPr>
        <w:t>本项目养殖区、</w:t>
      </w:r>
      <w:r>
        <w:rPr>
          <w:rFonts w:hint="eastAsia" w:ascii="Times New Roman" w:hAnsi="Times New Roman" w:cs="Times New Roman"/>
          <w:color w:val="auto"/>
          <w:lang w:val="en-US" w:bidi="zh-CN"/>
        </w:rPr>
        <w:t>化粪池区域</w:t>
      </w:r>
      <w:r>
        <w:rPr>
          <w:rFonts w:ascii="Times New Roman" w:hAnsi="Times New Roman" w:cs="Times New Roman"/>
          <w:color w:val="auto"/>
          <w:lang w:bidi="zh-CN"/>
        </w:rPr>
        <w:t>采取的无组织恶臭气体污染防治措施为《排污许可证申请与核发技术规范畜禽养殖行业》（HJ1029-2019）中可行技术，也是目前养殖行业成熟应用且效果良好的污染防治技术，本项目废气污染防治措施可行。</w:t>
      </w:r>
      <w:bookmarkStart w:id="296" w:name="6.2.1.2其他废气防治措施及可行性分析"/>
      <w:bookmarkEnd w:id="296"/>
    </w:p>
    <w:p w14:paraId="179BF3C2">
      <w:pPr>
        <w:numPr>
          <w:ilvl w:val="0"/>
          <w:numId w:val="0"/>
        </w:numPr>
        <w:ind w:firstLine="480" w:firstLineChars="200"/>
        <w:rPr>
          <w:rFonts w:hint="default" w:ascii="Times New Roman" w:hAnsi="Times New Roman" w:cs="Times New Roman"/>
          <w:color w:val="auto"/>
          <w:lang w:val="en-US" w:bidi="zh-CN"/>
        </w:rPr>
      </w:pPr>
      <w:r>
        <w:rPr>
          <w:rFonts w:hint="eastAsia" w:cs="Times New Roman"/>
          <w:color w:val="auto"/>
          <w:kern w:val="2"/>
          <w:sz w:val="24"/>
          <w:szCs w:val="22"/>
          <w:lang w:val="en-US" w:eastAsia="zh-CN" w:bidi="zh-CN"/>
        </w:rPr>
        <w:t>（3）</w:t>
      </w:r>
      <w:r>
        <w:rPr>
          <w:rFonts w:hint="eastAsia" w:ascii="Times New Roman" w:hAnsi="Times New Roman" w:cs="Times New Roman"/>
          <w:color w:val="auto"/>
          <w:lang w:val="en-US" w:bidi="zh-CN"/>
        </w:rPr>
        <w:t>恶臭无组织控制及运行管理要求</w:t>
      </w:r>
    </w:p>
    <w:p w14:paraId="04184E38">
      <w:pPr>
        <w:ind w:firstLine="480"/>
        <w:rPr>
          <w:rFonts w:hint="eastAsia" w:ascii="Times New Roman" w:hAnsi="Times New Roman" w:cs="Times New Roman"/>
          <w:color w:val="auto"/>
          <w:lang w:val="en-US" w:eastAsia="zh-CN" w:bidi="zh-CN"/>
        </w:rPr>
      </w:pPr>
      <w:r>
        <w:rPr>
          <w:rFonts w:hint="eastAsia" w:ascii="Times New Roman" w:hAnsi="Times New Roman" w:cs="Times New Roman"/>
          <w:color w:val="auto"/>
          <w:lang w:val="en-US" w:eastAsia="zh-CN" w:bidi="zh-CN"/>
        </w:rPr>
        <w:t>本环评要求本项目无组织恶臭控制措施严格按照《排污许可证申请与核发技术规范畜禽养殖行业》（HJ1029-2019）表7畜禽养殖行业排污单位恶臭无组织排放控制要求进行防治。具体要求如下：</w:t>
      </w:r>
    </w:p>
    <w:p w14:paraId="16C9EFCA">
      <w:pPr>
        <w:numPr>
          <w:ilvl w:val="0"/>
          <w:numId w:val="0"/>
        </w:numPr>
        <w:ind w:firstLine="480" w:firstLineChars="200"/>
        <w:rPr>
          <w:rFonts w:hint="eastAsia" w:ascii="Times New Roman" w:hAnsi="Times New Roman" w:cs="Times New Roman"/>
          <w:color w:val="auto"/>
          <w:lang w:val="en-US" w:eastAsia="zh-CN" w:bidi="zh-CN"/>
        </w:rPr>
      </w:pPr>
      <w:r>
        <w:rPr>
          <w:rFonts w:hint="eastAsia" w:ascii="Times New Roman" w:hAnsi="Times New Roman" w:eastAsia="宋体" w:cs="宋体"/>
          <w:color w:val="auto"/>
        </w:rPr>
        <w:t>①</w:t>
      </w:r>
      <w:r>
        <w:rPr>
          <w:rFonts w:hint="eastAsia" w:ascii="Times New Roman" w:hAnsi="Times New Roman" w:cs="Times New Roman"/>
          <w:color w:val="auto"/>
          <w:lang w:val="en-US" w:eastAsia="zh-CN" w:bidi="zh-CN"/>
        </w:rPr>
        <w:t>针对圈舍养殖恶臭，本项目主要控制措施为选用优质饲料，加强圈舍通风，鸭舍下方定期补充垫草料，定期清理粪便，定期喷洒除臭剂。</w:t>
      </w:r>
    </w:p>
    <w:p w14:paraId="395733FB">
      <w:pPr>
        <w:numPr>
          <w:ilvl w:val="0"/>
          <w:numId w:val="0"/>
        </w:numPr>
        <w:ind w:firstLine="480" w:firstLineChars="200"/>
        <w:rPr>
          <w:rFonts w:hint="eastAsia" w:ascii="Times New Roman" w:hAnsi="Times New Roman" w:cs="Times New Roman"/>
          <w:color w:val="auto"/>
          <w:lang w:val="en-US" w:eastAsia="zh-CN" w:bidi="zh-CN"/>
        </w:rPr>
      </w:pPr>
      <w:r>
        <w:rPr>
          <w:rFonts w:hint="eastAsia" w:ascii="Times New Roman" w:hAnsi="Times New Roman" w:eastAsia="宋体" w:cs="宋体"/>
          <w:color w:val="auto"/>
        </w:rPr>
        <w:t>②</w:t>
      </w:r>
      <w:r>
        <w:rPr>
          <w:rFonts w:hint="eastAsia" w:ascii="Times New Roman" w:hAnsi="Times New Roman" w:cs="Times New Roman"/>
          <w:color w:val="auto"/>
          <w:lang w:val="en-US" w:eastAsia="zh-CN" w:bidi="zh-CN"/>
        </w:rPr>
        <w:t>针对固体粪污处理，本项目采用干清粪工艺，定期清运粪污至63团3连粪污处理场，对</w:t>
      </w:r>
      <w:r>
        <w:rPr>
          <w:rFonts w:hint="eastAsia" w:cs="Times New Roman"/>
          <w:color w:val="auto"/>
          <w:lang w:val="en-US" w:eastAsia="zh-CN" w:bidi="zh-CN"/>
        </w:rPr>
        <w:t>鸭舍</w:t>
      </w:r>
      <w:r>
        <w:rPr>
          <w:rFonts w:hint="eastAsia" w:ascii="Times New Roman" w:hAnsi="Times New Roman" w:cs="Times New Roman"/>
          <w:color w:val="auto"/>
          <w:lang w:val="en-US" w:eastAsia="zh-CN" w:bidi="zh-CN"/>
        </w:rPr>
        <w:t>下方鸭粪区域定期喷洒除臭剂。</w:t>
      </w:r>
    </w:p>
    <w:p w14:paraId="1A668562">
      <w:pPr>
        <w:ind w:firstLine="480"/>
        <w:rPr>
          <w:rFonts w:hint="default" w:ascii="Times New Roman" w:hAnsi="Times New Roman" w:cs="Times New Roman"/>
          <w:color w:val="auto"/>
          <w:lang w:val="en-US" w:eastAsia="zh-CN" w:bidi="zh-CN"/>
        </w:rPr>
      </w:pPr>
      <w:r>
        <w:rPr>
          <w:rFonts w:hint="default" w:ascii="Times New Roman" w:hAnsi="Times New Roman" w:cs="Times New Roman"/>
          <w:color w:val="auto"/>
          <w:lang w:val="en-US" w:eastAsia="zh-CN" w:bidi="zh-CN"/>
        </w:rPr>
        <w:t>根据《排污许可证申请与核发技术规范畜禽养殖行业》（HJ1029-2019），本项目废气日常运行管理要求如下：</w:t>
      </w:r>
    </w:p>
    <w:p w14:paraId="700C7B3F">
      <w:pPr>
        <w:ind w:firstLine="480"/>
        <w:rPr>
          <w:rFonts w:hint="eastAsia" w:ascii="Times New Roman" w:hAnsi="Times New Roman" w:cs="Times New Roman"/>
          <w:color w:val="auto"/>
          <w:lang w:val="en-US" w:eastAsia="zh-CN" w:bidi="zh-CN"/>
        </w:rPr>
      </w:pPr>
      <w:r>
        <w:rPr>
          <w:rFonts w:hint="eastAsia" w:ascii="Times New Roman" w:hAnsi="Times New Roman" w:eastAsia="宋体" w:cs="宋体"/>
          <w:color w:val="auto"/>
        </w:rPr>
        <w:t>①</w:t>
      </w:r>
      <w:r>
        <w:rPr>
          <w:rFonts w:hint="eastAsia" w:ascii="Times New Roman" w:hAnsi="Times New Roman" w:cs="Times New Roman"/>
          <w:color w:val="auto"/>
          <w:lang w:val="en-US" w:eastAsia="zh-CN" w:bidi="zh-CN"/>
        </w:rPr>
        <w:t>本项目粪污必须定期拉运至63团3连粪污处理场，不得自行随意丢弃粪污</w:t>
      </w:r>
      <w:r>
        <w:rPr>
          <w:rFonts w:hint="default" w:ascii="Times New Roman" w:hAnsi="Times New Roman" w:cs="Times New Roman"/>
          <w:color w:val="auto"/>
          <w:lang w:val="en-US" w:eastAsia="zh-CN" w:bidi="zh-CN"/>
        </w:rPr>
        <w:t>；</w:t>
      </w:r>
    </w:p>
    <w:p w14:paraId="1A359F25">
      <w:pPr>
        <w:ind w:firstLine="480"/>
        <w:rPr>
          <w:rFonts w:hint="default" w:ascii="Times New Roman" w:hAnsi="Times New Roman" w:cs="Times New Roman"/>
          <w:color w:val="auto"/>
          <w:lang w:val="en-US" w:eastAsia="zh-CN" w:bidi="zh-CN"/>
        </w:rPr>
      </w:pPr>
      <w:r>
        <w:rPr>
          <w:rFonts w:hint="eastAsia" w:ascii="Times New Roman" w:hAnsi="Times New Roman" w:eastAsia="宋体" w:cs="宋体"/>
          <w:color w:val="auto"/>
        </w:rPr>
        <w:t>②</w:t>
      </w:r>
      <w:r>
        <w:rPr>
          <w:rFonts w:hint="default" w:ascii="Times New Roman" w:hAnsi="Times New Roman" w:cs="Times New Roman"/>
          <w:color w:val="auto"/>
          <w:lang w:val="en-US" w:eastAsia="zh-CN" w:bidi="zh-CN"/>
        </w:rPr>
        <w:t>场区运输道路全硬化、及时清扫、无积灰扬尘、定期洒水抑尘；</w:t>
      </w:r>
    </w:p>
    <w:p w14:paraId="09CE5C3D">
      <w:pPr>
        <w:ind w:firstLine="480"/>
        <w:rPr>
          <w:rFonts w:ascii="Times New Roman" w:hAnsi="Times New Roman" w:cs="Times New Roman"/>
          <w:color w:val="auto"/>
        </w:rPr>
      </w:pPr>
      <w:r>
        <w:rPr>
          <w:rFonts w:hint="eastAsia" w:ascii="Times New Roman" w:hAnsi="Times New Roman" w:eastAsia="宋体" w:cs="宋体"/>
          <w:color w:val="auto"/>
        </w:rPr>
        <w:t>③</w:t>
      </w:r>
      <w:r>
        <w:rPr>
          <w:rFonts w:hint="default" w:ascii="Times New Roman" w:hAnsi="Times New Roman" w:cs="Times New Roman"/>
          <w:color w:val="auto"/>
          <w:lang w:val="en-US" w:eastAsia="zh-CN" w:bidi="zh-CN"/>
        </w:rPr>
        <w:t>在运行过程中应保持</w:t>
      </w:r>
      <w:r>
        <w:rPr>
          <w:rFonts w:hint="eastAsia" w:ascii="Times New Roman" w:hAnsi="Times New Roman" w:cs="Times New Roman"/>
          <w:color w:val="auto"/>
          <w:lang w:val="en-US" w:eastAsia="zh-CN" w:bidi="zh-CN"/>
        </w:rPr>
        <w:t>鸭舍良好通风，定期喷洒除臭剂</w:t>
      </w:r>
      <w:r>
        <w:rPr>
          <w:rFonts w:hint="default" w:ascii="Times New Roman" w:hAnsi="Times New Roman" w:cs="Times New Roman"/>
          <w:color w:val="auto"/>
          <w:lang w:val="en-US" w:eastAsia="zh-CN" w:bidi="zh-CN"/>
        </w:rPr>
        <w:t>。</w:t>
      </w:r>
    </w:p>
    <w:p w14:paraId="21453C91">
      <w:pPr>
        <w:ind w:firstLine="480"/>
        <w:rPr>
          <w:rFonts w:ascii="Times New Roman" w:hAnsi="Times New Roman" w:cs="Times New Roman"/>
          <w:color w:val="auto"/>
        </w:rPr>
      </w:pPr>
      <w:r>
        <w:rPr>
          <w:rFonts w:hint="eastAsia" w:cs="Times New Roman"/>
          <w:color w:val="auto"/>
          <w:lang w:eastAsia="zh-CN"/>
        </w:rPr>
        <w:t>2.</w:t>
      </w:r>
      <w:r>
        <w:rPr>
          <w:rFonts w:hint="eastAsia" w:cs="Times New Roman"/>
          <w:color w:val="auto"/>
          <w:lang w:val="en-US" w:eastAsia="zh-CN"/>
        </w:rPr>
        <w:t>污水处理设施</w:t>
      </w:r>
      <w:r>
        <w:rPr>
          <w:rFonts w:ascii="Times New Roman" w:hAnsi="Times New Roman" w:cs="Times New Roman"/>
          <w:color w:val="auto"/>
        </w:rPr>
        <w:t>恶臭的防治措施</w:t>
      </w:r>
      <w:bookmarkEnd w:id="295"/>
    </w:p>
    <w:p w14:paraId="6AA6FC8D">
      <w:pPr>
        <w:ind w:firstLine="480"/>
        <w:rPr>
          <w:rFonts w:ascii="Times New Roman" w:hAnsi="Times New Roman" w:eastAsia="宋体" w:cs="Times New Roman"/>
          <w:color w:val="auto"/>
          <w:lang w:bidi="zh-CN"/>
        </w:rPr>
      </w:pPr>
      <w:r>
        <w:rPr>
          <w:rFonts w:hint="eastAsia" w:ascii="Times New Roman" w:hAnsi="Times New Roman" w:eastAsia="宋体" w:cs="宋体"/>
          <w:color w:val="000000"/>
          <w:kern w:val="0"/>
          <w:sz w:val="24"/>
          <w:szCs w:val="24"/>
          <w:lang w:val="en-US" w:eastAsia="zh-CN" w:bidi="ar"/>
        </w:rPr>
        <w:t>本项目鸭舍配套的</w:t>
      </w:r>
      <w:r>
        <w:rPr>
          <w:rFonts w:hint="eastAsia" w:eastAsia="宋体" w:cs="宋体"/>
          <w:color w:val="000000"/>
          <w:kern w:val="0"/>
          <w:sz w:val="24"/>
          <w:szCs w:val="24"/>
          <w:lang w:val="en-US" w:eastAsia="zh-CN" w:bidi="ar"/>
        </w:rPr>
        <w:t>污水收集池，养殖场配建的养殖废水处理设施</w:t>
      </w:r>
      <w:r>
        <w:rPr>
          <w:rFonts w:hint="eastAsia" w:ascii="Times New Roman" w:hAnsi="Times New Roman" w:eastAsia="宋体" w:cs="宋体"/>
          <w:color w:val="000000"/>
          <w:kern w:val="0"/>
          <w:sz w:val="24"/>
          <w:szCs w:val="24"/>
          <w:lang w:val="en-US" w:eastAsia="zh-CN" w:bidi="ar"/>
        </w:rPr>
        <w:t>及生活区配套的化粪池均全密闭且位于地下，通过定期喷洒除臭剂，定期清运措施</w:t>
      </w:r>
      <w:r>
        <w:rPr>
          <w:rFonts w:ascii="Times New Roman" w:hAnsi="Times New Roman" w:eastAsia="宋体" w:cs="Times New Roman"/>
          <w:color w:val="auto"/>
        </w:rPr>
        <w:t>，</w:t>
      </w:r>
      <w:r>
        <w:rPr>
          <w:rFonts w:hint="eastAsia" w:eastAsia="宋体" w:cs="Times New Roman"/>
          <w:color w:val="auto"/>
          <w:lang w:val="en-US" w:eastAsia="zh-CN"/>
        </w:rPr>
        <w:t>污水收集池、</w:t>
      </w:r>
      <w:r>
        <w:rPr>
          <w:rFonts w:hint="eastAsia" w:ascii="Times New Roman" w:hAnsi="Times New Roman" w:eastAsia="宋体" w:cs="Times New Roman"/>
          <w:color w:val="auto"/>
          <w:lang w:val="en-US" w:eastAsia="zh-CN"/>
        </w:rPr>
        <w:t>化粪池</w:t>
      </w:r>
      <w:r>
        <w:rPr>
          <w:rFonts w:hint="eastAsia" w:eastAsia="宋体" w:cs="Times New Roman"/>
          <w:color w:val="auto"/>
          <w:lang w:val="en-US" w:eastAsia="zh-CN"/>
        </w:rPr>
        <w:t>和养殖污水处理设施</w:t>
      </w:r>
      <w:r>
        <w:rPr>
          <w:rFonts w:ascii="Times New Roman" w:hAnsi="Times New Roman" w:eastAsia="宋体" w:cs="Times New Roman"/>
          <w:color w:val="auto"/>
        </w:rPr>
        <w:t>设置防渗层，</w:t>
      </w:r>
      <w:r>
        <w:rPr>
          <w:rFonts w:ascii="Times New Roman" w:hAnsi="Times New Roman" w:eastAsia="宋体" w:cs="Times New Roman"/>
          <w:color w:val="auto"/>
          <w:lang w:val="zh-CN"/>
        </w:rPr>
        <w:t>采用高密度聚乙烯土工膜（HDPE）进行防渗，再在上层铺设10</w:t>
      </w:r>
      <w:r>
        <w:rPr>
          <w:rFonts w:hint="eastAsia" w:eastAsia="宋体" w:cs="Times New Roman"/>
          <w:color w:val="auto"/>
          <w:lang w:val="zh-CN"/>
        </w:rPr>
        <w:t>～</w:t>
      </w:r>
      <w:r>
        <w:rPr>
          <w:rFonts w:ascii="Times New Roman" w:hAnsi="Times New Roman" w:eastAsia="宋体" w:cs="Times New Roman"/>
          <w:color w:val="auto"/>
          <w:lang w:val="zh-CN"/>
        </w:rPr>
        <w:t>15cm的水泥进行硬化，等效黏土防渗层Mb≥6.0m，K≤1×10</w:t>
      </w:r>
      <w:r>
        <w:rPr>
          <w:rFonts w:hint="eastAsia" w:eastAsia="宋体" w:cs="Times New Roman"/>
          <w:color w:val="auto"/>
          <w:lang w:val="zh-CN"/>
        </w:rPr>
        <w:t>—</w:t>
      </w:r>
      <w:r>
        <w:rPr>
          <w:rFonts w:ascii="Times New Roman" w:hAnsi="Times New Roman" w:eastAsia="宋体" w:cs="Times New Roman"/>
          <w:color w:val="auto"/>
          <w:vertAlign w:val="superscript"/>
          <w:lang w:val="zh-CN"/>
        </w:rPr>
        <w:t>7</w:t>
      </w:r>
      <w:r>
        <w:rPr>
          <w:rFonts w:ascii="Times New Roman" w:hAnsi="Times New Roman" w:eastAsia="宋体" w:cs="Times New Roman"/>
          <w:color w:val="auto"/>
          <w:lang w:val="zh-CN"/>
        </w:rPr>
        <w:t>cm/s</w:t>
      </w:r>
      <w:r>
        <w:rPr>
          <w:rFonts w:ascii="Times New Roman" w:hAnsi="Times New Roman" w:eastAsia="宋体" w:cs="Times New Roman"/>
          <w:color w:val="auto"/>
        </w:rPr>
        <w:t>，顶部设防雨</w:t>
      </w:r>
      <w:r>
        <w:rPr>
          <w:rFonts w:hint="eastAsia" w:ascii="Times New Roman" w:hAnsi="Times New Roman" w:eastAsia="宋体" w:cs="Times New Roman"/>
          <w:color w:val="auto"/>
          <w:lang w:val="en-US" w:eastAsia="zh-CN"/>
        </w:rPr>
        <w:t>盖</w:t>
      </w:r>
      <w:r>
        <w:rPr>
          <w:rFonts w:ascii="Times New Roman" w:hAnsi="Times New Roman" w:eastAsia="宋体" w:cs="Times New Roman"/>
          <w:color w:val="auto"/>
        </w:rPr>
        <w:t>，防止雨水进入。</w:t>
      </w:r>
      <w:r>
        <w:rPr>
          <w:rFonts w:hint="eastAsia" w:ascii="Times New Roman" w:hAnsi="Times New Roman" w:eastAsia="宋体" w:cs="Times New Roman"/>
          <w:color w:val="auto"/>
          <w:lang w:val="en-US" w:eastAsia="zh-CN"/>
        </w:rPr>
        <w:t>粪污</w:t>
      </w:r>
      <w:r>
        <w:rPr>
          <w:rFonts w:hint="eastAsia" w:eastAsia="宋体" w:cs="Times New Roman"/>
          <w:color w:val="auto"/>
          <w:lang w:val="en-US" w:eastAsia="zh-CN"/>
        </w:rPr>
        <w:t>清理后</w:t>
      </w:r>
      <w:r>
        <w:rPr>
          <w:rFonts w:ascii="Times New Roman" w:hAnsi="Times New Roman" w:eastAsia="宋体" w:cs="Times New Roman"/>
          <w:color w:val="auto"/>
        </w:rPr>
        <w:t>拉运至</w:t>
      </w:r>
      <w:r>
        <w:rPr>
          <w:rFonts w:hint="eastAsia" w:ascii="Times New Roman" w:hAnsi="Times New Roman" w:eastAsia="宋体" w:cs="Times New Roman"/>
          <w:color w:val="auto"/>
          <w:lang w:val="en-US" w:eastAsia="zh-CN"/>
        </w:rPr>
        <w:t>63团3连粪污处理场</w:t>
      </w:r>
      <w:r>
        <w:rPr>
          <w:rFonts w:ascii="Times New Roman" w:hAnsi="Times New Roman" w:eastAsia="宋体" w:cs="Times New Roman"/>
          <w:color w:val="auto"/>
        </w:rPr>
        <w:t>外售</w:t>
      </w:r>
      <w:r>
        <w:rPr>
          <w:rFonts w:ascii="Times New Roman" w:hAnsi="Times New Roman" w:eastAsia="宋体" w:cs="Times New Roman"/>
          <w:color w:val="auto"/>
          <w:lang w:bidi="zh-CN"/>
        </w:rPr>
        <w:t>。</w:t>
      </w:r>
    </w:p>
    <w:p w14:paraId="0E2D5E38">
      <w:pPr>
        <w:ind w:firstLine="480"/>
        <w:rPr>
          <w:rFonts w:ascii="Times New Roman" w:hAnsi="Times New Roman" w:cs="Times New Roman"/>
          <w:color w:val="auto"/>
        </w:rPr>
      </w:pPr>
      <w:r>
        <w:rPr>
          <w:rFonts w:hint="eastAsia" w:ascii="Times New Roman" w:hAnsi="Times New Roman" w:cs="Times New Roman"/>
          <w:color w:val="auto"/>
          <w:lang w:val="en-US" w:bidi="zh-CN"/>
        </w:rPr>
        <w:t>化粪池</w:t>
      </w:r>
      <w:r>
        <w:rPr>
          <w:rFonts w:ascii="Times New Roman" w:hAnsi="Times New Roman" w:cs="Times New Roman"/>
          <w:color w:val="auto"/>
          <w:lang w:bidi="zh-CN"/>
        </w:rPr>
        <w:t>区定期喷洒除臭剂，可有效抑制收集过程中恶臭的产生，因此，在采取上述措施后，</w:t>
      </w:r>
      <w:r>
        <w:rPr>
          <w:rFonts w:hint="eastAsia" w:cs="Times New Roman"/>
          <w:color w:val="auto"/>
          <w:lang w:val="en-US" w:bidi="zh-CN"/>
        </w:rPr>
        <w:t>鸭舍污水收集池、废水处理设施及办公生活区</w:t>
      </w:r>
      <w:r>
        <w:rPr>
          <w:rFonts w:hint="eastAsia" w:ascii="Times New Roman" w:hAnsi="Times New Roman" w:cs="Times New Roman"/>
          <w:color w:val="auto"/>
          <w:lang w:val="en-US" w:bidi="zh-CN"/>
        </w:rPr>
        <w:t>化粪池区域</w:t>
      </w:r>
      <w:r>
        <w:rPr>
          <w:rFonts w:ascii="Times New Roman" w:hAnsi="Times New Roman" w:cs="Times New Roman"/>
          <w:color w:val="auto"/>
          <w:lang w:bidi="zh-CN"/>
        </w:rPr>
        <w:t>恶臭对区域环境空气的影响是可接受的。</w:t>
      </w:r>
    </w:p>
    <w:p w14:paraId="2EDB53AF">
      <w:pPr>
        <w:ind w:firstLine="480"/>
        <w:rPr>
          <w:rFonts w:ascii="Times New Roman" w:hAnsi="Times New Roman" w:cs="Times New Roman"/>
          <w:color w:val="auto"/>
        </w:rPr>
      </w:pPr>
      <w:bookmarkStart w:id="297" w:name="_Toc8261"/>
      <w:r>
        <w:rPr>
          <w:rFonts w:hint="eastAsia" w:cs="Times New Roman"/>
          <w:color w:val="auto"/>
          <w:lang w:val="en-US" w:eastAsia="zh-CN"/>
        </w:rPr>
        <w:t>3.生物质锅炉烟尘</w:t>
      </w:r>
      <w:r>
        <w:rPr>
          <w:rFonts w:ascii="Times New Roman" w:hAnsi="Times New Roman" w:cs="Times New Roman"/>
          <w:color w:val="auto"/>
        </w:rPr>
        <w:t>的防治措施</w:t>
      </w:r>
    </w:p>
    <w:p w14:paraId="02932E85">
      <w:pPr>
        <w:ind w:firstLine="480"/>
        <w:rPr>
          <w:rFonts w:hint="default" w:ascii="Times New Roman" w:hAnsi="Times New Roman" w:cs="Times New Roman"/>
          <w:color w:val="FF0000"/>
          <w:lang w:val="en-US" w:eastAsia="zh-CN" w:bidi="zh-CN"/>
        </w:rPr>
      </w:pPr>
      <w:r>
        <w:rPr>
          <w:rFonts w:hint="eastAsia" w:cs="Times New Roman"/>
          <w:color w:val="FF0000"/>
          <w:lang w:val="en-US" w:eastAsia="zh-CN" w:bidi="zh-CN"/>
        </w:rPr>
        <w:t>根据《国家产业政策调整指导目录》（2024），本项目使用生物质燃料锅炉，不得使用固定炉排式生物质锅炉，建议使用流化床锅炉等其他类型生物质锅炉。</w:t>
      </w:r>
    </w:p>
    <w:p w14:paraId="218A5774">
      <w:pPr>
        <w:ind w:firstLine="480"/>
        <w:rPr>
          <w:rFonts w:hint="default" w:cs="Times New Roman" w:eastAsiaTheme="minorEastAsia"/>
          <w:color w:val="auto"/>
          <w:lang w:val="en-US" w:eastAsia="zh-CN"/>
        </w:rPr>
      </w:pPr>
      <w:r>
        <w:rPr>
          <w:rFonts w:hint="eastAsia" w:ascii="Times New Roman" w:hAnsi="Times New Roman" w:cs="Times New Roman"/>
          <w:color w:val="auto"/>
          <w:lang w:val="en-US" w:eastAsia="zh-CN" w:bidi="zh-CN"/>
        </w:rPr>
        <w:t>本项目生物质锅炉烟气经碱式喷淋塔脱硫除尘脱</w:t>
      </w:r>
      <w:r>
        <w:rPr>
          <w:rFonts w:hint="eastAsia" w:cs="Times New Roman"/>
          <w:color w:val="auto"/>
          <w:lang w:val="en-US" w:eastAsia="zh-CN" w:bidi="zh-CN"/>
        </w:rPr>
        <w:t>硝</w:t>
      </w:r>
      <w:r>
        <w:rPr>
          <w:rFonts w:hint="eastAsia" w:ascii="Times New Roman" w:hAnsi="Times New Roman" w:cs="Times New Roman"/>
          <w:color w:val="auto"/>
          <w:lang w:val="en-US" w:eastAsia="zh-CN" w:bidi="zh-CN"/>
        </w:rPr>
        <w:t>后通过15m烟气排放筒DA001有组织排放，合理控制喷淋碱液</w:t>
      </w:r>
      <w:r>
        <w:rPr>
          <w:rFonts w:hint="eastAsia" w:cs="Times New Roman"/>
          <w:color w:val="auto"/>
          <w:lang w:val="en-US" w:eastAsia="zh-CN" w:bidi="zh-CN"/>
        </w:rPr>
        <w:t>pH值</w:t>
      </w:r>
      <w:r>
        <w:rPr>
          <w:rFonts w:hint="eastAsia" w:ascii="Times New Roman" w:hAnsi="Times New Roman" w:cs="Times New Roman"/>
          <w:color w:val="auto"/>
          <w:lang w:val="en-US" w:eastAsia="zh-CN" w:bidi="zh-CN"/>
        </w:rPr>
        <w:t>，及时清理沉淀污泥，确保正常运行</w:t>
      </w:r>
      <w:r>
        <w:rPr>
          <w:rFonts w:ascii="Times New Roman" w:hAnsi="Times New Roman" w:cs="Times New Roman"/>
          <w:color w:val="auto"/>
          <w:lang w:bidi="zh-CN"/>
        </w:rPr>
        <w:t>。</w:t>
      </w:r>
      <w:r>
        <w:rPr>
          <w:rFonts w:hint="eastAsia" w:ascii="Times New Roman" w:hAnsi="Times New Roman" w:cs="Times New Roman"/>
          <w:color w:val="auto"/>
          <w:lang w:val="en-US" w:eastAsia="zh-CN" w:bidi="zh-CN"/>
        </w:rPr>
        <w:t>根据大气环境影响预测分析，颗粒物（PM10）排放速率0.015kg/h，排放浓度1.5mg/m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；SO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排放速率0.019kg/h，排放浓度1.89mg/m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；NO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排放速率0.071kg/h，排放浓度7.08mg/m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，满足《锅炉大气污染物排放标准》（GB13271-2014）表2燃气锅炉大气污染物特别排放限值（颗粒物：20mg/m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、SO2</w:t>
      </w:r>
      <w:r>
        <w:rPr>
          <w:rFonts w:hint="eastAsia" w:cs="Times New Roman"/>
          <w:color w:val="auto"/>
          <w:lang w:val="en-US" w:eastAsia="zh-CN" w:bidi="zh-CN"/>
        </w:rPr>
        <w:t>:</w:t>
      </w:r>
      <w:r>
        <w:rPr>
          <w:rFonts w:hint="eastAsia" w:ascii="Times New Roman" w:hAnsi="Times New Roman" w:cs="Times New Roman"/>
          <w:color w:val="auto"/>
          <w:lang w:val="en-US" w:eastAsia="zh-CN" w:bidi="zh-CN"/>
        </w:rPr>
        <w:t>50mg/m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、NO</w:t>
      </w:r>
      <w:r>
        <w:rPr>
          <w:rFonts w:hint="eastAsia" w:cs="Times New Roman"/>
          <w:color w:val="auto"/>
          <w:vertAlign w:val="subscript"/>
          <w:lang w:val="en-US" w:eastAsia="zh-CN" w:bidi="zh-CN"/>
        </w:rPr>
        <w:t>2:</w:t>
      </w:r>
      <w:r>
        <w:rPr>
          <w:rFonts w:hint="eastAsia" w:ascii="Times New Roman" w:hAnsi="Times New Roman" w:cs="Times New Roman"/>
          <w:color w:val="auto"/>
          <w:lang w:val="en-US" w:eastAsia="zh-CN" w:bidi="zh-CN"/>
        </w:rPr>
        <w:t>200mg/m</w:t>
      </w:r>
      <w:r>
        <w:rPr>
          <w:rFonts w:hint="eastAsia" w:ascii="Times New Roman" w:hAnsi="Times New Roman" w:cs="Times New Roman"/>
          <w:color w:val="auto"/>
          <w:vertAlign w:val="superscript"/>
          <w:lang w:val="en-US" w:eastAsia="zh-CN" w:bidi="zh-CN"/>
        </w:rPr>
        <w:t>3</w:t>
      </w:r>
      <w:r>
        <w:rPr>
          <w:rFonts w:hint="eastAsia" w:ascii="Times New Roman" w:hAnsi="Times New Roman" w:cs="Times New Roman"/>
          <w:color w:val="auto"/>
          <w:lang w:val="en-US" w:eastAsia="zh-CN" w:bidi="zh-CN"/>
        </w:rPr>
        <w:t>、烟气黑度≤1）。根据arescreen模型预测结果，颗粒物（PM</w:t>
      </w:r>
      <w:r>
        <w:rPr>
          <w:rFonts w:hint="eastAsia" w:ascii="Times New Roman" w:hAnsi="Times New Roman" w:cs="Times New Roman"/>
          <w:color w:val="auto"/>
          <w:vertAlign w:val="subscript"/>
          <w:lang w:val="en-US" w:eastAsia="zh-CN" w:bidi="zh-CN"/>
        </w:rPr>
        <w:t>10</w:t>
      </w:r>
      <w:r>
        <w:rPr>
          <w:rFonts w:hint="eastAsia" w:ascii="Times New Roman" w:hAnsi="Times New Roman" w:cs="Times New Roman"/>
          <w:color w:val="auto"/>
          <w:lang w:val="en-US" w:eastAsia="zh-CN" w:bidi="zh-CN"/>
        </w:rPr>
        <w:t>）最大落地浓度1.66</w:t>
      </w:r>
      <w:r>
        <w:rPr>
          <w:rFonts w:ascii="Times New Roman" w:hAnsi="Times New Roman" w:cs="Times New Roman"/>
          <w:color w:val="auto"/>
          <w:lang w:bidi="zh-CN"/>
        </w:rPr>
        <w:t>μg/m</w:t>
      </w:r>
      <w:r>
        <w:rPr>
          <w:rFonts w:ascii="Times New Roman" w:hAnsi="Times New Roman" w:cs="Times New Roman"/>
          <w:color w:val="auto"/>
          <w:vertAlign w:val="superscript"/>
          <w:lang w:bidi="zh-CN"/>
        </w:rPr>
        <w:t>3</w:t>
      </w:r>
      <w:r>
        <w:rPr>
          <w:rFonts w:ascii="Times New Roman" w:hAnsi="Times New Roman" w:cs="Times New Roman"/>
          <w:color w:val="auto"/>
          <w:lang w:bidi="zh-CN"/>
        </w:rPr>
        <w:t>，</w:t>
      </w:r>
      <w:r>
        <w:rPr>
          <w:rFonts w:hint="eastAsia" w:ascii="Times New Roman" w:hAnsi="Times New Roman" w:cs="Times New Roman"/>
          <w:color w:val="auto"/>
          <w:lang w:val="en-US" w:eastAsia="zh-CN" w:bidi="zh-CN"/>
        </w:rPr>
        <w:t>最大占标率0.4611%；SO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最大落地浓度为2.1028</w:t>
      </w:r>
      <w:r>
        <w:rPr>
          <w:rFonts w:ascii="Times New Roman" w:hAnsi="Times New Roman" w:cs="Times New Roman"/>
          <w:color w:val="auto"/>
          <w:lang w:bidi="zh-CN"/>
        </w:rPr>
        <w:t>μg/m</w:t>
      </w:r>
      <w:r>
        <w:rPr>
          <w:rFonts w:ascii="Times New Roman" w:hAnsi="Times New Roman" w:cs="Times New Roman"/>
          <w:color w:val="auto"/>
          <w:vertAlign w:val="superscript"/>
          <w:lang w:bidi="zh-CN"/>
        </w:rPr>
        <w:t>3</w:t>
      </w:r>
      <w:r>
        <w:rPr>
          <w:rFonts w:ascii="Times New Roman" w:hAnsi="Times New Roman" w:cs="Times New Roman"/>
          <w:color w:val="auto"/>
          <w:lang w:bidi="zh-CN"/>
        </w:rPr>
        <w:t>，最大浓度占标率为</w:t>
      </w:r>
      <w:r>
        <w:rPr>
          <w:rFonts w:hint="eastAsia" w:ascii="Times New Roman" w:hAnsi="Times New Roman" w:cs="Times New Roman"/>
          <w:color w:val="auto"/>
          <w:lang w:val="en-US" w:eastAsia="zh-CN" w:bidi="zh-CN"/>
        </w:rPr>
        <w:t>0.4206</w:t>
      </w:r>
      <w:r>
        <w:rPr>
          <w:rFonts w:ascii="Times New Roman" w:hAnsi="Times New Roman" w:cs="Times New Roman"/>
          <w:color w:val="auto"/>
          <w:lang w:bidi="zh-CN"/>
        </w:rPr>
        <w:t>%</w:t>
      </w:r>
      <w:r>
        <w:rPr>
          <w:rFonts w:hint="eastAsia" w:ascii="Times New Roman" w:hAnsi="Times New Roman" w:cs="Times New Roman"/>
          <w:color w:val="auto"/>
          <w:lang w:eastAsia="zh-CN" w:bidi="zh-CN"/>
        </w:rPr>
        <w:t>；</w:t>
      </w:r>
      <w:r>
        <w:rPr>
          <w:rFonts w:hint="eastAsia" w:ascii="Times New Roman" w:hAnsi="Times New Roman" w:cs="Times New Roman"/>
          <w:color w:val="auto"/>
          <w:lang w:val="en-US" w:eastAsia="zh-CN" w:bidi="zh-CN"/>
        </w:rPr>
        <w:t>NO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最大落地浓度为7.8578</w:t>
      </w:r>
      <w:r>
        <w:rPr>
          <w:rFonts w:ascii="Times New Roman" w:hAnsi="Times New Roman" w:cs="Times New Roman"/>
          <w:color w:val="auto"/>
          <w:lang w:bidi="zh-CN"/>
        </w:rPr>
        <w:t>μg/m</w:t>
      </w:r>
      <w:r>
        <w:rPr>
          <w:rFonts w:ascii="Times New Roman" w:hAnsi="Times New Roman" w:cs="Times New Roman"/>
          <w:color w:val="auto"/>
          <w:vertAlign w:val="superscript"/>
          <w:lang w:bidi="zh-CN"/>
        </w:rPr>
        <w:t>3</w:t>
      </w:r>
      <w:r>
        <w:rPr>
          <w:rFonts w:ascii="Times New Roman" w:hAnsi="Times New Roman" w:cs="Times New Roman"/>
          <w:color w:val="auto"/>
          <w:lang w:bidi="zh-CN"/>
        </w:rPr>
        <w:t>，最大浓度占标率为</w:t>
      </w:r>
      <w:r>
        <w:rPr>
          <w:rFonts w:hint="eastAsia" w:ascii="Times New Roman" w:hAnsi="Times New Roman" w:cs="Times New Roman"/>
          <w:color w:val="auto"/>
          <w:lang w:val="en-US" w:eastAsia="zh-CN" w:bidi="zh-CN"/>
        </w:rPr>
        <w:t>3.9289</w:t>
      </w:r>
      <w:r>
        <w:rPr>
          <w:rFonts w:ascii="Times New Roman" w:hAnsi="Times New Roman" w:cs="Times New Roman"/>
          <w:color w:val="auto"/>
          <w:lang w:bidi="zh-CN"/>
        </w:rPr>
        <w:t>%</w:t>
      </w:r>
      <w:r>
        <w:rPr>
          <w:rFonts w:hint="eastAsia" w:ascii="Times New Roman" w:hAnsi="Times New Roman" w:cs="Times New Roman"/>
          <w:color w:val="auto"/>
          <w:lang w:eastAsia="zh-CN" w:bidi="zh-CN"/>
        </w:rPr>
        <w:t>，</w:t>
      </w:r>
      <w:r>
        <w:rPr>
          <w:rFonts w:hint="eastAsia" w:ascii="Times New Roman" w:hAnsi="Times New Roman" w:cs="Times New Roman"/>
          <w:color w:val="auto"/>
          <w:lang w:val="en-US" w:eastAsia="zh-CN" w:bidi="zh-CN"/>
        </w:rPr>
        <w:t>最大浓度点出现在下方向154m，满足《环境空气质量标准》</w:t>
      </w:r>
      <w:r>
        <w:rPr>
          <w:rFonts w:hint="eastAsia" w:cs="Times New Roman"/>
          <w:color w:val="auto"/>
          <w:lang w:val="en-US" w:eastAsia="zh-CN" w:bidi="zh-CN"/>
        </w:rPr>
        <w:t>（</w:t>
      </w:r>
      <w:r>
        <w:rPr>
          <w:rFonts w:hint="eastAsia" w:ascii="Times New Roman" w:hAnsi="Times New Roman" w:cs="Times New Roman"/>
          <w:color w:val="auto"/>
          <w:lang w:val="en-US" w:eastAsia="zh-CN" w:bidi="zh-CN"/>
        </w:rPr>
        <w:t>GB 3095-2026</w:t>
      </w:r>
      <w:r>
        <w:rPr>
          <w:rFonts w:hint="eastAsia" w:cs="Times New Roman"/>
          <w:color w:val="auto"/>
          <w:lang w:val="en-US" w:eastAsia="zh-CN" w:bidi="zh-CN"/>
        </w:rPr>
        <w:t>）</w:t>
      </w:r>
      <w:r>
        <w:rPr>
          <w:rFonts w:hint="eastAsia" w:ascii="Times New Roman" w:hAnsi="Times New Roman" w:cs="Times New Roman"/>
          <w:color w:val="auto"/>
          <w:lang w:val="en-US" w:eastAsia="zh-CN" w:bidi="zh-CN"/>
        </w:rPr>
        <w:t>过渡期二级标准限制（PM</w:t>
      </w:r>
      <w:r>
        <w:rPr>
          <w:rFonts w:hint="eastAsia" w:ascii="Times New Roman" w:hAnsi="Times New Roman" w:cs="Times New Roman"/>
          <w:color w:val="auto"/>
          <w:vertAlign w:val="subscript"/>
          <w:lang w:val="en-US" w:eastAsia="zh-CN" w:bidi="zh-CN"/>
        </w:rPr>
        <w:t>10</w:t>
      </w:r>
      <w:r>
        <w:rPr>
          <w:rFonts w:hint="eastAsia" w:ascii="Times New Roman" w:hAnsi="Times New Roman" w:cs="Times New Roman"/>
          <w:color w:val="auto"/>
          <w:lang w:val="en-US" w:eastAsia="zh-CN" w:bidi="zh-CN"/>
        </w:rPr>
        <w:t>日均值：120</w:t>
      </w:r>
      <w:r>
        <w:rPr>
          <w:rFonts w:ascii="Times New Roman" w:hAnsi="Times New Roman" w:cs="Times New Roman"/>
          <w:color w:val="auto"/>
          <w:lang w:bidi="zh-CN"/>
        </w:rPr>
        <w:t>μg/m</w:t>
      </w:r>
      <w:r>
        <w:rPr>
          <w:rFonts w:ascii="Times New Roman" w:hAnsi="Times New Roman" w:cs="Times New Roman"/>
          <w:color w:val="auto"/>
          <w:vertAlign w:val="superscript"/>
          <w:lang w:bidi="zh-CN"/>
        </w:rPr>
        <w:t>3</w:t>
      </w:r>
      <w:r>
        <w:rPr>
          <w:rFonts w:ascii="Times New Roman" w:hAnsi="Times New Roman" w:cs="Times New Roman"/>
          <w:color w:val="auto"/>
          <w:lang w:bidi="zh-CN"/>
        </w:rPr>
        <w:t>，</w:t>
      </w:r>
      <w:r>
        <w:rPr>
          <w:rFonts w:hint="eastAsia" w:ascii="Times New Roman" w:hAnsi="Times New Roman" w:cs="Times New Roman"/>
          <w:color w:val="auto"/>
          <w:lang w:val="en-US" w:eastAsia="zh-CN" w:bidi="zh-CN"/>
        </w:rPr>
        <w:t>SO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：小时值500</w:t>
      </w:r>
      <w:r>
        <w:rPr>
          <w:rFonts w:ascii="Times New Roman" w:hAnsi="Times New Roman" w:cs="Times New Roman"/>
          <w:color w:val="auto"/>
          <w:lang w:bidi="zh-CN"/>
        </w:rPr>
        <w:t>μg/m</w:t>
      </w:r>
      <w:r>
        <w:rPr>
          <w:rFonts w:ascii="Times New Roman" w:hAnsi="Times New Roman" w:cs="Times New Roman"/>
          <w:color w:val="auto"/>
          <w:vertAlign w:val="superscript"/>
          <w:lang w:bidi="zh-CN"/>
        </w:rPr>
        <w:t>3</w:t>
      </w:r>
      <w:r>
        <w:rPr>
          <w:rFonts w:hint="eastAsia" w:ascii="Times New Roman" w:hAnsi="Times New Roman" w:cs="Times New Roman"/>
          <w:color w:val="auto"/>
          <w:lang w:val="en-US" w:eastAsia="zh-CN" w:bidi="zh-CN"/>
        </w:rPr>
        <w:t>，NO</w:t>
      </w:r>
      <w:r>
        <w:rPr>
          <w:rFonts w:hint="eastAsia" w:ascii="Times New Roman" w:hAnsi="Times New Roman" w:cs="Times New Roman"/>
          <w:color w:val="auto"/>
          <w:vertAlign w:val="subscript"/>
          <w:lang w:val="en-US" w:eastAsia="zh-CN" w:bidi="zh-CN"/>
        </w:rPr>
        <w:t>2</w:t>
      </w:r>
      <w:r>
        <w:rPr>
          <w:rFonts w:hint="eastAsia" w:ascii="Times New Roman" w:hAnsi="Times New Roman" w:cs="Times New Roman"/>
          <w:color w:val="auto"/>
          <w:lang w:val="en-US" w:eastAsia="zh-CN" w:bidi="zh-CN"/>
        </w:rPr>
        <w:t>：小时值200</w:t>
      </w:r>
      <w:r>
        <w:rPr>
          <w:rFonts w:ascii="Times New Roman" w:hAnsi="Times New Roman" w:cs="Times New Roman"/>
          <w:color w:val="auto"/>
          <w:lang w:bidi="zh-CN"/>
        </w:rPr>
        <w:t>μg/m</w:t>
      </w:r>
      <w:r>
        <w:rPr>
          <w:rFonts w:ascii="Times New Roman" w:hAnsi="Times New Roman" w:cs="Times New Roman"/>
          <w:color w:val="auto"/>
          <w:vertAlign w:val="superscript"/>
          <w:lang w:bidi="zh-CN"/>
        </w:rPr>
        <w:t>3</w:t>
      </w:r>
      <w:r>
        <w:rPr>
          <w:rFonts w:hint="eastAsia" w:ascii="Times New Roman" w:hAnsi="Times New Roman" w:cs="Times New Roman"/>
          <w:color w:val="auto"/>
          <w:lang w:val="en-US" w:eastAsia="zh-CN" w:bidi="zh-CN"/>
        </w:rPr>
        <w:t>），占标率均不足10%，项目</w:t>
      </w:r>
      <w:r>
        <w:rPr>
          <w:rFonts w:ascii="Times New Roman" w:hAnsi="Times New Roman" w:cs="Times New Roman"/>
          <w:color w:val="auto"/>
          <w:lang w:bidi="zh-CN"/>
        </w:rPr>
        <w:t>实施后对区域大气环境质量影响</w:t>
      </w:r>
      <w:r>
        <w:rPr>
          <w:rFonts w:hint="eastAsia" w:ascii="Times New Roman" w:hAnsi="Times New Roman" w:cs="Times New Roman"/>
          <w:color w:val="auto"/>
          <w:lang w:val="en-US" w:eastAsia="zh-CN" w:bidi="zh-CN"/>
        </w:rPr>
        <w:t>较小</w:t>
      </w:r>
      <w:r>
        <w:rPr>
          <w:rFonts w:hint="eastAsia" w:cs="Times New Roman"/>
          <w:color w:val="auto"/>
          <w:lang w:val="en-US" w:eastAsia="zh-CN" w:bidi="zh-CN"/>
        </w:rPr>
        <w:t>，措施可行</w:t>
      </w:r>
      <w:r>
        <w:rPr>
          <w:rFonts w:ascii="Times New Roman" w:hAnsi="Times New Roman" w:cs="Times New Roman"/>
          <w:color w:val="auto"/>
          <w:lang w:bidi="zh-CN"/>
        </w:rPr>
        <w:t>。</w:t>
      </w:r>
    </w:p>
    <w:p w14:paraId="49CD0400">
      <w:pPr>
        <w:ind w:firstLine="480"/>
        <w:rPr>
          <w:rFonts w:ascii="Times New Roman" w:hAnsi="Times New Roman" w:cs="Times New Roman"/>
          <w:color w:val="auto"/>
        </w:rPr>
      </w:pPr>
      <w:r>
        <w:rPr>
          <w:rFonts w:hint="eastAsia" w:cs="Times New Roman"/>
          <w:color w:val="auto"/>
          <w:lang w:val="en-US" w:eastAsia="zh-CN"/>
        </w:rPr>
        <w:t>4.</w:t>
      </w:r>
      <w:r>
        <w:rPr>
          <w:rFonts w:ascii="Times New Roman" w:hAnsi="Times New Roman" w:cs="Times New Roman"/>
          <w:color w:val="auto"/>
        </w:rPr>
        <w:t>饲料</w:t>
      </w:r>
      <w:r>
        <w:rPr>
          <w:rFonts w:hint="eastAsia" w:ascii="Times New Roman" w:hAnsi="Times New Roman" w:cs="Times New Roman"/>
          <w:color w:val="auto"/>
          <w:lang w:val="en-US" w:eastAsia="zh-CN"/>
        </w:rPr>
        <w:t>混合</w:t>
      </w:r>
      <w:r>
        <w:rPr>
          <w:rFonts w:ascii="Times New Roman" w:hAnsi="Times New Roman" w:cs="Times New Roman"/>
          <w:color w:val="auto"/>
        </w:rPr>
        <w:t>粉尘的防治措施</w:t>
      </w:r>
      <w:bookmarkEnd w:id="297"/>
    </w:p>
    <w:p w14:paraId="70FB0FA0">
      <w:pPr>
        <w:ind w:firstLine="480"/>
        <w:rPr>
          <w:rFonts w:ascii="Times New Roman" w:hAnsi="Times New Roman" w:cs="Times New Roman"/>
          <w:color w:val="auto"/>
        </w:rPr>
      </w:pPr>
      <w:r>
        <w:rPr>
          <w:rFonts w:ascii="Times New Roman" w:hAnsi="Times New Roman" w:cs="Times New Roman"/>
          <w:color w:val="auto"/>
        </w:rPr>
        <w:t>本项目所需饲料为外购料，场区内不进行精饲料的加工。</w:t>
      </w:r>
      <w:r>
        <w:rPr>
          <w:rFonts w:hint="eastAsia" w:ascii="Times New Roman" w:hAnsi="Times New Roman" w:eastAsia="宋体" w:cs="宋体"/>
          <w:color w:val="000000"/>
          <w:kern w:val="0"/>
          <w:sz w:val="24"/>
          <w:szCs w:val="24"/>
          <w:lang w:val="en-US" w:eastAsia="zh-CN" w:bidi="ar"/>
        </w:rPr>
        <w:t>饲料在饲料装卸、储运和使用过程中会产生少量粉尘</w:t>
      </w:r>
      <w:r>
        <w:rPr>
          <w:rFonts w:ascii="Times New Roman" w:hAnsi="Times New Roman" w:cs="Times New Roman"/>
          <w:color w:val="auto"/>
        </w:rPr>
        <w:t>，</w:t>
      </w:r>
      <w:r>
        <w:rPr>
          <w:rFonts w:hint="eastAsia" w:ascii="Times New Roman" w:hAnsi="Times New Roman" w:eastAsia="宋体" w:cs="宋体"/>
          <w:color w:val="000000"/>
          <w:kern w:val="0"/>
          <w:sz w:val="24"/>
          <w:szCs w:val="24"/>
          <w:lang w:val="en-US" w:eastAsia="zh-CN" w:bidi="ar"/>
        </w:rPr>
        <w:t>饲料运至场区后卸载</w:t>
      </w:r>
      <w:r>
        <w:rPr>
          <w:rFonts w:hint="eastAsia" w:eastAsia="宋体" w:cs="宋体"/>
          <w:color w:val="000000"/>
          <w:kern w:val="0"/>
          <w:sz w:val="24"/>
          <w:szCs w:val="24"/>
          <w:lang w:val="en-US" w:eastAsia="zh-CN" w:bidi="ar"/>
        </w:rPr>
        <w:t>储存</w:t>
      </w:r>
      <w:r>
        <w:rPr>
          <w:rFonts w:hint="eastAsia" w:ascii="Times New Roman" w:hAnsi="Times New Roman" w:eastAsia="宋体" w:cs="宋体"/>
          <w:color w:val="000000"/>
          <w:kern w:val="0"/>
          <w:sz w:val="24"/>
          <w:szCs w:val="24"/>
          <w:lang w:val="en-US" w:eastAsia="zh-CN" w:bidi="ar"/>
        </w:rPr>
        <w:t>在饲料塔内，喂料时使用料塔自动上料，产生的粉尘量</w:t>
      </w:r>
      <w:r>
        <w:rPr>
          <w:rFonts w:ascii="Times New Roman" w:hAnsi="Times New Roman" w:cs="Times New Roman"/>
          <w:color w:val="auto"/>
        </w:rPr>
        <w:t>及逸散量很小，不会对周围环境空气质量造成明显不良影响。</w:t>
      </w:r>
    </w:p>
    <w:p w14:paraId="2858C782">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lang w:val="en-US" w:eastAsia="zh-CN"/>
        </w:rPr>
      </w:pPr>
      <w:r>
        <w:rPr>
          <w:rFonts w:hint="eastAsia"/>
          <w:lang w:val="en-US" w:eastAsia="zh-CN"/>
        </w:rPr>
        <w:t>5.</w:t>
      </w:r>
      <w:r>
        <w:rPr>
          <w:rFonts w:hint="eastAsia" w:ascii="Times New Roman" w:hAnsi="Times New Roman"/>
          <w:lang w:val="en-US" w:eastAsia="zh-CN"/>
        </w:rPr>
        <w:t>食堂油烟</w:t>
      </w:r>
    </w:p>
    <w:p w14:paraId="06C6CDCC">
      <w:pPr>
        <w:pStyle w:val="13"/>
        <w:keepNext w:val="0"/>
        <w:keepLines w:val="0"/>
        <w:pageBreakBefore w:val="0"/>
        <w:kinsoku/>
        <w:wordWrap/>
        <w:overflowPunct/>
        <w:topLinePunct w:val="0"/>
        <w:autoSpaceDE/>
        <w:autoSpaceDN/>
        <w:bidi w:val="0"/>
        <w:adjustRightInd/>
        <w:snapToGrid/>
        <w:spacing w:after="0"/>
        <w:textAlignment w:val="auto"/>
        <w:rPr>
          <w:rFonts w:hint="default" w:ascii="Times New Roman" w:hAnsi="Times New Roman" w:cs="Times New Roman"/>
          <w:color w:val="auto"/>
          <w:lang w:val="en-US" w:eastAsia="zh-CN" w:bidi="zh-CN"/>
        </w:rPr>
      </w:pPr>
      <w:r>
        <w:rPr>
          <w:rFonts w:hint="eastAsia" w:ascii="Times New Roman" w:hAnsi="Times New Roman" w:eastAsia="宋体" w:cs="宋体"/>
          <w:color w:val="000000"/>
          <w:kern w:val="0"/>
          <w:sz w:val="24"/>
          <w:szCs w:val="24"/>
          <w:lang w:val="en-US" w:eastAsia="zh-CN" w:bidi="ar"/>
        </w:rPr>
        <w:t>本项目员工人数为</w:t>
      </w:r>
      <w:r>
        <w:rPr>
          <w:rFonts w:hint="eastAsia" w:eastAsia="宋体" w:cs="Times New Roman"/>
          <w:color w:val="000000"/>
          <w:kern w:val="0"/>
          <w:sz w:val="24"/>
          <w:szCs w:val="24"/>
          <w:lang w:val="en-US" w:eastAsia="zh-CN" w:bidi="ar"/>
        </w:rPr>
        <w:t>25</w:t>
      </w:r>
      <w:r>
        <w:rPr>
          <w:rFonts w:hint="eastAsia" w:ascii="Times New Roman" w:hAnsi="Times New Roman" w:eastAsia="宋体" w:cs="宋体"/>
          <w:color w:val="000000"/>
          <w:kern w:val="0"/>
          <w:sz w:val="24"/>
          <w:szCs w:val="24"/>
          <w:lang w:val="en-US" w:eastAsia="zh-CN" w:bidi="ar"/>
        </w:rPr>
        <w:t>人，根据计算油烟产生量约</w:t>
      </w:r>
      <w:r>
        <w:rPr>
          <w:rFonts w:hint="eastAsia" w:eastAsia="宋体" w:cs="Times New Roman"/>
          <w:color w:val="000000" w:themeColor="text1"/>
          <w:kern w:val="0"/>
          <w:sz w:val="24"/>
          <w:szCs w:val="24"/>
          <w:lang w:val="en-US" w:eastAsia="zh-CN" w:bidi="ar"/>
          <w14:textFill>
            <w14:solidFill>
              <w14:schemeClr w14:val="tx1"/>
            </w14:solidFill>
          </w14:textFill>
        </w:rPr>
        <w:t>8.213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w:t>
      </w:r>
      <w:r>
        <w:rPr>
          <w:rFonts w:hint="eastAsia" w:ascii="Times New Roman" w:hAnsi="Times New Roman" w:eastAsia="宋体" w:cs="宋体"/>
          <w:color w:val="000000"/>
          <w:kern w:val="0"/>
          <w:sz w:val="24"/>
          <w:szCs w:val="24"/>
          <w:lang w:val="en-US" w:eastAsia="zh-CN" w:bidi="ar"/>
        </w:rPr>
        <w:t>，经一套静电除油烟机对厨房油烟进行净化处置后经</w:t>
      </w:r>
      <w:r>
        <w:rPr>
          <w:rFonts w:hint="eastAsia" w:ascii="Times New Roman" w:hAnsi="Times New Roman" w:eastAsia="宋体" w:cs="Times New Roman"/>
          <w:color w:val="000000"/>
          <w:kern w:val="0"/>
          <w:sz w:val="24"/>
          <w:szCs w:val="24"/>
          <w:lang w:val="en-US" w:eastAsia="zh-CN" w:bidi="ar"/>
        </w:rPr>
        <w:t>专用烟道引至</w:t>
      </w:r>
      <w:r>
        <w:rPr>
          <w:rFonts w:hint="eastAsia" w:ascii="Times New Roman" w:hAnsi="Times New Roman" w:eastAsia="宋体" w:cs="宋体"/>
          <w:color w:val="000000"/>
          <w:kern w:val="0"/>
          <w:sz w:val="24"/>
          <w:szCs w:val="24"/>
          <w:lang w:val="en-US" w:eastAsia="zh-CN" w:bidi="ar"/>
        </w:rPr>
        <w:t>楼顶排放，净化效率</w:t>
      </w:r>
      <w:r>
        <w:rPr>
          <w:rFonts w:hint="default" w:ascii="Times New Roman" w:hAnsi="Times New Roman" w:eastAsia="宋体" w:cs="Times New Roman"/>
          <w:color w:val="000000"/>
          <w:kern w:val="0"/>
          <w:sz w:val="24"/>
          <w:szCs w:val="24"/>
          <w:lang w:val="en-US" w:eastAsia="zh-CN" w:bidi="ar"/>
        </w:rPr>
        <w:t>60%</w:t>
      </w:r>
      <w:r>
        <w:rPr>
          <w:rFonts w:hint="eastAsia" w:ascii="Times New Roman" w:hAnsi="Times New Roman" w:eastAsia="宋体" w:cs="宋体"/>
          <w:color w:val="000000"/>
          <w:kern w:val="0"/>
          <w:sz w:val="24"/>
          <w:szCs w:val="24"/>
          <w:lang w:val="en-US" w:eastAsia="zh-CN" w:bidi="ar"/>
        </w:rPr>
        <w:t>，则油烟排放量约</w:t>
      </w:r>
      <w:r>
        <w:rPr>
          <w:rFonts w:hint="eastAsia"/>
          <w:color w:val="000000" w:themeColor="text1"/>
          <w:lang w:val="en-US" w:eastAsia="zh-CN"/>
          <w14:textFill>
            <w14:solidFill>
              <w14:schemeClr w14:val="tx1"/>
            </w14:solidFill>
          </w14:textFill>
        </w:rPr>
        <w:t>3.285</w:t>
      </w:r>
      <w:r>
        <w:rPr>
          <w:rFonts w:hint="eastAsia" w:ascii="Times New Roman" w:hAnsi="Times New Roman"/>
          <w:color w:val="000000" w:themeColor="text1"/>
          <w:lang w:val="en-US" w:eastAsia="zh-CN"/>
          <w14:textFill>
            <w14:solidFill>
              <w14:schemeClr w14:val="tx1"/>
            </w14:solidFill>
          </w14:textFill>
        </w:rPr>
        <w:t>kg/</w:t>
      </w:r>
      <w:r>
        <w:rPr>
          <w:rFonts w:hint="eastAsia"/>
          <w:color w:val="000000" w:themeColor="text1"/>
          <w:lang w:val="en-US" w:eastAsia="zh-CN"/>
          <w14:textFill>
            <w14:solidFill>
              <w14:schemeClr w14:val="tx1"/>
            </w14:solidFill>
          </w14:textFill>
        </w:rPr>
        <w:t>a</w:t>
      </w:r>
      <w:r>
        <w:rPr>
          <w:rFonts w:hint="eastAsia" w:ascii="Times New Roman" w:hAnsi="Times New Roman" w:eastAsia="宋体" w:cs="宋体"/>
          <w:color w:val="000000"/>
          <w:kern w:val="0"/>
          <w:sz w:val="24"/>
          <w:szCs w:val="24"/>
          <w:lang w:val="en-US" w:eastAsia="zh-CN" w:bidi="ar"/>
        </w:rPr>
        <w:t>。油烟排放浓度约</w:t>
      </w:r>
      <w:r>
        <w:rPr>
          <w:rFonts w:hint="eastAsia" w:eastAsia="宋体" w:cs="Times New Roman"/>
          <w:color w:val="000000"/>
          <w:kern w:val="0"/>
          <w:sz w:val="24"/>
          <w:szCs w:val="24"/>
          <w:lang w:val="en-US" w:eastAsia="zh-CN" w:bidi="ar"/>
        </w:rPr>
        <w:t>0.9</w:t>
      </w:r>
      <w:r>
        <w:rPr>
          <w:rFonts w:hint="default" w:ascii="Times New Roman" w:hAnsi="Times New Roman" w:eastAsia="宋体" w:cs="Times New Roman"/>
          <w:color w:val="000000"/>
          <w:kern w:val="0"/>
          <w:sz w:val="24"/>
          <w:szCs w:val="24"/>
          <w:lang w:val="en-US" w:eastAsia="zh-CN" w:bidi="ar"/>
        </w:rPr>
        <w:t>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宋体"/>
          <w:color w:val="000000"/>
          <w:kern w:val="0"/>
          <w:sz w:val="24"/>
          <w:szCs w:val="24"/>
          <w:lang w:val="en-US" w:eastAsia="zh-CN" w:bidi="ar"/>
        </w:rPr>
        <w:t>，可以达到《饮食业油烟排放标准（试行）》（</w:t>
      </w:r>
      <w:r>
        <w:rPr>
          <w:rFonts w:hint="default" w:ascii="Times New Roman" w:hAnsi="Times New Roman" w:eastAsia="宋体" w:cs="Times New Roman"/>
          <w:color w:val="000000"/>
          <w:kern w:val="0"/>
          <w:sz w:val="24"/>
          <w:szCs w:val="24"/>
          <w:lang w:val="en-US" w:eastAsia="zh-CN" w:bidi="ar"/>
        </w:rPr>
        <w:t>GB18483-2001</w:t>
      </w:r>
      <w:r>
        <w:rPr>
          <w:rFonts w:hint="eastAsia" w:ascii="Times New Roman" w:hAnsi="Times New Roman" w:eastAsia="宋体" w:cs="宋体"/>
          <w:color w:val="000000"/>
          <w:kern w:val="0"/>
          <w:sz w:val="24"/>
          <w:szCs w:val="24"/>
          <w:lang w:val="en-US" w:eastAsia="zh-CN" w:bidi="ar"/>
        </w:rPr>
        <w:t>）小型标准（油烟排放浓度≤</w:t>
      </w:r>
      <w:r>
        <w:rPr>
          <w:rFonts w:hint="default" w:ascii="Times New Roman" w:hAnsi="Times New Roman" w:eastAsia="宋体" w:cs="Times New Roman"/>
          <w:color w:val="000000"/>
          <w:kern w:val="0"/>
          <w:sz w:val="24"/>
          <w:szCs w:val="24"/>
          <w:lang w:val="en-US" w:eastAsia="zh-CN" w:bidi="ar"/>
        </w:rPr>
        <w:t>2.0mg/m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宋体"/>
          <w:color w:val="000000"/>
          <w:kern w:val="0"/>
          <w:sz w:val="24"/>
          <w:szCs w:val="24"/>
          <w:lang w:val="en-US" w:eastAsia="zh-CN" w:bidi="ar"/>
        </w:rPr>
        <w:t>），对周围环境影响不大。</w:t>
      </w:r>
    </w:p>
    <w:p w14:paraId="18F8FEDF">
      <w:pPr>
        <w:pStyle w:val="5"/>
        <w:numPr>
          <w:ilvl w:val="2"/>
          <w:numId w:val="1"/>
        </w:numPr>
        <w:ind w:left="120"/>
        <w:rPr>
          <w:rFonts w:ascii="Times New Roman" w:hAnsi="Times New Roman" w:cs="Times New Roman"/>
          <w:color w:val="auto"/>
        </w:rPr>
      </w:pPr>
      <w:bookmarkStart w:id="298" w:name="6.2.2水环境防治措施及可行性分析"/>
      <w:bookmarkEnd w:id="298"/>
      <w:bookmarkStart w:id="299" w:name="_Toc19267"/>
      <w:r>
        <w:rPr>
          <w:rFonts w:ascii="Times New Roman" w:hAnsi="Times New Roman" w:cs="Times New Roman"/>
          <w:color w:val="auto"/>
        </w:rPr>
        <w:t>水环境防治措施及可行性分析</w:t>
      </w:r>
      <w:bookmarkEnd w:id="299"/>
    </w:p>
    <w:p w14:paraId="2348FE44">
      <w:pPr>
        <w:ind w:firstLine="480"/>
        <w:rPr>
          <w:rFonts w:ascii="Times New Roman" w:hAnsi="Times New Roman" w:cs="Times New Roman"/>
          <w:color w:val="auto"/>
        </w:rPr>
      </w:pPr>
      <w:bookmarkStart w:id="300" w:name="_Toc21108"/>
      <w:r>
        <w:rPr>
          <w:rFonts w:hint="eastAsia" w:cs="Times New Roman"/>
          <w:color w:val="auto"/>
          <w:lang w:eastAsia="zh-CN"/>
        </w:rPr>
        <w:t>1.</w:t>
      </w:r>
      <w:r>
        <w:rPr>
          <w:rFonts w:ascii="Times New Roman" w:hAnsi="Times New Roman" w:cs="Times New Roman"/>
          <w:color w:val="auto"/>
        </w:rPr>
        <w:t>废水污染防治措施</w:t>
      </w:r>
      <w:bookmarkEnd w:id="300"/>
    </w:p>
    <w:p w14:paraId="6DF1BD90">
      <w:pPr>
        <w:ind w:firstLine="480"/>
        <w:rPr>
          <w:rFonts w:hint="default" w:ascii="Times New Roman" w:hAnsi="Times New Roman" w:cs="Times New Roman" w:eastAsiaTheme="minorEastAsia"/>
          <w:color w:val="auto"/>
          <w:lang w:val="en-US" w:eastAsia="zh-CN" w:bidi="zh-CN"/>
        </w:rPr>
      </w:pPr>
      <w:r>
        <w:rPr>
          <w:rFonts w:ascii="Times New Roman" w:hAnsi="Times New Roman" w:cs="Times New Roman"/>
          <w:color w:val="auto"/>
        </w:rPr>
        <w:t>本项目采用干清粪工艺，圈舍中</w:t>
      </w:r>
      <w:r>
        <w:rPr>
          <w:rFonts w:hint="eastAsia" w:ascii="Times New Roman" w:hAnsi="Times New Roman" w:cs="Times New Roman"/>
          <w:color w:val="auto"/>
          <w:lang w:eastAsia="zh-CN"/>
        </w:rPr>
        <w:t>鸭</w:t>
      </w:r>
      <w:r>
        <w:rPr>
          <w:rFonts w:ascii="Times New Roman" w:hAnsi="Times New Roman" w:cs="Times New Roman"/>
          <w:color w:val="auto"/>
        </w:rPr>
        <w:t>粪全部进入铺设的垫草料中，</w:t>
      </w:r>
      <w:r>
        <w:rPr>
          <w:rFonts w:hint="eastAsia" w:ascii="Times New Roman" w:hAnsi="Times New Roman" w:cs="Times New Roman"/>
          <w:color w:val="auto"/>
          <w:lang w:val="zh-CN"/>
        </w:rPr>
        <w:t>鸭粪</w:t>
      </w:r>
      <w:r>
        <w:rPr>
          <w:rFonts w:ascii="Times New Roman" w:hAnsi="Times New Roman" w:cs="Times New Roman"/>
          <w:color w:val="auto"/>
          <w:lang w:val="zh-CN"/>
        </w:rPr>
        <w:t>及垫草料</w:t>
      </w:r>
      <w:r>
        <w:rPr>
          <w:rFonts w:hint="eastAsia" w:cs="Times New Roman"/>
          <w:color w:val="auto"/>
          <w:lang w:val="en-US" w:eastAsia="zh-CN"/>
        </w:rPr>
        <w:t>养殖周期结束后清理</w:t>
      </w:r>
      <w:r>
        <w:rPr>
          <w:rFonts w:ascii="Times New Roman" w:hAnsi="Times New Roman" w:cs="Times New Roman"/>
          <w:color w:val="auto"/>
          <w:lang w:val="zh-CN"/>
        </w:rPr>
        <w:t>，</w:t>
      </w: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w:t>
      </w:r>
      <w:r>
        <w:rPr>
          <w:rFonts w:hint="eastAsia" w:ascii="Times New Roman" w:hAnsi="Times New Roman" w:cs="Times New Roman"/>
          <w:color w:val="000000" w:themeColor="text1"/>
          <w:lang w:val="en-US" w:eastAsia="zh-CN"/>
          <w14:textFill>
            <w14:solidFill>
              <w14:schemeClr w14:val="tx1"/>
            </w14:solidFill>
          </w14:textFill>
        </w:rPr>
        <w:t>种鸭饮用泄漏的水</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和种鸭排的粪便一起进入鸭舍垫料层，</w:t>
      </w:r>
      <w:r>
        <w:rPr>
          <w:rFonts w:hint="eastAsia" w:ascii="Times New Roman" w:hAnsi="Times New Roman" w:cs="Times New Roman"/>
          <w:color w:val="000000" w:themeColor="text1"/>
          <w:lang w:val="en-US" w:eastAsia="zh-CN"/>
          <w14:textFill>
            <w14:solidFill>
              <w14:schemeClr w14:val="tx1"/>
            </w14:solidFill>
          </w14:textFill>
        </w:rPr>
        <w:t>鸭舍冲洗废水</w:t>
      </w:r>
      <w:r>
        <w:rPr>
          <w:rFonts w:hint="eastAsia" w:cs="Times New Roman"/>
          <w:color w:val="000000" w:themeColor="text1"/>
          <w:lang w:val="en-US" w:eastAsia="zh-CN"/>
          <w14:textFill>
            <w14:solidFill>
              <w14:schemeClr w14:val="tx1"/>
            </w14:solidFill>
          </w14:textFill>
        </w:rPr>
        <w:t>、泄漏饮用水及粪便内水分均可以借助导流槽进入污水收集池</w:t>
      </w:r>
      <w:r>
        <w:rPr>
          <w:rFonts w:hint="eastAsia" w:ascii="Times New Roman" w:hAnsi="Times New Roman" w:cs="Times New Roman"/>
          <w:color w:val="000000" w:themeColor="text1"/>
          <w:lang w:val="en-US" w:eastAsia="zh-CN"/>
          <w14:textFill>
            <w14:solidFill>
              <w14:schemeClr w14:val="tx1"/>
            </w14:solidFill>
          </w14:textFill>
        </w:rPr>
        <w:t>，最终</w:t>
      </w:r>
      <w:r>
        <w:rPr>
          <w:rFonts w:hint="eastAsia" w:cs="Times New Roman"/>
          <w:color w:val="000000" w:themeColor="text1"/>
          <w:lang w:val="en-US" w:eastAsia="zh-CN"/>
          <w14:textFill>
            <w14:solidFill>
              <w14:schemeClr w14:val="tx1"/>
            </w14:solidFill>
          </w14:textFill>
        </w:rPr>
        <w:t>经管道收集到场区废水处理设施处理</w:t>
      </w:r>
      <w:r>
        <w:rPr>
          <w:rFonts w:ascii="Times New Roman" w:hAnsi="Times New Roman" w:cs="Times New Roman"/>
          <w:color w:val="auto"/>
        </w:rPr>
        <w:t>，</w:t>
      </w:r>
      <w:r>
        <w:rPr>
          <w:rFonts w:hint="eastAsia" w:cs="Times New Roman"/>
          <w:color w:val="000000" w:themeColor="text1"/>
          <w:lang w:val="en-US" w:eastAsia="zh-CN"/>
          <w14:textFill>
            <w14:solidFill>
              <w14:schemeClr w14:val="tx1"/>
            </w14:solidFill>
          </w14:textFill>
        </w:rPr>
        <w:t>场区养殖废水处理后设置2个回</w:t>
      </w:r>
      <w:r>
        <w:rPr>
          <w:rFonts w:hint="eastAsia" w:eastAsia="宋体" w:cs="宋体"/>
          <w:color w:val="000000" w:themeColor="text1"/>
          <w:kern w:val="0"/>
          <w:sz w:val="24"/>
          <w:szCs w:val="24"/>
          <w:lang w:val="en-US" w:eastAsia="zh-CN" w:bidi="ar"/>
          <w14:textFill>
            <w14:solidFill>
              <w14:schemeClr w14:val="tx1"/>
            </w14:solidFill>
          </w14:textFill>
        </w:rPr>
        <w:t>用水池，储水</w:t>
      </w:r>
      <w:r>
        <w:rPr>
          <w:rFonts w:hint="eastAsia" w:cs="Times New Roman"/>
          <w:color w:val="auto"/>
          <w:lang w:val="en-US" w:eastAsia="zh-CN"/>
        </w:rPr>
        <w:t>用于场区绿化浇灌，养殖</w:t>
      </w:r>
      <w:r>
        <w:rPr>
          <w:rFonts w:ascii="Times New Roman" w:hAnsi="Times New Roman" w:cs="Times New Roman"/>
          <w:color w:val="auto"/>
        </w:rPr>
        <w:t>废水</w:t>
      </w:r>
      <w:r>
        <w:rPr>
          <w:rFonts w:hint="eastAsia" w:cs="Times New Roman"/>
          <w:color w:val="auto"/>
          <w:lang w:val="en-US" w:eastAsia="zh-CN"/>
        </w:rPr>
        <w:t>不</w:t>
      </w:r>
      <w:r>
        <w:rPr>
          <w:rFonts w:ascii="Times New Roman" w:hAnsi="Times New Roman" w:cs="Times New Roman"/>
          <w:color w:val="auto"/>
        </w:rPr>
        <w:t>外排</w:t>
      </w:r>
      <w:r>
        <w:rPr>
          <w:rFonts w:ascii="Times New Roman" w:hAnsi="Times New Roman" w:cs="Times New Roman"/>
          <w:color w:val="auto"/>
          <w:lang w:bidi="zh-CN"/>
        </w:rPr>
        <w:t>；</w:t>
      </w:r>
      <w:r>
        <w:rPr>
          <w:rFonts w:ascii="Times New Roman" w:hAnsi="Times New Roman" w:cs="Times New Roman"/>
          <w:color w:val="auto"/>
          <w:lang w:val="zh-CN" w:bidi="zh-CN"/>
        </w:rPr>
        <w:t>工作人员办公生活</w:t>
      </w:r>
      <w:r>
        <w:rPr>
          <w:rFonts w:hint="eastAsia" w:ascii="Times New Roman" w:hAnsi="Times New Roman" w:cs="Times New Roman"/>
          <w:color w:val="000000" w:themeColor="text1"/>
          <w:lang w:val="en-US" w:eastAsia="zh-CN"/>
          <w14:textFill>
            <w14:solidFill>
              <w14:schemeClr w14:val="tx1"/>
            </w14:solidFill>
          </w14:textFill>
        </w:rPr>
        <w:t>污水集中收集至环保化粪池，</w:t>
      </w:r>
      <w:r>
        <w:rPr>
          <w:rFonts w:ascii="Times New Roman" w:hAnsi="Times New Roman" w:cs="Times New Roman"/>
          <w:color w:val="000000" w:themeColor="text1"/>
          <w14:textFill>
            <w14:solidFill>
              <w14:schemeClr w14:val="tx1"/>
            </w14:solidFill>
          </w14:textFill>
        </w:rPr>
        <w:t>定期</w:t>
      </w:r>
      <w:r>
        <w:rPr>
          <w:rFonts w:hint="eastAsia" w:cs="Times New Roman"/>
          <w:color w:val="000000" w:themeColor="text1"/>
          <w:lang w:val="en-US" w:eastAsia="zh-CN"/>
          <w14:textFill>
            <w14:solidFill>
              <w14:schemeClr w14:val="tx1"/>
            </w14:solidFill>
          </w14:textFill>
        </w:rPr>
        <w:t>抽排到污水处理厂。</w:t>
      </w:r>
      <w:r>
        <w:rPr>
          <w:rFonts w:hint="eastAsia" w:cs="Times New Roman"/>
          <w:color w:val="auto"/>
          <w:lang w:val="en-US" w:eastAsia="zh-CN"/>
        </w:rPr>
        <w:t>本项目远离地表水体（均超过2.5公里），本项目生活污水间接排放，年抽排估算33.6m</w:t>
      </w:r>
      <w:r>
        <w:rPr>
          <w:rFonts w:hint="eastAsia" w:cs="Times New Roman"/>
          <w:color w:val="auto"/>
          <w:vertAlign w:val="superscript"/>
          <w:lang w:val="en-US" w:eastAsia="zh-CN"/>
        </w:rPr>
        <w:t>3</w:t>
      </w:r>
      <w:r>
        <w:rPr>
          <w:rFonts w:hint="eastAsia" w:cs="Times New Roman"/>
          <w:color w:val="auto"/>
          <w:lang w:val="en-US" w:eastAsia="zh-CN"/>
        </w:rPr>
        <w:t>，污染性质与污水处理厂处理工艺匹配；相对污水处理厂处理能力，间接排放量很小，不会造成污水处理厂负荷问题，措施可行。</w:t>
      </w:r>
    </w:p>
    <w:p w14:paraId="6E4D64FC">
      <w:pPr>
        <w:keepNext w:val="0"/>
        <w:keepLines w:val="0"/>
        <w:widowControl/>
        <w:suppressLineNumbers w:val="0"/>
        <w:jc w:val="left"/>
        <w:rPr>
          <w:rFonts w:hint="default" w:ascii="Times New Roman" w:hAnsi="Times New Roman"/>
          <w:color w:val="000000" w:themeColor="text1"/>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本项目环保化粪池的容积根据《畜禽养殖污水贮存设施设计要求》（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GB/T26624-2011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）确定，该要求总容积应为养殖污水量、降雨量和预留体积之和，本项目</w:t>
      </w:r>
      <w:r>
        <w:rPr>
          <w:rFonts w:hint="eastAsia" w:eastAsia="宋体" w:cs="宋体"/>
          <w:color w:val="000000" w:themeColor="text1"/>
          <w:kern w:val="0"/>
          <w:sz w:val="24"/>
          <w:szCs w:val="24"/>
          <w:lang w:val="en-US" w:eastAsia="zh-CN" w:bidi="ar"/>
          <w14:textFill>
            <w14:solidFill>
              <w14:schemeClr w14:val="tx1"/>
            </w14:solidFill>
          </w14:textFill>
        </w:rPr>
        <w:t>回用水池</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不包括降雨量，设置容量为</w:t>
      </w:r>
      <w:r>
        <w:rPr>
          <w:rFonts w:hint="eastAsia" w:eastAsia="宋体" w:cs="宋体"/>
          <w:color w:val="000000" w:themeColor="text1"/>
          <w:kern w:val="0"/>
          <w:sz w:val="24"/>
          <w:szCs w:val="24"/>
          <w:lang w:val="en-US" w:eastAsia="zh-CN" w:bidi="ar"/>
          <w14:textFill>
            <w14:solidFill>
              <w14:schemeClr w14:val="tx1"/>
            </w14:solidFill>
          </w14:textFill>
        </w:rPr>
        <w:t>300m</w:t>
      </w:r>
      <w:r>
        <w:rPr>
          <w:rFonts w:hint="eastAsia"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eastAsia="宋体" w:cs="宋体"/>
          <w:color w:val="000000" w:themeColor="text1"/>
          <w:kern w:val="0"/>
          <w:sz w:val="24"/>
          <w:szCs w:val="24"/>
          <w:lang w:val="en-US" w:eastAsia="zh-CN" w:bidi="ar"/>
          <w14:textFill>
            <w14:solidFill>
              <w14:schemeClr w14:val="tx1"/>
            </w14:solidFill>
          </w14:textFill>
        </w:rPr>
        <w:t>的</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2个</w:t>
      </w:r>
      <w:r>
        <w:rPr>
          <w:rFonts w:hint="eastAsia" w:eastAsia="宋体" w:cs="宋体"/>
          <w:color w:val="000000" w:themeColor="text1"/>
          <w:kern w:val="0"/>
          <w:sz w:val="24"/>
          <w:szCs w:val="24"/>
          <w:lang w:val="en-US" w:eastAsia="zh-CN" w:bidi="ar"/>
          <w14:textFill>
            <w14:solidFill>
              <w14:schemeClr w14:val="tx1"/>
            </w14:solidFill>
          </w14:textFill>
        </w:rPr>
        <w:t>水池；本项目年污水产生量1762.5，回用水暂存时间按3个月考虑约为440m</w:t>
      </w:r>
      <w:r>
        <w:rPr>
          <w:rFonts w:hint="eastAsia"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eastAsia="宋体" w:cs="宋体"/>
          <w:color w:val="000000" w:themeColor="text1"/>
          <w:kern w:val="0"/>
          <w:sz w:val="24"/>
          <w:szCs w:val="24"/>
          <w:lang w:val="en-US" w:eastAsia="zh-CN" w:bidi="ar"/>
          <w14:textFill>
            <w14:solidFill>
              <w14:schemeClr w14:val="tx1"/>
            </w14:solidFill>
          </w14:textFill>
        </w:rPr>
        <w:t>，本项目两个水池600m</w:t>
      </w:r>
      <w:r>
        <w:rPr>
          <w:rFonts w:hint="eastAsia"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eastAsia="宋体" w:cs="宋体"/>
          <w:color w:val="000000" w:themeColor="text1"/>
          <w:kern w:val="0"/>
          <w:sz w:val="24"/>
          <w:szCs w:val="24"/>
          <w:lang w:val="en-US" w:eastAsia="zh-CN" w:bidi="ar"/>
          <w14:textFill>
            <w14:solidFill>
              <w14:schemeClr w14:val="tx1"/>
            </w14:solidFill>
          </w14:textFill>
        </w:rPr>
        <w:t>，满足回用水存储要求，并具有超过20%的预留空间，可行。</w:t>
      </w:r>
    </w:p>
    <w:p w14:paraId="5986A9D1">
      <w:pPr>
        <w:ind w:firstLine="480"/>
        <w:rPr>
          <w:rFonts w:ascii="Times New Roman" w:hAnsi="Times New Roman" w:cs="Times New Roman"/>
          <w:color w:val="auto"/>
        </w:rPr>
      </w:pPr>
      <w:bookmarkStart w:id="301" w:name="_Toc29656"/>
      <w:r>
        <w:rPr>
          <w:rFonts w:hint="eastAsia" w:cs="Times New Roman"/>
          <w:color w:val="auto"/>
          <w:lang w:val="en-US" w:eastAsia="zh-CN"/>
        </w:rPr>
        <w:t>2.</w:t>
      </w:r>
      <w:r>
        <w:rPr>
          <w:rFonts w:ascii="Times New Roman" w:hAnsi="Times New Roman" w:cs="Times New Roman"/>
          <w:color w:val="auto"/>
        </w:rPr>
        <w:t>地下水污染防治措施</w:t>
      </w:r>
      <w:bookmarkEnd w:id="301"/>
    </w:p>
    <w:p w14:paraId="00420C62">
      <w:pPr>
        <w:ind w:firstLine="480"/>
        <w:rPr>
          <w:rFonts w:ascii="Times New Roman" w:hAnsi="Times New Roman" w:cs="Times New Roman"/>
          <w:color w:val="auto"/>
        </w:rPr>
      </w:pPr>
      <w:bookmarkStart w:id="302" w:name="_Toc14093"/>
      <w:r>
        <w:rPr>
          <w:rFonts w:ascii="Times New Roman" w:hAnsi="Times New Roman" w:cs="Times New Roman"/>
          <w:color w:val="auto"/>
        </w:rPr>
        <w:t>（1）总体原则</w:t>
      </w:r>
      <w:bookmarkEnd w:id="302"/>
    </w:p>
    <w:p w14:paraId="77259BF7">
      <w:pPr>
        <w:ind w:firstLine="480"/>
        <w:rPr>
          <w:rFonts w:ascii="Times New Roman" w:hAnsi="Times New Roman" w:cs="Times New Roman"/>
          <w:color w:val="auto"/>
        </w:rPr>
      </w:pPr>
      <w:r>
        <w:rPr>
          <w:rFonts w:ascii="Times New Roman" w:hAnsi="Times New Roman" w:cs="Times New Roman"/>
          <w:color w:val="auto"/>
        </w:rPr>
        <w:t>本项目设计有</w:t>
      </w:r>
      <w:r>
        <w:rPr>
          <w:rFonts w:hint="eastAsia" w:cs="Times New Roman"/>
          <w:color w:val="auto"/>
          <w:lang w:eastAsia="zh-CN"/>
        </w:rPr>
        <w:t>鸭舍</w:t>
      </w:r>
      <w:r>
        <w:rPr>
          <w:rFonts w:ascii="Times New Roman" w:hAnsi="Times New Roman" w:cs="Times New Roman"/>
          <w:color w:val="auto"/>
        </w:rPr>
        <w:t>、</w:t>
      </w:r>
      <w:r>
        <w:rPr>
          <w:rFonts w:hint="eastAsia" w:ascii="Times New Roman" w:hAnsi="Times New Roman" w:cs="Times New Roman"/>
          <w:color w:val="auto"/>
          <w:lang w:val="en-US" w:eastAsia="zh-CN"/>
        </w:rPr>
        <w:t>环保化粪池</w:t>
      </w:r>
      <w:r>
        <w:rPr>
          <w:rFonts w:ascii="Times New Roman" w:hAnsi="Times New Roman" w:cs="Times New Roman"/>
          <w:color w:val="auto"/>
        </w:rPr>
        <w:t>、入场消毒池、</w:t>
      </w:r>
      <w:r>
        <w:rPr>
          <w:rFonts w:hint="eastAsia" w:ascii="Times New Roman" w:hAnsi="Times New Roman" w:cs="Times New Roman"/>
          <w:color w:val="auto"/>
          <w:lang w:val="en-US" w:eastAsia="zh-CN"/>
        </w:rPr>
        <w:t>办公区</w:t>
      </w:r>
      <w:r>
        <w:rPr>
          <w:rFonts w:ascii="Times New Roman" w:hAnsi="Times New Roman" w:cs="Times New Roman"/>
          <w:color w:val="auto"/>
        </w:rPr>
        <w:t>等，根据项目特点和当地的实际情况，按照“源头控制、分区防治、污染监控、应急响应”的地下水污染防治总体原则，本项目将从污染物的产生、入渗、扩散等采取全方位的控制措施。</w:t>
      </w:r>
    </w:p>
    <w:p w14:paraId="15C4B628">
      <w:pPr>
        <w:ind w:firstLine="480"/>
        <w:rPr>
          <w:rFonts w:ascii="Times New Roman" w:hAnsi="Times New Roman" w:cs="Times New Roman"/>
          <w:color w:val="auto"/>
        </w:rPr>
      </w:pPr>
      <w:bookmarkStart w:id="303" w:name="_Toc5220"/>
      <w:r>
        <w:rPr>
          <w:rFonts w:ascii="Times New Roman" w:hAnsi="Times New Roman" w:cs="Times New Roman"/>
          <w:color w:val="auto"/>
        </w:rPr>
        <w:t>（2）源头控制措施</w:t>
      </w:r>
      <w:bookmarkEnd w:id="303"/>
    </w:p>
    <w:p w14:paraId="035C8275">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工艺装置及场地</w:t>
      </w:r>
    </w:p>
    <w:p w14:paraId="10F28821">
      <w:pPr>
        <w:ind w:firstLine="480"/>
        <w:rPr>
          <w:rFonts w:ascii="Times New Roman" w:hAnsi="Times New Roman" w:cs="Times New Roman"/>
          <w:color w:val="auto"/>
        </w:rPr>
      </w:pPr>
      <w:r>
        <w:rPr>
          <w:rFonts w:ascii="Times New Roman" w:hAnsi="Times New Roman" w:cs="Times New Roman"/>
          <w:color w:val="auto"/>
        </w:rPr>
        <w:t>本项目将选择先进、成熟、可靠的工艺技术，并对产生的废物进行合理的综合利用和治理，尽可能从源头上减少污染物排放；严格按照国家相关规范要求，对项目区各区域采取相应的措施，以防止对地下水环境的影响。切实贯彻执行“预防为主、防治结合”的方针，按“先地下、后地上，先基础、后主体”的原则，通过规划布局调整结构来控制污染，对控制污染源的产生有重要的作用。</w:t>
      </w:r>
    </w:p>
    <w:p w14:paraId="70CE18C4">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防扩散措施</w:t>
      </w:r>
    </w:p>
    <w:p w14:paraId="20AEF302">
      <w:pPr>
        <w:ind w:firstLine="480"/>
        <w:rPr>
          <w:rFonts w:ascii="Times New Roman" w:hAnsi="Times New Roman" w:cs="Times New Roman"/>
          <w:color w:val="auto"/>
        </w:rPr>
      </w:pPr>
      <w:r>
        <w:rPr>
          <w:rFonts w:ascii="Times New Roman" w:hAnsi="Times New Roman" w:cs="Times New Roman"/>
          <w:color w:val="auto"/>
        </w:rPr>
        <w:t>根据地下水评价结果，项目防渗层如果发生破损等防渗层性能降低的情况下，项目污染源对浅层地下水环境有一定的影响，因此环评要求应对该项目地下水环境设置必要的检漏时间及周期，在一个检漏周期内，对可能有污染物跑冒滴漏等产生的地区进行必要的检漏工作，及时发现污染物渗漏等事件，采取补救措施。</w:t>
      </w:r>
    </w:p>
    <w:p w14:paraId="36898AF6">
      <w:pPr>
        <w:ind w:firstLine="480"/>
        <w:rPr>
          <w:rFonts w:ascii="Times New Roman" w:hAnsi="Times New Roman" w:cs="Times New Roman"/>
          <w:color w:val="auto"/>
        </w:rPr>
      </w:pPr>
      <w:bookmarkStart w:id="304" w:name="_Toc10412"/>
      <w:r>
        <w:rPr>
          <w:rFonts w:ascii="Times New Roman" w:hAnsi="Times New Roman" w:cs="Times New Roman"/>
          <w:color w:val="auto"/>
        </w:rPr>
        <w:t>（3）分区防渗</w:t>
      </w:r>
      <w:bookmarkEnd w:id="304"/>
    </w:p>
    <w:p w14:paraId="4582D4EA">
      <w:pPr>
        <w:ind w:firstLine="480"/>
        <w:rPr>
          <w:rFonts w:ascii="Times New Roman" w:hAnsi="Times New Roman" w:cs="Times New Roman"/>
          <w:color w:val="auto"/>
        </w:rPr>
      </w:pPr>
      <w:r>
        <w:rPr>
          <w:rFonts w:hint="eastAsia" w:ascii="Times New Roman" w:hAnsi="Times New Roman" w:eastAsia="宋体" w:cs="宋体"/>
          <w:color w:val="auto"/>
        </w:rPr>
        <w:t>①</w:t>
      </w:r>
      <w:r>
        <w:rPr>
          <w:rFonts w:ascii="Times New Roman" w:hAnsi="Times New Roman" w:cs="Times New Roman"/>
          <w:color w:val="auto"/>
        </w:rPr>
        <w:t>地面防渗工程设计原则</w:t>
      </w:r>
    </w:p>
    <w:p w14:paraId="328AA5E6">
      <w:pPr>
        <w:ind w:firstLine="480"/>
        <w:rPr>
          <w:rFonts w:ascii="Times New Roman" w:hAnsi="Times New Roman" w:cs="Times New Roman"/>
          <w:color w:val="auto"/>
        </w:rPr>
      </w:pPr>
      <w:r>
        <w:rPr>
          <w:rFonts w:ascii="Times New Roman" w:hAnsi="Times New Roman" w:cs="Times New Roman"/>
          <w:color w:val="auto"/>
        </w:rPr>
        <w:t>为了有效</w:t>
      </w:r>
      <w:r>
        <w:rPr>
          <w:rFonts w:hint="eastAsia" w:cs="Times New Roman"/>
          <w:color w:val="auto"/>
          <w:lang w:eastAsia="zh-CN"/>
        </w:rPr>
        <w:t>地</w:t>
      </w:r>
      <w:r>
        <w:rPr>
          <w:rFonts w:ascii="Times New Roman" w:hAnsi="Times New Roman" w:cs="Times New Roman"/>
          <w:color w:val="auto"/>
        </w:rPr>
        <w:t>防止项目对地下水造成污染，须根据场区内各个区域可能对地下水产生的影响，采取有针对性的防护措施。防护措施遵循以下原则：</w:t>
      </w:r>
    </w:p>
    <w:p w14:paraId="7B5EFDB8">
      <w:pPr>
        <w:ind w:firstLine="480"/>
        <w:rPr>
          <w:rFonts w:ascii="Times New Roman" w:hAnsi="Times New Roman" w:cs="Times New Roman"/>
          <w:color w:val="auto"/>
          <w:lang w:bidi="zh-CN"/>
        </w:rPr>
      </w:pPr>
      <w:r>
        <w:rPr>
          <w:rFonts w:hint="eastAsia" w:eastAsia="宋体" w:cs="Times New Roman"/>
          <w:color w:val="auto"/>
          <w:lang w:bidi="zh-CN"/>
        </w:rPr>
        <w:t>a.</w:t>
      </w:r>
      <w:r>
        <w:rPr>
          <w:rFonts w:ascii="Times New Roman" w:hAnsi="Times New Roman" w:cs="Times New Roman"/>
          <w:color w:val="auto"/>
          <w:lang w:bidi="zh-CN"/>
        </w:rPr>
        <w:t>防渗必须从源头抓起，从工程设计方面采取措施，加强各区域防泄漏技术措施。</w:t>
      </w:r>
    </w:p>
    <w:p w14:paraId="3E49BFB4">
      <w:pPr>
        <w:ind w:firstLine="480"/>
        <w:rPr>
          <w:rFonts w:ascii="Times New Roman" w:hAnsi="Times New Roman" w:cs="Times New Roman"/>
          <w:color w:val="auto"/>
          <w:lang w:bidi="zh-CN"/>
        </w:rPr>
      </w:pPr>
      <w:r>
        <w:rPr>
          <w:rFonts w:hint="eastAsia" w:eastAsia="宋体" w:cs="Times New Roman"/>
          <w:color w:val="auto"/>
          <w:lang w:bidi="zh-CN"/>
        </w:rPr>
        <w:t>b.</w:t>
      </w:r>
      <w:r>
        <w:rPr>
          <w:rFonts w:ascii="Times New Roman" w:hAnsi="Times New Roman" w:cs="Times New Roman"/>
          <w:color w:val="auto"/>
          <w:lang w:bidi="zh-CN"/>
        </w:rPr>
        <w:t>做好场区地面的防渗措施，阻断污染物渗入地下水的途径。</w:t>
      </w:r>
    </w:p>
    <w:p w14:paraId="449AF047">
      <w:pPr>
        <w:ind w:firstLine="480"/>
        <w:rPr>
          <w:rFonts w:ascii="Times New Roman" w:hAnsi="Times New Roman" w:cs="Times New Roman"/>
          <w:color w:val="auto"/>
          <w:lang w:bidi="zh-CN"/>
        </w:rPr>
      </w:pPr>
      <w:r>
        <w:rPr>
          <w:rFonts w:hint="eastAsia" w:eastAsia="宋体" w:cs="Times New Roman"/>
          <w:color w:val="auto"/>
          <w:lang w:bidi="zh-CN"/>
        </w:rPr>
        <w:t>c.</w:t>
      </w:r>
      <w:r>
        <w:rPr>
          <w:rFonts w:ascii="Times New Roman" w:hAnsi="Times New Roman" w:cs="Times New Roman"/>
          <w:color w:val="auto"/>
          <w:lang w:bidi="zh-CN"/>
        </w:rPr>
        <w:t>加强地下水环境质量监测、管理措施，做到地下水污染早发现，早处理。按照以上原则，分别</w:t>
      </w:r>
      <w:r>
        <w:rPr>
          <w:rFonts w:hint="eastAsia" w:ascii="Times New Roman" w:hAnsi="Times New Roman" w:cs="Times New Roman"/>
          <w:color w:val="auto"/>
          <w:lang w:bidi="zh-CN"/>
        </w:rPr>
        <w:t>制定</w:t>
      </w:r>
      <w:r>
        <w:rPr>
          <w:rFonts w:ascii="Times New Roman" w:hAnsi="Times New Roman" w:cs="Times New Roman"/>
          <w:color w:val="auto"/>
          <w:lang w:bidi="zh-CN"/>
        </w:rPr>
        <w:t>措施来控制</w:t>
      </w:r>
      <w:r>
        <w:rPr>
          <w:rFonts w:hint="eastAsia" w:cs="Times New Roman"/>
          <w:color w:val="auto"/>
          <w:lang w:bidi="zh-CN"/>
        </w:rPr>
        <w:t>项目</w:t>
      </w:r>
      <w:r>
        <w:rPr>
          <w:rFonts w:ascii="Times New Roman" w:hAnsi="Times New Roman" w:cs="Times New Roman"/>
          <w:color w:val="auto"/>
          <w:lang w:bidi="zh-CN"/>
        </w:rPr>
        <w:t>区域的地下水污染。</w:t>
      </w:r>
    </w:p>
    <w:p w14:paraId="68B4276F">
      <w:pPr>
        <w:ind w:firstLine="480"/>
        <w:rPr>
          <w:rFonts w:ascii="Times New Roman" w:hAnsi="Times New Roman" w:cs="Times New Roman"/>
          <w:color w:val="auto"/>
        </w:rPr>
      </w:pPr>
      <w:r>
        <w:rPr>
          <w:rFonts w:hint="eastAsia" w:ascii="Times New Roman" w:hAnsi="Times New Roman" w:eastAsia="宋体" w:cs="宋体"/>
          <w:color w:val="auto"/>
        </w:rPr>
        <w:t>②</w:t>
      </w:r>
      <w:r>
        <w:rPr>
          <w:rFonts w:ascii="Times New Roman" w:hAnsi="Times New Roman" w:cs="Times New Roman"/>
          <w:color w:val="auto"/>
        </w:rPr>
        <w:t>防渗分区方案</w:t>
      </w:r>
    </w:p>
    <w:p w14:paraId="30A4275F">
      <w:pPr>
        <w:ind w:firstLine="480"/>
        <w:rPr>
          <w:rFonts w:ascii="Times New Roman" w:hAnsi="Times New Roman" w:cs="Times New Roman"/>
          <w:color w:val="auto"/>
        </w:rPr>
      </w:pPr>
      <w:r>
        <w:rPr>
          <w:rFonts w:ascii="Times New Roman" w:hAnsi="Times New Roman" w:cs="Times New Roman"/>
          <w:color w:val="auto"/>
        </w:rPr>
        <w:t>结合地下水环境影响评价结果，根据建设项目场地天然包气带防污性能、污染控制难易程度和污染物特性，按照《环境影响评价技术导则</w:t>
      </w:r>
      <w:r>
        <w:rPr>
          <w:rFonts w:hint="eastAsia" w:cs="Times New Roman"/>
          <w:color w:val="auto"/>
          <w:lang w:eastAsia="zh-CN"/>
        </w:rPr>
        <w:t>－</w:t>
      </w:r>
      <w:r>
        <w:rPr>
          <w:rFonts w:ascii="Times New Roman" w:hAnsi="Times New Roman" w:cs="Times New Roman"/>
          <w:color w:val="auto"/>
        </w:rPr>
        <w:t>地下水环境（HJ610-2016）》中提出防渗技术要求进行划分及确定。地下水污染防渗分区参照表见表</w:t>
      </w:r>
      <w:r>
        <w:rPr>
          <w:rFonts w:hint="eastAsia" w:cs="Times New Roman"/>
          <w:color w:val="auto"/>
          <w:lang w:val="en-US" w:eastAsia="zh-CN"/>
        </w:rPr>
        <w:t>6</w:t>
      </w:r>
      <w:r>
        <w:rPr>
          <w:rFonts w:ascii="Times New Roman" w:hAnsi="Times New Roman" w:cs="Times New Roman"/>
          <w:color w:val="auto"/>
        </w:rPr>
        <w:t>.2-2。</w:t>
      </w:r>
    </w:p>
    <w:p w14:paraId="241BD4DA">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eastAsia="宋体" w:cs="Times New Roman"/>
          <w:b/>
          <w:bCs/>
          <w:color w:val="auto"/>
          <w:lang w:val="en-US" w:eastAsia="zh-CN"/>
        </w:rPr>
        <w:t>6</w:t>
      </w:r>
      <w:r>
        <w:rPr>
          <w:rFonts w:ascii="Times New Roman" w:hAnsi="Times New Roman" w:eastAsia="宋体" w:cs="Times New Roman"/>
          <w:b/>
          <w:bCs/>
          <w:color w:val="auto"/>
        </w:rPr>
        <w:t>.2-2    地下水污染防渗分区参照表</w:t>
      </w:r>
    </w:p>
    <w:tbl>
      <w:tblPr>
        <w:tblStyle w:val="81"/>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298"/>
        <w:gridCol w:w="1569"/>
        <w:gridCol w:w="1299"/>
        <w:gridCol w:w="1800"/>
        <w:gridCol w:w="2415"/>
      </w:tblGrid>
      <w:tr w14:paraId="750A6B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tcBorders>
              <w:tl2br w:val="nil"/>
              <w:tr2bl w:val="nil"/>
            </w:tcBorders>
            <w:vAlign w:val="center"/>
          </w:tcPr>
          <w:p w14:paraId="7C5C2FC8">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防渗区域</w:t>
            </w:r>
          </w:p>
        </w:tc>
        <w:tc>
          <w:tcPr>
            <w:tcW w:w="1569" w:type="dxa"/>
            <w:tcBorders>
              <w:tl2br w:val="nil"/>
              <w:tr2bl w:val="nil"/>
            </w:tcBorders>
            <w:vAlign w:val="center"/>
          </w:tcPr>
          <w:p w14:paraId="67C7EEF0">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天然包气带防污性能</w:t>
            </w:r>
          </w:p>
        </w:tc>
        <w:tc>
          <w:tcPr>
            <w:tcW w:w="1299" w:type="dxa"/>
            <w:tcBorders>
              <w:tl2br w:val="nil"/>
              <w:tr2bl w:val="nil"/>
            </w:tcBorders>
            <w:vAlign w:val="center"/>
          </w:tcPr>
          <w:p w14:paraId="03CEBA5E">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污染控制难易程度</w:t>
            </w:r>
          </w:p>
        </w:tc>
        <w:tc>
          <w:tcPr>
            <w:tcW w:w="1800" w:type="dxa"/>
            <w:tcBorders>
              <w:tl2br w:val="nil"/>
              <w:tr2bl w:val="nil"/>
            </w:tcBorders>
            <w:vAlign w:val="center"/>
          </w:tcPr>
          <w:p w14:paraId="74C497A0">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污染物类型</w:t>
            </w:r>
          </w:p>
        </w:tc>
        <w:tc>
          <w:tcPr>
            <w:tcW w:w="2415" w:type="dxa"/>
            <w:tcBorders>
              <w:tl2br w:val="nil"/>
              <w:tr2bl w:val="nil"/>
            </w:tcBorders>
            <w:vAlign w:val="center"/>
          </w:tcPr>
          <w:p w14:paraId="136B46DB">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污染防渗技术要求</w:t>
            </w:r>
          </w:p>
        </w:tc>
      </w:tr>
      <w:tr w14:paraId="4ACBBA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restart"/>
            <w:tcBorders>
              <w:tl2br w:val="nil"/>
              <w:tr2bl w:val="nil"/>
            </w:tcBorders>
            <w:vAlign w:val="center"/>
          </w:tcPr>
          <w:p w14:paraId="2DD19EFE">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重点防渗区</w:t>
            </w:r>
          </w:p>
        </w:tc>
        <w:tc>
          <w:tcPr>
            <w:tcW w:w="1569" w:type="dxa"/>
            <w:tcBorders>
              <w:tl2br w:val="nil"/>
              <w:tr2bl w:val="nil"/>
            </w:tcBorders>
            <w:vAlign w:val="center"/>
          </w:tcPr>
          <w:p w14:paraId="3DA937F2">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弱</w:t>
            </w:r>
          </w:p>
        </w:tc>
        <w:tc>
          <w:tcPr>
            <w:tcW w:w="1299" w:type="dxa"/>
            <w:tcBorders>
              <w:tl2br w:val="nil"/>
              <w:tr2bl w:val="nil"/>
            </w:tcBorders>
            <w:vAlign w:val="center"/>
          </w:tcPr>
          <w:p w14:paraId="2A258917">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难</w:t>
            </w:r>
          </w:p>
        </w:tc>
        <w:tc>
          <w:tcPr>
            <w:tcW w:w="1800" w:type="dxa"/>
            <w:vMerge w:val="restart"/>
            <w:tcBorders>
              <w:tl2br w:val="nil"/>
              <w:tr2bl w:val="nil"/>
            </w:tcBorders>
            <w:vAlign w:val="center"/>
          </w:tcPr>
          <w:p w14:paraId="2C93FE20">
            <w:pPr>
              <w:pStyle w:val="56"/>
              <w:autoSpaceDE w:val="0"/>
              <w:autoSpaceDN w:val="0"/>
              <w:rPr>
                <w:rFonts w:ascii="Times New Roman" w:hAnsi="Times New Roman"/>
                <w:color w:val="auto"/>
                <w:szCs w:val="21"/>
                <w:lang w:eastAsia="zh-CN"/>
              </w:rPr>
            </w:pPr>
            <w:r>
              <w:rPr>
                <w:rFonts w:ascii="Times New Roman" w:hAnsi="Times New Roman"/>
                <w:color w:val="auto"/>
                <w:szCs w:val="21"/>
                <w:lang w:eastAsia="zh-CN"/>
              </w:rPr>
              <w:t>重金属、持久性有机污染物</w:t>
            </w:r>
          </w:p>
        </w:tc>
        <w:tc>
          <w:tcPr>
            <w:tcW w:w="2415" w:type="dxa"/>
            <w:vMerge w:val="restart"/>
            <w:tcBorders>
              <w:tl2br w:val="nil"/>
              <w:tr2bl w:val="nil"/>
            </w:tcBorders>
            <w:vAlign w:val="center"/>
          </w:tcPr>
          <w:p w14:paraId="61AB8E9D">
            <w:pPr>
              <w:pStyle w:val="56"/>
              <w:autoSpaceDE w:val="0"/>
              <w:autoSpaceDN w:val="0"/>
              <w:rPr>
                <w:rFonts w:ascii="Times New Roman" w:hAnsi="Times New Roman"/>
                <w:color w:val="auto"/>
                <w:szCs w:val="21"/>
                <w:lang w:eastAsia="zh-CN"/>
              </w:rPr>
            </w:pPr>
            <w:r>
              <w:rPr>
                <w:rFonts w:ascii="Times New Roman" w:hAnsi="Times New Roman"/>
                <w:color w:val="auto"/>
                <w:szCs w:val="21"/>
                <w:lang w:eastAsia="zh-CN"/>
              </w:rPr>
              <w:t>等效黏土防渗层Mb≥6.0m，K≤1×10</w:t>
            </w:r>
            <w:r>
              <w:rPr>
                <w:rFonts w:hint="eastAsia"/>
                <w:color w:val="auto"/>
                <w:szCs w:val="21"/>
                <w:lang w:eastAsia="zh-CN"/>
              </w:rPr>
              <w:t>—</w:t>
            </w:r>
            <w:r>
              <w:rPr>
                <w:rFonts w:ascii="Times New Roman" w:hAnsi="Times New Roman"/>
                <w:color w:val="auto"/>
                <w:szCs w:val="21"/>
                <w:vertAlign w:val="superscript"/>
                <w:lang w:eastAsia="zh-CN"/>
              </w:rPr>
              <w:t>7</w:t>
            </w:r>
            <w:r>
              <w:rPr>
                <w:rFonts w:ascii="Times New Roman" w:hAnsi="Times New Roman"/>
                <w:color w:val="auto"/>
                <w:szCs w:val="21"/>
                <w:lang w:eastAsia="zh-CN"/>
              </w:rPr>
              <w:t>cm/s，或参考GB18598执行；</w:t>
            </w:r>
          </w:p>
        </w:tc>
      </w:tr>
      <w:tr w14:paraId="5D470A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27454807">
            <w:pPr>
              <w:pStyle w:val="56"/>
              <w:autoSpaceDE w:val="0"/>
              <w:autoSpaceDN w:val="0"/>
              <w:rPr>
                <w:rFonts w:ascii="Times New Roman" w:hAnsi="Times New Roman"/>
                <w:color w:val="auto"/>
                <w:szCs w:val="21"/>
                <w:lang w:eastAsia="zh-CN"/>
              </w:rPr>
            </w:pPr>
          </w:p>
        </w:tc>
        <w:tc>
          <w:tcPr>
            <w:tcW w:w="1569" w:type="dxa"/>
            <w:tcBorders>
              <w:tl2br w:val="nil"/>
              <w:tr2bl w:val="nil"/>
            </w:tcBorders>
            <w:vAlign w:val="center"/>
          </w:tcPr>
          <w:p w14:paraId="67BFF9FC">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中-强</w:t>
            </w:r>
          </w:p>
        </w:tc>
        <w:tc>
          <w:tcPr>
            <w:tcW w:w="1299" w:type="dxa"/>
            <w:tcBorders>
              <w:tl2br w:val="nil"/>
              <w:tr2bl w:val="nil"/>
            </w:tcBorders>
            <w:vAlign w:val="center"/>
          </w:tcPr>
          <w:p w14:paraId="672470CB">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难</w:t>
            </w:r>
          </w:p>
        </w:tc>
        <w:tc>
          <w:tcPr>
            <w:tcW w:w="1800" w:type="dxa"/>
            <w:vMerge w:val="continue"/>
            <w:tcBorders>
              <w:tl2br w:val="nil"/>
              <w:tr2bl w:val="nil"/>
            </w:tcBorders>
            <w:vAlign w:val="center"/>
          </w:tcPr>
          <w:p w14:paraId="4E3F6962">
            <w:pPr>
              <w:pStyle w:val="56"/>
              <w:autoSpaceDE w:val="0"/>
              <w:autoSpaceDN w:val="0"/>
              <w:rPr>
                <w:rFonts w:ascii="Times New Roman" w:hAnsi="Times New Roman"/>
                <w:color w:val="auto"/>
                <w:szCs w:val="21"/>
                <w:lang w:eastAsia="en-US"/>
              </w:rPr>
            </w:pPr>
          </w:p>
        </w:tc>
        <w:tc>
          <w:tcPr>
            <w:tcW w:w="2415" w:type="dxa"/>
            <w:vMerge w:val="continue"/>
            <w:tcBorders>
              <w:tl2br w:val="nil"/>
              <w:tr2bl w:val="nil"/>
            </w:tcBorders>
            <w:vAlign w:val="center"/>
          </w:tcPr>
          <w:p w14:paraId="73D58085">
            <w:pPr>
              <w:pStyle w:val="56"/>
              <w:autoSpaceDE w:val="0"/>
              <w:autoSpaceDN w:val="0"/>
              <w:rPr>
                <w:rFonts w:ascii="Times New Roman" w:hAnsi="Times New Roman"/>
                <w:color w:val="auto"/>
                <w:szCs w:val="21"/>
                <w:lang w:eastAsia="en-US"/>
              </w:rPr>
            </w:pPr>
          </w:p>
        </w:tc>
      </w:tr>
      <w:tr w14:paraId="44A3A7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7CAF46D4">
            <w:pPr>
              <w:pStyle w:val="56"/>
              <w:autoSpaceDE w:val="0"/>
              <w:autoSpaceDN w:val="0"/>
              <w:rPr>
                <w:rFonts w:ascii="Times New Roman" w:hAnsi="Times New Roman"/>
                <w:color w:val="auto"/>
                <w:szCs w:val="21"/>
                <w:lang w:eastAsia="en-US"/>
              </w:rPr>
            </w:pPr>
          </w:p>
        </w:tc>
        <w:tc>
          <w:tcPr>
            <w:tcW w:w="1569" w:type="dxa"/>
            <w:tcBorders>
              <w:tl2br w:val="nil"/>
              <w:tr2bl w:val="nil"/>
            </w:tcBorders>
            <w:vAlign w:val="center"/>
          </w:tcPr>
          <w:p w14:paraId="3FF54C16">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弱</w:t>
            </w:r>
          </w:p>
        </w:tc>
        <w:tc>
          <w:tcPr>
            <w:tcW w:w="1299" w:type="dxa"/>
            <w:tcBorders>
              <w:tl2br w:val="nil"/>
              <w:tr2bl w:val="nil"/>
            </w:tcBorders>
            <w:vAlign w:val="center"/>
          </w:tcPr>
          <w:p w14:paraId="504A363A">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易</w:t>
            </w:r>
          </w:p>
        </w:tc>
        <w:tc>
          <w:tcPr>
            <w:tcW w:w="1800" w:type="dxa"/>
            <w:vMerge w:val="continue"/>
            <w:tcBorders>
              <w:tl2br w:val="nil"/>
              <w:tr2bl w:val="nil"/>
            </w:tcBorders>
            <w:vAlign w:val="center"/>
          </w:tcPr>
          <w:p w14:paraId="670AB80D">
            <w:pPr>
              <w:pStyle w:val="56"/>
              <w:autoSpaceDE w:val="0"/>
              <w:autoSpaceDN w:val="0"/>
              <w:rPr>
                <w:rFonts w:ascii="Times New Roman" w:hAnsi="Times New Roman"/>
                <w:color w:val="auto"/>
                <w:szCs w:val="21"/>
                <w:lang w:eastAsia="en-US"/>
              </w:rPr>
            </w:pPr>
          </w:p>
        </w:tc>
        <w:tc>
          <w:tcPr>
            <w:tcW w:w="2415" w:type="dxa"/>
            <w:vMerge w:val="continue"/>
            <w:tcBorders>
              <w:tl2br w:val="nil"/>
              <w:tr2bl w:val="nil"/>
            </w:tcBorders>
            <w:vAlign w:val="center"/>
          </w:tcPr>
          <w:p w14:paraId="2FE95544">
            <w:pPr>
              <w:pStyle w:val="56"/>
              <w:autoSpaceDE w:val="0"/>
              <w:autoSpaceDN w:val="0"/>
              <w:rPr>
                <w:rFonts w:ascii="Times New Roman" w:hAnsi="Times New Roman"/>
                <w:color w:val="auto"/>
                <w:szCs w:val="21"/>
                <w:lang w:eastAsia="en-US"/>
              </w:rPr>
            </w:pPr>
          </w:p>
        </w:tc>
      </w:tr>
      <w:tr w14:paraId="086E09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restart"/>
            <w:tcBorders>
              <w:tl2br w:val="nil"/>
              <w:tr2bl w:val="nil"/>
            </w:tcBorders>
            <w:vAlign w:val="center"/>
          </w:tcPr>
          <w:p w14:paraId="4F411111">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一般防渗区</w:t>
            </w:r>
          </w:p>
        </w:tc>
        <w:tc>
          <w:tcPr>
            <w:tcW w:w="1569" w:type="dxa"/>
            <w:tcBorders>
              <w:tl2br w:val="nil"/>
              <w:tr2bl w:val="nil"/>
            </w:tcBorders>
            <w:vAlign w:val="center"/>
          </w:tcPr>
          <w:p w14:paraId="7A8AF8A6">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弱</w:t>
            </w:r>
          </w:p>
        </w:tc>
        <w:tc>
          <w:tcPr>
            <w:tcW w:w="1299" w:type="dxa"/>
            <w:tcBorders>
              <w:tl2br w:val="nil"/>
              <w:tr2bl w:val="nil"/>
            </w:tcBorders>
            <w:vAlign w:val="center"/>
          </w:tcPr>
          <w:p w14:paraId="7AFF026D">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易-难</w:t>
            </w:r>
          </w:p>
        </w:tc>
        <w:tc>
          <w:tcPr>
            <w:tcW w:w="1800" w:type="dxa"/>
            <w:vMerge w:val="restart"/>
            <w:tcBorders>
              <w:tl2br w:val="nil"/>
              <w:tr2bl w:val="nil"/>
            </w:tcBorders>
            <w:vAlign w:val="center"/>
          </w:tcPr>
          <w:p w14:paraId="18625E34">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其他类型</w:t>
            </w:r>
          </w:p>
        </w:tc>
        <w:tc>
          <w:tcPr>
            <w:tcW w:w="2415" w:type="dxa"/>
            <w:vMerge w:val="restart"/>
            <w:tcBorders>
              <w:tl2br w:val="nil"/>
              <w:tr2bl w:val="nil"/>
            </w:tcBorders>
            <w:vAlign w:val="center"/>
          </w:tcPr>
          <w:p w14:paraId="57FB64E4">
            <w:pPr>
              <w:pStyle w:val="56"/>
              <w:autoSpaceDE w:val="0"/>
              <w:autoSpaceDN w:val="0"/>
              <w:rPr>
                <w:rFonts w:ascii="Times New Roman" w:hAnsi="Times New Roman"/>
                <w:color w:val="auto"/>
                <w:szCs w:val="21"/>
                <w:lang w:eastAsia="zh-CN"/>
              </w:rPr>
            </w:pPr>
            <w:r>
              <w:rPr>
                <w:rFonts w:ascii="Times New Roman" w:hAnsi="Times New Roman"/>
                <w:color w:val="auto"/>
                <w:szCs w:val="21"/>
                <w:lang w:eastAsia="zh-CN"/>
              </w:rPr>
              <w:t>等效黏土防渗层Mb≥1.5m，K≤1×10</w:t>
            </w:r>
            <w:r>
              <w:rPr>
                <w:rFonts w:hint="eastAsia"/>
                <w:color w:val="auto"/>
                <w:szCs w:val="21"/>
                <w:lang w:eastAsia="zh-CN"/>
              </w:rPr>
              <w:t>—</w:t>
            </w:r>
            <w:r>
              <w:rPr>
                <w:rFonts w:ascii="Times New Roman" w:hAnsi="Times New Roman"/>
                <w:color w:val="auto"/>
                <w:szCs w:val="21"/>
                <w:vertAlign w:val="superscript"/>
                <w:lang w:eastAsia="zh-CN"/>
              </w:rPr>
              <w:t>7</w:t>
            </w:r>
            <w:r>
              <w:rPr>
                <w:rFonts w:ascii="Times New Roman" w:hAnsi="Times New Roman"/>
                <w:color w:val="auto"/>
                <w:szCs w:val="21"/>
                <w:lang w:eastAsia="zh-CN"/>
              </w:rPr>
              <w:t>cm/s，或参考GB16889执行；</w:t>
            </w:r>
          </w:p>
        </w:tc>
      </w:tr>
      <w:tr w14:paraId="778437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3E72C1E6">
            <w:pPr>
              <w:pStyle w:val="56"/>
              <w:autoSpaceDE w:val="0"/>
              <w:autoSpaceDN w:val="0"/>
              <w:rPr>
                <w:rFonts w:ascii="Times New Roman" w:hAnsi="Times New Roman"/>
                <w:color w:val="auto"/>
                <w:szCs w:val="21"/>
                <w:lang w:eastAsia="zh-CN"/>
              </w:rPr>
            </w:pPr>
          </w:p>
        </w:tc>
        <w:tc>
          <w:tcPr>
            <w:tcW w:w="1569" w:type="dxa"/>
            <w:tcBorders>
              <w:tl2br w:val="nil"/>
              <w:tr2bl w:val="nil"/>
            </w:tcBorders>
            <w:vAlign w:val="center"/>
          </w:tcPr>
          <w:p w14:paraId="2B29D9AB">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中-强</w:t>
            </w:r>
          </w:p>
        </w:tc>
        <w:tc>
          <w:tcPr>
            <w:tcW w:w="1299" w:type="dxa"/>
            <w:tcBorders>
              <w:tl2br w:val="nil"/>
              <w:tr2bl w:val="nil"/>
            </w:tcBorders>
            <w:vAlign w:val="center"/>
          </w:tcPr>
          <w:p w14:paraId="038912DB">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难</w:t>
            </w:r>
          </w:p>
        </w:tc>
        <w:tc>
          <w:tcPr>
            <w:tcW w:w="1800" w:type="dxa"/>
            <w:vMerge w:val="continue"/>
            <w:tcBorders>
              <w:tl2br w:val="nil"/>
              <w:tr2bl w:val="nil"/>
            </w:tcBorders>
            <w:vAlign w:val="center"/>
          </w:tcPr>
          <w:p w14:paraId="4F122C9B">
            <w:pPr>
              <w:pStyle w:val="56"/>
              <w:autoSpaceDE w:val="0"/>
              <w:autoSpaceDN w:val="0"/>
              <w:rPr>
                <w:rFonts w:ascii="Times New Roman" w:hAnsi="Times New Roman"/>
                <w:color w:val="auto"/>
                <w:szCs w:val="21"/>
                <w:lang w:eastAsia="en-US"/>
              </w:rPr>
            </w:pPr>
          </w:p>
        </w:tc>
        <w:tc>
          <w:tcPr>
            <w:tcW w:w="2415" w:type="dxa"/>
            <w:vMerge w:val="continue"/>
            <w:tcBorders>
              <w:tl2br w:val="nil"/>
              <w:tr2bl w:val="nil"/>
            </w:tcBorders>
            <w:vAlign w:val="center"/>
          </w:tcPr>
          <w:p w14:paraId="2F8E7E26">
            <w:pPr>
              <w:pStyle w:val="56"/>
              <w:autoSpaceDE w:val="0"/>
              <w:autoSpaceDN w:val="0"/>
              <w:rPr>
                <w:rFonts w:ascii="Times New Roman" w:hAnsi="Times New Roman"/>
                <w:color w:val="auto"/>
                <w:szCs w:val="21"/>
                <w:lang w:eastAsia="en-US"/>
              </w:rPr>
            </w:pPr>
          </w:p>
        </w:tc>
      </w:tr>
      <w:tr w14:paraId="1195E0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5CBC92EB">
            <w:pPr>
              <w:pStyle w:val="56"/>
              <w:autoSpaceDE w:val="0"/>
              <w:autoSpaceDN w:val="0"/>
              <w:rPr>
                <w:rFonts w:ascii="Times New Roman" w:hAnsi="Times New Roman"/>
                <w:color w:val="auto"/>
                <w:szCs w:val="21"/>
                <w:lang w:eastAsia="en-US"/>
              </w:rPr>
            </w:pPr>
          </w:p>
        </w:tc>
        <w:tc>
          <w:tcPr>
            <w:tcW w:w="1569" w:type="dxa"/>
            <w:tcBorders>
              <w:tl2br w:val="nil"/>
              <w:tr2bl w:val="nil"/>
            </w:tcBorders>
            <w:vAlign w:val="center"/>
          </w:tcPr>
          <w:p w14:paraId="07F65E1A">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中</w:t>
            </w:r>
          </w:p>
        </w:tc>
        <w:tc>
          <w:tcPr>
            <w:tcW w:w="1299" w:type="dxa"/>
            <w:tcBorders>
              <w:tl2br w:val="nil"/>
              <w:tr2bl w:val="nil"/>
            </w:tcBorders>
            <w:vAlign w:val="center"/>
          </w:tcPr>
          <w:p w14:paraId="2438EA6C">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易</w:t>
            </w:r>
          </w:p>
        </w:tc>
        <w:tc>
          <w:tcPr>
            <w:tcW w:w="1800" w:type="dxa"/>
            <w:vMerge w:val="restart"/>
            <w:tcBorders>
              <w:tl2br w:val="nil"/>
              <w:tr2bl w:val="nil"/>
            </w:tcBorders>
            <w:vAlign w:val="center"/>
          </w:tcPr>
          <w:p w14:paraId="475672F2">
            <w:pPr>
              <w:pStyle w:val="56"/>
              <w:autoSpaceDE w:val="0"/>
              <w:autoSpaceDN w:val="0"/>
              <w:rPr>
                <w:rFonts w:ascii="Times New Roman" w:hAnsi="Times New Roman"/>
                <w:color w:val="auto"/>
                <w:szCs w:val="21"/>
                <w:lang w:eastAsia="zh-CN"/>
              </w:rPr>
            </w:pPr>
            <w:r>
              <w:rPr>
                <w:rFonts w:ascii="Times New Roman" w:hAnsi="Times New Roman"/>
                <w:color w:val="auto"/>
                <w:szCs w:val="21"/>
                <w:lang w:eastAsia="zh-CN"/>
              </w:rPr>
              <w:t>重金属、持久性有机污染物</w:t>
            </w:r>
          </w:p>
        </w:tc>
        <w:tc>
          <w:tcPr>
            <w:tcW w:w="2415" w:type="dxa"/>
            <w:vMerge w:val="continue"/>
            <w:tcBorders>
              <w:tl2br w:val="nil"/>
              <w:tr2bl w:val="nil"/>
            </w:tcBorders>
            <w:vAlign w:val="center"/>
          </w:tcPr>
          <w:p w14:paraId="7FFC7BA9">
            <w:pPr>
              <w:pStyle w:val="56"/>
              <w:autoSpaceDE w:val="0"/>
              <w:autoSpaceDN w:val="0"/>
              <w:rPr>
                <w:rFonts w:ascii="Times New Roman" w:hAnsi="Times New Roman"/>
                <w:color w:val="auto"/>
                <w:szCs w:val="21"/>
                <w:lang w:eastAsia="zh-CN"/>
              </w:rPr>
            </w:pPr>
          </w:p>
        </w:tc>
      </w:tr>
      <w:tr w14:paraId="1870B5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vMerge w:val="continue"/>
            <w:tcBorders>
              <w:tl2br w:val="nil"/>
              <w:tr2bl w:val="nil"/>
            </w:tcBorders>
            <w:vAlign w:val="center"/>
          </w:tcPr>
          <w:p w14:paraId="6864D29A">
            <w:pPr>
              <w:pStyle w:val="56"/>
              <w:autoSpaceDE w:val="0"/>
              <w:autoSpaceDN w:val="0"/>
              <w:rPr>
                <w:rFonts w:ascii="Times New Roman" w:hAnsi="Times New Roman"/>
                <w:color w:val="auto"/>
                <w:szCs w:val="21"/>
                <w:lang w:eastAsia="zh-CN"/>
              </w:rPr>
            </w:pPr>
          </w:p>
        </w:tc>
        <w:tc>
          <w:tcPr>
            <w:tcW w:w="1569" w:type="dxa"/>
            <w:tcBorders>
              <w:tl2br w:val="nil"/>
              <w:tr2bl w:val="nil"/>
            </w:tcBorders>
            <w:vAlign w:val="center"/>
          </w:tcPr>
          <w:p w14:paraId="3FE4EF58">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强</w:t>
            </w:r>
          </w:p>
        </w:tc>
        <w:tc>
          <w:tcPr>
            <w:tcW w:w="1299" w:type="dxa"/>
            <w:tcBorders>
              <w:tl2br w:val="nil"/>
              <w:tr2bl w:val="nil"/>
            </w:tcBorders>
            <w:vAlign w:val="center"/>
          </w:tcPr>
          <w:p w14:paraId="3892EB27">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易</w:t>
            </w:r>
          </w:p>
        </w:tc>
        <w:tc>
          <w:tcPr>
            <w:tcW w:w="1800" w:type="dxa"/>
            <w:vMerge w:val="continue"/>
            <w:tcBorders>
              <w:tl2br w:val="nil"/>
              <w:tr2bl w:val="nil"/>
            </w:tcBorders>
            <w:vAlign w:val="center"/>
          </w:tcPr>
          <w:p w14:paraId="1B1F17B0">
            <w:pPr>
              <w:pStyle w:val="56"/>
              <w:autoSpaceDE w:val="0"/>
              <w:autoSpaceDN w:val="0"/>
              <w:rPr>
                <w:rFonts w:ascii="Times New Roman" w:hAnsi="Times New Roman"/>
                <w:color w:val="auto"/>
                <w:szCs w:val="21"/>
                <w:lang w:eastAsia="en-US"/>
              </w:rPr>
            </w:pPr>
          </w:p>
        </w:tc>
        <w:tc>
          <w:tcPr>
            <w:tcW w:w="2415" w:type="dxa"/>
            <w:vMerge w:val="continue"/>
            <w:tcBorders>
              <w:tl2br w:val="nil"/>
              <w:tr2bl w:val="nil"/>
            </w:tcBorders>
            <w:vAlign w:val="center"/>
          </w:tcPr>
          <w:p w14:paraId="3D10F5AD">
            <w:pPr>
              <w:pStyle w:val="56"/>
              <w:autoSpaceDE w:val="0"/>
              <w:autoSpaceDN w:val="0"/>
              <w:rPr>
                <w:rFonts w:ascii="Times New Roman" w:hAnsi="Times New Roman"/>
                <w:color w:val="auto"/>
                <w:szCs w:val="21"/>
                <w:lang w:eastAsia="en-US"/>
              </w:rPr>
            </w:pPr>
          </w:p>
        </w:tc>
      </w:tr>
      <w:tr w14:paraId="7809779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 w:hRule="atLeast"/>
          <w:jc w:val="center"/>
        </w:trPr>
        <w:tc>
          <w:tcPr>
            <w:tcW w:w="1298" w:type="dxa"/>
            <w:tcBorders>
              <w:tl2br w:val="nil"/>
              <w:tr2bl w:val="nil"/>
            </w:tcBorders>
            <w:vAlign w:val="center"/>
          </w:tcPr>
          <w:p w14:paraId="3E4A7273">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简单防渗区</w:t>
            </w:r>
          </w:p>
        </w:tc>
        <w:tc>
          <w:tcPr>
            <w:tcW w:w="1569" w:type="dxa"/>
            <w:tcBorders>
              <w:tl2br w:val="nil"/>
              <w:tr2bl w:val="nil"/>
            </w:tcBorders>
            <w:vAlign w:val="center"/>
          </w:tcPr>
          <w:p w14:paraId="14B9E797">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中-强</w:t>
            </w:r>
          </w:p>
        </w:tc>
        <w:tc>
          <w:tcPr>
            <w:tcW w:w="1299" w:type="dxa"/>
            <w:tcBorders>
              <w:tl2br w:val="nil"/>
              <w:tr2bl w:val="nil"/>
            </w:tcBorders>
            <w:vAlign w:val="center"/>
          </w:tcPr>
          <w:p w14:paraId="4925DEE8">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易</w:t>
            </w:r>
          </w:p>
        </w:tc>
        <w:tc>
          <w:tcPr>
            <w:tcW w:w="1800" w:type="dxa"/>
            <w:tcBorders>
              <w:tl2br w:val="nil"/>
              <w:tr2bl w:val="nil"/>
            </w:tcBorders>
            <w:vAlign w:val="center"/>
          </w:tcPr>
          <w:p w14:paraId="5D0BD32D">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其他类型</w:t>
            </w:r>
          </w:p>
        </w:tc>
        <w:tc>
          <w:tcPr>
            <w:tcW w:w="2415" w:type="dxa"/>
            <w:tcBorders>
              <w:tl2br w:val="nil"/>
              <w:tr2bl w:val="nil"/>
            </w:tcBorders>
            <w:vAlign w:val="center"/>
          </w:tcPr>
          <w:p w14:paraId="5F112F97">
            <w:pPr>
              <w:pStyle w:val="56"/>
              <w:autoSpaceDE w:val="0"/>
              <w:autoSpaceDN w:val="0"/>
              <w:rPr>
                <w:rFonts w:ascii="Times New Roman" w:hAnsi="Times New Roman"/>
                <w:color w:val="auto"/>
                <w:szCs w:val="21"/>
                <w:lang w:eastAsia="en-US"/>
              </w:rPr>
            </w:pPr>
            <w:r>
              <w:rPr>
                <w:rFonts w:ascii="Times New Roman" w:hAnsi="Times New Roman"/>
                <w:color w:val="auto"/>
                <w:szCs w:val="21"/>
                <w:lang w:eastAsia="en-US"/>
              </w:rPr>
              <w:t>一般地面硬化</w:t>
            </w:r>
          </w:p>
        </w:tc>
      </w:tr>
    </w:tbl>
    <w:p w14:paraId="5EF8E08F">
      <w:pPr>
        <w:ind w:firstLine="480"/>
        <w:rPr>
          <w:rFonts w:ascii="Times New Roman" w:hAnsi="Times New Roman" w:cs="Times New Roman"/>
          <w:color w:val="auto"/>
          <w:lang w:bidi="zh-CN"/>
        </w:rPr>
      </w:pPr>
      <w:r>
        <w:rPr>
          <w:rFonts w:ascii="Times New Roman" w:hAnsi="Times New Roman" w:cs="Times New Roman"/>
          <w:color w:val="auto"/>
          <w:lang w:bidi="zh-CN"/>
        </w:rPr>
        <w:t>根据以上防渗分区技术方法，按照项目总平面设计，结合场区可能泄漏至地面区域污染物的性质和生产单元的构筑方式，以及潜在的地下水污染源分类分析，将场区划分为重点防渗区、一般防渗区和简单防渗区。</w:t>
      </w:r>
    </w:p>
    <w:p w14:paraId="52DB8970">
      <w:pPr>
        <w:ind w:firstLine="480"/>
        <w:rPr>
          <w:rFonts w:ascii="Times New Roman" w:hAnsi="Times New Roman" w:cs="Times New Roman"/>
          <w:color w:val="auto"/>
        </w:rPr>
      </w:pPr>
      <w:r>
        <w:rPr>
          <w:rFonts w:ascii="Times New Roman" w:hAnsi="Times New Roman" w:cs="Times New Roman"/>
          <w:color w:val="auto"/>
          <w:lang w:bidi="zh-CN"/>
        </w:rPr>
        <w:t>考虑到本项目建设地区水文地质特征，为保护建设地区地下水环境，本项目将严格按照国家环保部要求进行防渗设计，结合目前施工过程中的可操作性和技术水平，针对不同的防渗区域采用典型的防渗措施如下，在具体设计中应根据实际情况在满足防渗标准的前提下做必要的调整。</w:t>
      </w:r>
    </w:p>
    <w:p w14:paraId="291D2E61">
      <w:pPr>
        <w:ind w:firstLine="480"/>
        <w:rPr>
          <w:rFonts w:ascii="Times New Roman" w:hAnsi="Times New Roman" w:cs="Times New Roman"/>
          <w:color w:val="auto"/>
        </w:rPr>
      </w:pPr>
      <w:r>
        <w:rPr>
          <w:rFonts w:hint="eastAsia" w:ascii="Times New Roman" w:hAnsi="Times New Roman" w:eastAsia="宋体" w:cs="宋体"/>
          <w:color w:val="auto"/>
          <w:lang w:bidi="zh-CN"/>
        </w:rPr>
        <w:t>①</w:t>
      </w:r>
      <w:r>
        <w:rPr>
          <w:rFonts w:ascii="Times New Roman" w:hAnsi="Times New Roman" w:cs="Times New Roman"/>
          <w:color w:val="auto"/>
          <w:lang w:bidi="zh-CN"/>
        </w:rPr>
        <w:t>重点防渗区</w:t>
      </w:r>
    </w:p>
    <w:p w14:paraId="1F26E74F">
      <w:pPr>
        <w:ind w:firstLine="480"/>
        <w:rPr>
          <w:rFonts w:ascii="Times New Roman" w:hAnsi="Times New Roman" w:cs="Times New Roman"/>
          <w:color w:val="auto"/>
          <w:lang w:bidi="zh-CN"/>
        </w:rPr>
      </w:pPr>
      <w:r>
        <w:rPr>
          <w:rFonts w:ascii="Times New Roman" w:hAnsi="Times New Roman" w:cs="Times New Roman"/>
          <w:color w:val="auto"/>
          <w:lang w:bidi="zh-CN"/>
        </w:rPr>
        <w:t>重点防渗区指极有可能对地下水环境造成比较严重污染的区域。</w:t>
      </w:r>
      <w:r>
        <w:rPr>
          <w:rFonts w:hint="eastAsia" w:ascii="Times New Roman" w:hAnsi="Times New Roman" w:cs="Times New Roman"/>
          <w:color w:val="auto"/>
          <w:lang w:val="en-US" w:bidi="zh-CN"/>
        </w:rPr>
        <w:t>鸭舍</w:t>
      </w:r>
      <w:r>
        <w:rPr>
          <w:rFonts w:hint="eastAsia" w:cs="Times New Roman"/>
          <w:color w:val="auto"/>
          <w:lang w:val="en-US" w:bidi="zh-CN"/>
        </w:rPr>
        <w:t>污水收集池、场区废水处理设施、生活区化粪池等</w:t>
      </w:r>
      <w:r>
        <w:rPr>
          <w:rFonts w:ascii="Times New Roman" w:hAnsi="Times New Roman"/>
          <w:color w:val="auto"/>
          <w:szCs w:val="21"/>
          <w:lang w:eastAsia="en-US"/>
        </w:rPr>
        <w:t>天然包气带防污性能</w:t>
      </w:r>
      <w:r>
        <w:rPr>
          <w:rFonts w:hint="eastAsia" w:ascii="Times New Roman" w:hAnsi="Times New Roman"/>
          <w:color w:val="auto"/>
          <w:szCs w:val="21"/>
          <w:lang w:val="en-US" w:eastAsia="zh-CN"/>
        </w:rPr>
        <w:t>中等，本区域污染控制程度难，因此</w:t>
      </w:r>
      <w:r>
        <w:rPr>
          <w:rFonts w:ascii="Times New Roman" w:hAnsi="Times New Roman" w:cs="Times New Roman"/>
          <w:color w:val="auto"/>
          <w:lang w:bidi="zh-CN"/>
        </w:rPr>
        <w:t>本项目重点防渗区为</w:t>
      </w:r>
      <w:r>
        <w:rPr>
          <w:rFonts w:hint="eastAsia" w:cs="Times New Roman"/>
          <w:color w:val="auto"/>
          <w:lang w:val="en-US" w:bidi="zh-CN"/>
        </w:rPr>
        <w:t>鸭舍污水收集池、场区污水处理设施和办公生活区化粪池</w:t>
      </w:r>
      <w:r>
        <w:rPr>
          <w:rFonts w:ascii="Times New Roman" w:hAnsi="Times New Roman" w:cs="Times New Roman"/>
          <w:color w:val="auto"/>
          <w:lang w:bidi="zh-CN"/>
        </w:rPr>
        <w:t>。</w:t>
      </w:r>
    </w:p>
    <w:p w14:paraId="4086A3D6">
      <w:pPr>
        <w:ind w:firstLine="480"/>
        <w:rPr>
          <w:rFonts w:ascii="Times New Roman" w:hAnsi="Times New Roman" w:cs="Times New Roman"/>
          <w:color w:val="auto"/>
          <w:lang w:bidi="zh-CN"/>
        </w:rPr>
      </w:pPr>
      <w:r>
        <w:rPr>
          <w:rFonts w:ascii="Times New Roman" w:hAnsi="Times New Roman" w:cs="Times New Roman"/>
          <w:color w:val="auto"/>
          <w:lang w:bidi="zh-CN"/>
        </w:rPr>
        <w:t>重点防渗区的防渗标准为等效黏土防渗层Mb≥6.0m，K≤1×10</w:t>
      </w:r>
      <w:r>
        <w:rPr>
          <w:rFonts w:hint="eastAsia" w:cs="Times New Roman"/>
          <w:color w:val="auto"/>
          <w:lang w:bidi="zh-CN"/>
        </w:rPr>
        <w:t>—</w:t>
      </w:r>
      <w:r>
        <w:rPr>
          <w:rFonts w:ascii="Times New Roman" w:hAnsi="Times New Roman" w:cs="Times New Roman"/>
          <w:color w:val="auto"/>
          <w:vertAlign w:val="superscript"/>
          <w:lang w:bidi="zh-CN"/>
        </w:rPr>
        <w:t>7</w:t>
      </w:r>
      <w:r>
        <w:rPr>
          <w:rFonts w:ascii="Times New Roman" w:hAnsi="Times New Roman" w:cs="Times New Roman"/>
          <w:color w:val="auto"/>
          <w:lang w:bidi="zh-CN"/>
        </w:rPr>
        <w:t>cm/s，或参考GB18598执行。</w:t>
      </w:r>
    </w:p>
    <w:p w14:paraId="70AC6FEA">
      <w:pPr>
        <w:ind w:firstLine="480"/>
        <w:rPr>
          <w:rFonts w:ascii="Times New Roman" w:hAnsi="Times New Roman" w:cs="Times New Roman"/>
          <w:color w:val="auto"/>
        </w:rPr>
      </w:pPr>
      <w:r>
        <w:rPr>
          <w:rFonts w:hint="eastAsia" w:cs="Times New Roman"/>
          <w:color w:val="auto"/>
          <w:lang w:val="en-US" w:bidi="zh-CN"/>
        </w:rPr>
        <w:t>重点防渗区整体</w:t>
      </w:r>
      <w:r>
        <w:rPr>
          <w:rFonts w:ascii="Times New Roman" w:hAnsi="Times New Roman" w:cs="Times New Roman"/>
          <w:color w:val="auto"/>
          <w:lang w:bidi="zh-CN"/>
        </w:rPr>
        <w:t>采用防渗混凝土，防渗层铺设粘土或</w:t>
      </w:r>
      <w:r>
        <w:rPr>
          <w:rFonts w:hint="eastAsia" w:cs="Times New Roman"/>
          <w:color w:val="auto"/>
          <w:lang w:bidi="zh-CN"/>
        </w:rPr>
        <w:t>其他</w:t>
      </w:r>
      <w:r>
        <w:rPr>
          <w:rFonts w:ascii="Times New Roman" w:hAnsi="Times New Roman" w:cs="Times New Roman"/>
          <w:color w:val="auto"/>
          <w:lang w:bidi="zh-CN"/>
        </w:rPr>
        <w:t>防渗材料，再在上层铺设10</w:t>
      </w:r>
      <w:r>
        <w:rPr>
          <w:rFonts w:hint="eastAsia" w:cs="Times New Roman"/>
          <w:color w:val="auto"/>
          <w:lang w:bidi="zh-CN"/>
        </w:rPr>
        <w:t>～</w:t>
      </w:r>
      <w:r>
        <w:rPr>
          <w:rFonts w:ascii="Times New Roman" w:hAnsi="Times New Roman" w:cs="Times New Roman"/>
          <w:color w:val="auto"/>
          <w:lang w:bidi="zh-CN"/>
        </w:rPr>
        <w:t>15cm的水泥进行硬化；对于混凝土中间的伸缩缝和实体基础的缝隙，通过填充柔性材料达到防渗目的。</w:t>
      </w:r>
    </w:p>
    <w:p w14:paraId="7CE985A3">
      <w:pPr>
        <w:ind w:firstLine="480"/>
        <w:rPr>
          <w:rFonts w:ascii="Times New Roman" w:hAnsi="Times New Roman" w:cs="Times New Roman"/>
          <w:color w:val="auto"/>
          <w:lang w:bidi="zh-CN"/>
        </w:rPr>
      </w:pPr>
      <w:r>
        <w:rPr>
          <w:rFonts w:hint="eastAsia" w:ascii="Times New Roman" w:hAnsi="Times New Roman" w:eastAsia="宋体" w:cs="宋体"/>
          <w:color w:val="auto"/>
          <w:lang w:bidi="zh-CN"/>
        </w:rPr>
        <w:t>②</w:t>
      </w:r>
      <w:r>
        <w:rPr>
          <w:rFonts w:ascii="Times New Roman" w:hAnsi="Times New Roman" w:cs="Times New Roman"/>
          <w:color w:val="auto"/>
          <w:lang w:bidi="zh-CN"/>
        </w:rPr>
        <w:t>一般防渗区</w:t>
      </w:r>
    </w:p>
    <w:p w14:paraId="5A580002">
      <w:pPr>
        <w:ind w:firstLine="480"/>
        <w:rPr>
          <w:rFonts w:ascii="Times New Roman" w:hAnsi="Times New Roman" w:cs="Times New Roman"/>
          <w:color w:val="auto"/>
          <w:lang w:bidi="zh-CN"/>
        </w:rPr>
      </w:pPr>
      <w:r>
        <w:rPr>
          <w:rFonts w:ascii="Times New Roman" w:hAnsi="Times New Roman" w:cs="Times New Roman"/>
          <w:color w:val="auto"/>
          <w:lang w:bidi="zh-CN"/>
        </w:rPr>
        <w:t>一般防渗区指含污染物较少的生产功能单元，发生泄漏时容易及时发现和处理的区域。本项目</w:t>
      </w:r>
      <w:r>
        <w:rPr>
          <w:rFonts w:hint="eastAsia" w:cs="Times New Roman"/>
          <w:color w:val="auto"/>
          <w:lang w:val="en-US" w:bidi="zh-CN"/>
        </w:rPr>
        <w:t>鸭舍、</w:t>
      </w:r>
      <w:r>
        <w:rPr>
          <w:rFonts w:ascii="Times New Roman" w:hAnsi="Times New Roman" w:cs="Times New Roman"/>
          <w:color w:val="auto"/>
          <w:lang w:bidi="zh-CN"/>
        </w:rPr>
        <w:t>入场消毒池</w:t>
      </w:r>
      <w:r>
        <w:rPr>
          <w:rFonts w:ascii="Times New Roman" w:hAnsi="Times New Roman"/>
          <w:color w:val="auto"/>
          <w:szCs w:val="21"/>
          <w:lang w:eastAsia="en-US"/>
        </w:rPr>
        <w:t>天然包气带防污性能</w:t>
      </w:r>
      <w:r>
        <w:rPr>
          <w:rFonts w:hint="eastAsia" w:ascii="Times New Roman" w:hAnsi="Times New Roman"/>
          <w:color w:val="auto"/>
          <w:szCs w:val="21"/>
          <w:lang w:val="en-US" w:eastAsia="zh-CN"/>
        </w:rPr>
        <w:t>中等，本区域污染控制</w:t>
      </w:r>
      <w:r>
        <w:rPr>
          <w:rFonts w:hint="eastAsia"/>
          <w:color w:val="auto"/>
          <w:szCs w:val="21"/>
          <w:lang w:val="en-US" w:eastAsia="zh-CN"/>
        </w:rPr>
        <w:t>难度</w:t>
      </w:r>
      <w:r>
        <w:rPr>
          <w:rFonts w:hint="eastAsia" w:ascii="Times New Roman" w:hAnsi="Times New Roman"/>
          <w:color w:val="auto"/>
          <w:szCs w:val="21"/>
          <w:lang w:val="en-US" w:eastAsia="zh-CN"/>
        </w:rPr>
        <w:t>易，因此该区域为一般防渗区</w:t>
      </w:r>
      <w:r>
        <w:rPr>
          <w:rFonts w:ascii="Times New Roman" w:hAnsi="Times New Roman" w:cs="Times New Roman"/>
          <w:color w:val="auto"/>
          <w:lang w:bidi="zh-CN"/>
        </w:rPr>
        <w:t>。</w:t>
      </w:r>
    </w:p>
    <w:p w14:paraId="6796C6D7">
      <w:pPr>
        <w:ind w:firstLine="480"/>
        <w:rPr>
          <w:rFonts w:ascii="Times New Roman" w:hAnsi="Times New Roman" w:cs="Times New Roman"/>
          <w:color w:val="auto"/>
          <w:lang w:bidi="zh-CN"/>
        </w:rPr>
      </w:pPr>
      <w:r>
        <w:rPr>
          <w:rFonts w:ascii="Times New Roman" w:hAnsi="Times New Roman" w:cs="Times New Roman"/>
          <w:color w:val="auto"/>
          <w:lang w:bidi="zh-CN"/>
        </w:rPr>
        <w:t>一般防渗区的防渗标准为等效黏土防渗层Mb≥1.5m，K≤1×10</w:t>
      </w:r>
      <w:r>
        <w:rPr>
          <w:rFonts w:hint="eastAsia" w:cs="Times New Roman"/>
          <w:color w:val="auto"/>
          <w:lang w:bidi="zh-CN"/>
        </w:rPr>
        <w:t>—</w:t>
      </w:r>
      <w:r>
        <w:rPr>
          <w:rFonts w:ascii="Times New Roman" w:hAnsi="Times New Roman" w:cs="Times New Roman"/>
          <w:color w:val="auto"/>
          <w:vertAlign w:val="superscript"/>
          <w:lang w:bidi="zh-CN"/>
        </w:rPr>
        <w:t>7</w:t>
      </w:r>
      <w:r>
        <w:rPr>
          <w:rFonts w:ascii="Times New Roman" w:hAnsi="Times New Roman" w:cs="Times New Roman"/>
          <w:color w:val="auto"/>
          <w:lang w:bidi="zh-CN"/>
        </w:rPr>
        <w:t>cm/s。</w:t>
      </w:r>
      <w:r>
        <w:rPr>
          <w:rFonts w:hint="eastAsia" w:ascii="Times New Roman" w:hAnsi="Times New Roman" w:cs="Times New Roman"/>
          <w:color w:val="auto"/>
          <w:lang w:val="en-US" w:bidi="zh-CN"/>
        </w:rPr>
        <w:t>鸭舍其他区域</w:t>
      </w:r>
      <w:r>
        <w:rPr>
          <w:rFonts w:ascii="Times New Roman" w:hAnsi="Times New Roman" w:cs="Times New Roman"/>
          <w:color w:val="auto"/>
          <w:lang w:bidi="zh-CN"/>
        </w:rPr>
        <w:t>及入场消毒池执行《一般工业固体废物贮存和填埋污染控制标准GB18599-2020》中基底防渗要求，即当天然基础层的渗透系数大于1.0×10</w:t>
      </w:r>
      <w:r>
        <w:rPr>
          <w:rFonts w:hint="eastAsia" w:cs="Times New Roman"/>
          <w:color w:val="auto"/>
          <w:lang w:bidi="zh-CN"/>
        </w:rPr>
        <w:t>—</w:t>
      </w:r>
      <w:r>
        <w:rPr>
          <w:rFonts w:ascii="Times New Roman" w:hAnsi="Times New Roman" w:cs="Times New Roman"/>
          <w:color w:val="auto"/>
          <w:vertAlign w:val="superscript"/>
          <w:lang w:bidi="zh-CN"/>
        </w:rPr>
        <w:t>7</w:t>
      </w:r>
      <w:r>
        <w:rPr>
          <w:rFonts w:ascii="Times New Roman" w:hAnsi="Times New Roman" w:cs="Times New Roman"/>
          <w:color w:val="auto"/>
          <w:lang w:bidi="zh-CN"/>
        </w:rPr>
        <w:t>cm/s时，采用天然或人工材料构筑防渗层，防渗层的厚度应相当于渗透系数1.0×10</w:t>
      </w:r>
      <w:r>
        <w:rPr>
          <w:rFonts w:hint="eastAsia" w:cs="Times New Roman"/>
          <w:color w:val="auto"/>
          <w:lang w:bidi="zh-CN"/>
        </w:rPr>
        <w:t>—</w:t>
      </w:r>
      <w:r>
        <w:rPr>
          <w:rFonts w:ascii="Times New Roman" w:hAnsi="Times New Roman" w:cs="Times New Roman"/>
          <w:color w:val="auto"/>
          <w:vertAlign w:val="superscript"/>
          <w:lang w:bidi="zh-CN"/>
        </w:rPr>
        <w:t>7</w:t>
      </w:r>
      <w:r>
        <w:rPr>
          <w:rFonts w:ascii="Times New Roman" w:hAnsi="Times New Roman" w:cs="Times New Roman"/>
          <w:color w:val="auto"/>
          <w:lang w:bidi="zh-CN"/>
        </w:rPr>
        <w:t>cm/s或厚度1.5m的黏土层的防渗性能。</w:t>
      </w:r>
    </w:p>
    <w:p w14:paraId="7D2B8FF2">
      <w:pPr>
        <w:ind w:firstLine="480"/>
        <w:rPr>
          <w:rFonts w:ascii="Times New Roman" w:hAnsi="Times New Roman" w:cs="Times New Roman"/>
          <w:color w:val="auto"/>
        </w:rPr>
      </w:pPr>
      <w:r>
        <w:rPr>
          <w:rFonts w:hint="eastAsia" w:ascii="Times New Roman" w:hAnsi="Times New Roman" w:eastAsia="宋体" w:cs="宋体"/>
          <w:color w:val="auto"/>
        </w:rPr>
        <w:t>③</w:t>
      </w:r>
      <w:r>
        <w:rPr>
          <w:rFonts w:ascii="Times New Roman" w:hAnsi="Times New Roman" w:cs="Times New Roman"/>
          <w:color w:val="auto"/>
        </w:rPr>
        <w:t>简单防渗区</w:t>
      </w:r>
    </w:p>
    <w:p w14:paraId="6612AB59">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auto"/>
          <w:lang w:bidi="zh-CN"/>
        </w:rPr>
        <w:t>简单防渗区指不会对地下水环境造成污染的区域。主要包括</w:t>
      </w:r>
      <w:r>
        <w:rPr>
          <w:rFonts w:hint="eastAsia" w:ascii="Times New Roman" w:hAnsi="Times New Roman" w:cs="Times New Roman"/>
          <w:color w:val="auto"/>
          <w:lang w:val="en-US" w:bidi="zh-CN"/>
        </w:rPr>
        <w:t>办公</w:t>
      </w:r>
      <w:r>
        <w:rPr>
          <w:rFonts w:hint="eastAsia" w:cs="Times New Roman"/>
          <w:color w:val="auto"/>
          <w:lang w:val="en-US" w:bidi="zh-CN"/>
        </w:rPr>
        <w:t>生活区、锅炉房及其他办公仓储用房</w:t>
      </w:r>
      <w:r>
        <w:rPr>
          <w:rFonts w:ascii="Times New Roman" w:hAnsi="Times New Roman" w:cs="Times New Roman"/>
          <w:color w:val="auto"/>
          <w:lang w:bidi="zh-CN"/>
        </w:rPr>
        <w:t>等区域。按通常的工程要求进行夯实，地面水泥硬化。</w:t>
      </w:r>
      <w:r>
        <w:rPr>
          <w:rFonts w:ascii="Times New Roman" w:hAnsi="Times New Roman" w:cs="Times New Roman"/>
          <w:color w:val="000000" w:themeColor="text1"/>
          <w:lang w:bidi="zh-CN"/>
          <w14:textFill>
            <w14:solidFill>
              <w14:schemeClr w14:val="tx1"/>
            </w14:solidFill>
          </w14:textFill>
        </w:rPr>
        <w:t>项目分区防渗图见</w:t>
      </w:r>
      <w:r>
        <w:rPr>
          <w:rFonts w:hint="eastAsia" w:ascii="Times New Roman" w:hAnsi="Times New Roman" w:cs="Times New Roman"/>
          <w:color w:val="000000" w:themeColor="text1"/>
          <w:lang w:val="en-US" w:bidi="zh-CN"/>
          <w14:textFill>
            <w14:solidFill>
              <w14:schemeClr w14:val="tx1"/>
            </w14:solidFill>
          </w14:textFill>
        </w:rPr>
        <w:t>附</w:t>
      </w:r>
      <w:r>
        <w:rPr>
          <w:rFonts w:ascii="Times New Roman" w:hAnsi="Times New Roman" w:cs="Times New Roman"/>
          <w:color w:val="000000" w:themeColor="text1"/>
          <w:lang w:bidi="zh-CN"/>
          <w14:textFill>
            <w14:solidFill>
              <w14:schemeClr w14:val="tx1"/>
            </w14:solidFill>
          </w14:textFill>
        </w:rPr>
        <w:t>图。</w:t>
      </w:r>
    </w:p>
    <w:p w14:paraId="6022E5F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本项目防治分区及防渗要求见表</w:t>
      </w:r>
      <w:r>
        <w:rPr>
          <w:rFonts w:hint="eastAsia" w:cs="Times New Roman"/>
          <w:color w:val="000000" w:themeColor="text1"/>
          <w:lang w:val="en-US" w:bidi="zh-CN"/>
          <w14:textFill>
            <w14:solidFill>
              <w14:schemeClr w14:val="tx1"/>
            </w14:solidFill>
          </w14:textFill>
        </w:rPr>
        <w:t>6</w:t>
      </w:r>
      <w:r>
        <w:rPr>
          <w:rFonts w:ascii="Times New Roman" w:hAnsi="Times New Roman" w:cs="Times New Roman"/>
          <w:color w:val="000000" w:themeColor="text1"/>
          <w:lang w:bidi="zh-CN"/>
          <w14:textFill>
            <w14:solidFill>
              <w14:schemeClr w14:val="tx1"/>
            </w14:solidFill>
          </w14:textFill>
        </w:rPr>
        <w:t>.2-3。</w:t>
      </w:r>
    </w:p>
    <w:p w14:paraId="580FAFE9">
      <w:pPr>
        <w:ind w:firstLine="0" w:firstLineChars="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w:t>
      </w:r>
      <w:r>
        <w:rPr>
          <w:rFonts w:hint="eastAsia" w:cs="Times New Roman"/>
          <w:b/>
          <w:bCs/>
          <w:color w:val="000000" w:themeColor="text1"/>
          <w:lang w:val="en-US" w:eastAsia="zh-CN"/>
          <w14:textFill>
            <w14:solidFill>
              <w14:schemeClr w14:val="tx1"/>
            </w14:solidFill>
          </w14:textFill>
        </w:rPr>
        <w:t>6</w:t>
      </w:r>
      <w:r>
        <w:rPr>
          <w:rFonts w:ascii="Times New Roman" w:hAnsi="Times New Roman" w:cs="Times New Roman"/>
          <w:b/>
          <w:bCs/>
          <w:color w:val="000000" w:themeColor="text1"/>
          <w14:textFill>
            <w14:solidFill>
              <w14:schemeClr w14:val="tx1"/>
            </w14:solidFill>
          </w14:textFill>
        </w:rPr>
        <w:t>.2-3    项目防渗分区及防渗要求</w:t>
      </w:r>
    </w:p>
    <w:tbl>
      <w:tblPr>
        <w:tblStyle w:val="81"/>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57" w:type="dxa"/>
          <w:bottom w:w="0" w:type="dxa"/>
          <w:right w:w="57" w:type="dxa"/>
        </w:tblCellMar>
      </w:tblPr>
      <w:tblGrid>
        <w:gridCol w:w="866"/>
        <w:gridCol w:w="1704"/>
        <w:gridCol w:w="4273"/>
        <w:gridCol w:w="1538"/>
      </w:tblGrid>
      <w:tr w14:paraId="5432D34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170" w:hRule="atLeast"/>
          <w:jc w:val="center"/>
        </w:trPr>
        <w:tc>
          <w:tcPr>
            <w:tcW w:w="2570" w:type="dxa"/>
            <w:gridSpan w:val="2"/>
            <w:tcBorders>
              <w:tl2br w:val="nil"/>
              <w:tr2bl w:val="nil"/>
            </w:tcBorders>
            <w:vAlign w:val="center"/>
          </w:tcPr>
          <w:p w14:paraId="384B336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防治分区</w:t>
            </w:r>
          </w:p>
        </w:tc>
        <w:tc>
          <w:tcPr>
            <w:tcW w:w="4273" w:type="dxa"/>
            <w:tcBorders>
              <w:tl2br w:val="nil"/>
              <w:tr2bl w:val="nil"/>
            </w:tcBorders>
            <w:vAlign w:val="center"/>
          </w:tcPr>
          <w:p w14:paraId="1A855F7A">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防渗措施</w:t>
            </w:r>
          </w:p>
        </w:tc>
        <w:tc>
          <w:tcPr>
            <w:tcW w:w="1538" w:type="dxa"/>
            <w:tcBorders>
              <w:tl2br w:val="nil"/>
              <w:tr2bl w:val="nil"/>
            </w:tcBorders>
            <w:vAlign w:val="center"/>
          </w:tcPr>
          <w:p w14:paraId="1A8C58FA">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防渗等级要求</w:t>
            </w:r>
          </w:p>
        </w:tc>
      </w:tr>
      <w:tr w14:paraId="76A5D64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170" w:hRule="atLeast"/>
          <w:jc w:val="center"/>
        </w:trPr>
        <w:tc>
          <w:tcPr>
            <w:tcW w:w="866" w:type="dxa"/>
            <w:tcBorders>
              <w:tl2br w:val="nil"/>
              <w:tr2bl w:val="nil"/>
            </w:tcBorders>
            <w:vAlign w:val="center"/>
          </w:tcPr>
          <w:p w14:paraId="0523BF70">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重点防渗区</w:t>
            </w:r>
          </w:p>
        </w:tc>
        <w:tc>
          <w:tcPr>
            <w:tcW w:w="1704" w:type="dxa"/>
            <w:tcBorders>
              <w:tl2br w:val="nil"/>
              <w:tr2bl w:val="nil"/>
            </w:tcBorders>
            <w:vAlign w:val="center"/>
          </w:tcPr>
          <w:p w14:paraId="105F5568">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s="Times New Roman"/>
                <w:color w:val="auto"/>
                <w:lang w:val="en-US" w:bidi="zh-CN"/>
              </w:rPr>
              <w:t>鸭舍污水收集池、场区污水处理设施和办公生活区化粪池，危废间</w:t>
            </w:r>
          </w:p>
        </w:tc>
        <w:tc>
          <w:tcPr>
            <w:tcW w:w="4273" w:type="dxa"/>
            <w:tcBorders>
              <w:tl2br w:val="nil"/>
              <w:tr2bl w:val="nil"/>
            </w:tcBorders>
            <w:vAlign w:val="center"/>
          </w:tcPr>
          <w:p w14:paraId="71CB4B12">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采用高密度聚乙烯土工膜（HDPE）进行防渗，再在上层铺设10</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lang w:eastAsia="zh-CN"/>
                <w14:textFill>
                  <w14:solidFill>
                    <w14:schemeClr w14:val="tx1"/>
                  </w14:solidFill>
                </w14:textFill>
              </w:rPr>
              <w:t>15cm的水泥进行硬化</w:t>
            </w:r>
          </w:p>
        </w:tc>
        <w:tc>
          <w:tcPr>
            <w:tcW w:w="1538" w:type="dxa"/>
            <w:tcBorders>
              <w:tl2br w:val="nil"/>
              <w:tr2bl w:val="nil"/>
            </w:tcBorders>
            <w:vAlign w:val="center"/>
          </w:tcPr>
          <w:p w14:paraId="35A9FB2C">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等效黏土防渗层Mb≥6.0m，K≤1×10</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vertAlign w:val="superscript"/>
                <w:lang w:eastAsia="zh-CN"/>
                <w14:textFill>
                  <w14:solidFill>
                    <w14:schemeClr w14:val="tx1"/>
                  </w14:solidFill>
                </w14:textFill>
              </w:rPr>
              <w:t>7</w:t>
            </w:r>
            <w:r>
              <w:rPr>
                <w:rFonts w:ascii="Times New Roman" w:hAnsi="Times New Roman"/>
                <w:color w:val="000000" w:themeColor="text1"/>
                <w:szCs w:val="21"/>
                <w:lang w:eastAsia="zh-CN"/>
                <w14:textFill>
                  <w14:solidFill>
                    <w14:schemeClr w14:val="tx1"/>
                  </w14:solidFill>
                </w14:textFill>
              </w:rPr>
              <w:t>cm/s；</w:t>
            </w:r>
          </w:p>
        </w:tc>
      </w:tr>
      <w:tr w14:paraId="16A10FD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976" w:hRule="atLeast"/>
          <w:jc w:val="center"/>
        </w:trPr>
        <w:tc>
          <w:tcPr>
            <w:tcW w:w="866" w:type="dxa"/>
            <w:tcBorders>
              <w:tl2br w:val="nil"/>
              <w:tr2bl w:val="nil"/>
            </w:tcBorders>
            <w:vAlign w:val="center"/>
          </w:tcPr>
          <w:p w14:paraId="25DFC7A5">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一般防渗区</w:t>
            </w:r>
          </w:p>
        </w:tc>
        <w:tc>
          <w:tcPr>
            <w:tcW w:w="1704" w:type="dxa"/>
            <w:tcBorders>
              <w:tl2br w:val="nil"/>
              <w:tr2bl w:val="nil"/>
            </w:tcBorders>
            <w:vAlign w:val="center"/>
          </w:tcPr>
          <w:p w14:paraId="2E31864F">
            <w:pPr>
              <w:pStyle w:val="56"/>
              <w:autoSpaceDE w:val="0"/>
              <w:autoSpaceDN w:val="0"/>
              <w:rPr>
                <w:rFonts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auto"/>
                <w:lang w:val="en-US" w:bidi="zh-CN"/>
              </w:rPr>
              <w:t>鸭舍</w:t>
            </w:r>
            <w:r>
              <w:rPr>
                <w:rFonts w:hint="eastAsia" w:cs="Times New Roman"/>
                <w:color w:val="auto"/>
                <w:lang w:val="en-US" w:bidi="zh-CN"/>
              </w:rPr>
              <w:t>、</w:t>
            </w:r>
            <w:r>
              <w:rPr>
                <w:rFonts w:ascii="Times New Roman" w:hAnsi="Times New Roman" w:cs="Times New Roman"/>
                <w:color w:val="000000" w:themeColor="text1"/>
                <w:lang w:bidi="zh-CN"/>
                <w14:textFill>
                  <w14:solidFill>
                    <w14:schemeClr w14:val="tx1"/>
                  </w14:solidFill>
                </w14:textFill>
              </w:rPr>
              <w:t>入场消毒池</w:t>
            </w:r>
          </w:p>
        </w:tc>
        <w:tc>
          <w:tcPr>
            <w:tcW w:w="4273" w:type="dxa"/>
            <w:tcBorders>
              <w:tl2br w:val="nil"/>
              <w:tr2bl w:val="nil"/>
            </w:tcBorders>
            <w:vAlign w:val="center"/>
          </w:tcPr>
          <w:p w14:paraId="3F6B5905">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lang w:eastAsia="zh-CN"/>
                <w14:textFill>
                  <w14:solidFill>
                    <w14:schemeClr w14:val="tx1"/>
                  </w14:solidFill>
                </w14:textFill>
              </w:rPr>
              <w:t>采用高密度聚乙烯土工膜（HDPE）进行防渗</w:t>
            </w:r>
            <w:r>
              <w:rPr>
                <w:rFonts w:ascii="Times New Roman" w:hAnsi="Times New Roman"/>
                <w:color w:val="000000" w:themeColor="text1"/>
                <w:szCs w:val="21"/>
                <w:lang w:eastAsia="zh-CN"/>
                <w14:textFill>
                  <w14:solidFill>
                    <w14:schemeClr w14:val="tx1"/>
                  </w14:solidFill>
                </w14:textFill>
              </w:rPr>
              <w:t>，基础土分层夯实。</w:t>
            </w:r>
          </w:p>
        </w:tc>
        <w:tc>
          <w:tcPr>
            <w:tcW w:w="1538" w:type="dxa"/>
            <w:tcBorders>
              <w:tl2br w:val="nil"/>
              <w:tr2bl w:val="nil"/>
            </w:tcBorders>
            <w:vAlign w:val="center"/>
          </w:tcPr>
          <w:p w14:paraId="11F4E207">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等效黏土防渗层 Mb≥1.5m，K≤1×10</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vertAlign w:val="superscript"/>
                <w:lang w:eastAsia="en-US"/>
                <w14:textFill>
                  <w14:solidFill>
                    <w14:schemeClr w14:val="tx1"/>
                  </w14:solidFill>
                </w14:textFill>
              </w:rPr>
              <w:t>7</w:t>
            </w:r>
            <w:r>
              <w:rPr>
                <w:rFonts w:ascii="Times New Roman" w:hAnsi="Times New Roman"/>
                <w:color w:val="000000" w:themeColor="text1"/>
                <w:szCs w:val="21"/>
                <w:lang w:eastAsia="en-US"/>
                <w14:textFill>
                  <w14:solidFill>
                    <w14:schemeClr w14:val="tx1"/>
                  </w14:solidFill>
                </w14:textFill>
              </w:rPr>
              <w:t>cm/s</w:t>
            </w:r>
          </w:p>
        </w:tc>
      </w:tr>
      <w:tr w14:paraId="0395154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170" w:hRule="atLeast"/>
          <w:jc w:val="center"/>
        </w:trPr>
        <w:tc>
          <w:tcPr>
            <w:tcW w:w="866" w:type="dxa"/>
            <w:tcBorders>
              <w:tl2br w:val="nil"/>
              <w:tr2bl w:val="nil"/>
            </w:tcBorders>
            <w:vAlign w:val="center"/>
          </w:tcPr>
          <w:p w14:paraId="15E996D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简单防渗区</w:t>
            </w:r>
          </w:p>
        </w:tc>
        <w:tc>
          <w:tcPr>
            <w:tcW w:w="1704" w:type="dxa"/>
            <w:tcBorders>
              <w:tl2br w:val="nil"/>
              <w:tr2bl w:val="nil"/>
            </w:tcBorders>
            <w:vAlign w:val="center"/>
          </w:tcPr>
          <w:p w14:paraId="3A4E2D69">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办公生活区、锅炉房及其他</w:t>
            </w:r>
            <w:r>
              <w:rPr>
                <w:rFonts w:hint="eastAsia" w:cs="Times New Roman"/>
                <w:color w:val="auto"/>
                <w:lang w:val="en-US" w:bidi="zh-CN"/>
              </w:rPr>
              <w:t>办公仓储用房</w:t>
            </w:r>
          </w:p>
        </w:tc>
        <w:tc>
          <w:tcPr>
            <w:tcW w:w="4273" w:type="dxa"/>
            <w:tcBorders>
              <w:tl2br w:val="nil"/>
              <w:tr2bl w:val="nil"/>
            </w:tcBorders>
            <w:vAlign w:val="center"/>
          </w:tcPr>
          <w:p w14:paraId="44D9AADB">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水泥硬化</w:t>
            </w:r>
          </w:p>
        </w:tc>
        <w:tc>
          <w:tcPr>
            <w:tcW w:w="1538" w:type="dxa"/>
            <w:tcBorders>
              <w:tl2br w:val="nil"/>
              <w:tr2bl w:val="nil"/>
            </w:tcBorders>
            <w:vAlign w:val="center"/>
          </w:tcPr>
          <w:p w14:paraId="0206E135">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一般地面硬化</w:t>
            </w:r>
          </w:p>
        </w:tc>
      </w:tr>
    </w:tbl>
    <w:p w14:paraId="1A78AA66">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采取以上措施后，本项目重点污染防治区及一般污染防治区防渗层防渗系数均满足防渗要求，可有效阻止污染物下渗，措施可行。</w:t>
      </w:r>
    </w:p>
    <w:p w14:paraId="1FC776DD">
      <w:pPr>
        <w:ind w:firstLine="480"/>
        <w:rPr>
          <w:rFonts w:ascii="Times New Roman" w:hAnsi="Times New Roman" w:cs="Times New Roman"/>
          <w:color w:val="000000" w:themeColor="text1"/>
          <w:lang w:bidi="zh-CN"/>
          <w14:textFill>
            <w14:solidFill>
              <w14:schemeClr w14:val="tx1"/>
            </w14:solidFill>
          </w14:textFill>
        </w:rPr>
      </w:pPr>
      <w:bookmarkStart w:id="305" w:name="_Toc17245"/>
      <w:r>
        <w:rPr>
          <w:rFonts w:ascii="Times New Roman" w:hAnsi="Times New Roman" w:cs="Times New Roman"/>
          <w:color w:val="000000" w:themeColor="text1"/>
          <w:lang w:bidi="zh-CN"/>
          <w14:textFill>
            <w14:solidFill>
              <w14:schemeClr w14:val="tx1"/>
            </w14:solidFill>
          </w14:textFill>
        </w:rPr>
        <w:t>（4）地下水污染监控系统</w:t>
      </w:r>
      <w:bookmarkEnd w:id="305"/>
    </w:p>
    <w:p w14:paraId="287A7E7E">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本项目应建立地下水环境监测管理体系，以便及时发现问题，采取措施，根据《环境影响评价技术导则 地下水环境》（HJ610-2016），三级评价的建设项目跟踪监测点数量要求一般不少于一个，建设单位须在厂区下游布设一口地下水监测井，按要求开展例行监测。</w:t>
      </w:r>
    </w:p>
    <w:p w14:paraId="21D99B19">
      <w:pPr>
        <w:pStyle w:val="42"/>
        <w:keepNext w:val="0"/>
        <w:keepLines w:val="0"/>
        <w:pageBreakBefore w:val="0"/>
        <w:widowControl w:val="0"/>
        <w:numPr>
          <w:ilvl w:val="0"/>
          <w:numId w:val="0"/>
        </w:numPr>
        <w:kinsoku/>
        <w:wordWrap/>
        <w:overflowPunct/>
        <w:topLinePunct w:val="0"/>
        <w:autoSpaceDE/>
        <w:autoSpaceDN/>
        <w:bidi w:val="0"/>
        <w:adjustRightInd/>
        <w:ind w:firstLine="480" w:firstLineChars="200"/>
        <w:textAlignment w:val="auto"/>
        <w:rPr>
          <w:rFonts w:hint="eastAsia" w:ascii="Times New Roman" w:hAnsi="Times New Roman" w:cs="Times New Roman"/>
          <w:color w:val="000000" w:themeColor="text1"/>
          <w:lang w:val="en-US" w:bidi="zh-CN"/>
          <w14:textFill>
            <w14:solidFill>
              <w14:schemeClr w14:val="tx1"/>
            </w14:solidFill>
          </w14:textFill>
        </w:rPr>
      </w:pPr>
      <w:r>
        <w:rPr>
          <w:rFonts w:hint="eastAsia" w:ascii="Times New Roman" w:hAnsi="Times New Roman" w:eastAsia="宋体" w:cs="Times New Roman"/>
          <w:color w:val="000000" w:themeColor="text1"/>
          <w:kern w:val="2"/>
          <w:sz w:val="24"/>
          <w:szCs w:val="20"/>
          <w:lang w:val="en-US" w:eastAsia="zh-CN" w:bidi="zh-CN"/>
          <w14:textFill>
            <w14:solidFill>
              <w14:schemeClr w14:val="tx1"/>
            </w14:solidFill>
          </w14:textFill>
        </w:rPr>
        <w:t>（5）</w:t>
      </w:r>
      <w:r>
        <w:rPr>
          <w:rFonts w:hint="eastAsia" w:ascii="Times New Roman" w:hAnsi="Times New Roman" w:cs="Times New Roman"/>
          <w:color w:val="000000" w:themeColor="text1"/>
          <w:lang w:val="en-US" w:bidi="zh-CN"/>
          <w14:textFill>
            <w14:solidFill>
              <w14:schemeClr w14:val="tx1"/>
            </w14:solidFill>
          </w14:textFill>
        </w:rPr>
        <w:t>运行管理要求</w:t>
      </w:r>
    </w:p>
    <w:p w14:paraId="0D3C26B9">
      <w:pPr>
        <w:keepNext w:val="0"/>
        <w:keepLines w:val="0"/>
        <w:pageBreakBefore w:val="0"/>
        <w:widowControl w:val="0"/>
        <w:kinsoku/>
        <w:wordWrap/>
        <w:overflowPunct/>
        <w:topLinePunct w:val="0"/>
        <w:autoSpaceDE/>
        <w:autoSpaceDN/>
        <w:bidi w:val="0"/>
        <w:adjustRightInd/>
        <w:ind w:firstLine="480"/>
        <w:textAlignment w:val="auto"/>
        <w:rPr>
          <w:rFonts w:hint="eastAsia" w:ascii="Times New Roman" w:hAnsi="Times New Roman" w:cs="Times New Roman"/>
          <w:color w:val="000000" w:themeColor="text1"/>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bidi="zh-CN"/>
          <w14:textFill>
            <w14:solidFill>
              <w14:schemeClr w14:val="tx1"/>
            </w14:solidFill>
          </w14:textFill>
        </w:rPr>
        <w:t>根据《排污许可申请与核发技术规范 畜禽养殖行业》（HJ1029-2019）中的关于废水污染防治措施运行管理要求，建设单位应按照以下要求进行运行管理：</w:t>
      </w:r>
    </w:p>
    <w:p w14:paraId="472AC11D">
      <w:pPr>
        <w:keepNext w:val="0"/>
        <w:keepLines w:val="0"/>
        <w:pageBreakBefore w:val="0"/>
        <w:widowControl w:val="0"/>
        <w:kinsoku/>
        <w:wordWrap/>
        <w:overflowPunct/>
        <w:topLinePunct w:val="0"/>
        <w:autoSpaceDE/>
        <w:autoSpaceDN/>
        <w:bidi w:val="0"/>
        <w:adjustRightInd/>
        <w:ind w:firstLine="480"/>
        <w:textAlignment w:val="auto"/>
        <w:rPr>
          <w:rFonts w:hint="eastAsia" w:ascii="Times New Roman" w:hAnsi="Times New Roman" w:cs="Times New Roman"/>
          <w:color w:val="000000" w:themeColor="text1"/>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bidi="zh-CN"/>
          <w14:textFill>
            <w14:solidFill>
              <w14:schemeClr w14:val="tx1"/>
            </w14:solidFill>
          </w14:textFill>
        </w:rPr>
        <w:t>（1）建设单位应当按照相关法律法规、标准和技术规范等要求运行废水处理设施，并进行维护和管理，保证设施正常运行。</w:t>
      </w:r>
    </w:p>
    <w:p w14:paraId="4E7A1F28">
      <w:pPr>
        <w:keepNext w:val="0"/>
        <w:keepLines w:val="0"/>
        <w:pageBreakBefore w:val="0"/>
        <w:widowControl w:val="0"/>
        <w:kinsoku/>
        <w:wordWrap/>
        <w:overflowPunct/>
        <w:topLinePunct w:val="0"/>
        <w:autoSpaceDE/>
        <w:autoSpaceDN/>
        <w:bidi w:val="0"/>
        <w:adjustRightInd/>
        <w:ind w:firstLine="480"/>
        <w:textAlignment w:val="auto"/>
        <w:rPr>
          <w:rFonts w:hint="eastAsia" w:ascii="Times New Roman" w:hAnsi="Times New Roman" w:cs="Times New Roman"/>
          <w:color w:val="000000" w:themeColor="text1"/>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bidi="zh-CN"/>
          <w14:textFill>
            <w14:solidFill>
              <w14:schemeClr w14:val="tx1"/>
            </w14:solidFill>
          </w14:textFill>
        </w:rPr>
        <w:t>（2）建设单位必须实行严格的雨污分流措施。</w:t>
      </w:r>
    </w:p>
    <w:p w14:paraId="42C799E8">
      <w:pPr>
        <w:keepNext w:val="0"/>
        <w:keepLines w:val="0"/>
        <w:pageBreakBefore w:val="0"/>
        <w:widowControl w:val="0"/>
        <w:kinsoku/>
        <w:wordWrap/>
        <w:overflowPunct/>
        <w:topLinePunct w:val="0"/>
        <w:autoSpaceDE/>
        <w:autoSpaceDN/>
        <w:bidi w:val="0"/>
        <w:adjustRightInd/>
        <w:ind w:firstLine="480"/>
        <w:textAlignment w:val="auto"/>
        <w:rPr>
          <w:rFonts w:hint="default" w:ascii="Times New Roman" w:hAnsi="Times New Roman" w:cs="Times New Roman"/>
          <w:color w:val="000000" w:themeColor="text1"/>
          <w:lang w:val="en-US" w:eastAsia="zh-CN" w:bidi="zh-CN"/>
          <w14:textFill>
            <w14:solidFill>
              <w14:schemeClr w14:val="tx1"/>
            </w14:solidFill>
          </w14:textFill>
        </w:rPr>
      </w:pPr>
      <w:r>
        <w:rPr>
          <w:rFonts w:hint="eastAsia" w:ascii="Times New Roman" w:hAnsi="Times New Roman" w:cs="Times New Roman"/>
          <w:color w:val="000000" w:themeColor="text1"/>
          <w:lang w:val="en-US" w:eastAsia="zh-CN" w:bidi="zh-CN"/>
          <w14:textFill>
            <w14:solidFill>
              <w14:schemeClr w14:val="tx1"/>
            </w14:solidFill>
          </w14:textFill>
        </w:rPr>
        <w:t>（3）建设单位应加强生产节水管理，提高废水的循环利用率，减少污水排放量。</w:t>
      </w:r>
    </w:p>
    <w:p w14:paraId="6082B588">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综上所述，本项目在严格执行上述措施后，杜绝了场区污水下渗的途径，可有效避免本项目对地下水的影响，本评价认为建设单位采取的地下水污染防治措施在技术上是可行的。</w:t>
      </w:r>
    </w:p>
    <w:p w14:paraId="193F4A76">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306" w:name="6.2.3噪声防治措施及可行性分析"/>
      <w:bookmarkEnd w:id="306"/>
      <w:r>
        <w:rPr>
          <w:rFonts w:ascii="Times New Roman" w:hAnsi="Times New Roman" w:cs="Times New Roman"/>
          <w:color w:val="000000" w:themeColor="text1"/>
          <w14:textFill>
            <w14:solidFill>
              <w14:schemeClr w14:val="tx1"/>
            </w14:solidFill>
          </w14:textFill>
        </w:rPr>
        <w:t>噪声防治措施及可行性分析</w:t>
      </w:r>
    </w:p>
    <w:p w14:paraId="3AA6EB9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本项目营运期噪声主要为</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叫声、机械设备运行噪声和车辆噪声，针对本项目工程实际采取的噪声防治措施及项目特点，建议企业采取以下噪声控制措施：</w:t>
      </w:r>
    </w:p>
    <w:p w14:paraId="54B94414">
      <w:pPr>
        <w:ind w:firstLine="480"/>
        <w:rPr>
          <w:rFonts w:ascii="Times New Roman" w:hAnsi="Times New Roman" w:cs="Times New Roman"/>
          <w:color w:val="000000" w:themeColor="text1"/>
          <w14:textFill>
            <w14:solidFill>
              <w14:schemeClr w14:val="tx1"/>
            </w14:solidFill>
          </w14:textFill>
        </w:rPr>
      </w:pPr>
      <w:bookmarkStart w:id="307" w:name="_Toc5978"/>
      <w:r>
        <w:rPr>
          <w:rFonts w:ascii="Times New Roman" w:hAnsi="Times New Roman" w:cs="Times New Roman"/>
          <w:color w:val="000000" w:themeColor="text1"/>
          <w14:textFill>
            <w14:solidFill>
              <w14:schemeClr w14:val="tx1"/>
            </w14:solidFill>
          </w14:textFill>
        </w:rPr>
        <w:t>（1）选用低噪声设备</w:t>
      </w:r>
      <w:bookmarkEnd w:id="307"/>
    </w:p>
    <w:p w14:paraId="5669C110">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优先选用振动小、噪声低的设备，使用吸音材料降低撞击噪声；选用低噪声阀门。</w:t>
      </w:r>
    </w:p>
    <w:p w14:paraId="7FFBC9BD">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强烈振动的设备、管道与基础、支架、建筑物及其它设备之间采用柔性连接或支撑等。</w:t>
      </w:r>
    </w:p>
    <w:p w14:paraId="6A77EBB1">
      <w:pPr>
        <w:ind w:firstLine="480"/>
        <w:rPr>
          <w:rFonts w:ascii="Times New Roman" w:hAnsi="Times New Roman" w:cs="Times New Roman"/>
          <w:color w:val="000000" w:themeColor="text1"/>
          <w14:textFill>
            <w14:solidFill>
              <w14:schemeClr w14:val="tx1"/>
            </w14:solidFill>
          </w14:textFill>
        </w:rPr>
      </w:pPr>
      <w:bookmarkStart w:id="308" w:name="_Toc28454"/>
      <w:r>
        <w:rPr>
          <w:rFonts w:ascii="Times New Roman" w:hAnsi="Times New Roman" w:cs="Times New Roman"/>
          <w:color w:val="000000" w:themeColor="text1"/>
          <w14:textFill>
            <w14:solidFill>
              <w14:schemeClr w14:val="tx1"/>
            </w14:solidFill>
          </w14:textFill>
        </w:rPr>
        <w:t>（2）隔声、消声</w:t>
      </w:r>
      <w:bookmarkEnd w:id="308"/>
    </w:p>
    <w:p w14:paraId="34C2EA4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各噪声设备均应采用隔声、消声、吸声、隔振等综合控制技术措施。在风机和基础之间安装基础减震</w:t>
      </w:r>
      <w:r>
        <w:rPr>
          <w:rFonts w:hint="eastAsia" w:ascii="Times New Roman" w:hAnsi="Times New Roman" w:cs="Times New Roman"/>
          <w:color w:val="000000" w:themeColor="text1"/>
          <w:lang w:eastAsia="zh-CN"/>
          <w14:textFill>
            <w14:solidFill>
              <w14:schemeClr w14:val="tx1"/>
            </w14:solidFill>
          </w14:textFill>
        </w:rPr>
        <w:t>垫</w:t>
      </w:r>
      <w:r>
        <w:rPr>
          <w:rFonts w:ascii="Times New Roman" w:hAnsi="Times New Roman" w:cs="Times New Roman"/>
          <w:color w:val="000000" w:themeColor="text1"/>
          <w14:textFill>
            <w14:solidFill>
              <w14:schemeClr w14:val="tx1"/>
            </w14:solidFill>
          </w14:textFill>
        </w:rPr>
        <w:t>（如金属弹簧隔震器、橡胶隔震垫、玻璃纤维板等），减少扰动，防止共振，能有效降低源强。</w:t>
      </w:r>
    </w:p>
    <w:p w14:paraId="3F3834DC">
      <w:pPr>
        <w:ind w:firstLine="480"/>
        <w:rPr>
          <w:rFonts w:ascii="Times New Roman" w:hAnsi="Times New Roman" w:cs="Times New Roman"/>
          <w:color w:val="000000" w:themeColor="text1"/>
          <w14:textFill>
            <w14:solidFill>
              <w14:schemeClr w14:val="tx1"/>
            </w14:solidFill>
          </w14:textFill>
        </w:rPr>
      </w:pPr>
      <w:bookmarkStart w:id="309" w:name="_Toc27818"/>
      <w:r>
        <w:rPr>
          <w:rFonts w:ascii="Times New Roman" w:hAnsi="Times New Roman" w:cs="Times New Roman"/>
          <w:color w:val="000000" w:themeColor="text1"/>
          <w14:textFill>
            <w14:solidFill>
              <w14:schemeClr w14:val="tx1"/>
            </w14:solidFill>
          </w14:textFill>
        </w:rPr>
        <w:t>（3）个人防护</w:t>
      </w:r>
      <w:bookmarkEnd w:id="309"/>
    </w:p>
    <w:p w14:paraId="00E91F4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个人防护采取噪声控制措施后厂房内的噪声源仍然较强时，则应采取个人防护措施和减少接触噪声时间。对流动性、临时性噪声源和不宜采取噪声控制措施的工作场所，主要依靠个人防护用品（耳塞、耳罩等）防护。</w:t>
      </w:r>
    </w:p>
    <w:p w14:paraId="51C8EAF4">
      <w:pPr>
        <w:ind w:firstLine="480"/>
        <w:rPr>
          <w:rFonts w:ascii="Times New Roman" w:hAnsi="Times New Roman" w:cs="Times New Roman"/>
          <w:color w:val="000000" w:themeColor="text1"/>
          <w14:textFill>
            <w14:solidFill>
              <w14:schemeClr w14:val="tx1"/>
            </w14:solidFill>
          </w14:textFill>
        </w:rPr>
      </w:pPr>
      <w:bookmarkStart w:id="310" w:name="_Toc9428"/>
      <w:r>
        <w:rPr>
          <w:rFonts w:ascii="Times New Roman" w:hAnsi="Times New Roman" w:cs="Times New Roman"/>
          <w:color w:val="000000" w:themeColor="text1"/>
          <w14:textFill>
            <w14:solidFill>
              <w14:schemeClr w14:val="tx1"/>
            </w14:solidFill>
          </w14:textFill>
        </w:rPr>
        <w:t>（4）加强管理</w:t>
      </w:r>
      <w:bookmarkEnd w:id="310"/>
    </w:p>
    <w:p w14:paraId="5BBCEA5B">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加强设备的维护，确保设备处于良好的运转状态，杜绝因设备不正常运转时产生的高噪声现象；</w:t>
      </w:r>
    </w:p>
    <w:p w14:paraId="5B3B2DDB">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加强职工环保意识教育，提倡文明生产，防止人为噪声；</w:t>
      </w:r>
    </w:p>
    <w:p w14:paraId="3B9FE741">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对于厂区流动声源，要强化行车管理制度，设置降噪标准，严禁鸣笛，进入厂区低速行驶，最大限度减少流动噪声源。</w:t>
      </w:r>
    </w:p>
    <w:p w14:paraId="4CBBF01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在采取了以上有效的防治措施后，厂界噪声可满足《工业企业厂界环境噪声排放标准》（GB12348—2008）中</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类标准。因此，本项目拟采取的噪声防治措施可行。</w:t>
      </w:r>
    </w:p>
    <w:p w14:paraId="726C7887">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311" w:name="6.2.4固体废弃物治理措施及可行性分析"/>
      <w:bookmarkEnd w:id="311"/>
      <w:r>
        <w:rPr>
          <w:rFonts w:ascii="Times New Roman" w:hAnsi="Times New Roman" w:cs="Times New Roman"/>
          <w:color w:val="000000" w:themeColor="text1"/>
          <w14:textFill>
            <w14:solidFill>
              <w14:schemeClr w14:val="tx1"/>
            </w14:solidFill>
          </w14:textFill>
        </w:rPr>
        <w:t>固体废弃物治理措施及可行性分析</w:t>
      </w:r>
    </w:p>
    <w:p w14:paraId="33176AC7">
      <w:pPr>
        <w:ind w:firstLine="480"/>
        <w:rPr>
          <w:rFonts w:ascii="Times New Roman" w:hAnsi="Times New Roman" w:cs="Times New Roman"/>
          <w:color w:val="000000" w:themeColor="text1"/>
          <w14:textFill>
            <w14:solidFill>
              <w14:schemeClr w14:val="tx1"/>
            </w14:solidFill>
          </w14:textFill>
        </w:rPr>
      </w:pPr>
      <w:bookmarkStart w:id="312" w:name="_Toc745"/>
      <w:r>
        <w:rPr>
          <w:rFonts w:hint="eastAsia" w:cs="Times New Roman"/>
          <w:color w:val="000000" w:themeColor="text1"/>
          <w:lang w:eastAsia="zh-CN"/>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w:t>
      </w:r>
      <w:bookmarkEnd w:id="312"/>
    </w:p>
    <w:p w14:paraId="2EEB66EB">
      <w:pPr>
        <w:ind w:firstLine="480"/>
        <w:rPr>
          <w:rFonts w:ascii="Times New Roman" w:hAnsi="Times New Roman" w:cs="Times New Roman"/>
          <w:color w:val="000000" w:themeColor="text1"/>
          <w14:textFill>
            <w14:solidFill>
              <w14:schemeClr w14:val="tx1"/>
            </w14:solidFill>
          </w14:textFill>
        </w:rPr>
      </w:pPr>
      <w:bookmarkStart w:id="313" w:name="_Toc10969"/>
      <w:r>
        <w:rPr>
          <w:rFonts w:ascii="Times New Roman" w:hAnsi="Times New Roman" w:cs="Times New Roman"/>
          <w:color w:val="000000" w:themeColor="text1"/>
          <w14:textFill>
            <w14:solidFill>
              <w14:schemeClr w14:val="tx1"/>
            </w14:solidFill>
          </w14:textFill>
        </w:rPr>
        <w:t>（1）污染防治措施</w:t>
      </w:r>
      <w:bookmarkEnd w:id="313"/>
    </w:p>
    <w:p w14:paraId="664C3C2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及垫草料不在项目区贮存，直接拉运至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w:t>
      </w:r>
    </w:p>
    <w:p w14:paraId="0269BA79">
      <w:pPr>
        <w:ind w:firstLine="480"/>
        <w:rPr>
          <w:rFonts w:ascii="Times New Roman" w:hAnsi="Times New Roman" w:cs="Times New Roman"/>
          <w:color w:val="000000" w:themeColor="text1"/>
          <w14:textFill>
            <w14:solidFill>
              <w14:schemeClr w14:val="tx1"/>
            </w14:solidFill>
          </w14:textFill>
        </w:rPr>
      </w:pPr>
      <w:bookmarkStart w:id="314" w:name="_Toc13167"/>
      <w:r>
        <w:rPr>
          <w:rFonts w:ascii="Times New Roman" w:hAnsi="Times New Roman" w:cs="Times New Roman"/>
          <w:color w:val="000000" w:themeColor="text1"/>
          <w14:textFill>
            <w14:solidFill>
              <w14:schemeClr w14:val="tx1"/>
            </w14:solidFill>
          </w14:textFill>
        </w:rPr>
        <w:t>（2）措施可行性</w:t>
      </w:r>
      <w:bookmarkEnd w:id="314"/>
    </w:p>
    <w:p w14:paraId="7D11E75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根据《排污许可证申请与核发技术规范 畜禽养殖行业》（HJ1029-2019）固体粪污管理要求可知，固体粪污外销处理与利用的畜禽养殖行业排污单位，应达到以下要求：</w:t>
      </w:r>
    </w:p>
    <w:p w14:paraId="7A777EA4">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具备粪污临时储存设施，储存设施满足《畜禽规模养殖场粪污资源化利用设施建设规范（试行）》中的相关要求。</w:t>
      </w:r>
    </w:p>
    <w:p w14:paraId="53EB6571">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具备稳定、合理、正规的粪便外销途径（如有机肥加工厂、农业生产基地等）。</w:t>
      </w:r>
    </w:p>
    <w:p w14:paraId="7C186DF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根据《畜禽养殖场（户）粪污处理设施建设技术指南》畜禽粪污暂存设施管理要求：</w:t>
      </w:r>
    </w:p>
    <w:p w14:paraId="02A53FC8">
      <w:pPr>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畜禽养殖场（户）建设畜禽粪污暂存池（场）的，液体粪污暂存池容积不小于单位畜禽液体粪污日产生量（立方米/天·头、只、羽）×暂存周期（天×设计存栏量（头、只、羽），固体粪污暂存场容积不小于单位畜禽固体粪污日产生量（立方米/天·头、只、羽）×暂存周期（天）×设计存栏量（头、只、羽）</w:t>
      </w:r>
      <w:r>
        <w:rPr>
          <w:rFonts w:ascii="Times New Roman" w:hAnsi="Times New Roman" w:cs="Times New Roman"/>
          <w:color w:val="000000" w:themeColor="text1"/>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 xml:space="preserve">暂存周期按转运处理最大时间间隔确定。鼓励采取加盖等措施，减少恶臭气体排放和雨水进入。 </w:t>
      </w:r>
    </w:p>
    <w:p w14:paraId="3BD2575B">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是一家从事有机肥、生物菌肥、复合微生物菌肥加工销售等业务的公司，距离本项目</w:t>
      </w:r>
      <w:r>
        <w:rPr>
          <w:rFonts w:hint="eastAsia" w:ascii="Times New Roman" w:hAnsi="Times New Roman" w:cs="Times New Roman"/>
          <w:color w:val="000000" w:themeColor="text1"/>
          <w:lang w:val="en-US" w:eastAsia="zh-CN"/>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km，其中有机肥年产量为</w:t>
      </w:r>
      <w:r>
        <w:rPr>
          <w:rFonts w:hint="eastAsia" w:cs="Times New Roman"/>
          <w:color w:val="000000" w:themeColor="text1"/>
          <w:lang w:val="en-US" w:eastAsia="zh-CN"/>
          <w14:textFill>
            <w14:solidFill>
              <w14:schemeClr w14:val="tx1"/>
            </w14:solidFill>
          </w14:textFill>
        </w:rPr>
        <w:t>18</w:t>
      </w:r>
      <w:r>
        <w:rPr>
          <w:rFonts w:ascii="Times New Roman" w:hAnsi="Times New Roman" w:cs="Times New Roman"/>
          <w:color w:val="000000" w:themeColor="text1"/>
          <w14:textFill>
            <w14:solidFill>
              <w14:schemeClr w14:val="tx1"/>
            </w14:solidFill>
          </w14:textFill>
        </w:rPr>
        <w:t>万</w:t>
      </w:r>
      <w:r>
        <w:rPr>
          <w:rFonts w:hint="eastAsia" w:cs="Times New Roman"/>
          <w:color w:val="000000" w:themeColor="text1"/>
          <w:lang w:val="en-US" w:eastAsia="zh-CN"/>
          <w14:textFill>
            <w14:solidFill>
              <w14:schemeClr w14:val="tx1"/>
            </w14:solidFill>
          </w14:textFill>
        </w:rPr>
        <w:t>吨</w:t>
      </w:r>
      <w:r>
        <w:rPr>
          <w:rFonts w:ascii="Times New Roman" w:hAnsi="Times New Roman" w:cs="Times New Roman"/>
          <w:color w:val="000000" w:themeColor="text1"/>
          <w14:textFill>
            <w14:solidFill>
              <w14:schemeClr w14:val="tx1"/>
            </w14:solidFill>
          </w14:textFill>
        </w:rPr>
        <w:t>。本项目采用干清粪工艺，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及垫草料产生量为</w:t>
      </w:r>
      <w:r>
        <w:rPr>
          <w:rFonts w:hint="eastAsia"/>
          <w:color w:val="000000" w:themeColor="text1"/>
          <w:lang w:val="en-US" w:eastAsia="zh-CN"/>
          <w14:textFill>
            <w14:solidFill>
              <w14:schemeClr w14:val="tx1"/>
            </w14:solidFill>
          </w14:textFill>
        </w:rPr>
        <w:t>4360</w:t>
      </w:r>
      <w:r>
        <w:rPr>
          <w:rFonts w:hint="eastAsia" w:ascii="Times New Roman" w:hAnsi="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t/a，远小于</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处理量，</w:t>
      </w:r>
      <w:r>
        <w:rPr>
          <w:rFonts w:hint="eastAsia" w:ascii="Times New Roman" w:hAnsi="Times New Roman" w:cs="Times New Roman"/>
          <w:color w:val="000000" w:themeColor="text1"/>
          <w:lang w:val="en-US" w:eastAsia="zh-CN"/>
          <w14:textFill>
            <w14:solidFill>
              <w14:schemeClr w14:val="tx1"/>
            </w14:solidFill>
          </w14:textFill>
        </w:rPr>
        <w:t>本项目</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及垫草料不在项目区贮存，直接拉运至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外售，符合《排污许可证申请与核发技术规范 畜禽养殖行业》（HJ1029-2019）固体粪污管理要求，污染防治技术合理可行。</w:t>
      </w:r>
      <w:bookmarkStart w:id="315" w:name="_Toc28618"/>
    </w:p>
    <w:p w14:paraId="201F3E69">
      <w:pPr>
        <w:numPr>
          <w:ilvl w:val="0"/>
          <w:numId w:val="0"/>
        </w:num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sz w:val="24"/>
          <w:szCs w:val="22"/>
          <w:lang w:val="en-US" w:eastAsia="zh-CN" w:bidi="ar-SA"/>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固体粪污管理要求</w:t>
      </w:r>
    </w:p>
    <w:p w14:paraId="520F1DA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本项目鸭粪采用干清粪工艺，本项目鸭粪落入</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下方垫草料区域，该区域位于</w:t>
      </w:r>
      <w:r>
        <w:rPr>
          <w:rFonts w:hint="eastAsia" w:cs="Times New Roman"/>
          <w:color w:val="000000" w:themeColor="text1"/>
          <w:lang w:val="en-US" w:eastAsia="zh-CN"/>
          <w14:textFill>
            <w14:solidFill>
              <w14:schemeClr w14:val="tx1"/>
            </w14:solidFill>
          </w14:textFill>
        </w:rPr>
        <w:t>鸭舍</w:t>
      </w:r>
      <w:r>
        <w:rPr>
          <w:rFonts w:hint="eastAsia" w:ascii="Times New Roman" w:hAnsi="Times New Roman" w:cs="Times New Roman"/>
          <w:color w:val="000000" w:themeColor="text1"/>
          <w:lang w:val="en-US" w:eastAsia="zh-CN"/>
          <w14:textFill>
            <w14:solidFill>
              <w14:schemeClr w14:val="tx1"/>
            </w14:solidFill>
          </w14:textFill>
        </w:rPr>
        <w:t>下方，位于室内，有防雨淋设施，本项目鸭粪不在项目区范围内堆存，本</w:t>
      </w:r>
      <w:r>
        <w:rPr>
          <w:rFonts w:hint="eastAsia" w:cs="Times New Roman"/>
          <w:color w:val="000000" w:themeColor="text1"/>
          <w:lang w:val="en-US" w:eastAsia="zh-CN"/>
          <w14:textFill>
            <w14:solidFill>
              <w14:schemeClr w14:val="tx1"/>
            </w14:solidFill>
          </w14:textFill>
        </w:rPr>
        <w:t>次</w:t>
      </w:r>
      <w:r>
        <w:rPr>
          <w:rFonts w:hint="eastAsia" w:ascii="Times New Roman" w:hAnsi="Times New Roman" w:cs="Times New Roman"/>
          <w:color w:val="000000" w:themeColor="text1"/>
          <w:lang w:val="en-US" w:eastAsia="zh-CN"/>
          <w14:textFill>
            <w14:solidFill>
              <w14:schemeClr w14:val="tx1"/>
            </w14:solidFill>
          </w14:textFill>
        </w:rPr>
        <w:t>环评要求定期对该区域喷洒除臭剂。</w:t>
      </w:r>
      <w:r>
        <w:rPr>
          <w:rFonts w:hint="eastAsia" w:cs="Times New Roman"/>
          <w:color w:val="000000" w:themeColor="text1"/>
          <w:lang w:val="en-US" w:eastAsia="zh-CN"/>
          <w14:textFill>
            <w14:solidFill>
              <w14:schemeClr w14:val="tx1"/>
            </w14:solidFill>
          </w14:textFill>
        </w:rPr>
        <w:t>供热锅炉产生灰渣，灰渣为1类工业固废，含有对农作物有益成分；灰渣、</w:t>
      </w:r>
      <w:r>
        <w:rPr>
          <w:rFonts w:hint="eastAsia" w:ascii="Times New Roman" w:hAnsi="Times New Roman" w:cs="Times New Roman"/>
          <w:color w:val="000000" w:themeColor="text1"/>
          <w:lang w:val="en-US" w:eastAsia="zh-CN"/>
          <w14:textFill>
            <w14:solidFill>
              <w14:schemeClr w14:val="tx1"/>
            </w14:solidFill>
          </w14:textFill>
        </w:rPr>
        <w:t>鸭粪</w:t>
      </w:r>
      <w:r>
        <w:rPr>
          <w:rFonts w:hint="eastAsia" w:cs="Times New Roman"/>
          <w:color w:val="000000" w:themeColor="text1"/>
          <w:lang w:val="en-US" w:eastAsia="zh-CN"/>
          <w14:textFill>
            <w14:solidFill>
              <w14:schemeClr w14:val="tx1"/>
            </w14:solidFill>
          </w14:textFill>
        </w:rPr>
        <w:t>集中</w:t>
      </w:r>
      <w:r>
        <w:rPr>
          <w:rFonts w:hint="eastAsia" w:ascii="Times New Roman" w:hAnsi="Times New Roman" w:cs="Times New Roman"/>
          <w:color w:val="000000" w:themeColor="text1"/>
          <w:lang w:val="en-US" w:eastAsia="zh-CN"/>
          <w14:textFill>
            <w14:solidFill>
              <w14:schemeClr w14:val="tx1"/>
            </w14:solidFill>
          </w14:textFill>
        </w:rPr>
        <w:t>清理后的粪污直接拉运至63团粪污处理场综合利用，本项目区范围内不设置临时堆存区域。</w:t>
      </w:r>
    </w:p>
    <w:p w14:paraId="74208B1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2.淘汰鸭、病死鸭</w:t>
      </w:r>
      <w:r>
        <w:rPr>
          <w:rFonts w:ascii="Times New Roman" w:hAnsi="Times New Roman" w:cs="Times New Roman"/>
          <w:color w:val="000000" w:themeColor="text1"/>
          <w14:textFill>
            <w14:solidFill>
              <w14:schemeClr w14:val="tx1"/>
            </w14:solidFill>
          </w14:textFill>
        </w:rPr>
        <w:t>尸体</w:t>
      </w:r>
      <w:bookmarkEnd w:id="315"/>
    </w:p>
    <w:p w14:paraId="3FE3BF8D">
      <w:pPr>
        <w:ind w:firstLine="480"/>
        <w:rPr>
          <w:rFonts w:ascii="Times New Roman" w:hAnsi="Times New Roman" w:cs="Times New Roman"/>
          <w:color w:val="000000" w:themeColor="text1"/>
          <w14:textFill>
            <w14:solidFill>
              <w14:schemeClr w14:val="tx1"/>
            </w14:solidFill>
          </w14:textFill>
        </w:rPr>
      </w:pPr>
      <w:bookmarkStart w:id="316" w:name="_Toc1681"/>
      <w:r>
        <w:rPr>
          <w:rFonts w:ascii="Times New Roman" w:hAnsi="Times New Roman" w:cs="Times New Roman"/>
          <w:color w:val="000000" w:themeColor="text1"/>
          <w14:textFill>
            <w14:solidFill>
              <w14:schemeClr w14:val="tx1"/>
            </w14:solidFill>
          </w14:textFill>
        </w:rPr>
        <w:t>（1）污染防治措施</w:t>
      </w:r>
      <w:bookmarkEnd w:id="316"/>
    </w:p>
    <w:p w14:paraId="70EC819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根据环办函</w:t>
      </w:r>
      <w:r>
        <w:rPr>
          <w:rFonts w:hint="eastAsia" w:ascii="Times New Roman" w:hAnsi="Times New Roman" w:cs="Times New Roman"/>
          <w:color w:val="000000" w:themeColor="text1"/>
          <w:lang w:eastAsia="zh-CN"/>
          <w14:textFill>
            <w14:solidFill>
              <w14:schemeClr w14:val="tx1"/>
            </w14:solidFill>
          </w14:textFill>
        </w:rPr>
        <w:t>〔2014〕789号</w:t>
      </w:r>
      <w:r>
        <w:rPr>
          <w:rFonts w:ascii="Times New Roman" w:hAnsi="Times New Roman" w:cs="Times New Roman"/>
          <w:color w:val="000000" w:themeColor="text1"/>
          <w14:textFill>
            <w14:solidFill>
              <w14:schemeClr w14:val="tx1"/>
            </w14:solidFill>
          </w14:textFill>
        </w:rPr>
        <w:t>文《关于病害动物无害化处理有关意见的复函》：“病害动物无害化处理项目由农业部门按照有关法律法规和技术规范进行监管，可以实现病害动物无害化处理和环境污染防控的目的，不宜再认定为危险废物集中处置项目。病害动物的无害化处理应执行《</w:t>
      </w:r>
      <w:r>
        <w:rPr>
          <w:rFonts w:hint="eastAsia" w:ascii="Times New Roman" w:hAnsi="Times New Roman" w:cs="Times New Roman"/>
          <w:color w:val="000000" w:themeColor="text1"/>
          <w:lang w:eastAsia="zh-CN"/>
          <w14:textFill>
            <w14:solidFill>
              <w14:schemeClr w14:val="tx1"/>
            </w14:solidFill>
          </w14:textFill>
        </w:rPr>
        <w:t>中华人民共和国动物防疫法</w:t>
      </w:r>
      <w:r>
        <w:rPr>
          <w:rFonts w:ascii="Times New Roman" w:hAnsi="Times New Roman" w:cs="Times New Roman"/>
          <w:color w:val="000000" w:themeColor="text1"/>
          <w14:textFill>
            <w14:solidFill>
              <w14:schemeClr w14:val="tx1"/>
            </w14:solidFill>
          </w14:textFill>
        </w:rPr>
        <w:t>》”。</w:t>
      </w:r>
    </w:p>
    <w:p w14:paraId="77E8409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伊宁市病死畜禽无害化处理中心位于伊宁市英也尔镇南台子沟，2023年3月建成投产，采用高温干</w:t>
      </w:r>
      <w:r>
        <w:rPr>
          <w:rFonts w:hint="eastAsia" w:ascii="Times New Roman" w:hAnsi="Times New Roman" w:cs="Times New Roman"/>
          <w:color w:val="000000" w:themeColor="text1"/>
          <w:lang w:eastAsia="zh-CN"/>
          <w14:textFill>
            <w14:solidFill>
              <w14:schemeClr w14:val="tx1"/>
            </w14:solidFill>
          </w14:textFill>
        </w:rPr>
        <w:t>化</w:t>
      </w:r>
      <w:r>
        <w:rPr>
          <w:rFonts w:ascii="Times New Roman" w:hAnsi="Times New Roman" w:cs="Times New Roman"/>
          <w:color w:val="000000" w:themeColor="text1"/>
          <w14:textFill>
            <w14:solidFill>
              <w14:schemeClr w14:val="tx1"/>
            </w14:solidFill>
          </w14:textFill>
        </w:rPr>
        <w:t>制无害化处理工艺，建成可实现</w:t>
      </w:r>
      <w:r>
        <w:rPr>
          <w:rFonts w:ascii="Times New Roman" w:hAnsi="Times New Roman" w:eastAsia="宋体" w:cs="Times New Roman"/>
          <w:color w:val="000000" w:themeColor="text1"/>
          <w14:textFill>
            <w14:solidFill>
              <w14:schemeClr w14:val="tx1"/>
            </w14:solidFill>
          </w14:textFill>
        </w:rPr>
        <w:t>无害化处理病死畜禽3000</w:t>
      </w:r>
      <w:r>
        <w:rPr>
          <w:rFonts w:ascii="Times New Roman" w:hAnsi="Times New Roman" w:cs="Times New Roman"/>
          <w:color w:val="000000" w:themeColor="text1"/>
          <w14:textFill>
            <w14:solidFill>
              <w14:schemeClr w14:val="tx1"/>
            </w14:solidFill>
          </w14:textFill>
        </w:rPr>
        <w:t>t/a。本项目</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尸体产生量约为</w:t>
      </w:r>
      <w:r>
        <w:rPr>
          <w:rFonts w:hint="eastAsia" w:ascii="Times New Roman" w:hAnsi="Times New Roman" w:cs="Times New Roman"/>
          <w:color w:val="000000" w:themeColor="text1"/>
          <w:lang w:val="en-US" w:eastAsia="zh-CN"/>
          <w14:textFill>
            <w14:solidFill>
              <w14:schemeClr w14:val="tx1"/>
            </w14:solidFill>
          </w14:textFill>
        </w:rPr>
        <w:t>5.</w:t>
      </w:r>
      <w:r>
        <w:rPr>
          <w:rFonts w:hint="eastAsia"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t/a，远小于伊宁市病死畜禽无害化处理中心处理量，</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尸体采用密闭，不渗水的容器装盛，由密闭式冷藏周转</w:t>
      </w:r>
      <w:r>
        <w:rPr>
          <w:rFonts w:hint="eastAsia" w:ascii="Times New Roman" w:hAnsi="Times New Roman" w:cs="Times New Roman"/>
          <w:color w:val="000000" w:themeColor="text1"/>
          <w:lang w:eastAsia="zh-CN"/>
          <w14:textFill>
            <w14:solidFill>
              <w14:schemeClr w14:val="tx1"/>
            </w14:solidFill>
          </w14:textFill>
        </w:rPr>
        <w:t>厢式车</w:t>
      </w:r>
      <w:r>
        <w:rPr>
          <w:rFonts w:ascii="Times New Roman" w:hAnsi="Times New Roman" w:cs="Times New Roman"/>
          <w:color w:val="000000" w:themeColor="text1"/>
          <w14:textFill>
            <w14:solidFill>
              <w14:schemeClr w14:val="tx1"/>
            </w14:solidFill>
          </w14:textFill>
        </w:rPr>
        <w:t>辆送到无害化处理车间处理，车厢四壁及底部使用耐腐蚀材料，并采取防渗措施，车辆进入、驶离养殖场时，对车轮及车厢外部进行喷雾消毒，运输车辆尽量避免进入人口密集区，卸载后，对运输车辆等进行彻底消毒。污染防治技术可行。</w:t>
      </w:r>
    </w:p>
    <w:p w14:paraId="7EE9D9BE">
      <w:pPr>
        <w:ind w:firstLine="480"/>
        <w:rPr>
          <w:rFonts w:ascii="Times New Roman" w:hAnsi="Times New Roman" w:cs="Times New Roman"/>
          <w:color w:val="000000" w:themeColor="text1"/>
          <w14:textFill>
            <w14:solidFill>
              <w14:schemeClr w14:val="tx1"/>
            </w14:solidFill>
          </w14:textFill>
        </w:rPr>
      </w:pPr>
      <w:bookmarkStart w:id="317" w:name="_Toc13351"/>
      <w:r>
        <w:rPr>
          <w:rFonts w:hint="eastAsia" w:cs="Times New Roman"/>
          <w:color w:val="000000" w:themeColor="text1"/>
          <w:lang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兽用医疗废物</w:t>
      </w:r>
      <w:bookmarkEnd w:id="317"/>
    </w:p>
    <w:p w14:paraId="4E7A5F5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场设专职兽医，负责防疫、检疫和治疗工作，根据建设单位提供资料，卫生防疫过</w:t>
      </w:r>
      <w:r>
        <w:rPr>
          <w:rFonts w:hint="eastAsia" w:cs="Times New Roman"/>
          <w:color w:val="000000" w:themeColor="text1"/>
          <w:lang w:eastAsia="zh-CN"/>
          <w14:textFill>
            <w14:solidFill>
              <w14:schemeClr w14:val="tx1"/>
            </w14:solidFill>
          </w14:textFill>
        </w:rPr>
        <w:t>程中</w:t>
      </w:r>
      <w:r>
        <w:rPr>
          <w:rFonts w:ascii="Times New Roman" w:hAnsi="Times New Roman" w:cs="Times New Roman"/>
          <w:color w:val="000000" w:themeColor="text1"/>
          <w14:textFill>
            <w14:solidFill>
              <w14:schemeClr w14:val="tx1"/>
            </w14:solidFill>
          </w14:textFill>
        </w:rPr>
        <w:t>产生的废注射器和废药瓶等医疗废物产生量</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153</w:t>
      </w:r>
      <w:r>
        <w:rPr>
          <w:rFonts w:ascii="Times New Roman" w:hAnsi="Times New Roman" w:cs="Times New Roman"/>
          <w:color w:val="000000" w:themeColor="text1"/>
          <w14:textFill>
            <w14:solidFill>
              <w14:schemeClr w14:val="tx1"/>
            </w14:solidFill>
          </w14:textFill>
        </w:rPr>
        <w:t>t/a。根据《国家危险废物名录》中相关规定，为防治动物传染病而需要收集和处置的废物属于编号HW01医疗废物，不得随意丢弃，需妥善处置。本项目设置危废暂存间1座，用于收集、贮存养</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过程产生的医疗废物，定期交由有危废处理资质的单位处置。</w:t>
      </w:r>
    </w:p>
    <w:p w14:paraId="7834BA15">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（1）临时贮存、转移、处置要求</w:t>
      </w:r>
    </w:p>
    <w:p w14:paraId="4DFBAAD2">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危废暂存间须满足《危险废物贮存污染控制标准》（GB18597-20</w:t>
      </w:r>
      <w:r>
        <w:rPr>
          <w:rFonts w:hint="eastAsia" w:ascii="Times New Roman" w:hAnsi="Times New Roman" w:cs="Times New Roman"/>
          <w:color w:val="000000" w:themeColor="text1"/>
          <w:lang w:val="en-US" w:eastAsia="zh-CN"/>
          <w14:textFill>
            <w14:solidFill>
              <w14:schemeClr w14:val="tx1"/>
            </w14:solidFill>
          </w14:textFill>
        </w:rPr>
        <w:t>23</w:t>
      </w:r>
      <w:r>
        <w:rPr>
          <w:rFonts w:ascii="Times New Roman" w:hAnsi="Times New Roman" w:cs="Times New Roman"/>
          <w:color w:val="000000" w:themeColor="text1"/>
          <w14:textFill>
            <w14:solidFill>
              <w14:schemeClr w14:val="tx1"/>
            </w14:solidFill>
          </w14:textFill>
        </w:rPr>
        <w:t>）的有关规定要求：危废暂存间地面设置混凝土基础做防渗处理，防渗层采用2mm厚的防渗材料，保证渗透系数≤10</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vertAlign w:val="super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cm/s，并铺设HDPE防渗膜做防渗处理；危废的贮存场所设置明显标志；贮存场所内禁止混放</w:t>
      </w:r>
      <w:r>
        <w:rPr>
          <w:rFonts w:hint="eastAsia" w:ascii="Times New Roman" w:hAnsi="Times New Roman" w:cs="Times New Roman"/>
          <w:color w:val="000000" w:themeColor="text1"/>
          <w:lang w:eastAsia="zh-CN"/>
          <w14:textFill>
            <w14:solidFill>
              <w14:schemeClr w14:val="tx1"/>
            </w14:solidFill>
          </w14:textFill>
        </w:rPr>
        <w:t>不相容</w:t>
      </w:r>
      <w:r>
        <w:rPr>
          <w:rFonts w:ascii="Times New Roman" w:hAnsi="Times New Roman" w:cs="Times New Roman"/>
          <w:color w:val="000000" w:themeColor="text1"/>
          <w14:textFill>
            <w14:solidFill>
              <w14:schemeClr w14:val="tx1"/>
            </w14:solidFill>
          </w14:textFill>
        </w:rPr>
        <w:t>危险废物</w:t>
      </w:r>
      <w:r>
        <w:rPr>
          <w:rFonts w:hint="eastAsia" w:ascii="Times New Roman" w:hAnsi="Times New Roman" w:cs="Times New Roman"/>
          <w:color w:val="000000" w:themeColor="text1"/>
          <w:lang w:eastAsia="zh-CN"/>
          <w14:textFill>
            <w14:solidFill>
              <w14:schemeClr w14:val="tx1"/>
            </w14:solidFill>
          </w14:textFill>
        </w:rPr>
        <w:t>。</w:t>
      </w:r>
    </w:p>
    <w:p w14:paraId="1FCDF24D">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危废的转移执行国家环保总局第5号令《危险废物转移联单管理办法》。</w:t>
      </w:r>
      <w:r>
        <w:rPr>
          <w:rFonts w:hint="eastAsia" w:ascii="Times New Roman" w:hAnsi="Times New Roman" w:cs="Times New Roman"/>
          <w:color w:val="000000" w:themeColor="text1"/>
          <w:lang w:val="en-US" w:eastAsia="zh-CN"/>
          <w14:textFill>
            <w14:solidFill>
              <w14:schemeClr w14:val="tx1"/>
            </w14:solidFill>
          </w14:textFill>
        </w:rPr>
        <w:t>危险废物在运往处置处理单位时，要严格落实环境保护措施，严格按照国家和地方政府有关规定采用危险废物专用运输车辆，杜绝运输以及装卸过程中废渣液渗漏、遗撒对环境造成的二次污染，同时车辆应尽量避免途经人口密集的城区。</w:t>
      </w:r>
    </w:p>
    <w:p w14:paraId="4BE84F2F">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此外，对危险固体废物的管理还应注意以下几个方面：</w:t>
      </w:r>
    </w:p>
    <w:p w14:paraId="3C13BB2B">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设置环境保护图形标志；</w:t>
      </w:r>
    </w:p>
    <w:p w14:paraId="358EECDA">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建立档案制度，详细记录入场的固体废物的种类和数量等信息，长期保存，供随时查阅；</w:t>
      </w:r>
    </w:p>
    <w:p w14:paraId="3DB98E4E">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应当使用符合标准的容器盛装危险废物；</w:t>
      </w:r>
    </w:p>
    <w:p w14:paraId="566A0283">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禁止将不相容（相互反应）的危险废物在同一容器内混装；</w:t>
      </w:r>
    </w:p>
    <w:p w14:paraId="37A6E926">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装有不相容危险废物的容器必须分开存放；</w:t>
      </w:r>
    </w:p>
    <w:p w14:paraId="3EA3925C">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lang w:val="en-US" w:eastAsia="zh-CN"/>
          <w14:textFill>
            <w14:solidFill>
              <w14:schemeClr w14:val="tx1"/>
            </w14:solidFill>
          </w14:textFill>
        </w:rPr>
        <w:t>危险废物贮存前应进行检验，确保同预定接收的危险废物一致，并注册登记，做好记录，记录上须注明危险废物的名称、来源、数量、特性和包装容器的类别、入库日期、存放库位、废物出库日期及接收单位名称；</w:t>
      </w:r>
    </w:p>
    <w:p w14:paraId="75C65956">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lang w:val="en-US" w:eastAsia="zh-CN"/>
          <w14:textFill>
            <w14:solidFill>
              <w14:schemeClr w14:val="tx1"/>
            </w14:solidFill>
          </w14:textFill>
        </w:rPr>
        <w:t>必须定期对贮存危险废物的包装容器及贮存设施进行检查，发现破损，应及时采取措施清理更换；</w:t>
      </w:r>
    </w:p>
    <w:p w14:paraId="3A5AA84F">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危险废物贮存设施内清理出来的泄漏物，一律按危险废物处理；</w:t>
      </w:r>
    </w:p>
    <w:p w14:paraId="5850F8D3">
      <w:pPr>
        <w:pStyle w:val="13"/>
        <w:keepNext w:val="0"/>
        <w:keepLines w:val="0"/>
        <w:pageBreakBefore w:val="0"/>
        <w:widowControl w:val="0"/>
        <w:kinsoku/>
        <w:wordWrap/>
        <w:overflowPunct/>
        <w:topLinePunct w:val="0"/>
        <w:autoSpaceDE/>
        <w:autoSpaceDN/>
        <w:bidi w:val="0"/>
        <w:adjustRightInd/>
        <w:snapToGrid/>
        <w:spacing w:after="0"/>
        <w:ind w:firstLine="480"/>
        <w:textAlignment w:val="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在日常管理中，应设置专人加强对危废暂存间的管理，出现问题及时解决，避免形成二次污染，对工作人员应进行专业培训，熟知各项固废知识。</w:t>
      </w:r>
    </w:p>
    <w:p w14:paraId="34F13B89">
      <w:pPr>
        <w:ind w:firstLine="48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锅炉灰渣</w:t>
      </w:r>
    </w:p>
    <w:p w14:paraId="53283C54">
      <w:pPr>
        <w:ind w:firstLine="480"/>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w:t>
      </w:r>
      <w:r>
        <w:rPr>
          <w:rFonts w:hint="eastAsia" w:eastAsia="宋体" w:cs="宋体"/>
          <w:color w:val="000000" w:themeColor="text1"/>
          <w:kern w:val="0"/>
          <w:sz w:val="24"/>
          <w:szCs w:val="24"/>
          <w:lang w:val="en-US" w:eastAsia="zh-CN" w:bidi="ar"/>
          <w14:textFill>
            <w14:solidFill>
              <w14:schemeClr w14:val="tx1"/>
            </w14:solidFill>
          </w14:textFill>
        </w:rPr>
        <w:t>采用生物质燃料锅炉供热</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eastAsia="宋体" w:cs="宋体"/>
          <w:color w:val="000000" w:themeColor="text1"/>
          <w:kern w:val="0"/>
          <w:sz w:val="24"/>
          <w:szCs w:val="24"/>
          <w:lang w:val="en-US" w:eastAsia="zh-CN" w:bidi="ar"/>
          <w14:textFill>
            <w14:solidFill>
              <w14:schemeClr w14:val="tx1"/>
            </w14:solidFill>
          </w14:textFill>
        </w:rPr>
        <w:t>预计年消耗生物质燃料1000t，基灰分2.6%，考虑其他因素，预测年产生灰渣30t，属于1类工业固废，生物质燃料灰渣含有农作物需要的养分，无重金属等难降解污染物，定期送63团粪污处理厂用于生产肥料，合理可行</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52E9DC06">
      <w:pPr>
        <w:ind w:firstLine="48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喷淋塔干化污泥</w:t>
      </w:r>
    </w:p>
    <w:p w14:paraId="05D36E8F">
      <w:pPr>
        <w:ind w:firstLine="480"/>
        <w:rPr>
          <w:rFonts w:ascii="Times New Roman" w:hAnsi="Times New Roman" w:cs="Times New Roman"/>
          <w:color w:val="000000" w:themeColor="text1"/>
          <w14:textFill>
            <w14:solidFill>
              <w14:schemeClr w14:val="tx1"/>
            </w14:solidFill>
          </w14:textFill>
        </w:rPr>
      </w:pPr>
      <w:r>
        <w:rPr>
          <w:rFonts w:hint="eastAsia" w:eastAsia="宋体" w:cs="宋体"/>
          <w:color w:val="000000" w:themeColor="text1"/>
          <w:kern w:val="0"/>
          <w:sz w:val="24"/>
          <w:szCs w:val="24"/>
          <w:lang w:val="en-US" w:eastAsia="zh-CN" w:bidi="ar"/>
          <w14:textFill>
            <w14:solidFill>
              <w14:schemeClr w14:val="tx1"/>
            </w14:solidFill>
          </w14:textFill>
        </w:rPr>
        <w:t>本项目生物质燃料锅炉烟气采用碱式喷淋塔处理烟气，烟气处理产生污泥，根据预测的烟气产生量，预计年产生污泥3t，污泥主要成分为收集的颗粒物、烟气治理产生的硫酸钙、硝酸钙、硫酸钠、硝酸钠、碳酸钙等，自然干化后，判定属于第1类工业固体废物，含氮肥成分，送</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hint="eastAsia" w:cs="Times New Roman"/>
          <w:color w:val="000000" w:themeColor="text1"/>
          <w:lang w:val="en-US" w:eastAsia="zh-CN"/>
          <w14:textFill>
            <w14:solidFill>
              <w14:schemeClr w14:val="tx1"/>
            </w14:solidFill>
          </w14:textFill>
        </w:rPr>
        <w:t>生产肥料，合理可行</w:t>
      </w:r>
      <w:r>
        <w:rPr>
          <w:rFonts w:hint="eastAsia" w:eastAsia="宋体" w:cs="宋体"/>
          <w:color w:val="000000" w:themeColor="text1"/>
          <w:kern w:val="0"/>
          <w:sz w:val="24"/>
          <w:szCs w:val="24"/>
          <w:lang w:val="en-US" w:eastAsia="zh-CN" w:bidi="ar"/>
          <w14:textFill>
            <w14:solidFill>
              <w14:schemeClr w14:val="tx1"/>
            </w14:solidFill>
          </w14:textFill>
        </w:rPr>
        <w:t>。</w:t>
      </w:r>
    </w:p>
    <w:p w14:paraId="68CAF85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综上所述，粪污污染防治措施符合相应技术规范要求，</w:t>
      </w:r>
      <w:r>
        <w:rPr>
          <w:rFonts w:hint="eastAsia" w:cs="Times New Roman"/>
          <w:color w:val="000000" w:themeColor="text1"/>
          <w:lang w:eastAsia="zh-CN"/>
          <w14:textFill>
            <w14:solidFill>
              <w14:schemeClr w14:val="tx1"/>
            </w14:solidFill>
          </w14:textFill>
        </w:rPr>
        <w:t>淘汰鸭、病死鸭</w:t>
      </w:r>
      <w:r>
        <w:rPr>
          <w:rFonts w:ascii="Times New Roman" w:hAnsi="Times New Roman" w:cs="Times New Roman"/>
          <w:color w:val="000000" w:themeColor="text1"/>
          <w14:textFill>
            <w14:solidFill>
              <w14:schemeClr w14:val="tx1"/>
            </w14:solidFill>
          </w14:textFill>
        </w:rPr>
        <w:t>尸体转运至伊宁市病死畜禽无害化处理中心处置，兽用医疗废物暂存于危险废物暂存间，由有危险废物处理资质单位处理，固体废物污染防治措施可行。</w:t>
      </w:r>
    </w:p>
    <w:p w14:paraId="1DD9A7E9">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318" w:name="6.2.5运营期污染防治措施及效果汇总"/>
      <w:bookmarkEnd w:id="318"/>
      <w:bookmarkStart w:id="319" w:name="_Toc5456"/>
      <w:r>
        <w:rPr>
          <w:rFonts w:ascii="Times New Roman" w:hAnsi="Times New Roman" w:cs="Times New Roman"/>
          <w:color w:val="000000" w:themeColor="text1"/>
          <w14:textFill>
            <w14:solidFill>
              <w14:schemeClr w14:val="tx1"/>
            </w14:solidFill>
          </w14:textFill>
        </w:rPr>
        <w:t>土壤污染防治措施</w:t>
      </w:r>
      <w:bookmarkEnd w:id="319"/>
    </w:p>
    <w:p w14:paraId="77E29328">
      <w:pPr>
        <w:ind w:firstLine="480"/>
        <w:rPr>
          <w:rFonts w:ascii="Times New Roman" w:hAnsi="Times New Roman" w:cs="Times New Roman"/>
          <w:color w:val="000000" w:themeColor="text1"/>
          <w14:textFill>
            <w14:solidFill>
              <w14:schemeClr w14:val="tx1"/>
            </w14:solidFill>
          </w14:textFill>
        </w:rPr>
      </w:pPr>
      <w:bookmarkStart w:id="320" w:name="_Toc13571"/>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养殖区土壤污染防治措施</w:t>
      </w:r>
      <w:bookmarkEnd w:id="320"/>
    </w:p>
    <w:p w14:paraId="53AEDB93">
      <w:pPr>
        <w:ind w:firstLine="48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本项目不开展土壤环境影响评价</w:t>
      </w:r>
      <w:r>
        <w:rPr>
          <w:rFonts w:ascii="Times New Roman" w:hAnsi="Times New Roman" w:cs="Times New Roman"/>
          <w:color w:val="000000" w:themeColor="text1"/>
          <w14:textFill>
            <w14:solidFill>
              <w14:schemeClr w14:val="tx1"/>
            </w14:solidFill>
          </w14:textFill>
        </w:rPr>
        <w:t>。为了防止项目运营过程对土壤产生影响，本项目提出如下措施：</w:t>
      </w:r>
    </w:p>
    <w:p w14:paraId="27FD4003">
      <w:pPr>
        <w:ind w:firstLine="480"/>
        <w:rPr>
          <w:rFonts w:ascii="Times New Roman" w:hAnsi="Times New Roman" w:cs="Times New Roman"/>
          <w:color w:val="000000" w:themeColor="text1"/>
          <w14:textFill>
            <w14:solidFill>
              <w14:schemeClr w14:val="tx1"/>
            </w14:solidFill>
          </w14:textFill>
        </w:rPr>
      </w:pPr>
      <w:bookmarkStart w:id="321" w:name="_Toc18834"/>
      <w:r>
        <w:rPr>
          <w:rFonts w:ascii="Times New Roman" w:hAnsi="Times New Roman" w:cs="Times New Roman"/>
          <w:color w:val="000000" w:themeColor="text1"/>
          <w14:textFill>
            <w14:solidFill>
              <w14:schemeClr w14:val="tx1"/>
            </w14:solidFill>
          </w14:textFill>
        </w:rPr>
        <w:t>（1）源头控制措施</w:t>
      </w:r>
      <w:bookmarkEnd w:id="321"/>
    </w:p>
    <w:p w14:paraId="7E61135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本项目土壤影响类型主要为垂直入渗影响，因此，本项目源头控制措施主要针对垂直入渗开展。</w:t>
      </w:r>
    </w:p>
    <w:p w14:paraId="5E6DDF8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垂直入渗预防措施主要为分区防渗，本项目主要区域均需进行硬化和防渗处理。项目主要防渗区域为</w:t>
      </w:r>
      <w:r>
        <w:rPr>
          <w:rFonts w:hint="eastAsia" w:ascii="Times New Roman" w:hAnsi="Times New Roman" w:cs="Times New Roman"/>
          <w:color w:val="000000" w:themeColor="text1"/>
          <w:lang w:val="en-US" w:eastAsia="zh-CN"/>
          <w14:textFill>
            <w14:solidFill>
              <w14:schemeClr w14:val="tx1"/>
            </w14:solidFill>
          </w14:textFill>
        </w:rPr>
        <w:t>鸭粪及垫草料区域、环保化粪池区域</w:t>
      </w:r>
      <w:r>
        <w:rPr>
          <w:rFonts w:ascii="Times New Roman" w:hAnsi="Times New Roman" w:cs="Times New Roman"/>
          <w:color w:val="000000" w:themeColor="text1"/>
          <w14:textFill>
            <w14:solidFill>
              <w14:schemeClr w14:val="tx1"/>
            </w14:solidFill>
          </w14:textFill>
        </w:rPr>
        <w:t>，分区防渗按照</w:t>
      </w:r>
      <w:r>
        <w:rPr>
          <w:rFonts w:hint="eastAsia"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.2.2章节提出的防渗要求进行。</w:t>
      </w:r>
    </w:p>
    <w:p w14:paraId="50B37D1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本项目各区域严格按照相关要求采取相应的防渗措施后，可以有效阻隔泄漏污染物与土壤之间的传播途径。</w:t>
      </w:r>
    </w:p>
    <w:p w14:paraId="66F3F7A3">
      <w:pPr>
        <w:ind w:firstLine="480"/>
        <w:rPr>
          <w:rFonts w:ascii="Times New Roman" w:hAnsi="Times New Roman" w:cs="Times New Roman"/>
          <w:color w:val="000000" w:themeColor="text1"/>
          <w14:textFill>
            <w14:solidFill>
              <w14:schemeClr w14:val="tx1"/>
            </w14:solidFill>
          </w14:textFill>
        </w:rPr>
      </w:pPr>
      <w:bookmarkStart w:id="322" w:name="_Toc14686"/>
      <w:r>
        <w:rPr>
          <w:rFonts w:ascii="Times New Roman" w:hAnsi="Times New Roman" w:cs="Times New Roman"/>
          <w:color w:val="000000" w:themeColor="text1"/>
          <w14:textFill>
            <w14:solidFill>
              <w14:schemeClr w14:val="tx1"/>
            </w14:solidFill>
          </w14:textFill>
        </w:rPr>
        <w:t>（2）过程防控措施</w:t>
      </w:r>
      <w:bookmarkEnd w:id="322"/>
    </w:p>
    <w:p w14:paraId="654060B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本项目为土壤污染型项目，根据《环境影响评价技术导则 土壤环境》（HJ964-2018） 过程控制措施，结合本项目污染特征，本项目拟采取如下过程控制措施：</w:t>
      </w:r>
    </w:p>
    <w:p w14:paraId="0A4162E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涉及入渗途径影响的，应根据相关标准规范要求，对设备、设施采取相应的防护措施，以防止土壤环境污染。</w:t>
      </w:r>
    </w:p>
    <w:p w14:paraId="728F621B">
      <w:pPr>
        <w:ind w:firstLine="48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（3）运营期防沙治沙措施</w:t>
      </w:r>
    </w:p>
    <w:p w14:paraId="715D3DC5">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本项目运营期可采取以下措施降低土壤的沙化程度：</w:t>
      </w:r>
    </w:p>
    <w:p w14:paraId="2E511EB8">
      <w:pPr>
        <w:ind w:firstLine="48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在防沙治沙过程中，需要工作人员坚持“因地制宜、因害设防，先保护后治理”的原则。这就要求</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要</w:t>
      </w:r>
      <w:r>
        <w:rPr>
          <w:rFonts w:hint="eastAsia" w:cs="Times New Roman"/>
          <w:color w:val="000000" w:themeColor="text1"/>
          <w:lang w:val="en-US" w:eastAsia="zh-CN"/>
          <w14:textFill>
            <w14:solidFill>
              <w14:schemeClr w14:val="tx1"/>
            </w14:solidFill>
          </w14:textFill>
        </w:rPr>
        <w:t>加大</w:t>
      </w:r>
      <w:r>
        <w:rPr>
          <w:rFonts w:hint="default" w:ascii="Times New Roman" w:hAnsi="Times New Roman" w:cs="Times New Roman"/>
          <w:color w:val="000000" w:themeColor="text1"/>
          <w:lang w:val="en-US" w:eastAsia="zh-CN"/>
          <w14:textFill>
            <w14:solidFill>
              <w14:schemeClr w14:val="tx1"/>
            </w14:solidFill>
          </w14:textFill>
        </w:rPr>
        <w:t>保护力度，</w:t>
      </w:r>
      <w:r>
        <w:rPr>
          <w:rFonts w:hint="eastAsia" w:ascii="Times New Roman" w:hAnsi="Times New Roman" w:cs="Times New Roman"/>
          <w:color w:val="000000" w:themeColor="text1"/>
          <w:lang w:val="en-US" w:eastAsia="zh-CN"/>
          <w14:textFill>
            <w14:solidFill>
              <w14:schemeClr w14:val="tx1"/>
            </w14:solidFill>
          </w14:textFill>
        </w:rPr>
        <w:t>尽可能减少对项目区周围沙地的破坏，配合团场</w:t>
      </w:r>
      <w:r>
        <w:rPr>
          <w:rFonts w:hint="default" w:ascii="Times New Roman" w:hAnsi="Times New Roman" w:cs="Times New Roman"/>
          <w:color w:val="000000" w:themeColor="text1"/>
          <w:lang w:val="en-US" w:eastAsia="zh-CN"/>
          <w14:textFill>
            <w14:solidFill>
              <w14:schemeClr w14:val="tx1"/>
            </w14:solidFill>
          </w14:textFill>
        </w:rPr>
        <w:t>做好</w:t>
      </w:r>
      <w:r>
        <w:rPr>
          <w:rFonts w:hint="eastAsia" w:ascii="Times New Roman" w:hAnsi="Times New Roman" w:cs="Times New Roman"/>
          <w:color w:val="000000" w:themeColor="text1"/>
          <w:lang w:val="en-US" w:eastAsia="zh-CN"/>
          <w14:textFill>
            <w14:solidFill>
              <w14:schemeClr w14:val="tx1"/>
            </w14:solidFill>
          </w14:textFill>
        </w:rPr>
        <w:t>项目所在区域</w:t>
      </w:r>
      <w:r>
        <w:rPr>
          <w:rFonts w:hint="default" w:ascii="Times New Roman" w:hAnsi="Times New Roman" w:cs="Times New Roman"/>
          <w:color w:val="000000" w:themeColor="text1"/>
          <w:lang w:val="en-US" w:eastAsia="zh-CN"/>
          <w14:textFill>
            <w14:solidFill>
              <w14:schemeClr w14:val="tx1"/>
            </w14:solidFill>
          </w14:textFill>
        </w:rPr>
        <w:t>植被的保护工作</w:t>
      </w:r>
      <w:r>
        <w:rPr>
          <w:rFonts w:hint="eastAsia" w:ascii="Times New Roman" w:hAnsi="Times New Roman" w:cs="Times New Roman"/>
          <w:color w:val="000000" w:themeColor="text1"/>
          <w:lang w:val="en-US" w:eastAsia="zh-CN"/>
          <w14:textFill>
            <w14:solidFill>
              <w14:schemeClr w14:val="tx1"/>
            </w14:solidFill>
          </w14:textFill>
        </w:rPr>
        <w:t>。</w:t>
      </w:r>
    </w:p>
    <w:p w14:paraId="54A769AC">
      <w:pPr>
        <w:ind w:firstLine="48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）项目运营期间做好定期对项目区范围内进行洒水降尘，做好项目区范围内道路硬化，严格规范运输车辆行驶路线，严禁破坏周围植被。</w:t>
      </w:r>
    </w:p>
    <w:p w14:paraId="690B622F">
      <w:pPr>
        <w:ind w:firstLine="480"/>
        <w:rPr>
          <w:rFonts w:hint="default"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通过采取以上措施，可有效防止土壤环境污染。</w:t>
      </w:r>
    </w:p>
    <w:p w14:paraId="05094349">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运营期污染防治措施汇总表</w:t>
      </w:r>
    </w:p>
    <w:p w14:paraId="0B06F78F">
      <w:pPr>
        <w:pStyle w:val="11"/>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本项目运营期污染防治措施汇总表见下表。</w:t>
      </w:r>
    </w:p>
    <w:p w14:paraId="2F4856D7">
      <w:pPr>
        <w:ind w:firstLine="0" w:firstLineChars="0"/>
        <w:jc w:val="cente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w:t>
      </w:r>
      <w:r>
        <w:rPr>
          <w:rFonts w:hint="eastAsia" w:cs="Times New Roman"/>
          <w:b/>
          <w:bCs/>
          <w:color w:val="000000" w:themeColor="text1"/>
          <w:lang w:val="en-US" w:eastAsia="zh-CN"/>
          <w14:textFill>
            <w14:solidFill>
              <w14:schemeClr w14:val="tx1"/>
            </w14:solidFill>
          </w14:textFill>
        </w:rPr>
        <w:t>6</w:t>
      </w:r>
      <w:r>
        <w:rPr>
          <w:rFonts w:ascii="Times New Roman" w:hAnsi="Times New Roman" w:cs="Times New Roman"/>
          <w:b/>
          <w:bCs/>
          <w:color w:val="000000" w:themeColor="text1"/>
          <w14:textFill>
            <w14:solidFill>
              <w14:schemeClr w14:val="tx1"/>
            </w14:solidFill>
          </w14:textFill>
        </w:rPr>
        <w:t>.2-</w:t>
      </w:r>
      <w:r>
        <w:rPr>
          <w:rFonts w:hint="eastAsia" w:ascii="Times New Roman" w:hAnsi="Times New Roman" w:cs="Times New Roman"/>
          <w:b/>
          <w:bCs/>
          <w:color w:val="000000" w:themeColor="text1"/>
          <w:lang w:val="en-US" w:eastAsia="zh-CN"/>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 xml:space="preserve">    </w:t>
      </w:r>
      <w:r>
        <w:rPr>
          <w:rFonts w:hint="eastAsia" w:ascii="Times New Roman" w:hAnsi="Times New Roman" w:cs="Times New Roman"/>
          <w:b/>
          <w:bCs/>
          <w:color w:val="000000" w:themeColor="text1"/>
          <w:lang w:val="en-US" w:eastAsia="zh-CN"/>
          <w14:textFill>
            <w14:solidFill>
              <w14:schemeClr w14:val="tx1"/>
            </w14:solidFill>
          </w14:textFill>
        </w:rPr>
        <w:t>运营期污染防治措施一览表</w:t>
      </w:r>
    </w:p>
    <w:tbl>
      <w:tblPr>
        <w:tblStyle w:val="81"/>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57" w:type="dxa"/>
          <w:bottom w:w="0" w:type="dxa"/>
          <w:right w:w="57" w:type="dxa"/>
        </w:tblCellMar>
      </w:tblPr>
      <w:tblGrid>
        <w:gridCol w:w="1034"/>
        <w:gridCol w:w="1455"/>
        <w:gridCol w:w="3410"/>
        <w:gridCol w:w="2482"/>
      </w:tblGrid>
      <w:tr w14:paraId="34EE840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tcBorders>
              <w:tl2br w:val="nil"/>
              <w:tr2bl w:val="nil"/>
            </w:tcBorders>
            <w:vAlign w:val="center"/>
          </w:tcPr>
          <w:p w14:paraId="0BF16A41">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治理项目</w:t>
            </w:r>
          </w:p>
        </w:tc>
        <w:tc>
          <w:tcPr>
            <w:tcW w:w="1455" w:type="dxa"/>
            <w:tcBorders>
              <w:tl2br w:val="nil"/>
              <w:tr2bl w:val="nil"/>
            </w:tcBorders>
            <w:vAlign w:val="center"/>
          </w:tcPr>
          <w:p w14:paraId="2B78A7B5">
            <w:pPr>
              <w:pStyle w:val="56"/>
              <w:autoSpaceDE w:val="0"/>
              <w:autoSpaceDN w:val="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污染物</w:t>
            </w:r>
          </w:p>
        </w:tc>
        <w:tc>
          <w:tcPr>
            <w:tcW w:w="3410" w:type="dxa"/>
            <w:tcBorders>
              <w:tl2br w:val="nil"/>
              <w:tr2bl w:val="nil"/>
            </w:tcBorders>
            <w:vAlign w:val="center"/>
          </w:tcPr>
          <w:p w14:paraId="54AF91A3">
            <w:pPr>
              <w:pStyle w:val="56"/>
              <w:autoSpaceDE w:val="0"/>
              <w:autoSpaceDN w:val="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措施</w:t>
            </w:r>
          </w:p>
        </w:tc>
        <w:tc>
          <w:tcPr>
            <w:tcW w:w="2482" w:type="dxa"/>
            <w:tcBorders>
              <w:tl2br w:val="nil"/>
              <w:tr2bl w:val="nil"/>
            </w:tcBorders>
            <w:vAlign w:val="center"/>
          </w:tcPr>
          <w:p w14:paraId="0F4F2F9D">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处理效果</w:t>
            </w:r>
          </w:p>
        </w:tc>
      </w:tr>
      <w:tr w14:paraId="32C1B5B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restart"/>
            <w:tcBorders>
              <w:tl2br w:val="nil"/>
              <w:tr2bl w:val="nil"/>
            </w:tcBorders>
            <w:vAlign w:val="center"/>
          </w:tcPr>
          <w:p w14:paraId="6FC09790">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大气污染物</w:t>
            </w:r>
          </w:p>
        </w:tc>
        <w:tc>
          <w:tcPr>
            <w:tcW w:w="1455" w:type="dxa"/>
            <w:tcBorders>
              <w:tl2br w:val="nil"/>
              <w:tr2bl w:val="nil"/>
            </w:tcBorders>
            <w:vAlign w:val="center"/>
          </w:tcPr>
          <w:p w14:paraId="3C45F31F">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鸭舍</w:t>
            </w:r>
            <w:r>
              <w:rPr>
                <w:rFonts w:hint="eastAsia" w:ascii="Times New Roman" w:hAnsi="Times New Roman"/>
                <w:color w:val="000000" w:themeColor="text1"/>
                <w:sz w:val="21"/>
                <w:szCs w:val="21"/>
                <w:lang w:val="en-US" w:eastAsia="zh-CN"/>
                <w14:textFill>
                  <w14:solidFill>
                    <w14:schemeClr w14:val="tx1"/>
                  </w14:solidFill>
                </w14:textFill>
              </w:rPr>
              <w:t>恶臭</w:t>
            </w:r>
          </w:p>
        </w:tc>
        <w:tc>
          <w:tcPr>
            <w:tcW w:w="3410" w:type="dxa"/>
            <w:tcBorders>
              <w:tl2br w:val="nil"/>
              <w:tr2bl w:val="nil"/>
            </w:tcBorders>
            <w:vAlign w:val="center"/>
          </w:tcPr>
          <w:p w14:paraId="023863F9">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加强</w:t>
            </w:r>
            <w:r>
              <w:rPr>
                <w:rFonts w:hint="eastAsia"/>
                <w:color w:val="000000" w:themeColor="text1"/>
                <w:sz w:val="21"/>
                <w:szCs w:val="21"/>
                <w:lang w:val="en-US" w:eastAsia="zh-CN"/>
                <w14:textFill>
                  <w14:solidFill>
                    <w14:schemeClr w14:val="tx1"/>
                  </w14:solidFill>
                </w14:textFill>
              </w:rPr>
              <w:t>鸭舍</w:t>
            </w:r>
            <w:r>
              <w:rPr>
                <w:rFonts w:hint="eastAsia" w:ascii="Times New Roman" w:hAnsi="Times New Roman"/>
                <w:color w:val="000000" w:themeColor="text1"/>
                <w:sz w:val="21"/>
                <w:szCs w:val="21"/>
                <w:lang w:val="en-US" w:eastAsia="zh-CN"/>
                <w14:textFill>
                  <w14:solidFill>
                    <w14:schemeClr w14:val="tx1"/>
                  </w14:solidFill>
                </w14:textFill>
              </w:rPr>
              <w:t>通风，改善饲料配方，喷洒除臭剂，</w:t>
            </w:r>
            <w:r>
              <w:rPr>
                <w:rFonts w:hint="eastAsia"/>
                <w:color w:val="000000" w:themeColor="text1"/>
                <w:sz w:val="21"/>
                <w:szCs w:val="21"/>
                <w:lang w:val="en-US" w:eastAsia="zh-CN"/>
                <w14:textFill>
                  <w14:solidFill>
                    <w14:schemeClr w14:val="tx1"/>
                  </w14:solidFill>
                </w14:textFill>
              </w:rPr>
              <w:t>鸭舍</w:t>
            </w:r>
            <w:r>
              <w:rPr>
                <w:rFonts w:hint="eastAsia" w:ascii="Times New Roman" w:hAnsi="Times New Roman"/>
                <w:color w:val="000000" w:themeColor="text1"/>
                <w:sz w:val="21"/>
                <w:szCs w:val="21"/>
                <w:lang w:val="en-US" w:eastAsia="zh-CN"/>
                <w14:textFill>
                  <w14:solidFill>
                    <w14:schemeClr w14:val="tx1"/>
                  </w14:solidFill>
                </w14:textFill>
              </w:rPr>
              <w:t>下方及时增加垫草料。</w:t>
            </w:r>
          </w:p>
        </w:tc>
        <w:tc>
          <w:tcPr>
            <w:tcW w:w="2482" w:type="dxa"/>
            <w:vMerge w:val="restart"/>
            <w:tcBorders>
              <w:tl2br w:val="nil"/>
              <w:tr2bl w:val="nil"/>
            </w:tcBorders>
            <w:vAlign w:val="center"/>
          </w:tcPr>
          <w:p w14:paraId="70AD7A9C">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恶臭污染物排放标准</w:t>
            </w: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GB14554-93</w:t>
            </w: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厂界标准值，《畜禽养殖业污染排放标准》（GB18596-2001）</w:t>
            </w:r>
          </w:p>
        </w:tc>
      </w:tr>
      <w:tr w14:paraId="41C3E19C">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1B39AF2B">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5CD8E2A4">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养殖污水处理设施</w:t>
            </w:r>
          </w:p>
        </w:tc>
        <w:tc>
          <w:tcPr>
            <w:tcW w:w="3410" w:type="dxa"/>
            <w:tcBorders>
              <w:tl2br w:val="nil"/>
              <w:tr2bl w:val="nil"/>
            </w:tcBorders>
            <w:vAlign w:val="center"/>
          </w:tcPr>
          <w:p w14:paraId="120DE778">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密闭、定期喷洒除臭剂</w:t>
            </w:r>
          </w:p>
        </w:tc>
        <w:tc>
          <w:tcPr>
            <w:tcW w:w="2482" w:type="dxa"/>
            <w:vMerge w:val="continue"/>
            <w:tcBorders>
              <w:tl2br w:val="nil"/>
              <w:tr2bl w:val="nil"/>
            </w:tcBorders>
            <w:vAlign w:val="center"/>
          </w:tcPr>
          <w:p w14:paraId="23A4DDE4">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r>
      <w:tr w14:paraId="729B388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76666F97">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002986A7">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锅炉烟气</w:t>
            </w:r>
          </w:p>
        </w:tc>
        <w:tc>
          <w:tcPr>
            <w:tcW w:w="3410" w:type="dxa"/>
            <w:tcBorders>
              <w:tl2br w:val="nil"/>
              <w:tr2bl w:val="nil"/>
            </w:tcBorders>
            <w:vAlign w:val="center"/>
          </w:tcPr>
          <w:p w14:paraId="1214BD38">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碱式喷淋塔+15烟囱</w:t>
            </w:r>
          </w:p>
        </w:tc>
        <w:tc>
          <w:tcPr>
            <w:tcW w:w="2482" w:type="dxa"/>
            <w:tcBorders>
              <w:tl2br w:val="nil"/>
              <w:tr2bl w:val="nil"/>
            </w:tcBorders>
            <w:vAlign w:val="center"/>
          </w:tcPr>
          <w:p w14:paraId="60929F09">
            <w:pPr>
              <w:pStyle w:val="56"/>
              <w:autoSpaceDE w:val="0"/>
              <w:autoSpaceDN w:val="0"/>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《锅炉大气污染物排放标准》（GB13271-2014）表2燃气锅炉大气污染物特别排放限值</w:t>
            </w:r>
          </w:p>
        </w:tc>
      </w:tr>
      <w:tr w14:paraId="29B66B6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6526135C">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1308321A">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食堂油烟</w:t>
            </w:r>
          </w:p>
        </w:tc>
        <w:tc>
          <w:tcPr>
            <w:tcW w:w="3410" w:type="dxa"/>
            <w:tcBorders>
              <w:tl2br w:val="nil"/>
              <w:tr2bl w:val="nil"/>
            </w:tcBorders>
            <w:vAlign w:val="center"/>
          </w:tcPr>
          <w:p w14:paraId="60B6A837">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油烟净化器</w:t>
            </w:r>
          </w:p>
        </w:tc>
        <w:tc>
          <w:tcPr>
            <w:tcW w:w="2482" w:type="dxa"/>
            <w:tcBorders>
              <w:tl2br w:val="nil"/>
              <w:tr2bl w:val="nil"/>
            </w:tcBorders>
            <w:vAlign w:val="center"/>
          </w:tcPr>
          <w:p w14:paraId="0530D0DF">
            <w:pPr>
              <w:pStyle w:val="56"/>
              <w:autoSpaceDE w:val="0"/>
              <w:autoSpaceDN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饮食业油烟排放标准</w:t>
            </w: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GB18483-2001</w:t>
            </w:r>
            <w:r>
              <w:rPr>
                <w:rFonts w:hint="eastAsia" w:ascii="Times New Roman" w:hAnsi="Times New Roman"/>
                <w:color w:val="000000" w:themeColor="text1"/>
                <w:sz w:val="21"/>
                <w:szCs w:val="21"/>
                <w:lang w:eastAsia="zh-CN"/>
                <w14:textFill>
                  <w14:solidFill>
                    <w14:schemeClr w14:val="tx1"/>
                  </w14:solidFill>
                </w14:textFill>
              </w:rPr>
              <w:t>）</w:t>
            </w:r>
          </w:p>
        </w:tc>
      </w:tr>
      <w:tr w14:paraId="2258BE4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restart"/>
            <w:tcBorders>
              <w:tl2br w:val="nil"/>
              <w:tr2bl w:val="nil"/>
            </w:tcBorders>
            <w:vAlign w:val="center"/>
          </w:tcPr>
          <w:p w14:paraId="764D1F64">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水污染物</w:t>
            </w:r>
          </w:p>
        </w:tc>
        <w:tc>
          <w:tcPr>
            <w:tcW w:w="1455" w:type="dxa"/>
            <w:tcBorders>
              <w:tl2br w:val="nil"/>
              <w:tr2bl w:val="nil"/>
            </w:tcBorders>
            <w:vAlign w:val="center"/>
          </w:tcPr>
          <w:p w14:paraId="2E211FF2">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养殖废水</w:t>
            </w:r>
          </w:p>
        </w:tc>
        <w:tc>
          <w:tcPr>
            <w:tcW w:w="3410" w:type="dxa"/>
            <w:tcBorders>
              <w:tl2br w:val="nil"/>
              <w:tr2bl w:val="nil"/>
            </w:tcBorders>
            <w:vAlign w:val="center"/>
          </w:tcPr>
          <w:p w14:paraId="0A42387F">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鸭舍、收集池等防渗，</w:t>
            </w:r>
            <w:r>
              <w:rPr>
                <w:rFonts w:hint="eastAsia" w:ascii="Times New Roman" w:hAnsi="Times New Roman"/>
                <w:color w:val="000000" w:themeColor="text1"/>
                <w:sz w:val="21"/>
                <w:szCs w:val="21"/>
                <w:lang w:val="en-US" w:eastAsia="zh-CN"/>
                <w14:textFill>
                  <w14:solidFill>
                    <w14:schemeClr w14:val="tx1"/>
                  </w14:solidFill>
                </w14:textFill>
              </w:rPr>
              <w:t>鸭尿液部分蒸发，少部分</w:t>
            </w:r>
            <w:r>
              <w:rPr>
                <w:rFonts w:hint="eastAsia"/>
                <w:color w:val="000000" w:themeColor="text1"/>
                <w:sz w:val="21"/>
                <w:szCs w:val="21"/>
                <w:lang w:val="en-US" w:eastAsia="zh-CN"/>
                <w14:textFill>
                  <w14:solidFill>
                    <w14:schemeClr w14:val="tx1"/>
                  </w14:solidFill>
                </w14:textFill>
              </w:rPr>
              <w:t>排入污水处理设施</w:t>
            </w:r>
            <w:r>
              <w:rPr>
                <w:rFonts w:hint="eastAsia" w:ascii="Times New Roman" w:hAnsi="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治理后回用于场区绿化浇灌</w:t>
            </w:r>
          </w:p>
        </w:tc>
        <w:tc>
          <w:tcPr>
            <w:tcW w:w="2482" w:type="dxa"/>
            <w:vMerge w:val="restart"/>
            <w:tcBorders>
              <w:tl2br w:val="nil"/>
              <w:tr2bl w:val="nil"/>
            </w:tcBorders>
            <w:vAlign w:val="center"/>
          </w:tcPr>
          <w:p w14:paraId="68343DB7">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对环境影响较小</w:t>
            </w:r>
          </w:p>
        </w:tc>
      </w:tr>
      <w:tr w14:paraId="3A41D07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16E97B8B">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277DA9E7">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生活污水</w:t>
            </w:r>
          </w:p>
        </w:tc>
        <w:tc>
          <w:tcPr>
            <w:tcW w:w="3410" w:type="dxa"/>
            <w:tcBorders>
              <w:tl2br w:val="nil"/>
              <w:tr2bl w:val="nil"/>
            </w:tcBorders>
            <w:vAlign w:val="center"/>
          </w:tcPr>
          <w:p w14:paraId="78CCA2B5">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防渗</w:t>
            </w:r>
            <w:r>
              <w:rPr>
                <w:rFonts w:hint="eastAsia"/>
                <w:color w:val="000000" w:themeColor="text1"/>
                <w:sz w:val="21"/>
                <w:szCs w:val="21"/>
                <w:lang w:val="en-US"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定期</w:t>
            </w:r>
            <w:r>
              <w:rPr>
                <w:rFonts w:hint="eastAsia"/>
                <w:color w:val="000000" w:themeColor="text1"/>
                <w:sz w:val="21"/>
                <w:szCs w:val="21"/>
                <w:lang w:val="en-US" w:eastAsia="zh-CN"/>
                <w14:textFill>
                  <w14:solidFill>
                    <w14:schemeClr w14:val="tx1"/>
                  </w14:solidFill>
                </w14:textFill>
              </w:rPr>
              <w:t>抽排</w:t>
            </w:r>
            <w:r>
              <w:rPr>
                <w:rFonts w:hint="eastAsia" w:ascii="Times New Roman" w:hAnsi="Times New Roman"/>
                <w:color w:val="000000" w:themeColor="text1"/>
                <w:sz w:val="21"/>
                <w:szCs w:val="21"/>
                <w:lang w:val="en-US" w:eastAsia="zh-CN"/>
                <w14:textFill>
                  <w14:solidFill>
                    <w14:schemeClr w14:val="tx1"/>
                  </w14:solidFill>
                </w14:textFill>
              </w:rPr>
              <w:t>拉运至63团</w:t>
            </w:r>
            <w:r>
              <w:rPr>
                <w:rFonts w:hint="eastAsia"/>
                <w:color w:val="000000" w:themeColor="text1"/>
                <w:sz w:val="21"/>
                <w:szCs w:val="21"/>
                <w:lang w:val="en-US" w:eastAsia="zh-CN"/>
                <w14:textFill>
                  <w14:solidFill>
                    <w14:schemeClr w14:val="tx1"/>
                  </w14:solidFill>
                </w14:textFill>
              </w:rPr>
              <w:t>污水处理厂</w:t>
            </w:r>
          </w:p>
        </w:tc>
        <w:tc>
          <w:tcPr>
            <w:tcW w:w="2482" w:type="dxa"/>
            <w:vMerge w:val="continue"/>
            <w:tcBorders>
              <w:tl2br w:val="nil"/>
              <w:tr2bl w:val="nil"/>
            </w:tcBorders>
            <w:vAlign w:val="center"/>
          </w:tcPr>
          <w:p w14:paraId="34AE8C6E">
            <w:pPr>
              <w:pStyle w:val="56"/>
              <w:autoSpaceDE w:val="0"/>
              <w:autoSpaceDN w:val="0"/>
              <w:jc w:val="center"/>
              <w:rPr>
                <w:rFonts w:hint="eastAsia" w:ascii="Times New Roman" w:hAnsi="Times New Roman"/>
                <w:color w:val="000000" w:themeColor="text1"/>
                <w:sz w:val="21"/>
                <w:szCs w:val="21"/>
                <w:lang w:eastAsia="zh-CN"/>
                <w14:textFill>
                  <w14:solidFill>
                    <w14:schemeClr w14:val="tx1"/>
                  </w14:solidFill>
                </w14:textFill>
              </w:rPr>
            </w:pPr>
          </w:p>
        </w:tc>
      </w:tr>
      <w:tr w14:paraId="0150AAB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tcBorders>
              <w:tl2br w:val="nil"/>
              <w:tr2bl w:val="nil"/>
            </w:tcBorders>
            <w:vAlign w:val="center"/>
          </w:tcPr>
          <w:p w14:paraId="620FACA2">
            <w:pPr>
              <w:pStyle w:val="56"/>
              <w:autoSpaceDE w:val="0"/>
              <w:autoSpaceDN w:val="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噪声</w:t>
            </w:r>
          </w:p>
        </w:tc>
        <w:tc>
          <w:tcPr>
            <w:tcW w:w="1455" w:type="dxa"/>
            <w:tcBorders>
              <w:tl2br w:val="nil"/>
              <w:tr2bl w:val="nil"/>
            </w:tcBorders>
            <w:vAlign w:val="center"/>
          </w:tcPr>
          <w:p w14:paraId="0C6974E0">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设备噪声</w:t>
            </w:r>
          </w:p>
        </w:tc>
        <w:tc>
          <w:tcPr>
            <w:tcW w:w="3410" w:type="dxa"/>
            <w:tcBorders>
              <w:tl2br w:val="nil"/>
              <w:tr2bl w:val="nil"/>
            </w:tcBorders>
            <w:vAlign w:val="center"/>
          </w:tcPr>
          <w:p w14:paraId="32C26618">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选用低噪声设备，定期维护保证设备良好运行，对设备采用</w:t>
            </w:r>
            <w:r>
              <w:rPr>
                <w:rFonts w:hint="eastAsia"/>
                <w:color w:val="000000" w:themeColor="text1"/>
                <w:sz w:val="21"/>
                <w:szCs w:val="21"/>
                <w:lang w:val="en-US" w:eastAsia="zh-CN"/>
                <w14:textFill>
                  <w14:solidFill>
                    <w14:schemeClr w14:val="tx1"/>
                  </w14:solidFill>
                </w14:textFill>
              </w:rPr>
              <w:t>减振措施</w:t>
            </w:r>
            <w:r>
              <w:rPr>
                <w:rFonts w:hint="eastAsia" w:ascii="Times New Roman" w:hAnsi="Times New Roman"/>
                <w:color w:val="000000" w:themeColor="text1"/>
                <w:sz w:val="21"/>
                <w:szCs w:val="21"/>
                <w:lang w:val="en-US" w:eastAsia="zh-CN"/>
                <w14:textFill>
                  <w14:solidFill>
                    <w14:schemeClr w14:val="tx1"/>
                  </w14:solidFill>
                </w14:textFill>
              </w:rPr>
              <w:t>，加强厂区管理，车辆不得随意鸣笛。</w:t>
            </w:r>
          </w:p>
        </w:tc>
        <w:tc>
          <w:tcPr>
            <w:tcW w:w="2482" w:type="dxa"/>
            <w:tcBorders>
              <w:tl2br w:val="nil"/>
              <w:tr2bl w:val="nil"/>
            </w:tcBorders>
            <w:vAlign w:val="center"/>
          </w:tcPr>
          <w:p w14:paraId="418D33B6">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工业企业厂界环境噪声排放标准</w:t>
            </w: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GB12348-2008</w:t>
            </w:r>
            <w:r>
              <w:rPr>
                <w:rFonts w:hint="eastAsia" w:ascii="Times New Roman" w:hAnsi="Times New Roman"/>
                <w:color w:val="000000" w:themeColor="text1"/>
                <w:sz w:val="21"/>
                <w:szCs w:val="21"/>
                <w:lang w:eastAsia="zh-CN"/>
                <w14:textFill>
                  <w14:solidFill>
                    <w14:schemeClr w14:val="tx1"/>
                  </w14:solidFill>
                </w14:textFill>
              </w:rPr>
              <w:t>）</w:t>
            </w:r>
            <w:r>
              <w:rPr>
                <w:rFonts w:hint="eastAsia" w:ascii="Times New Roman" w:hAnsi="Times New Roman"/>
                <w:color w:val="000000" w:themeColor="text1"/>
                <w:sz w:val="21"/>
                <w:szCs w:val="21"/>
                <w:lang w:val="en-US" w:eastAsia="zh-CN"/>
                <w14:textFill>
                  <w14:solidFill>
                    <w14:schemeClr w14:val="tx1"/>
                  </w14:solidFill>
                </w14:textFill>
              </w:rPr>
              <w:t>3类</w:t>
            </w:r>
          </w:p>
        </w:tc>
      </w:tr>
      <w:tr w14:paraId="1031BD9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restart"/>
            <w:tcBorders>
              <w:tl2br w:val="nil"/>
              <w:tr2bl w:val="nil"/>
            </w:tcBorders>
            <w:vAlign w:val="center"/>
          </w:tcPr>
          <w:p w14:paraId="06D14D2D">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固体废弃物</w:t>
            </w:r>
          </w:p>
        </w:tc>
        <w:tc>
          <w:tcPr>
            <w:tcW w:w="1455" w:type="dxa"/>
            <w:tcBorders>
              <w:tl2br w:val="nil"/>
              <w:tr2bl w:val="nil"/>
            </w:tcBorders>
            <w:vAlign w:val="center"/>
          </w:tcPr>
          <w:p w14:paraId="35F0E6FC">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生活垃圾</w:t>
            </w:r>
          </w:p>
        </w:tc>
        <w:tc>
          <w:tcPr>
            <w:tcW w:w="3410" w:type="dxa"/>
            <w:tcBorders>
              <w:tl2br w:val="nil"/>
              <w:tr2bl w:val="nil"/>
            </w:tcBorders>
            <w:vAlign w:val="center"/>
          </w:tcPr>
          <w:p w14:paraId="534A0226">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生活垃圾集中收集，日产日清</w:t>
            </w:r>
          </w:p>
        </w:tc>
        <w:tc>
          <w:tcPr>
            <w:tcW w:w="2482" w:type="dxa"/>
            <w:tcBorders>
              <w:tl2br w:val="nil"/>
              <w:tr2bl w:val="nil"/>
            </w:tcBorders>
            <w:vAlign w:val="center"/>
          </w:tcPr>
          <w:p w14:paraId="17C3DB40">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合理处置</w:t>
            </w:r>
          </w:p>
        </w:tc>
      </w:tr>
      <w:tr w14:paraId="2A75147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0AA17D7F">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42374A8E">
            <w:pPr>
              <w:pStyle w:val="56"/>
              <w:autoSpaceDE w:val="0"/>
              <w:autoSpaceDN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锅炉灰渣及烟气治理污泥</w:t>
            </w:r>
          </w:p>
        </w:tc>
        <w:tc>
          <w:tcPr>
            <w:tcW w:w="3410" w:type="dxa"/>
            <w:tcBorders>
              <w:tl2br w:val="nil"/>
              <w:tr2bl w:val="nil"/>
            </w:tcBorders>
            <w:vAlign w:val="center"/>
          </w:tcPr>
          <w:p w14:paraId="1499E718">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拉运63团3连粪污处理场</w:t>
            </w:r>
            <w:r>
              <w:rPr>
                <w:rFonts w:hint="eastAsia"/>
                <w:color w:val="000000" w:themeColor="text1"/>
                <w:sz w:val="21"/>
                <w:szCs w:val="21"/>
                <w:lang w:val="en-US" w:eastAsia="zh-CN"/>
                <w14:textFill>
                  <w14:solidFill>
                    <w14:schemeClr w14:val="tx1"/>
                  </w14:solidFill>
                </w14:textFill>
              </w:rPr>
              <w:t>生产废料</w:t>
            </w:r>
          </w:p>
        </w:tc>
        <w:tc>
          <w:tcPr>
            <w:tcW w:w="2482" w:type="dxa"/>
            <w:tcBorders>
              <w:tl2br w:val="nil"/>
              <w:tr2bl w:val="nil"/>
            </w:tcBorders>
            <w:vAlign w:val="center"/>
          </w:tcPr>
          <w:p w14:paraId="75257D4A">
            <w:pPr>
              <w:pStyle w:val="56"/>
              <w:autoSpaceDE w:val="0"/>
              <w:autoSpaceDN w:val="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合理处置</w:t>
            </w:r>
          </w:p>
        </w:tc>
      </w:tr>
      <w:tr w14:paraId="53513BD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21A351EA">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4224E3BF">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淘汰鸭、</w:t>
            </w:r>
            <w:r>
              <w:rPr>
                <w:rFonts w:hint="eastAsia" w:ascii="Times New Roman" w:hAnsi="Times New Roman" w:eastAsia="宋体"/>
                <w:color w:val="000000" w:themeColor="text1"/>
                <w:sz w:val="21"/>
                <w:szCs w:val="21"/>
                <w:lang w:val="en-US" w:eastAsia="zh-CN"/>
                <w14:textFill>
                  <w14:solidFill>
                    <w14:schemeClr w14:val="tx1"/>
                  </w14:solidFill>
                </w14:textFill>
              </w:rPr>
              <w:t>病死鸭</w:t>
            </w:r>
          </w:p>
        </w:tc>
        <w:tc>
          <w:tcPr>
            <w:tcW w:w="3410" w:type="dxa"/>
            <w:tcBorders>
              <w:tl2br w:val="nil"/>
              <w:tr2bl w:val="nil"/>
            </w:tcBorders>
            <w:vAlign w:val="center"/>
          </w:tcPr>
          <w:p w14:paraId="47506FD9">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委托伊宁市无害化处理中心处置</w:t>
            </w:r>
          </w:p>
        </w:tc>
        <w:tc>
          <w:tcPr>
            <w:tcW w:w="2482" w:type="dxa"/>
            <w:tcBorders>
              <w:tl2br w:val="nil"/>
              <w:tr2bl w:val="nil"/>
            </w:tcBorders>
            <w:vAlign w:val="center"/>
          </w:tcPr>
          <w:p w14:paraId="6644F2E5">
            <w:pPr>
              <w:pStyle w:val="56"/>
              <w:autoSpaceDE w:val="0"/>
              <w:autoSpaceDN w:val="0"/>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合理处置</w:t>
            </w:r>
          </w:p>
        </w:tc>
      </w:tr>
      <w:tr w14:paraId="30C2596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1C8D8D70">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547B0D84">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鸭粪及垫草料</w:t>
            </w:r>
          </w:p>
        </w:tc>
        <w:tc>
          <w:tcPr>
            <w:tcW w:w="3410" w:type="dxa"/>
            <w:tcBorders>
              <w:tl2br w:val="nil"/>
              <w:tr2bl w:val="nil"/>
            </w:tcBorders>
            <w:vAlign w:val="center"/>
          </w:tcPr>
          <w:p w14:paraId="5D3A299A">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采用干清粪工艺，定期清理直接拉运至63团3连粪污处理场</w:t>
            </w:r>
          </w:p>
        </w:tc>
        <w:tc>
          <w:tcPr>
            <w:tcW w:w="2482" w:type="dxa"/>
            <w:tcBorders>
              <w:tl2br w:val="nil"/>
              <w:tr2bl w:val="nil"/>
            </w:tcBorders>
            <w:vAlign w:val="center"/>
          </w:tcPr>
          <w:p w14:paraId="71722FB9">
            <w:pPr>
              <w:pStyle w:val="56"/>
              <w:autoSpaceDE w:val="0"/>
              <w:autoSpaceDN w:val="0"/>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合理处置</w:t>
            </w:r>
          </w:p>
        </w:tc>
      </w:tr>
      <w:tr w14:paraId="299425D4">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57" w:type="dxa"/>
            <w:bottom w:w="0" w:type="dxa"/>
            <w:right w:w="57" w:type="dxa"/>
          </w:tblCellMar>
        </w:tblPrEx>
        <w:trPr>
          <w:trHeight w:val="397" w:hRule="atLeast"/>
          <w:jc w:val="center"/>
        </w:trPr>
        <w:tc>
          <w:tcPr>
            <w:tcW w:w="1034" w:type="dxa"/>
            <w:vMerge w:val="continue"/>
            <w:tcBorders>
              <w:tl2br w:val="nil"/>
              <w:tr2bl w:val="nil"/>
            </w:tcBorders>
            <w:vAlign w:val="center"/>
          </w:tcPr>
          <w:p w14:paraId="375950A2">
            <w:pPr>
              <w:pStyle w:val="56"/>
              <w:autoSpaceDE w:val="0"/>
              <w:autoSpaceDN w:val="0"/>
              <w:jc w:val="center"/>
              <w:rPr>
                <w:rFonts w:ascii="Times New Roman" w:hAnsi="Times New Roman"/>
                <w:color w:val="000000" w:themeColor="text1"/>
                <w:sz w:val="21"/>
                <w:szCs w:val="21"/>
                <w:lang w:eastAsia="en-US"/>
                <w14:textFill>
                  <w14:solidFill>
                    <w14:schemeClr w14:val="tx1"/>
                  </w14:solidFill>
                </w14:textFill>
              </w:rPr>
            </w:pPr>
          </w:p>
        </w:tc>
        <w:tc>
          <w:tcPr>
            <w:tcW w:w="1455" w:type="dxa"/>
            <w:tcBorders>
              <w:tl2br w:val="nil"/>
              <w:tr2bl w:val="nil"/>
            </w:tcBorders>
            <w:vAlign w:val="center"/>
          </w:tcPr>
          <w:p w14:paraId="320D85E8">
            <w:pPr>
              <w:pStyle w:val="56"/>
              <w:autoSpaceDE w:val="0"/>
              <w:autoSpaceDN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医疗废物</w:t>
            </w:r>
          </w:p>
        </w:tc>
        <w:tc>
          <w:tcPr>
            <w:tcW w:w="3410" w:type="dxa"/>
            <w:tcBorders>
              <w:tl2br w:val="nil"/>
              <w:tr2bl w:val="nil"/>
            </w:tcBorders>
            <w:vAlign w:val="center"/>
          </w:tcPr>
          <w:p w14:paraId="131535B8">
            <w:pPr>
              <w:pStyle w:val="56"/>
              <w:autoSpaceDE w:val="0"/>
              <w:autoSpaceDN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危险废物暂存间暂存，委托有资质的单位进行处理</w:t>
            </w:r>
          </w:p>
        </w:tc>
        <w:tc>
          <w:tcPr>
            <w:tcW w:w="2482" w:type="dxa"/>
            <w:tcBorders>
              <w:tl2br w:val="nil"/>
              <w:tr2bl w:val="nil"/>
            </w:tcBorders>
            <w:vAlign w:val="center"/>
          </w:tcPr>
          <w:p w14:paraId="3F5E2823">
            <w:pPr>
              <w:pStyle w:val="56"/>
              <w:autoSpaceDE w:val="0"/>
              <w:autoSpaceDN w:val="0"/>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合理处置</w:t>
            </w:r>
          </w:p>
        </w:tc>
      </w:tr>
    </w:tbl>
    <w:p w14:paraId="5E9BAF93">
      <w:pPr>
        <w:pStyle w:val="11"/>
        <w:rPr>
          <w:rFonts w:hint="default" w:ascii="Times New Roman" w:hAnsi="Times New Roman" w:cs="Times New Roman"/>
          <w:color w:val="000000" w:themeColor="text1"/>
          <w:lang w:val="en-US" w:eastAsia="zh-CN"/>
          <w14:textFill>
            <w14:solidFill>
              <w14:schemeClr w14:val="tx1"/>
            </w14:solidFill>
          </w14:textFill>
        </w:rPr>
        <w:sectPr>
          <w:footerReference r:id="rId19"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53EE1066">
      <w:pPr>
        <w:pStyle w:val="3"/>
        <w:numPr>
          <w:ilvl w:val="0"/>
          <w:numId w:val="1"/>
        </w:numPr>
        <w:rPr>
          <w:rFonts w:ascii="Times New Roman" w:hAnsi="Times New Roman" w:cs="Times New Roman"/>
          <w:color w:val="000000" w:themeColor="text1"/>
          <w14:textFill>
            <w14:solidFill>
              <w14:schemeClr w14:val="tx1"/>
            </w14:solidFill>
          </w14:textFill>
        </w:rPr>
      </w:pPr>
      <w:bookmarkStart w:id="323" w:name="_Toc490417148"/>
      <w:bookmarkStart w:id="324" w:name="_Toc483492103"/>
      <w:bookmarkStart w:id="325" w:name="_Toc21001"/>
      <w:r>
        <w:rPr>
          <w:rFonts w:ascii="Times New Roman" w:hAnsi="Times New Roman" w:cs="Times New Roman"/>
          <w:color w:val="000000" w:themeColor="text1"/>
          <w14:textFill>
            <w14:solidFill>
              <w14:schemeClr w14:val="tx1"/>
            </w14:solidFill>
          </w14:textFill>
        </w:rPr>
        <w:t>环境影响经济损益分析</w:t>
      </w:r>
      <w:bookmarkEnd w:id="323"/>
      <w:bookmarkEnd w:id="324"/>
      <w:bookmarkEnd w:id="325"/>
    </w:p>
    <w:p w14:paraId="18ED6224">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建设项目的环境经济损益分析，是从经济学的角度来分析项目的环境效益和社会效益，是根据项目的特性、总投资及生产规模分析其所采取的环保措施而引起的投资费用和得到经济、环境和社会效益进行经济分析。充分体现经济效益、社会效益与环境效益对立与统一的关系。通过环境经济损益的分析可以说明环保综合效益状况，而且可从环境效益、经济效益和社会效益相协调统一的角度来讨论项目建设的意义。本项目环境经济损益分析着重对项目环保投资和项目投产后的效益进行分析。</w:t>
      </w:r>
    </w:p>
    <w:p w14:paraId="2C58B69C">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26" w:name="_Toc24821"/>
      <w:r>
        <w:rPr>
          <w:rFonts w:ascii="Times New Roman" w:hAnsi="Times New Roman" w:cs="Times New Roman"/>
          <w:color w:val="000000" w:themeColor="text1"/>
          <w:lang w:val="en-GB"/>
          <w14:textFill>
            <w14:solidFill>
              <w14:schemeClr w14:val="tx1"/>
            </w14:solidFill>
          </w14:textFill>
        </w:rPr>
        <w:t>经济效益分析</w:t>
      </w:r>
      <w:bookmarkEnd w:id="326"/>
    </w:p>
    <w:p w14:paraId="6CFDFC5A">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（1）直接经济效益</w:t>
      </w:r>
    </w:p>
    <w:p w14:paraId="17783265">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根据项目可行性研究报告提供数据，项目建成后，年均净利润为</w:t>
      </w:r>
      <w:r>
        <w:rPr>
          <w:rFonts w:hint="eastAsia" w:cs="Times New Roman"/>
          <w:color w:val="000000" w:themeColor="text1"/>
          <w:lang w:val="en-US" w:bidi="zh-CN"/>
          <w14:textFill>
            <w14:solidFill>
              <w14:schemeClr w14:val="tx1"/>
            </w14:solidFill>
          </w14:textFill>
        </w:rPr>
        <w:t>2</w:t>
      </w:r>
      <w:r>
        <w:rPr>
          <w:rFonts w:hint="eastAsia" w:ascii="Times New Roman" w:hAnsi="Times New Roman" w:cs="Times New Roman"/>
          <w:color w:val="000000" w:themeColor="text1"/>
          <w:lang w:val="en-US" w:bidi="zh-CN"/>
          <w14:textFill>
            <w14:solidFill>
              <w14:schemeClr w14:val="tx1"/>
            </w14:solidFill>
          </w14:textFill>
        </w:rPr>
        <w:t>000</w:t>
      </w:r>
      <w:r>
        <w:rPr>
          <w:rFonts w:ascii="Times New Roman" w:hAnsi="Times New Roman" w:cs="Times New Roman"/>
          <w:color w:val="000000" w:themeColor="text1"/>
          <w:lang w:bidi="zh-CN"/>
          <w14:textFill>
            <w14:solidFill>
              <w14:schemeClr w14:val="tx1"/>
            </w14:solidFill>
          </w14:textFill>
        </w:rPr>
        <w:t>万元，项目收益率较好。</w:t>
      </w:r>
    </w:p>
    <w:p w14:paraId="4DBD92EB">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（2）间接经济效益</w:t>
      </w:r>
    </w:p>
    <w:p w14:paraId="2D3275A9">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该项目建设有利于调整区域农业结构，带动</w:t>
      </w:r>
      <w:r>
        <w:rPr>
          <w:rFonts w:hint="eastAsia" w:ascii="Times New Roman" w:hAnsi="Times New Roman" w:cs="Times New Roman"/>
          <w:color w:val="000000" w:themeColor="text1"/>
          <w:lang w:val="en-US" w:bidi="zh-CN"/>
          <w14:textFill>
            <w14:solidFill>
              <w14:schemeClr w14:val="tx1"/>
            </w14:solidFill>
          </w14:textFill>
        </w:rPr>
        <w:t>63团</w:t>
      </w:r>
      <w:r>
        <w:rPr>
          <w:rFonts w:ascii="Times New Roman" w:hAnsi="Times New Roman" w:cs="Times New Roman"/>
          <w:color w:val="000000" w:themeColor="text1"/>
          <w:lang w:bidi="zh-CN"/>
          <w14:textFill>
            <w14:solidFill>
              <w14:schemeClr w14:val="tx1"/>
            </w14:solidFill>
          </w14:textFill>
        </w:rPr>
        <w:t>及周边地区种植业、运输业及相关产业的发展，形成</w:t>
      </w:r>
      <w:r>
        <w:rPr>
          <w:rFonts w:hint="eastAsia" w:ascii="Times New Roman" w:hAnsi="Times New Roman" w:cs="Times New Roman"/>
          <w:color w:val="000000" w:themeColor="text1"/>
          <w:lang w:bidi="zh-CN"/>
          <w14:textFill>
            <w14:solidFill>
              <w14:schemeClr w14:val="tx1"/>
            </w14:solidFill>
          </w14:textFill>
        </w:rPr>
        <w:t>种鸭</w:t>
      </w:r>
      <w:r>
        <w:rPr>
          <w:rFonts w:ascii="Times New Roman" w:hAnsi="Times New Roman" w:cs="Times New Roman"/>
          <w:color w:val="000000" w:themeColor="text1"/>
          <w:lang w:bidi="zh-CN"/>
          <w14:textFill>
            <w14:solidFill>
              <w14:schemeClr w14:val="tx1"/>
            </w14:solidFill>
          </w14:textFill>
        </w:rPr>
        <w:t>养殖产业链，加快农业产业化进程，缓解</w:t>
      </w:r>
      <w:r>
        <w:rPr>
          <w:rFonts w:hint="eastAsia" w:ascii="Times New Roman" w:hAnsi="Times New Roman" w:cs="Times New Roman"/>
          <w:color w:val="000000" w:themeColor="text1"/>
          <w:lang w:bidi="zh-CN"/>
          <w14:textFill>
            <w14:solidFill>
              <w14:schemeClr w14:val="tx1"/>
            </w14:solidFill>
          </w14:textFill>
        </w:rPr>
        <w:t>种鸭</w:t>
      </w:r>
      <w:r>
        <w:rPr>
          <w:rFonts w:ascii="Times New Roman" w:hAnsi="Times New Roman" w:cs="Times New Roman"/>
          <w:color w:val="000000" w:themeColor="text1"/>
          <w:lang w:bidi="zh-CN"/>
          <w14:textFill>
            <w14:solidFill>
              <w14:schemeClr w14:val="tx1"/>
            </w14:solidFill>
          </w14:textFill>
        </w:rPr>
        <w:t>的“供需平衡”矛盾，有效解决“三农”问题，增加当地农民的收入。</w:t>
      </w:r>
    </w:p>
    <w:p w14:paraId="0D692D58">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根据工程分析和污染物防治措施，本项目采用干清粪工艺，</w:t>
      </w:r>
      <w:r>
        <w:rPr>
          <w:rFonts w:hint="eastAsia" w:ascii="Times New Roman" w:hAnsi="Times New Roman" w:cs="Times New Roman"/>
          <w:color w:val="000000" w:themeColor="text1"/>
          <w:lang w:bidi="zh-CN"/>
          <w14:textFill>
            <w14:solidFill>
              <w14:schemeClr w14:val="tx1"/>
            </w14:solidFill>
          </w14:textFill>
        </w:rPr>
        <w:t>鸭粪</w:t>
      </w:r>
      <w:r>
        <w:rPr>
          <w:rFonts w:ascii="Times New Roman" w:hAnsi="Times New Roman" w:cs="Times New Roman"/>
          <w:color w:val="000000" w:themeColor="text1"/>
          <w:lang w:bidi="zh-CN"/>
          <w14:textFill>
            <w14:solidFill>
              <w14:schemeClr w14:val="tx1"/>
            </w14:solidFill>
          </w14:textFill>
        </w:rPr>
        <w:t>及垫草料不在项目区贮存，直接拉运至</w:t>
      </w:r>
      <w:r>
        <w:rPr>
          <w:rFonts w:hint="eastAsia" w:ascii="Times New Roman" w:hAnsi="Times New Roman" w:cs="Times New Roman"/>
          <w:color w:val="000000" w:themeColor="text1"/>
          <w:lang w:val="en-US" w:bidi="zh-CN"/>
          <w14:textFill>
            <w14:solidFill>
              <w14:schemeClr w14:val="tx1"/>
            </w14:solidFill>
          </w14:textFill>
        </w:rPr>
        <w:t>63团3连粪污处理场</w:t>
      </w:r>
      <w:r>
        <w:rPr>
          <w:rFonts w:ascii="Times New Roman" w:hAnsi="Times New Roman" w:cs="Times New Roman"/>
          <w:color w:val="000000" w:themeColor="text1"/>
          <w:lang w:bidi="zh-CN"/>
          <w14:textFill>
            <w14:solidFill>
              <w14:schemeClr w14:val="tx1"/>
            </w14:solidFill>
          </w14:textFill>
        </w:rPr>
        <w:t>外售，既符合《排污许可证申请与核发技术规范 畜禽养殖行业》（HJ1029-2019）固体粪污管理要求，又可增加企业收入</w:t>
      </w:r>
      <w:r>
        <w:rPr>
          <w:rFonts w:hint="eastAsia" w:cs="Times New Roman"/>
          <w:color w:val="000000" w:themeColor="text1"/>
          <w:lang w:bidi="zh-CN"/>
          <w14:textFill>
            <w14:solidFill>
              <w14:schemeClr w14:val="tx1"/>
            </w14:solidFill>
          </w14:textFill>
        </w:rPr>
        <w:t>，</w:t>
      </w:r>
      <w:r>
        <w:rPr>
          <w:rFonts w:hint="eastAsia" w:cs="Times New Roman"/>
          <w:color w:val="000000" w:themeColor="text1"/>
          <w:lang w:val="en-US" w:bidi="zh-CN"/>
          <w14:textFill>
            <w14:solidFill>
              <w14:schemeClr w14:val="tx1"/>
            </w14:solidFill>
          </w14:textFill>
        </w:rPr>
        <w:t>同时粪污资源化利用可为周边农业生产提供有机肥料</w:t>
      </w:r>
      <w:r>
        <w:rPr>
          <w:rFonts w:ascii="Times New Roman" w:hAnsi="Times New Roman" w:cs="Times New Roman"/>
          <w:color w:val="000000" w:themeColor="text1"/>
          <w:lang w:bidi="zh-CN"/>
          <w14:textFill>
            <w14:solidFill>
              <w14:schemeClr w14:val="tx1"/>
            </w14:solidFill>
          </w14:textFill>
        </w:rPr>
        <w:t>。</w:t>
      </w:r>
    </w:p>
    <w:p w14:paraId="2924FBBF">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27" w:name="_Toc490417149"/>
      <w:bookmarkStart w:id="328" w:name="_Toc31380"/>
      <w:bookmarkStart w:id="329" w:name="_Toc483492105"/>
      <w:r>
        <w:rPr>
          <w:rFonts w:ascii="Times New Roman" w:hAnsi="Times New Roman" w:cs="Times New Roman"/>
          <w:color w:val="000000" w:themeColor="text1"/>
          <w:lang w:val="en-GB"/>
          <w14:textFill>
            <w14:solidFill>
              <w14:schemeClr w14:val="tx1"/>
            </w14:solidFill>
          </w14:textFill>
        </w:rPr>
        <w:t>社会效益分析</w:t>
      </w:r>
      <w:bookmarkEnd w:id="327"/>
      <w:bookmarkEnd w:id="328"/>
      <w:bookmarkEnd w:id="329"/>
    </w:p>
    <w:p w14:paraId="5462A8C7">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本项目建成投产为当地就业提供更多的机会，扩大就业，增加就业者收入。新增劳动岗位</w:t>
      </w:r>
      <w:r>
        <w:rPr>
          <w:rFonts w:hint="eastAsia" w:eastAsia="宋体" w:cs="Times New Roman"/>
          <w:color w:val="000000" w:themeColor="text1"/>
          <w:kern w:val="0"/>
          <w:sz w:val="24"/>
          <w:szCs w:val="24"/>
          <w:lang w:val="en-US" w:eastAsia="zh-CN" w:bidi="ar"/>
          <w14:textFill>
            <w14:solidFill>
              <w14:schemeClr w14:val="tx1"/>
            </w14:solidFill>
          </w14:textFill>
        </w:rPr>
        <w:t>25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人。</w:t>
      </w:r>
    </w:p>
    <w:p w14:paraId="3752BE64">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本项目的建设可增加当地财政收入，提高当地人民收入和生活水平，促进当地经济较快的发展。</w:t>
      </w:r>
    </w:p>
    <w:p w14:paraId="6DADE69C">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清偿能力较好，具有一定的抗风险能力，项目可行。此外，该项目投产也将推动区域社会经济和相关产业的发展，对当地的经济发展会起到较大的促进作用，有助于维护社会稳定，具有积极的影响。由此可见，本项目环保投资的效益是显著的，既减少了排污，又保护了环境和周围人群的健康，实现了环境效益和社会效益的良好结合</w:t>
      </w:r>
      <w:r>
        <w:rPr>
          <w:rFonts w:ascii="Times New Roman" w:hAnsi="Times New Roman" w:cs="Times New Roman"/>
          <w:color w:val="000000" w:themeColor="text1"/>
          <w14:textFill>
            <w14:solidFill>
              <w14:schemeClr w14:val="tx1"/>
            </w14:solidFill>
          </w14:textFill>
        </w:rPr>
        <w:t>。</w:t>
      </w:r>
    </w:p>
    <w:p w14:paraId="159E6EE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通过本项目能较好的带动当地及周边畜牧产业的发展，具有良好的发展前景。本项目可直接为项目区农民新增部分就业岗位，具有明显的社会效益。</w:t>
      </w:r>
    </w:p>
    <w:p w14:paraId="7791EE48">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30" w:name="_Toc13886"/>
      <w:r>
        <w:rPr>
          <w:rFonts w:ascii="Times New Roman" w:hAnsi="Times New Roman" w:cs="Times New Roman"/>
          <w:color w:val="000000" w:themeColor="text1"/>
          <w:lang w:val="en-GB"/>
          <w14:textFill>
            <w14:solidFill>
              <w14:schemeClr w14:val="tx1"/>
            </w14:solidFill>
          </w14:textFill>
        </w:rPr>
        <w:t>环保投资</w:t>
      </w:r>
      <w:bookmarkEnd w:id="330"/>
    </w:p>
    <w:p w14:paraId="19056137">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环保投资估算</w:t>
      </w:r>
    </w:p>
    <w:p w14:paraId="737E5607">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本项目环境保护投资</w:t>
      </w:r>
      <w:r>
        <w:rPr>
          <w:rFonts w:hint="eastAsia" w:ascii="Times New Roman" w:hAnsi="Times New Roman" w:cs="Times New Roman"/>
          <w:color w:val="000000" w:themeColor="text1"/>
          <w:lang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83</w:t>
      </w:r>
      <w:r>
        <w:rPr>
          <w:rFonts w:ascii="Times New Roman" w:hAnsi="Times New Roman" w:cs="Times New Roman"/>
          <w:color w:val="000000" w:themeColor="text1"/>
          <w:lang w:val="en-GB"/>
          <w14:textFill>
            <w14:solidFill>
              <w14:schemeClr w14:val="tx1"/>
            </w14:solidFill>
          </w14:textFill>
        </w:rPr>
        <w:t>万元，占总投资</w:t>
      </w:r>
      <w:r>
        <w:rPr>
          <w:rFonts w:hint="eastAsia" w:cs="Times New Roman"/>
          <w:color w:val="000000" w:themeColor="text1"/>
          <w:lang w:val="en-US" w:eastAsia="zh-CN"/>
          <w14:textFill>
            <w14:solidFill>
              <w14:schemeClr w14:val="tx1"/>
            </w14:solidFill>
          </w14:textFill>
        </w:rPr>
        <w:t>3000</w:t>
      </w:r>
      <w:r>
        <w:rPr>
          <w:rFonts w:ascii="Times New Roman" w:hAnsi="Times New Roman" w:cs="Times New Roman"/>
          <w:color w:val="000000" w:themeColor="text1"/>
          <w14:textFill>
            <w14:solidFill>
              <w14:schemeClr w14:val="tx1"/>
            </w14:solidFill>
          </w14:textFill>
        </w:rPr>
        <w:t>万元</w:t>
      </w:r>
      <w:r>
        <w:rPr>
          <w:rFonts w:ascii="Times New Roman" w:hAnsi="Times New Roman" w:cs="Times New Roman"/>
          <w:color w:val="000000" w:themeColor="text1"/>
          <w:lang w:val="en-GB"/>
          <w14:textFill>
            <w14:solidFill>
              <w14:schemeClr w14:val="tx1"/>
            </w14:solidFill>
          </w14:textFill>
        </w:rPr>
        <w:t>的</w:t>
      </w:r>
      <w:r>
        <w:rPr>
          <w:rFonts w:hint="eastAsia" w:cs="Times New Roman"/>
          <w:color w:val="000000" w:themeColor="text1"/>
          <w:lang w:val="en-US" w:eastAsia="zh-CN"/>
          <w14:textFill>
            <w14:solidFill>
              <w14:schemeClr w14:val="tx1"/>
            </w14:solidFill>
          </w14:textFill>
        </w:rPr>
        <w:t>9.43</w:t>
      </w:r>
      <w:r>
        <w:rPr>
          <w:rFonts w:ascii="Times New Roman" w:hAnsi="Times New Roman" w:cs="Times New Roman"/>
          <w:color w:val="000000" w:themeColor="text1"/>
          <w:lang w:val="en-GB"/>
          <w14:textFill>
            <w14:solidFill>
              <w14:schemeClr w14:val="tx1"/>
            </w14:solidFill>
          </w14:textFill>
        </w:rPr>
        <w:t>%。环境保护措施及环保投资见表</w:t>
      </w:r>
      <w:r>
        <w:rPr>
          <w:rFonts w:hint="eastAsia" w:cs="Times New Roman"/>
          <w:color w:val="000000" w:themeColor="text1"/>
          <w:lang w:val="en-US" w:eastAsia="zh-CN"/>
          <w14:textFill>
            <w14:solidFill>
              <w14:schemeClr w14:val="tx1"/>
            </w14:solidFill>
          </w14:textFill>
        </w:rPr>
        <w:t>7</w:t>
      </w:r>
      <w:r>
        <w:rPr>
          <w:rFonts w:ascii="Times New Roman" w:hAnsi="Times New Roman" w:cs="Times New Roman"/>
          <w:color w:val="000000" w:themeColor="text1"/>
          <w:lang w:val="en-GB"/>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lang w:val="en-GB"/>
          <w14:textFill>
            <w14:solidFill>
              <w14:schemeClr w14:val="tx1"/>
            </w14:solidFill>
          </w14:textFill>
        </w:rPr>
        <w:t>-1。</w:t>
      </w:r>
    </w:p>
    <w:p w14:paraId="3E8ED6B9">
      <w:pPr>
        <w:ind w:firstLine="0" w:firstLineChars="0"/>
        <w:jc w:val="center"/>
        <w:rPr>
          <w:rFonts w:ascii="Times New Roman" w:hAnsi="Times New Roman" w:eastAsia="宋体" w:cs="Times New Roman"/>
          <w:b/>
          <w:bCs/>
          <w:color w:val="000000" w:themeColor="text1"/>
          <w:lang w:val="en-GB"/>
          <w14:textFill>
            <w14:solidFill>
              <w14:schemeClr w14:val="tx1"/>
            </w14:solidFill>
          </w14:textFill>
        </w:rPr>
      </w:pPr>
      <w:r>
        <w:rPr>
          <w:rFonts w:ascii="Times New Roman" w:hAnsi="Times New Roman" w:eastAsia="宋体" w:cs="Times New Roman"/>
          <w:b/>
          <w:bCs/>
          <w:color w:val="000000" w:themeColor="text1"/>
          <w:lang w:val="en-GB"/>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7</w:t>
      </w:r>
      <w:r>
        <w:rPr>
          <w:rFonts w:ascii="Times New Roman" w:hAnsi="Times New Roman" w:eastAsia="宋体" w:cs="Times New Roman"/>
          <w:b/>
          <w:bCs/>
          <w:color w:val="000000" w:themeColor="text1"/>
          <w:lang w:val="en-GB"/>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3</w:t>
      </w:r>
      <w:r>
        <w:rPr>
          <w:rFonts w:ascii="Times New Roman" w:hAnsi="Times New Roman" w:eastAsia="宋体" w:cs="Times New Roman"/>
          <w:b/>
          <w:bCs/>
          <w:color w:val="000000" w:themeColor="text1"/>
          <w:lang w:val="en-GB"/>
          <w14:textFill>
            <w14:solidFill>
              <w14:schemeClr w14:val="tx1"/>
            </w14:solidFill>
          </w14:textFill>
        </w:rPr>
        <w:t>-1   环境保护措施及环保投资一览表</w:t>
      </w:r>
    </w:p>
    <w:tbl>
      <w:tblPr>
        <w:tblStyle w:val="81"/>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82"/>
        <w:gridCol w:w="605"/>
        <w:gridCol w:w="1663"/>
        <w:gridCol w:w="4949"/>
        <w:gridCol w:w="1045"/>
      </w:tblGrid>
      <w:tr w14:paraId="7C8EBC9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87" w:type="dxa"/>
            <w:gridSpan w:val="2"/>
            <w:tcBorders>
              <w:tl2br w:val="nil"/>
              <w:tr2bl w:val="nil"/>
            </w:tcBorders>
            <w:vAlign w:val="center"/>
          </w:tcPr>
          <w:p w14:paraId="0805209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类型</w:t>
            </w:r>
          </w:p>
        </w:tc>
        <w:tc>
          <w:tcPr>
            <w:tcW w:w="1663" w:type="dxa"/>
            <w:tcBorders>
              <w:tl2br w:val="nil"/>
              <w:tr2bl w:val="nil"/>
            </w:tcBorders>
            <w:vAlign w:val="center"/>
          </w:tcPr>
          <w:p w14:paraId="2D91EEA3">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污染工序</w:t>
            </w:r>
          </w:p>
        </w:tc>
        <w:tc>
          <w:tcPr>
            <w:tcW w:w="4949" w:type="dxa"/>
            <w:tcBorders>
              <w:tl2br w:val="nil"/>
              <w:tr2bl w:val="nil"/>
            </w:tcBorders>
            <w:vAlign w:val="center"/>
          </w:tcPr>
          <w:p w14:paraId="3FB66BBC">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环保措施</w:t>
            </w:r>
          </w:p>
        </w:tc>
        <w:tc>
          <w:tcPr>
            <w:tcW w:w="1045" w:type="dxa"/>
            <w:tcBorders>
              <w:tl2br w:val="nil"/>
              <w:tr2bl w:val="nil"/>
            </w:tcBorders>
            <w:vAlign w:val="center"/>
          </w:tcPr>
          <w:p w14:paraId="63F14FC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投资</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lang w:eastAsia="en-US"/>
                <w14:textFill>
                  <w14:solidFill>
                    <w14:schemeClr w14:val="tx1"/>
                  </w14:solidFill>
                </w14:textFill>
              </w:rPr>
              <w:t>万元</w:t>
            </w:r>
            <w:r>
              <w:rPr>
                <w:rFonts w:hint="eastAsia"/>
                <w:color w:val="000000" w:themeColor="text1"/>
                <w:szCs w:val="21"/>
                <w:lang w:eastAsia="zh-CN"/>
                <w14:textFill>
                  <w14:solidFill>
                    <w14:schemeClr w14:val="tx1"/>
                  </w14:solidFill>
                </w14:textFill>
              </w:rPr>
              <w:t>）</w:t>
            </w:r>
          </w:p>
        </w:tc>
      </w:tr>
      <w:tr w14:paraId="213D69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restart"/>
            <w:tcBorders>
              <w:tl2br w:val="nil"/>
              <w:tr2bl w:val="nil"/>
            </w:tcBorders>
            <w:vAlign w:val="center"/>
          </w:tcPr>
          <w:p w14:paraId="43E08886">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施工期</w:t>
            </w:r>
          </w:p>
        </w:tc>
        <w:tc>
          <w:tcPr>
            <w:tcW w:w="605" w:type="dxa"/>
            <w:tcBorders>
              <w:tl2br w:val="nil"/>
              <w:tr2bl w:val="nil"/>
            </w:tcBorders>
            <w:vAlign w:val="center"/>
          </w:tcPr>
          <w:p w14:paraId="345B17A3">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废气</w:t>
            </w:r>
          </w:p>
        </w:tc>
        <w:tc>
          <w:tcPr>
            <w:tcW w:w="1663" w:type="dxa"/>
            <w:tcBorders>
              <w:tl2br w:val="nil"/>
              <w:tr2bl w:val="nil"/>
            </w:tcBorders>
            <w:vAlign w:val="center"/>
          </w:tcPr>
          <w:p w14:paraId="35698C3E">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施工扬尘</w:t>
            </w:r>
          </w:p>
        </w:tc>
        <w:tc>
          <w:tcPr>
            <w:tcW w:w="4949" w:type="dxa"/>
            <w:tcBorders>
              <w:tl2br w:val="nil"/>
              <w:tr2bl w:val="nil"/>
            </w:tcBorders>
            <w:vAlign w:val="center"/>
          </w:tcPr>
          <w:p w14:paraId="28B75D9E">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洒水抑尘、设置防护网、运输车辆遮盖、</w:t>
            </w:r>
            <w:r>
              <w:rPr>
                <w:rFonts w:ascii="Times New Roman" w:hAnsi="Times New Roman"/>
                <w:color w:val="000000" w:themeColor="text1"/>
                <w:szCs w:val="21"/>
                <w:lang w:val="en-US" w:eastAsia="zh-CN"/>
                <w14:textFill>
                  <w14:solidFill>
                    <w14:schemeClr w14:val="tx1"/>
                  </w14:solidFill>
                </w14:textFill>
              </w:rPr>
              <w:t>围挡</w:t>
            </w:r>
            <w:r>
              <w:rPr>
                <w:rFonts w:ascii="Times New Roman" w:hAnsi="Times New Roman"/>
                <w:color w:val="000000" w:themeColor="text1"/>
                <w:szCs w:val="21"/>
                <w:lang w:eastAsia="zh-CN"/>
                <w14:textFill>
                  <w14:solidFill>
                    <w14:schemeClr w14:val="tx1"/>
                  </w14:solidFill>
                </w14:textFill>
              </w:rPr>
              <w:t>措施</w:t>
            </w:r>
          </w:p>
        </w:tc>
        <w:tc>
          <w:tcPr>
            <w:tcW w:w="1045" w:type="dxa"/>
            <w:tcBorders>
              <w:tl2br w:val="nil"/>
              <w:tr2bl w:val="nil"/>
            </w:tcBorders>
            <w:vAlign w:val="center"/>
          </w:tcPr>
          <w:p w14:paraId="44E95E2B">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8</w:t>
            </w:r>
          </w:p>
        </w:tc>
      </w:tr>
      <w:tr w14:paraId="73D76F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7267E0F8">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tcBorders>
              <w:tl2br w:val="nil"/>
              <w:tr2bl w:val="nil"/>
            </w:tcBorders>
            <w:vAlign w:val="center"/>
          </w:tcPr>
          <w:p w14:paraId="20F78DF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废水</w:t>
            </w:r>
          </w:p>
        </w:tc>
        <w:tc>
          <w:tcPr>
            <w:tcW w:w="1663" w:type="dxa"/>
            <w:tcBorders>
              <w:tl2br w:val="nil"/>
              <w:tr2bl w:val="nil"/>
            </w:tcBorders>
            <w:vAlign w:val="center"/>
          </w:tcPr>
          <w:p w14:paraId="6B084B22">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施工废水</w:t>
            </w:r>
          </w:p>
        </w:tc>
        <w:tc>
          <w:tcPr>
            <w:tcW w:w="4949" w:type="dxa"/>
            <w:tcBorders>
              <w:tl2br w:val="nil"/>
              <w:tr2bl w:val="nil"/>
            </w:tcBorders>
            <w:vAlign w:val="center"/>
          </w:tcPr>
          <w:p w14:paraId="497399B7">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沉淀池</w:t>
            </w:r>
          </w:p>
        </w:tc>
        <w:tc>
          <w:tcPr>
            <w:tcW w:w="1045" w:type="dxa"/>
            <w:tcBorders>
              <w:tl2br w:val="nil"/>
              <w:tr2bl w:val="nil"/>
            </w:tcBorders>
            <w:vAlign w:val="center"/>
          </w:tcPr>
          <w:p w14:paraId="767BE7BB">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3</w:t>
            </w:r>
          </w:p>
        </w:tc>
      </w:tr>
      <w:tr w14:paraId="5D908C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6030D088">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tcBorders>
              <w:tl2br w:val="nil"/>
              <w:tr2bl w:val="nil"/>
            </w:tcBorders>
            <w:vAlign w:val="center"/>
          </w:tcPr>
          <w:p w14:paraId="4468D4C2">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固废</w:t>
            </w:r>
          </w:p>
        </w:tc>
        <w:tc>
          <w:tcPr>
            <w:tcW w:w="1663" w:type="dxa"/>
            <w:tcBorders>
              <w:tl2br w:val="nil"/>
              <w:tr2bl w:val="nil"/>
            </w:tcBorders>
            <w:vAlign w:val="center"/>
          </w:tcPr>
          <w:p w14:paraId="27823966">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施工固废</w:t>
            </w:r>
          </w:p>
        </w:tc>
        <w:tc>
          <w:tcPr>
            <w:tcW w:w="4949" w:type="dxa"/>
            <w:tcBorders>
              <w:tl2br w:val="nil"/>
              <w:tr2bl w:val="nil"/>
            </w:tcBorders>
            <w:vAlign w:val="center"/>
          </w:tcPr>
          <w:p w14:paraId="4F7CD9F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建筑垃圾清运</w:t>
            </w:r>
          </w:p>
        </w:tc>
        <w:tc>
          <w:tcPr>
            <w:tcW w:w="1045" w:type="dxa"/>
            <w:tcBorders>
              <w:tl2br w:val="nil"/>
              <w:tr2bl w:val="nil"/>
            </w:tcBorders>
            <w:vAlign w:val="center"/>
          </w:tcPr>
          <w:p w14:paraId="1F14245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2</w:t>
            </w:r>
          </w:p>
        </w:tc>
      </w:tr>
      <w:tr w14:paraId="596A52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restart"/>
            <w:tcBorders>
              <w:tl2br w:val="nil"/>
              <w:tr2bl w:val="nil"/>
            </w:tcBorders>
            <w:vAlign w:val="center"/>
          </w:tcPr>
          <w:p w14:paraId="47E11901">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运营期</w:t>
            </w:r>
          </w:p>
        </w:tc>
        <w:tc>
          <w:tcPr>
            <w:tcW w:w="605" w:type="dxa"/>
            <w:vMerge w:val="restart"/>
            <w:tcBorders>
              <w:tl2br w:val="nil"/>
              <w:tr2bl w:val="nil"/>
            </w:tcBorders>
            <w:vAlign w:val="center"/>
          </w:tcPr>
          <w:p w14:paraId="38D8AC8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废气</w:t>
            </w:r>
          </w:p>
        </w:tc>
        <w:tc>
          <w:tcPr>
            <w:tcW w:w="1663" w:type="dxa"/>
            <w:tcBorders>
              <w:tl2br w:val="nil"/>
              <w:tr2bl w:val="nil"/>
            </w:tcBorders>
            <w:vAlign w:val="center"/>
          </w:tcPr>
          <w:p w14:paraId="5A117640">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养殖区恶臭</w:t>
            </w:r>
          </w:p>
        </w:tc>
        <w:tc>
          <w:tcPr>
            <w:tcW w:w="4949" w:type="dxa"/>
            <w:tcBorders>
              <w:tl2br w:val="nil"/>
              <w:tr2bl w:val="nil"/>
            </w:tcBorders>
            <w:vAlign w:val="center"/>
          </w:tcPr>
          <w:p w14:paraId="5172DBDA">
            <w:pPr>
              <w:pStyle w:val="56"/>
              <w:autoSpaceDE w:val="0"/>
              <w:autoSpaceDN w:val="0"/>
              <w:rPr>
                <w:rFonts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圈舍通风、喷洒除臭剂、</w:t>
            </w:r>
            <w:r>
              <w:rPr>
                <w:rFonts w:ascii="Times New Roman" w:hAnsi="Times New Roman"/>
                <w:color w:val="000000" w:themeColor="text1"/>
                <w:szCs w:val="21"/>
                <w:lang w:val="en-US" w:eastAsia="zh-CN"/>
                <w14:textFill>
                  <w14:solidFill>
                    <w14:schemeClr w14:val="tx1"/>
                  </w14:solidFill>
                </w14:textFill>
              </w:rPr>
              <w:t>定期清理</w:t>
            </w:r>
          </w:p>
        </w:tc>
        <w:tc>
          <w:tcPr>
            <w:tcW w:w="1045" w:type="dxa"/>
            <w:vMerge w:val="restart"/>
            <w:tcBorders>
              <w:tl2br w:val="nil"/>
              <w:tr2bl w:val="nil"/>
            </w:tcBorders>
            <w:vAlign w:val="center"/>
          </w:tcPr>
          <w:p w14:paraId="2F1BE7F8">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w:t>
            </w:r>
          </w:p>
        </w:tc>
      </w:tr>
      <w:tr w14:paraId="2C4DA0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22DD9556">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vMerge w:val="continue"/>
            <w:tcBorders>
              <w:tl2br w:val="nil"/>
              <w:tr2bl w:val="nil"/>
            </w:tcBorders>
            <w:vAlign w:val="center"/>
          </w:tcPr>
          <w:p w14:paraId="3B109723">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663" w:type="dxa"/>
            <w:tcBorders>
              <w:tl2br w:val="nil"/>
              <w:tr2bl w:val="nil"/>
            </w:tcBorders>
            <w:vAlign w:val="center"/>
          </w:tcPr>
          <w:p w14:paraId="19D4238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环保化粪池</w:t>
            </w:r>
            <w:r>
              <w:rPr>
                <w:rFonts w:ascii="Times New Roman" w:hAnsi="Times New Roman"/>
                <w:color w:val="000000" w:themeColor="text1"/>
                <w:szCs w:val="21"/>
                <w:lang w:eastAsia="en-US"/>
                <w14:textFill>
                  <w14:solidFill>
                    <w14:schemeClr w14:val="tx1"/>
                  </w14:solidFill>
                </w14:textFill>
              </w:rPr>
              <w:t>恶臭</w:t>
            </w:r>
          </w:p>
        </w:tc>
        <w:tc>
          <w:tcPr>
            <w:tcW w:w="4949" w:type="dxa"/>
            <w:tcBorders>
              <w:tl2br w:val="nil"/>
              <w:tr2bl w:val="nil"/>
            </w:tcBorders>
            <w:vAlign w:val="center"/>
          </w:tcPr>
          <w:p w14:paraId="0C6052E4">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喷洒除臭剂</w:t>
            </w:r>
            <w:r>
              <w:rPr>
                <w:rFonts w:ascii="Times New Roman" w:hAnsi="Times New Roman"/>
                <w:color w:val="000000" w:themeColor="text1"/>
                <w:lang w:eastAsia="en-US"/>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加盖防雨</w:t>
            </w:r>
          </w:p>
        </w:tc>
        <w:tc>
          <w:tcPr>
            <w:tcW w:w="1045" w:type="dxa"/>
            <w:vMerge w:val="continue"/>
            <w:tcBorders>
              <w:tl2br w:val="nil"/>
              <w:tr2bl w:val="nil"/>
            </w:tcBorders>
            <w:vAlign w:val="center"/>
          </w:tcPr>
          <w:p w14:paraId="2F3E38D1">
            <w:pPr>
              <w:pStyle w:val="56"/>
              <w:autoSpaceDE w:val="0"/>
              <w:autoSpaceDN w:val="0"/>
              <w:rPr>
                <w:rFonts w:ascii="Times New Roman" w:hAnsi="Times New Roman"/>
                <w:color w:val="000000" w:themeColor="text1"/>
                <w:szCs w:val="21"/>
                <w:lang w:eastAsia="en-US"/>
                <w14:textFill>
                  <w14:solidFill>
                    <w14:schemeClr w14:val="tx1"/>
                  </w14:solidFill>
                </w14:textFill>
              </w:rPr>
            </w:pPr>
          </w:p>
        </w:tc>
      </w:tr>
      <w:tr w14:paraId="2EE8AB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0A9CAC0D">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vMerge w:val="continue"/>
            <w:tcBorders>
              <w:tl2br w:val="nil"/>
              <w:tr2bl w:val="nil"/>
            </w:tcBorders>
            <w:vAlign w:val="center"/>
          </w:tcPr>
          <w:p w14:paraId="0F062AE2">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663" w:type="dxa"/>
            <w:tcBorders>
              <w:tl2br w:val="nil"/>
              <w:tr2bl w:val="nil"/>
            </w:tcBorders>
            <w:vAlign w:val="center"/>
          </w:tcPr>
          <w:p w14:paraId="4A159726">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锅炉烟气</w:t>
            </w:r>
          </w:p>
        </w:tc>
        <w:tc>
          <w:tcPr>
            <w:tcW w:w="4949" w:type="dxa"/>
            <w:tcBorders>
              <w:tl2br w:val="nil"/>
              <w:tr2bl w:val="nil"/>
            </w:tcBorders>
            <w:vAlign w:val="center"/>
          </w:tcPr>
          <w:p w14:paraId="0910607E">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碱式喷淋塔+15m烟囱</w:t>
            </w:r>
          </w:p>
        </w:tc>
        <w:tc>
          <w:tcPr>
            <w:tcW w:w="1045" w:type="dxa"/>
            <w:tcBorders>
              <w:tl2br w:val="nil"/>
              <w:tr2bl w:val="nil"/>
            </w:tcBorders>
            <w:vAlign w:val="center"/>
          </w:tcPr>
          <w:p w14:paraId="383649AE">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w:t>
            </w:r>
          </w:p>
        </w:tc>
      </w:tr>
      <w:tr w14:paraId="2A6BDE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3B8B160E">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vMerge w:val="continue"/>
            <w:tcBorders>
              <w:tl2br w:val="nil"/>
              <w:tr2bl w:val="nil"/>
            </w:tcBorders>
            <w:vAlign w:val="center"/>
          </w:tcPr>
          <w:p w14:paraId="44DE331B">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663" w:type="dxa"/>
            <w:tcBorders>
              <w:tl2br w:val="nil"/>
              <w:tr2bl w:val="nil"/>
            </w:tcBorders>
            <w:vAlign w:val="center"/>
          </w:tcPr>
          <w:p w14:paraId="735B07C2">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食堂油烟</w:t>
            </w:r>
          </w:p>
        </w:tc>
        <w:tc>
          <w:tcPr>
            <w:tcW w:w="4949" w:type="dxa"/>
            <w:tcBorders>
              <w:tl2br w:val="nil"/>
              <w:tr2bl w:val="nil"/>
            </w:tcBorders>
            <w:vAlign w:val="center"/>
          </w:tcPr>
          <w:p w14:paraId="74AB2837">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油烟机净化器</w:t>
            </w:r>
          </w:p>
        </w:tc>
        <w:tc>
          <w:tcPr>
            <w:tcW w:w="1045" w:type="dxa"/>
            <w:tcBorders>
              <w:tl2br w:val="nil"/>
              <w:tr2bl w:val="nil"/>
            </w:tcBorders>
            <w:vAlign w:val="center"/>
          </w:tcPr>
          <w:p w14:paraId="55F69478">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w:t>
            </w:r>
          </w:p>
        </w:tc>
      </w:tr>
      <w:tr w14:paraId="230219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75119AB6">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2268" w:type="dxa"/>
            <w:gridSpan w:val="2"/>
            <w:tcBorders>
              <w:tl2br w:val="nil"/>
              <w:tr2bl w:val="nil"/>
            </w:tcBorders>
            <w:vAlign w:val="center"/>
          </w:tcPr>
          <w:p w14:paraId="4EBFB74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噪声</w:t>
            </w:r>
          </w:p>
        </w:tc>
        <w:tc>
          <w:tcPr>
            <w:tcW w:w="4949" w:type="dxa"/>
            <w:tcBorders>
              <w:tl2br w:val="nil"/>
              <w:tr2bl w:val="nil"/>
            </w:tcBorders>
            <w:vAlign w:val="center"/>
          </w:tcPr>
          <w:p w14:paraId="6BC0C81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隔声减振</w:t>
            </w:r>
          </w:p>
        </w:tc>
        <w:tc>
          <w:tcPr>
            <w:tcW w:w="1045" w:type="dxa"/>
            <w:tcBorders>
              <w:tl2br w:val="nil"/>
              <w:tr2bl w:val="nil"/>
            </w:tcBorders>
            <w:vAlign w:val="center"/>
          </w:tcPr>
          <w:p w14:paraId="09593F3C">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2</w:t>
            </w:r>
          </w:p>
        </w:tc>
      </w:tr>
      <w:tr w14:paraId="5E459F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39E50A5E">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vMerge w:val="restart"/>
            <w:tcBorders>
              <w:tl2br w:val="nil"/>
              <w:tr2bl w:val="nil"/>
            </w:tcBorders>
            <w:vAlign w:val="center"/>
          </w:tcPr>
          <w:p w14:paraId="4AC9EED3">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固废</w:t>
            </w:r>
          </w:p>
        </w:tc>
        <w:tc>
          <w:tcPr>
            <w:tcW w:w="1663" w:type="dxa"/>
            <w:tcBorders>
              <w:tl2br w:val="nil"/>
              <w:tr2bl w:val="nil"/>
            </w:tcBorders>
            <w:vAlign w:val="center"/>
          </w:tcPr>
          <w:p w14:paraId="24F1E1C8">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鸭粪</w:t>
            </w:r>
            <w:r>
              <w:rPr>
                <w:rFonts w:ascii="Times New Roman" w:hAnsi="Times New Roman"/>
                <w:color w:val="000000" w:themeColor="text1"/>
                <w:szCs w:val="21"/>
                <w:lang w:val="en-US" w:eastAsia="en-US"/>
                <w14:textFill>
                  <w14:solidFill>
                    <w14:schemeClr w14:val="tx1"/>
                  </w14:solidFill>
                </w14:textFill>
              </w:rPr>
              <w:t>及垫料</w:t>
            </w:r>
          </w:p>
        </w:tc>
        <w:tc>
          <w:tcPr>
            <w:tcW w:w="4949" w:type="dxa"/>
            <w:tcBorders>
              <w:tl2br w:val="nil"/>
              <w:tr2bl w:val="nil"/>
            </w:tcBorders>
            <w:vAlign w:val="center"/>
          </w:tcPr>
          <w:p w14:paraId="54CD5F2C">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鸭粪</w:t>
            </w:r>
            <w:r>
              <w:rPr>
                <w:rFonts w:ascii="Times New Roman" w:hAnsi="Times New Roman"/>
                <w:color w:val="000000" w:themeColor="text1"/>
                <w:szCs w:val="21"/>
                <w:lang w:val="en-US" w:eastAsia="zh-CN"/>
                <w14:textFill>
                  <w14:solidFill>
                    <w14:schemeClr w14:val="tx1"/>
                  </w14:solidFill>
                </w14:textFill>
              </w:rPr>
              <w:t>及垫草料收集</w:t>
            </w:r>
            <w:r>
              <w:rPr>
                <w:rFonts w:hint="eastAsia" w:ascii="Times New Roman" w:hAnsi="Times New Roman"/>
                <w:color w:val="000000" w:themeColor="text1"/>
                <w:szCs w:val="21"/>
                <w:lang w:val="en-US" w:eastAsia="zh-CN"/>
                <w14:textFill>
                  <w14:solidFill>
                    <w14:schemeClr w14:val="tx1"/>
                  </w14:solidFill>
                </w14:textFill>
              </w:rPr>
              <w:t>定期清运</w:t>
            </w:r>
          </w:p>
        </w:tc>
        <w:tc>
          <w:tcPr>
            <w:tcW w:w="1045" w:type="dxa"/>
            <w:tcBorders>
              <w:tl2br w:val="nil"/>
              <w:tr2bl w:val="nil"/>
            </w:tcBorders>
            <w:vAlign w:val="center"/>
          </w:tcPr>
          <w:p w14:paraId="3BF6A93D">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10</w:t>
            </w:r>
          </w:p>
        </w:tc>
      </w:tr>
      <w:tr w14:paraId="52A52E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6C5DE67A">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vMerge w:val="continue"/>
            <w:tcBorders>
              <w:tl2br w:val="nil"/>
              <w:tr2bl w:val="nil"/>
            </w:tcBorders>
            <w:vAlign w:val="center"/>
          </w:tcPr>
          <w:p w14:paraId="3FD8F6ED">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663" w:type="dxa"/>
            <w:tcBorders>
              <w:tl2br w:val="nil"/>
              <w:tr2bl w:val="nil"/>
            </w:tcBorders>
            <w:vAlign w:val="center"/>
          </w:tcPr>
          <w:p w14:paraId="3F8086E5">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病死</w:t>
            </w:r>
            <w:r>
              <w:rPr>
                <w:rFonts w:hint="eastAsia" w:ascii="Times New Roman" w:hAnsi="Times New Roman"/>
                <w:color w:val="000000" w:themeColor="text1"/>
                <w:szCs w:val="21"/>
                <w:lang w:eastAsia="zh-CN"/>
                <w14:textFill>
                  <w14:solidFill>
                    <w14:schemeClr w14:val="tx1"/>
                  </w14:solidFill>
                </w14:textFill>
              </w:rPr>
              <w:t>鸭</w:t>
            </w:r>
            <w:r>
              <w:rPr>
                <w:rFonts w:ascii="Times New Roman" w:hAnsi="Times New Roman"/>
                <w:color w:val="000000" w:themeColor="text1"/>
                <w:szCs w:val="21"/>
                <w:lang w:eastAsia="en-US"/>
                <w14:textFill>
                  <w14:solidFill>
                    <w14:schemeClr w14:val="tx1"/>
                  </w14:solidFill>
                </w14:textFill>
              </w:rPr>
              <w:t>尸体</w:t>
            </w:r>
          </w:p>
        </w:tc>
        <w:tc>
          <w:tcPr>
            <w:tcW w:w="4949" w:type="dxa"/>
            <w:tcBorders>
              <w:tl2br w:val="nil"/>
              <w:tr2bl w:val="nil"/>
            </w:tcBorders>
            <w:vAlign w:val="center"/>
          </w:tcPr>
          <w:p w14:paraId="6C20413D">
            <w:pPr>
              <w:pStyle w:val="56"/>
              <w:autoSpaceDE w:val="0"/>
              <w:autoSpaceDN w:val="0"/>
              <w:rPr>
                <w:rFonts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szCs w:val="21"/>
                <w:lang w:val="en-US" w:eastAsia="zh-CN"/>
                <w14:textFill>
                  <w14:solidFill>
                    <w14:schemeClr w14:val="tx1"/>
                  </w14:solidFill>
                </w14:textFill>
              </w:rPr>
              <w:t>委托伊宁市病死畜禽无害化处理中心处理</w:t>
            </w:r>
          </w:p>
        </w:tc>
        <w:tc>
          <w:tcPr>
            <w:tcW w:w="1045" w:type="dxa"/>
            <w:tcBorders>
              <w:tl2br w:val="nil"/>
              <w:tr2bl w:val="nil"/>
            </w:tcBorders>
            <w:vAlign w:val="center"/>
          </w:tcPr>
          <w:p w14:paraId="314296EB">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w:t>
            </w:r>
          </w:p>
        </w:tc>
      </w:tr>
      <w:tr w14:paraId="64E82E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2F18A133">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vMerge w:val="continue"/>
            <w:tcBorders>
              <w:tl2br w:val="nil"/>
              <w:tr2bl w:val="nil"/>
            </w:tcBorders>
            <w:vAlign w:val="center"/>
          </w:tcPr>
          <w:p w14:paraId="338C5767">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663" w:type="dxa"/>
            <w:tcBorders>
              <w:tl2br w:val="nil"/>
              <w:tr2bl w:val="nil"/>
            </w:tcBorders>
            <w:vAlign w:val="center"/>
          </w:tcPr>
          <w:p w14:paraId="2AAF8F40">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兽用医疗废物</w:t>
            </w:r>
          </w:p>
        </w:tc>
        <w:tc>
          <w:tcPr>
            <w:tcW w:w="4949" w:type="dxa"/>
            <w:tcBorders>
              <w:tl2br w:val="nil"/>
              <w:tr2bl w:val="nil"/>
            </w:tcBorders>
            <w:vAlign w:val="center"/>
          </w:tcPr>
          <w:p w14:paraId="6994AF72">
            <w:pPr>
              <w:pStyle w:val="56"/>
              <w:autoSpaceDE w:val="0"/>
              <w:autoSpaceDN w:val="0"/>
              <w:rPr>
                <w:rFonts w:ascii="Times New Roman" w:hAnsi="Times New Roman"/>
                <w:color w:val="000000" w:themeColor="text1"/>
                <w:lang w:eastAsia="zh-CN"/>
                <w14:textFill>
                  <w14:solidFill>
                    <w14:schemeClr w14:val="tx1"/>
                  </w14:solidFill>
                </w14:textFill>
              </w:rPr>
            </w:pPr>
            <w:r>
              <w:rPr>
                <w:rFonts w:ascii="Times New Roman" w:hAnsi="Times New Roman"/>
                <w:color w:val="000000" w:themeColor="text1"/>
                <w:lang w:val="en-US" w:eastAsia="zh-CN"/>
                <w14:textFill>
                  <w14:solidFill>
                    <w14:schemeClr w14:val="tx1"/>
                  </w14:solidFill>
                </w14:textFill>
              </w:rPr>
              <w:t>兽用医疗废物暂存于危险废物暂存间，由有危险废物处理资质单位处理</w:t>
            </w:r>
          </w:p>
        </w:tc>
        <w:tc>
          <w:tcPr>
            <w:tcW w:w="1045" w:type="dxa"/>
            <w:tcBorders>
              <w:tl2br w:val="nil"/>
              <w:tr2bl w:val="nil"/>
            </w:tcBorders>
            <w:vAlign w:val="center"/>
          </w:tcPr>
          <w:p w14:paraId="524336D8">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r>
      <w:tr w14:paraId="568B53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763B810F">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vMerge w:val="continue"/>
            <w:tcBorders>
              <w:tl2br w:val="nil"/>
              <w:tr2bl w:val="nil"/>
            </w:tcBorders>
            <w:vAlign w:val="center"/>
          </w:tcPr>
          <w:p w14:paraId="52A160D8">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663" w:type="dxa"/>
            <w:tcBorders>
              <w:tl2br w:val="nil"/>
              <w:tr2bl w:val="nil"/>
            </w:tcBorders>
            <w:vAlign w:val="center"/>
          </w:tcPr>
          <w:p w14:paraId="3D3C082E">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生活垃圾</w:t>
            </w:r>
          </w:p>
        </w:tc>
        <w:tc>
          <w:tcPr>
            <w:tcW w:w="4949" w:type="dxa"/>
            <w:tcBorders>
              <w:tl2br w:val="nil"/>
              <w:tr2bl w:val="nil"/>
            </w:tcBorders>
            <w:vAlign w:val="center"/>
          </w:tcPr>
          <w:p w14:paraId="264538D9">
            <w:pPr>
              <w:pStyle w:val="56"/>
              <w:autoSpaceDE w:val="0"/>
              <w:autoSpaceDN w:val="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集中收集定期清运</w:t>
            </w:r>
            <w:r>
              <w:rPr>
                <w:rFonts w:hint="eastAsia"/>
                <w:color w:val="000000" w:themeColor="text1"/>
                <w:lang w:val="en-US" w:eastAsia="zh-CN"/>
                <w14:textFill>
                  <w14:solidFill>
                    <w14:schemeClr w14:val="tx1"/>
                  </w14:solidFill>
                </w14:textFill>
              </w:rPr>
              <w:t>到垃圾填埋场</w:t>
            </w:r>
          </w:p>
        </w:tc>
        <w:tc>
          <w:tcPr>
            <w:tcW w:w="1045" w:type="dxa"/>
            <w:tcBorders>
              <w:tl2br w:val="nil"/>
              <w:tr2bl w:val="nil"/>
            </w:tcBorders>
            <w:vAlign w:val="center"/>
          </w:tcPr>
          <w:p w14:paraId="4A43FBC9">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w:t>
            </w:r>
          </w:p>
        </w:tc>
      </w:tr>
      <w:tr w14:paraId="54A48D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221D348E">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605" w:type="dxa"/>
            <w:tcBorders>
              <w:tl2br w:val="nil"/>
              <w:tr2bl w:val="nil"/>
            </w:tcBorders>
            <w:vAlign w:val="center"/>
          </w:tcPr>
          <w:p w14:paraId="7DD8A247">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废水</w:t>
            </w:r>
          </w:p>
        </w:tc>
        <w:tc>
          <w:tcPr>
            <w:tcW w:w="1663" w:type="dxa"/>
            <w:tcBorders>
              <w:tl2br w:val="nil"/>
              <w:tr2bl w:val="nil"/>
            </w:tcBorders>
            <w:vAlign w:val="center"/>
          </w:tcPr>
          <w:p w14:paraId="7147A09D">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污水</w:t>
            </w:r>
          </w:p>
        </w:tc>
        <w:tc>
          <w:tcPr>
            <w:tcW w:w="4949" w:type="dxa"/>
            <w:tcBorders>
              <w:tl2br w:val="nil"/>
              <w:tr2bl w:val="nil"/>
            </w:tcBorders>
            <w:vAlign w:val="center"/>
          </w:tcPr>
          <w:p w14:paraId="2653E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生活污水经化粪池处理</w:t>
            </w:r>
            <w:r>
              <w:rPr>
                <w:rFonts w:hint="eastAsia" w:eastAsia="宋体" w:cs="Times New Roman"/>
                <w:color w:val="000000" w:themeColor="text1"/>
                <w:kern w:val="2"/>
                <w:sz w:val="21"/>
                <w:szCs w:val="21"/>
                <w:lang w:val="en-US" w:eastAsia="zh-CN" w:bidi="zh-CN"/>
                <w14:textFill>
                  <w14:solidFill>
                    <w14:schemeClr w14:val="tx1"/>
                  </w14:solidFill>
                </w14:textFill>
              </w:rPr>
              <w:t>抽排污水处理厂</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w:t>
            </w:r>
            <w:r>
              <w:rPr>
                <w:rFonts w:hint="eastAsia" w:eastAsia="宋体" w:cs="Times New Roman"/>
                <w:color w:val="000000" w:themeColor="text1"/>
                <w:kern w:val="2"/>
                <w:sz w:val="21"/>
                <w:szCs w:val="21"/>
                <w:lang w:val="en-US" w:eastAsia="zh-CN" w:bidi="zh-CN"/>
                <w14:textFill>
                  <w14:solidFill>
                    <w14:schemeClr w14:val="tx1"/>
                  </w14:solidFill>
                </w14:textFill>
              </w:rPr>
              <w:t>养殖废水经污水处理设施处理回用于绿化浇灌</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，无</w:t>
            </w:r>
            <w:r>
              <w:rPr>
                <w:rFonts w:hint="eastAsia" w:eastAsia="宋体" w:cs="Times New Roman"/>
                <w:color w:val="000000" w:themeColor="text1"/>
                <w:kern w:val="2"/>
                <w:sz w:val="21"/>
                <w:szCs w:val="21"/>
                <w:lang w:val="en-US" w:eastAsia="zh-CN" w:bidi="zh-CN"/>
                <w14:textFill>
                  <w14:solidFill>
                    <w14:schemeClr w14:val="tx1"/>
                  </w14:solidFill>
                </w14:textFill>
              </w:rPr>
              <w:t>养殖</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废水外排。</w:t>
            </w:r>
          </w:p>
        </w:tc>
        <w:tc>
          <w:tcPr>
            <w:tcW w:w="1045" w:type="dxa"/>
            <w:tcBorders>
              <w:tl2br w:val="nil"/>
              <w:tr2bl w:val="nil"/>
            </w:tcBorders>
            <w:vAlign w:val="center"/>
          </w:tcPr>
          <w:p w14:paraId="7569C34C">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r>
      <w:tr w14:paraId="45C17B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vMerge w:val="continue"/>
            <w:tcBorders>
              <w:tl2br w:val="nil"/>
              <w:tr2bl w:val="nil"/>
            </w:tcBorders>
            <w:vAlign w:val="center"/>
          </w:tcPr>
          <w:p w14:paraId="249EF992">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2268" w:type="dxa"/>
            <w:gridSpan w:val="2"/>
            <w:tcBorders>
              <w:tl2br w:val="nil"/>
              <w:tr2bl w:val="nil"/>
            </w:tcBorders>
            <w:vAlign w:val="center"/>
          </w:tcPr>
          <w:p w14:paraId="67912752">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地下水</w:t>
            </w:r>
            <w:r>
              <w:rPr>
                <w:rFonts w:ascii="Times New Roman" w:hAnsi="Times New Roman"/>
                <w:color w:val="000000" w:themeColor="text1"/>
                <w:szCs w:val="21"/>
                <w:lang w:val="en-US" w:eastAsia="en-US"/>
                <w14:textFill>
                  <w14:solidFill>
                    <w14:schemeClr w14:val="tx1"/>
                  </w14:solidFill>
                </w14:textFill>
              </w:rPr>
              <w:t>及土壤</w:t>
            </w:r>
            <w:r>
              <w:rPr>
                <w:rFonts w:hint="eastAsia"/>
                <w:color w:val="000000" w:themeColor="text1"/>
                <w:szCs w:val="21"/>
                <w:lang w:val="en-US" w:eastAsia="zh-CN"/>
                <w14:textFill>
                  <w14:solidFill>
                    <w14:schemeClr w14:val="tx1"/>
                  </w14:solidFill>
                </w14:textFill>
              </w:rPr>
              <w:t>污染</w:t>
            </w:r>
            <w:r>
              <w:rPr>
                <w:rFonts w:ascii="Times New Roman" w:hAnsi="Times New Roman"/>
                <w:color w:val="000000" w:themeColor="text1"/>
                <w:szCs w:val="21"/>
                <w:lang w:eastAsia="en-US"/>
                <w14:textFill>
                  <w14:solidFill>
                    <w14:schemeClr w14:val="tx1"/>
                  </w14:solidFill>
                </w14:textFill>
              </w:rPr>
              <w:t>防控</w:t>
            </w:r>
          </w:p>
        </w:tc>
        <w:tc>
          <w:tcPr>
            <w:tcW w:w="4949" w:type="dxa"/>
            <w:tcBorders>
              <w:tl2br w:val="nil"/>
              <w:tr2bl w:val="nil"/>
            </w:tcBorders>
            <w:vAlign w:val="center"/>
          </w:tcPr>
          <w:p w14:paraId="10E88F8C">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根据简单防渗区、一般防渗区、重点防渗区防渗要求采用天然或人工材料构筑防渗层；</w:t>
            </w:r>
          </w:p>
        </w:tc>
        <w:tc>
          <w:tcPr>
            <w:tcW w:w="1045" w:type="dxa"/>
            <w:tcBorders>
              <w:tl2br w:val="nil"/>
              <w:tr2bl w:val="nil"/>
            </w:tcBorders>
            <w:vAlign w:val="center"/>
          </w:tcPr>
          <w:p w14:paraId="6F8CC81D">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100</w:t>
            </w:r>
          </w:p>
        </w:tc>
      </w:tr>
      <w:tr w14:paraId="0A5750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82" w:type="dxa"/>
            <w:tcBorders>
              <w:tl2br w:val="nil"/>
              <w:tr2bl w:val="nil"/>
            </w:tcBorders>
            <w:vAlign w:val="center"/>
          </w:tcPr>
          <w:p w14:paraId="79220FE3">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其他</w:t>
            </w:r>
          </w:p>
        </w:tc>
        <w:tc>
          <w:tcPr>
            <w:tcW w:w="2268" w:type="dxa"/>
            <w:gridSpan w:val="2"/>
            <w:tcBorders>
              <w:tl2br w:val="nil"/>
              <w:tr2bl w:val="nil"/>
            </w:tcBorders>
            <w:vAlign w:val="center"/>
          </w:tcPr>
          <w:p w14:paraId="2D2CA18A">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环境管理</w:t>
            </w:r>
          </w:p>
        </w:tc>
        <w:tc>
          <w:tcPr>
            <w:tcW w:w="4949" w:type="dxa"/>
            <w:tcBorders>
              <w:tl2br w:val="nil"/>
              <w:tr2bl w:val="nil"/>
            </w:tcBorders>
            <w:vAlign w:val="center"/>
          </w:tcPr>
          <w:p w14:paraId="094E60AF">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环境管理制度建立，环保标识牌</w:t>
            </w:r>
            <w:r>
              <w:rPr>
                <w:rFonts w:hint="eastAsia"/>
                <w:color w:val="000000" w:themeColor="text1"/>
                <w:szCs w:val="21"/>
                <w:lang w:val="en-US" w:eastAsia="zh-CN"/>
                <w14:textFill>
                  <w14:solidFill>
                    <w14:schemeClr w14:val="tx1"/>
                  </w14:solidFill>
                </w14:textFill>
              </w:rPr>
              <w:t>，环保验收</w:t>
            </w:r>
          </w:p>
        </w:tc>
        <w:tc>
          <w:tcPr>
            <w:tcW w:w="1045" w:type="dxa"/>
            <w:tcBorders>
              <w:tl2br w:val="nil"/>
              <w:tr2bl w:val="nil"/>
            </w:tcBorders>
            <w:vAlign w:val="center"/>
          </w:tcPr>
          <w:p w14:paraId="3F97AC08">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14:paraId="003FAA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799" w:type="dxa"/>
            <w:gridSpan w:val="4"/>
            <w:tcBorders>
              <w:tl2br w:val="nil"/>
              <w:tr2bl w:val="nil"/>
            </w:tcBorders>
            <w:vAlign w:val="center"/>
          </w:tcPr>
          <w:p w14:paraId="4DCF9027">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合计</w:t>
            </w:r>
          </w:p>
        </w:tc>
        <w:tc>
          <w:tcPr>
            <w:tcW w:w="1045" w:type="dxa"/>
            <w:tcBorders>
              <w:tl2br w:val="nil"/>
              <w:tr2bl w:val="nil"/>
            </w:tcBorders>
            <w:vAlign w:val="center"/>
          </w:tcPr>
          <w:p w14:paraId="0202C268">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283</w:t>
            </w:r>
          </w:p>
        </w:tc>
      </w:tr>
    </w:tbl>
    <w:p w14:paraId="1F1E38C6">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环保投资效益分析</w:t>
      </w:r>
    </w:p>
    <w:p w14:paraId="5FCA3C9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建设项目环保措施</w:t>
      </w:r>
      <w:r>
        <w:rPr>
          <w:rFonts w:hint="eastAsia" w:cs="Times New Roman"/>
          <w:color w:val="000000" w:themeColor="text1"/>
          <w:lang w:eastAsia="zh-CN"/>
          <w14:textFill>
            <w14:solidFill>
              <w14:schemeClr w14:val="tx1"/>
            </w14:solidFill>
          </w14:textFill>
        </w:rPr>
        <w:t>主要</w:t>
      </w:r>
      <w:r>
        <w:rPr>
          <w:rFonts w:ascii="Times New Roman" w:hAnsi="Times New Roman" w:cs="Times New Roman"/>
          <w:color w:val="000000" w:themeColor="text1"/>
          <w14:textFill>
            <w14:solidFill>
              <w14:schemeClr w14:val="tx1"/>
            </w14:solidFill>
          </w14:textFill>
        </w:rPr>
        <w:t>体现国家有关的环保政策，贯彻“总量控制</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达标排放”和“清洁生产”的污染控制原则，达到保护环境的最终目的。</w:t>
      </w:r>
    </w:p>
    <w:p w14:paraId="4A88684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本项目采用干清粪工艺，</w:t>
      </w:r>
      <w:r>
        <w:rPr>
          <w:rFonts w:hint="eastAsia" w:cs="Times New Roman"/>
          <w:color w:val="000000" w:themeColor="text1"/>
          <w:lang w:val="en-US" w:eastAsia="zh-CN"/>
          <w14:textFill>
            <w14:solidFill>
              <w14:schemeClr w14:val="tx1"/>
            </w14:solidFill>
          </w14:textFill>
        </w:rPr>
        <w:t>一个养殖周期结束清运一次</w:t>
      </w:r>
      <w:r>
        <w:rPr>
          <w:rFonts w:ascii="Times New Roman" w:hAnsi="Times New Roman" w:cs="Times New Roman"/>
          <w:color w:val="000000" w:themeColor="text1"/>
          <w14:textFill>
            <w14:solidFill>
              <w14:schemeClr w14:val="tx1"/>
            </w14:solidFill>
          </w14:textFill>
        </w:rPr>
        <w:t>，清运至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作为有机肥综合利用，</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不会对周围环境造成二次污染。此外，本项目若不对废气、废水和固体废弃物进行治理，这样将造成大气环境、受纳水体、地下水和农作物受到污染，造成水资源损失，估计年损失在数百万元以上，企业投资的环保措施主要体现在生产过程中恶臭气体的处理、噪声治理措施、固废处置措施、场地防渗漏措施、事故应急等方面。虽然有一定的投入，但</w:t>
      </w:r>
      <w:r>
        <w:rPr>
          <w:rFonts w:hint="eastAsia" w:cs="Times New Roman"/>
          <w:color w:val="000000" w:themeColor="text1"/>
          <w:lang w:val="en-US" w:eastAsia="zh-CN"/>
          <w14:textFill>
            <w14:solidFill>
              <w14:schemeClr w14:val="tx1"/>
            </w14:solidFill>
          </w14:textFill>
        </w:rPr>
        <w:t>环境</w:t>
      </w:r>
      <w:r>
        <w:rPr>
          <w:rFonts w:ascii="Times New Roman" w:hAnsi="Times New Roman" w:cs="Times New Roman"/>
          <w:color w:val="000000" w:themeColor="text1"/>
          <w14:textFill>
            <w14:solidFill>
              <w14:schemeClr w14:val="tx1"/>
            </w14:solidFill>
          </w14:textFill>
        </w:rPr>
        <w:t>收益</w:t>
      </w:r>
      <w:r>
        <w:rPr>
          <w:rFonts w:hint="eastAsia" w:cs="Times New Roman"/>
          <w:color w:val="000000" w:themeColor="text1"/>
          <w:lang w:val="en-US" w:eastAsia="zh-CN"/>
          <w14:textFill>
            <w14:solidFill>
              <w14:schemeClr w14:val="tx1"/>
            </w14:solidFill>
          </w14:textFill>
        </w:rPr>
        <w:t>明显</w:t>
      </w:r>
      <w:r>
        <w:rPr>
          <w:rFonts w:ascii="Times New Roman" w:hAnsi="Times New Roman" w:cs="Times New Roman"/>
          <w:color w:val="000000" w:themeColor="text1"/>
          <w14:textFill>
            <w14:solidFill>
              <w14:schemeClr w14:val="tx1"/>
            </w14:solidFill>
          </w14:textFill>
        </w:rPr>
        <w:t>。据分析，本项目的污染治理设备在正常运行的状况下可做到污染物达标排放，这对当地环境和人民群众是一种负责任的态度，在对当地经济建设</w:t>
      </w:r>
      <w:r>
        <w:rPr>
          <w:rFonts w:hint="eastAsia" w:cs="Times New Roman"/>
          <w:color w:val="000000" w:themeColor="text1"/>
          <w:lang w:eastAsia="zh-CN"/>
          <w14:textFill>
            <w14:solidFill>
              <w14:schemeClr w14:val="tx1"/>
            </w14:solidFill>
          </w14:textFill>
        </w:rPr>
        <w:t>作出贡献</w:t>
      </w:r>
      <w:r>
        <w:rPr>
          <w:rFonts w:ascii="Times New Roman" w:hAnsi="Times New Roman" w:cs="Times New Roman"/>
          <w:color w:val="000000" w:themeColor="text1"/>
          <w14:textFill>
            <w14:solidFill>
              <w14:schemeClr w14:val="tx1"/>
            </w14:solidFill>
          </w14:textFill>
        </w:rPr>
        <w:t>的同时也保护了当地的环境质量。</w:t>
      </w:r>
    </w:p>
    <w:p w14:paraId="72FDFBD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只要企业切实落实本报告提出的各项污染防治措施，使各类污染物均做到达标排放，则该项目的建设和</w:t>
      </w:r>
      <w:r>
        <w:rPr>
          <w:rFonts w:hint="eastAsia" w:ascii="Times New Roman" w:hAnsi="Times New Roman" w:cs="Times New Roman"/>
          <w:color w:val="000000" w:themeColor="text1"/>
          <w:lang w:eastAsia="zh-CN"/>
          <w14:textFill>
            <w14:solidFill>
              <w14:schemeClr w14:val="tx1"/>
            </w14:solidFill>
          </w14:textFill>
        </w:rPr>
        <w:t>运营</w:t>
      </w:r>
      <w:r>
        <w:rPr>
          <w:rFonts w:ascii="Times New Roman" w:hAnsi="Times New Roman" w:cs="Times New Roman"/>
          <w:color w:val="000000" w:themeColor="text1"/>
          <w14:textFill>
            <w14:solidFill>
              <w14:schemeClr w14:val="tx1"/>
            </w14:solidFill>
          </w14:textFill>
        </w:rPr>
        <w:t>对周围环境的影响是可以承受的，能够做到社会效益、环境效益和经济效益三者的统一。</w:t>
      </w:r>
    </w:p>
    <w:p w14:paraId="16EE8720">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31" w:name="_Toc5790"/>
      <w:r>
        <w:rPr>
          <w:rFonts w:ascii="Times New Roman" w:hAnsi="Times New Roman" w:cs="Times New Roman"/>
          <w:color w:val="000000" w:themeColor="text1"/>
          <w:lang w:val="en-GB"/>
          <w14:textFill>
            <w14:solidFill>
              <w14:schemeClr w14:val="tx1"/>
            </w14:solidFill>
          </w14:textFill>
        </w:rPr>
        <w:t>环境经济损益分析</w:t>
      </w:r>
      <w:bookmarkEnd w:id="331"/>
    </w:p>
    <w:p w14:paraId="217A3BE8">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bidi="zh-CN"/>
          <w14:textFill>
            <w14:solidFill>
              <w14:schemeClr w14:val="tx1"/>
            </w14:solidFill>
          </w14:textFill>
        </w:rPr>
        <w:t>根据《</w:t>
      </w:r>
      <w:r>
        <w:rPr>
          <w:rFonts w:ascii="Times New Roman" w:hAnsi="Times New Roman" w:cs="Times New Roman"/>
          <w:color w:val="000000" w:themeColor="text1"/>
          <w:lang w:bidi="zh-CN"/>
          <w14:textFill>
            <w14:solidFill>
              <w14:schemeClr w14:val="tx1"/>
            </w14:solidFill>
          </w14:textFill>
        </w:rPr>
        <w:t>建设项目</w:t>
      </w:r>
      <w:r>
        <w:rPr>
          <w:rFonts w:ascii="Times New Roman" w:hAnsi="Times New Roman" w:cs="Times New Roman"/>
          <w:color w:val="000000" w:themeColor="text1"/>
          <w:lang w:val="en-GB" w:bidi="zh-CN"/>
          <w14:textFill>
            <w14:solidFill>
              <w14:schemeClr w14:val="tx1"/>
            </w14:solidFill>
          </w14:textFill>
        </w:rPr>
        <w:t>环境影响评价技术导则</w:t>
      </w:r>
      <w:r>
        <w:rPr>
          <w:rFonts w:hint="eastAsia" w:cs="Times New Roman"/>
          <w:color w:val="000000" w:themeColor="text1"/>
          <w:lang w:val="en-GB" w:bidi="zh-CN"/>
          <w14:textFill>
            <w14:solidFill>
              <w14:schemeClr w14:val="tx1"/>
            </w14:solidFill>
          </w14:textFill>
        </w:rPr>
        <w:t>－</w:t>
      </w:r>
      <w:r>
        <w:rPr>
          <w:rFonts w:ascii="Times New Roman" w:hAnsi="Times New Roman" w:cs="Times New Roman"/>
          <w:color w:val="000000" w:themeColor="text1"/>
          <w:lang w:val="en-GB" w:bidi="zh-CN"/>
          <w14:textFill>
            <w14:solidFill>
              <w14:schemeClr w14:val="tx1"/>
            </w14:solidFill>
          </w14:textFill>
        </w:rPr>
        <w:t>总纲》（HJ2.1-201</w:t>
      </w:r>
      <w:r>
        <w:rPr>
          <w:rFonts w:ascii="Times New Roman" w:hAnsi="Times New Roman" w:cs="Times New Roman"/>
          <w:color w:val="000000" w:themeColor="text1"/>
          <w:lang w:bidi="zh-CN"/>
          <w14:textFill>
            <w14:solidFill>
              <w14:schemeClr w14:val="tx1"/>
            </w14:solidFill>
          </w14:textFill>
        </w:rPr>
        <w:t>6</w:t>
      </w:r>
      <w:r>
        <w:rPr>
          <w:rFonts w:ascii="Times New Roman" w:hAnsi="Times New Roman" w:cs="Times New Roman"/>
          <w:color w:val="000000" w:themeColor="text1"/>
          <w:lang w:val="en-GB" w:bidi="zh-CN"/>
          <w14:textFill>
            <w14:solidFill>
              <w14:schemeClr w14:val="tx1"/>
            </w14:solidFill>
          </w14:textFill>
        </w:rPr>
        <w:t>）的要求，建设项目环境影响评价应评价建设项目产生的正负两方面的环境影响。</w:t>
      </w:r>
    </w:p>
    <w:p w14:paraId="1A2270F9">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环保正效应</w:t>
      </w:r>
    </w:p>
    <w:p w14:paraId="2E1E92B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本项目建成投产后，通过标准化、产业化运作模式的建立，建立稳定的高质量供给基地，从而促进</w:t>
      </w:r>
      <w:r>
        <w:rPr>
          <w:rFonts w:hint="eastAsia" w:ascii="Times New Roman" w:hAnsi="Times New Roman" w:cs="Times New Roman"/>
          <w:color w:val="000000" w:themeColor="text1"/>
          <w:lang w:val="en-US" w:eastAsia="zh-CN"/>
          <w14:textFill>
            <w14:solidFill>
              <w14:schemeClr w14:val="tx1"/>
            </w14:solidFill>
          </w14:textFill>
        </w:rPr>
        <w:t>63团</w:t>
      </w:r>
      <w:r>
        <w:rPr>
          <w:rFonts w:ascii="Times New Roman" w:hAnsi="Times New Roman" w:cs="Times New Roman"/>
          <w:color w:val="000000" w:themeColor="text1"/>
          <w14:textFill>
            <w14:solidFill>
              <w14:schemeClr w14:val="tx1"/>
            </w14:solidFill>
          </w14:textFill>
        </w:rPr>
        <w:t>的养殖产业发展，进一步满足逐渐增长的市场需求，推动农村经济快速发展，扩大生产规模，大幅增加收入，促进农业生产结构优化与升级，具有较大的社会效益。本项目先进的生产和管理集成技术将会在养殖企业应用，辐射到其他地区，从而带动</w:t>
      </w:r>
      <w:r>
        <w:rPr>
          <w:rFonts w:hint="eastAsia" w:ascii="Times New Roman" w:hAnsi="Times New Roman" w:cs="Times New Roman"/>
          <w:color w:val="000000" w:themeColor="text1"/>
          <w:lang w:val="en-US" w:eastAsia="zh-CN"/>
          <w14:textFill>
            <w14:solidFill>
              <w14:schemeClr w14:val="tx1"/>
            </w14:solidFill>
          </w14:textFill>
        </w:rPr>
        <w:t>四师</w:t>
      </w:r>
      <w:r>
        <w:rPr>
          <w:rFonts w:ascii="Times New Roman" w:hAnsi="Times New Roman" w:cs="Times New Roman"/>
          <w:color w:val="000000" w:themeColor="text1"/>
          <w14:textFill>
            <w14:solidFill>
              <w14:schemeClr w14:val="tx1"/>
            </w14:solidFill>
          </w14:textFill>
        </w:rPr>
        <w:t>养殖产业稳步、健康发展，并推动区域经济和社会的快速发展，因而项目的建设具有较好的社会效益。</w:t>
      </w:r>
    </w:p>
    <w:p w14:paraId="2AE06333">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环保负效应</w:t>
      </w:r>
    </w:p>
    <w:p w14:paraId="318E3EA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本项目为畜禽养殖类项目，由工程分析及类比调查，可以确定建设项目可能造成的环境负效应主要有：</w:t>
      </w:r>
    </w:p>
    <w:p w14:paraId="4AC837F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（1）来自养殖区粪便、</w:t>
      </w:r>
      <w:r>
        <w:rPr>
          <w:rFonts w:hint="eastAsia" w:cs="Times New Roman"/>
          <w:color w:val="000000" w:themeColor="text1"/>
          <w:lang w:val="en-US" w:eastAsia="zh-CN"/>
          <w14:textFill>
            <w14:solidFill>
              <w14:schemeClr w14:val="tx1"/>
            </w14:solidFill>
          </w14:textFill>
        </w:rPr>
        <w:t>污水收集和处理设施</w:t>
      </w:r>
      <w:r>
        <w:rPr>
          <w:rFonts w:ascii="Times New Roman" w:hAnsi="Times New Roman" w:cs="Times New Roman"/>
          <w:color w:val="000000" w:themeColor="text1"/>
          <w14:textFill>
            <w14:solidFill>
              <w14:schemeClr w14:val="tx1"/>
            </w14:solidFill>
          </w14:textFill>
        </w:rPr>
        <w:t>臭气造成的大气环境影响；</w:t>
      </w:r>
    </w:p>
    <w:p w14:paraId="0147098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供热锅炉烟气排放</w:t>
      </w:r>
      <w:r>
        <w:rPr>
          <w:rFonts w:ascii="Times New Roman" w:hAnsi="Times New Roman" w:cs="Times New Roman"/>
          <w:color w:val="000000" w:themeColor="text1"/>
          <w14:textFill>
            <w14:solidFill>
              <w14:schemeClr w14:val="tx1"/>
            </w14:solidFill>
          </w14:textFill>
        </w:rPr>
        <w:t>对周围环境的影响；</w:t>
      </w:r>
    </w:p>
    <w:p w14:paraId="37DEE0B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（3）养殖场内各设备产生的噪声对周边声环境质量的影响。</w:t>
      </w:r>
    </w:p>
    <w:p w14:paraId="1459244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大气污染经济损失主要表现在项目废气的排放可能引起周围空气的质量略有下降。但只要加强管理落实环保措施，做到达标排放，则影响不大。</w:t>
      </w:r>
    </w:p>
    <w:p w14:paraId="71F074E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噪声影响经济损失表现在噪声可能使人们听力或健康受到损伤，降低人们的工作效率。但项目主要噪声源离敏感点较远，因此影响不大。</w:t>
      </w:r>
    </w:p>
    <w:p w14:paraId="6144761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总的来说，环境经济损失比较小。</w:t>
      </w:r>
    </w:p>
    <w:p w14:paraId="70A09E3B">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结论</w:t>
      </w:r>
    </w:p>
    <w:p w14:paraId="0B13FA0C">
      <w:pPr>
        <w:ind w:firstLine="480"/>
        <w:rPr>
          <w:rFonts w:ascii="Times New Roman" w:hAnsi="Times New Roman" w:cs="Times New Roman"/>
          <w:color w:val="000000" w:themeColor="text1"/>
          <w:lang w:bidi="zh-CN"/>
          <w14:textFill>
            <w14:solidFill>
              <w14:schemeClr w14:val="tx1"/>
            </w14:solidFill>
          </w14:textFill>
        </w:rPr>
      </w:pPr>
      <w:r>
        <w:rPr>
          <w:rFonts w:ascii="Times New Roman" w:hAnsi="Times New Roman" w:cs="Times New Roman"/>
          <w:color w:val="000000" w:themeColor="text1"/>
          <w:lang w:bidi="zh-CN"/>
          <w14:textFill>
            <w14:solidFill>
              <w14:schemeClr w14:val="tx1"/>
            </w14:solidFill>
          </w14:textFill>
        </w:rPr>
        <w:t>本项目</w:t>
      </w:r>
      <w:r>
        <w:rPr>
          <w:rFonts w:hint="eastAsia" w:cs="Times New Roman"/>
          <w:color w:val="000000" w:themeColor="text1"/>
          <w:lang w:bidi="zh-CN"/>
          <w14:textFill>
            <w14:solidFill>
              <w14:schemeClr w14:val="tx1"/>
            </w14:solidFill>
          </w14:textFill>
        </w:rPr>
        <w:t>属于</w:t>
      </w:r>
      <w:r>
        <w:rPr>
          <w:rFonts w:ascii="Times New Roman" w:hAnsi="Times New Roman" w:cs="Times New Roman"/>
          <w:color w:val="000000" w:themeColor="text1"/>
          <w:lang w:bidi="zh-CN"/>
          <w14:textFill>
            <w14:solidFill>
              <w14:schemeClr w14:val="tx1"/>
            </w14:solidFill>
          </w14:textFill>
        </w:rPr>
        <w:t>畜禽养殖建设项目，通过采取有效的环保措施，将影响程度降至最低，通过对项目的经济效益、社会效益和环境效益的综合分析，项目具有良好的社会效益、经济效益和环境效益。</w:t>
      </w:r>
    </w:p>
    <w:p w14:paraId="23C4147C">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br w:type="page"/>
      </w:r>
    </w:p>
    <w:p w14:paraId="4FAFBC28">
      <w:pPr>
        <w:pStyle w:val="3"/>
        <w:numPr>
          <w:ilvl w:val="0"/>
          <w:numId w:val="1"/>
        </w:numPr>
        <w:rPr>
          <w:rFonts w:ascii="Times New Roman" w:hAnsi="Times New Roman" w:cs="Times New Roman"/>
          <w:color w:val="000000" w:themeColor="text1"/>
          <w14:textFill>
            <w14:solidFill>
              <w14:schemeClr w14:val="tx1"/>
            </w14:solidFill>
          </w14:textFill>
        </w:rPr>
      </w:pPr>
      <w:bookmarkStart w:id="332" w:name="_Toc29846"/>
      <w:bookmarkStart w:id="333" w:name="_Toc490417156"/>
      <w:bookmarkStart w:id="334" w:name="_Toc483492111"/>
      <w:r>
        <w:rPr>
          <w:rFonts w:ascii="Times New Roman" w:hAnsi="Times New Roman" w:cs="Times New Roman"/>
          <w:color w:val="000000" w:themeColor="text1"/>
          <w14:textFill>
            <w14:solidFill>
              <w14:schemeClr w14:val="tx1"/>
            </w14:solidFill>
          </w14:textFill>
        </w:rPr>
        <w:t>环境管理与监测计划</w:t>
      </w:r>
      <w:bookmarkEnd w:id="332"/>
      <w:bookmarkEnd w:id="333"/>
      <w:bookmarkEnd w:id="334"/>
    </w:p>
    <w:p w14:paraId="13F29FE6">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35" w:name="_bookmark45"/>
      <w:bookmarkEnd w:id="335"/>
      <w:bookmarkStart w:id="336" w:name="8.1环境管理"/>
      <w:bookmarkEnd w:id="336"/>
      <w:bookmarkStart w:id="337" w:name="_Toc29136"/>
      <w:r>
        <w:rPr>
          <w:rFonts w:ascii="Times New Roman" w:hAnsi="Times New Roman" w:cs="Times New Roman"/>
          <w:color w:val="000000" w:themeColor="text1"/>
          <w:lang w:val="en-GB"/>
          <w14:textFill>
            <w14:solidFill>
              <w14:schemeClr w14:val="tx1"/>
            </w14:solidFill>
          </w14:textFill>
        </w:rPr>
        <w:t>环境管理</w:t>
      </w:r>
      <w:bookmarkEnd w:id="337"/>
    </w:p>
    <w:p w14:paraId="527E8875">
      <w:pPr>
        <w:pStyle w:val="5"/>
        <w:numPr>
          <w:ilvl w:val="2"/>
          <w:numId w:val="1"/>
        </w:numPr>
        <w:ind w:left="120"/>
        <w:rPr>
          <w:rFonts w:ascii="Times New Roman" w:hAnsi="Times New Roman" w:cs="Times New Roman"/>
          <w:color w:val="000000" w:themeColor="text1"/>
          <w:lang w:val="zh-CN"/>
          <w14:textFill>
            <w14:solidFill>
              <w14:schemeClr w14:val="tx1"/>
            </w14:solidFill>
          </w14:textFill>
        </w:rPr>
      </w:pPr>
      <w:bookmarkStart w:id="338" w:name="8.1.1管理机构设置"/>
      <w:bookmarkEnd w:id="338"/>
      <w:bookmarkStart w:id="339" w:name="8.1.2环境管理部门职责"/>
      <w:bookmarkEnd w:id="339"/>
      <w:r>
        <w:rPr>
          <w:rFonts w:ascii="Times New Roman" w:hAnsi="Times New Roman" w:cs="Times New Roman"/>
          <w:color w:val="000000" w:themeColor="text1"/>
          <w:lang w:val="zh-CN"/>
          <w14:textFill>
            <w14:solidFill>
              <w14:schemeClr w14:val="tx1"/>
            </w14:solidFill>
          </w14:textFill>
        </w:rPr>
        <w:t>环境管理</w:t>
      </w:r>
      <w:r>
        <w:rPr>
          <w:rFonts w:hint="eastAsia" w:ascii="Times New Roman" w:hAnsi="Times New Roman" w:cs="Times New Roman"/>
          <w:color w:val="000000" w:themeColor="text1"/>
          <w:lang w:val="en-US" w:eastAsia="zh-CN"/>
          <w14:textFill>
            <w14:solidFill>
              <w14:schemeClr w14:val="tx1"/>
            </w14:solidFill>
          </w14:textFill>
        </w:rPr>
        <w:t>目的</w:t>
      </w:r>
    </w:p>
    <w:p w14:paraId="727A9299">
      <w:pPr>
        <w:keepNext w:val="0"/>
        <w:keepLines w:val="0"/>
        <w:widowControl/>
        <w:suppressLineNumbers w:val="0"/>
        <w:jc w:val="left"/>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建设项目的环境管理以项目验收为界，划分为验收前的环境管理和验收后的环境管理。验收前的环境管理与监测主要指建设期的环境管理与监测，主要考查环境影响评价制度、环评批复、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三同时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制度的执行和落实情况。</w:t>
      </w:r>
    </w:p>
    <w:p w14:paraId="1E3BBB6E">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验收后的环境管理和污染源监测是建设单位内部污染源监督管理的重要组成部分，对于减少污染物排放、促进水资源等的合理回用、减轻环境污染有着重要的意义。为此，建设单位应当建立专门的环境管理机构，明确管理职能，制定监测计划，控制环境污染</w:t>
      </w:r>
      <w:r>
        <w:rPr>
          <w:rFonts w:ascii="Times New Roman" w:hAnsi="Times New Roman" w:cs="Times New Roman"/>
          <w:color w:val="000000" w:themeColor="text1"/>
          <w14:textFill>
            <w14:solidFill>
              <w14:schemeClr w14:val="tx1"/>
            </w14:solidFill>
          </w14:textFill>
        </w:rPr>
        <w:t>。</w:t>
      </w:r>
    </w:p>
    <w:p w14:paraId="454745E0">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14:paraId="6B9992E8">
      <w:pPr>
        <w:pStyle w:val="5"/>
        <w:numPr>
          <w:ilvl w:val="2"/>
          <w:numId w:val="1"/>
        </w:numPr>
        <w:ind w:left="12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环境管理机构职能</w:t>
      </w:r>
    </w:p>
    <w:p w14:paraId="1903990B">
      <w:pPr>
        <w:ind w:firstLine="480"/>
        <w:rPr>
          <w:rFonts w:ascii="Times New Roman" w:hAnsi="Times New Roman"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新疆鼎成农业科技有限公司</w:t>
      </w:r>
      <w:r>
        <w:rPr>
          <w:rFonts w:ascii="Times New Roman" w:hAnsi="Times New Roman" w:cs="Times New Roman"/>
          <w:color w:val="000000" w:themeColor="text1"/>
          <w:lang w:val="zh-CN"/>
          <w14:textFill>
            <w14:solidFill>
              <w14:schemeClr w14:val="tx1"/>
            </w14:solidFill>
          </w14:textFill>
        </w:rPr>
        <w:t xml:space="preserve">应根据项目特点及环保要求完善相关的环保管理制度，明确管理人员职责，建立专项环保管理的文档资料。环境管理机构的基本任务是负责组织、落实、监督本企业的环保工作，其主要职责如下： </w:t>
      </w:r>
    </w:p>
    <w:p w14:paraId="797E47C6">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（1）公司正职是本单位环境保护第一责任人，分管生产的副职是环境保护主管，公司生产部门应定期研究公司的环境保护方针、发展对策，对重大环境保护技术项目和环境保护管理措施做出决策。</w:t>
      </w:r>
    </w:p>
    <w:p w14:paraId="4186A33E">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 xml:space="preserve">（2）公司生产部门负责全公司的环境保护管理工作，根据本单位生产实际和工作状况，制定年度环境保护计划并由环保管理部门组织实施。 </w:t>
      </w:r>
    </w:p>
    <w:p w14:paraId="0AD25AB0">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（3）公司生产部门的主要职责</w:t>
      </w:r>
    </w:p>
    <w:p w14:paraId="35E57B45">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①</w:t>
      </w:r>
      <w:r>
        <w:rPr>
          <w:rFonts w:ascii="Times New Roman" w:hAnsi="Times New Roman" w:cs="Times New Roman"/>
          <w:color w:val="000000" w:themeColor="text1"/>
          <w:lang w:val="zh-CN"/>
          <w14:textFill>
            <w14:solidFill>
              <w14:schemeClr w14:val="tx1"/>
            </w14:solidFill>
          </w14:textFill>
        </w:rPr>
        <w:t>认真贯彻执行国家和地方有关环境保护工作的</w:t>
      </w:r>
      <w:r>
        <w:rPr>
          <w:rFonts w:hint="eastAsia" w:ascii="Times New Roman" w:hAnsi="Times New Roman" w:cs="Times New Roman"/>
          <w:color w:val="000000" w:themeColor="text1"/>
          <w:lang w:val="zh-CN"/>
          <w14:textFill>
            <w14:solidFill>
              <w14:schemeClr w14:val="tx1"/>
            </w14:solidFill>
          </w14:textFill>
        </w:rPr>
        <w:t>法律法规</w:t>
      </w:r>
      <w:r>
        <w:rPr>
          <w:rFonts w:ascii="Times New Roman" w:hAnsi="Times New Roman" w:cs="Times New Roman"/>
          <w:color w:val="000000" w:themeColor="text1"/>
          <w:lang w:val="zh-CN"/>
          <w14:textFill>
            <w14:solidFill>
              <w14:schemeClr w14:val="tx1"/>
            </w14:solidFill>
          </w14:textFill>
        </w:rPr>
        <w:t xml:space="preserve">、标准和各项方针、政策，并监督管理公司环境保护工作。 </w:t>
      </w:r>
    </w:p>
    <w:p w14:paraId="7FBC032A">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②</w:t>
      </w:r>
      <w:r>
        <w:rPr>
          <w:rFonts w:ascii="Times New Roman" w:hAnsi="Times New Roman" w:cs="Times New Roman"/>
          <w:color w:val="000000" w:themeColor="text1"/>
          <w:lang w:val="zh-CN"/>
          <w14:textFill>
            <w14:solidFill>
              <w14:schemeClr w14:val="tx1"/>
            </w14:solidFill>
          </w14:textFill>
        </w:rPr>
        <w:t xml:space="preserve">制定各项环境保护规章制度和管理制度，并督促各部门组织实施，开展经常性的环境保护检查，及时按规定进行考核奖惩。 </w:t>
      </w:r>
    </w:p>
    <w:p w14:paraId="398C52A8">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③</w:t>
      </w:r>
      <w:r>
        <w:rPr>
          <w:rFonts w:ascii="Times New Roman" w:hAnsi="Times New Roman" w:cs="Times New Roman"/>
          <w:color w:val="000000" w:themeColor="text1"/>
          <w:lang w:val="zh-CN"/>
          <w14:textFill>
            <w14:solidFill>
              <w14:schemeClr w14:val="tx1"/>
            </w14:solidFill>
          </w14:textFill>
        </w:rPr>
        <w:t xml:space="preserve">制定公司环境保护中、长期发展规划和年度工作目标，针对污染状况组织制定和提出治理方案及措施，并督促实施，使生产建设和环境保护同步发展。 </w:t>
      </w:r>
    </w:p>
    <w:p w14:paraId="7ABC471C">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④</w:t>
      </w:r>
      <w:r>
        <w:rPr>
          <w:rFonts w:ascii="Times New Roman" w:hAnsi="Times New Roman" w:cs="Times New Roman"/>
          <w:color w:val="000000" w:themeColor="text1"/>
          <w:lang w:val="zh-CN"/>
          <w14:textFill>
            <w14:solidFill>
              <w14:schemeClr w14:val="tx1"/>
            </w14:solidFill>
          </w14:textFill>
        </w:rPr>
        <w:t>监督检查对建设项目环境影响报告审批制度和环境工程“三同时”制度的执行情况。参加建设项目环境影响报告及有关环境保护设计文件审查，并对环境工程施工进度、质量进行检查，参加竣工验收。</w:t>
      </w:r>
    </w:p>
    <w:p w14:paraId="7BE998F1">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⑤</w:t>
      </w:r>
      <w:r>
        <w:rPr>
          <w:rFonts w:ascii="Times New Roman" w:hAnsi="Times New Roman" w:cs="Times New Roman"/>
          <w:color w:val="000000" w:themeColor="text1"/>
          <w:lang w:val="zh-CN"/>
          <w14:textFill>
            <w14:solidFill>
              <w14:schemeClr w14:val="tx1"/>
            </w14:solidFill>
          </w14:textFill>
        </w:rPr>
        <w:t xml:space="preserve">组织协调公司的环境监测、统计和分析工作，及时掌握并公布公司环境质量状况，建立环境保护档案，掌握公司的环境现状和发展趋势，提出加强环境保护工作的建议和措施。 </w:t>
      </w:r>
    </w:p>
    <w:p w14:paraId="47A5904B">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⑥</w:t>
      </w:r>
      <w:r>
        <w:rPr>
          <w:rFonts w:ascii="Times New Roman" w:hAnsi="Times New Roman" w:cs="Times New Roman"/>
          <w:color w:val="000000" w:themeColor="text1"/>
          <w:lang w:val="zh-CN"/>
          <w14:textFill>
            <w14:solidFill>
              <w14:schemeClr w14:val="tx1"/>
            </w14:solidFill>
          </w14:textFill>
        </w:rPr>
        <w:t>参与公司内重大环境污染事故的调查、分析和处理工作。</w:t>
      </w:r>
    </w:p>
    <w:p w14:paraId="50FEB1C9">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⑦</w:t>
      </w:r>
      <w:r>
        <w:rPr>
          <w:rFonts w:ascii="Times New Roman" w:hAnsi="Times New Roman" w:cs="Times New Roman"/>
          <w:color w:val="000000" w:themeColor="text1"/>
          <w:lang w:val="zh-CN"/>
          <w14:textFill>
            <w14:solidFill>
              <w14:schemeClr w14:val="tx1"/>
            </w14:solidFill>
          </w14:textFill>
        </w:rPr>
        <w:t>认真研究、推广“三废”综合利用和积极开展环境保护科研。</w:t>
      </w:r>
    </w:p>
    <w:p w14:paraId="2342EB6E">
      <w:pPr>
        <w:pStyle w:val="5"/>
        <w:numPr>
          <w:ilvl w:val="2"/>
          <w:numId w:val="1"/>
        </w:numPr>
        <w:ind w:left="12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环境管理</w:t>
      </w:r>
      <w:r>
        <w:rPr>
          <w:rFonts w:ascii="Times New Roman" w:hAnsi="Times New Roman" w:cs="Times New Roman"/>
          <w:color w:val="000000" w:themeColor="text1"/>
          <w14:textFill>
            <w14:solidFill>
              <w14:schemeClr w14:val="tx1"/>
            </w14:solidFill>
          </w14:textFill>
        </w:rPr>
        <w:t>要求</w:t>
      </w:r>
    </w:p>
    <w:p w14:paraId="6B5FF81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环境管理的制定应适应以改善环境质量为核心的环境管理要求，切实加强环境影响评价管理，落实“生态保护红线、环境质量底线、资源利用上线和环境准入负面清单”（以下简称“三线一单”）约束，建立项目环评审批与规划环评、区域环境质量联动机制（以下简称“三挂钩”机制）。</w:t>
      </w:r>
    </w:p>
    <w:p w14:paraId="43EA62B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同时，原国家环保部颁布了《排污单位自行监测技术指南 总则》（H J819-2017），对企业自行监测提出更明确的要求，并发布《排污单位环境管理台账及排污许可证执行报告技术规范 总则（试行）》（HJ 944-2018）、《排污许可证申请与核发技术规范 总则》（HJ 942-2018）、《排污许可证申请与核发技术规范 畜禽养殖业》（HJ1029-2019）等多个排污许可技术文件，对企业环境管理台账及排污许可证执行提出要求，建设单位的环境监测工作应满足相应文件的要求。</w:t>
      </w:r>
    </w:p>
    <w:p w14:paraId="42EC952D">
      <w:pPr>
        <w:pStyle w:val="5"/>
        <w:numPr>
          <w:ilvl w:val="2"/>
          <w:numId w:val="1"/>
        </w:numPr>
        <w:ind w:left="12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环境管理计划</w:t>
      </w:r>
    </w:p>
    <w:p w14:paraId="08B24F1D">
      <w:pPr>
        <w:spacing w:line="52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项目应根据其建设进展阶段积极做好各项环境管理工作，具体建议见表</w:t>
      </w:r>
      <w:r>
        <w:rPr>
          <w:rFonts w:hint="eastAsia" w:cs="Times New Roman"/>
          <w:color w:val="000000" w:themeColor="text1"/>
          <w:lang w:val="en-US" w:eastAsia="zh-CN"/>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.1-1</w:t>
      </w:r>
    </w:p>
    <w:p w14:paraId="6CF6914C">
      <w:pPr>
        <w:ind w:firstLine="482"/>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w:t>
      </w:r>
      <w:r>
        <w:rPr>
          <w:rFonts w:hint="eastAsia" w:cs="Times New Roman"/>
          <w:b/>
          <w:bCs/>
          <w:color w:val="000000" w:themeColor="text1"/>
          <w:lang w:val="en-US" w:eastAsia="zh-CN"/>
          <w14:textFill>
            <w14:solidFill>
              <w14:schemeClr w14:val="tx1"/>
            </w14:solidFill>
          </w14:textFill>
        </w:rPr>
        <w:t>8</w:t>
      </w:r>
      <w:r>
        <w:rPr>
          <w:rFonts w:ascii="Times New Roman" w:hAnsi="Times New Roman" w:cs="Times New Roman"/>
          <w:b/>
          <w:bCs/>
          <w:color w:val="000000" w:themeColor="text1"/>
          <w14:textFill>
            <w14:solidFill>
              <w14:schemeClr w14:val="tx1"/>
            </w14:solidFill>
          </w14:textFill>
        </w:rPr>
        <w:t>.1-1    建议环境管理计划表</w:t>
      </w:r>
    </w:p>
    <w:tbl>
      <w:tblPr>
        <w:tblStyle w:val="36"/>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7643"/>
      </w:tblGrid>
      <w:tr w14:paraId="66BD1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7" w:type="dxa"/>
            <w:tcBorders>
              <w:tl2br w:val="nil"/>
              <w:tr2bl w:val="nil"/>
            </w:tcBorders>
            <w:vAlign w:val="center"/>
          </w:tcPr>
          <w:p w14:paraId="61F4F1C9">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阶段</w:t>
            </w:r>
          </w:p>
        </w:tc>
        <w:tc>
          <w:tcPr>
            <w:tcW w:w="7643" w:type="dxa"/>
            <w:tcBorders>
              <w:tl2br w:val="nil"/>
              <w:tr2bl w:val="nil"/>
            </w:tcBorders>
            <w:vAlign w:val="center"/>
          </w:tcPr>
          <w:p w14:paraId="2B9F6BED">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环境管理主要任务内容</w:t>
            </w:r>
          </w:p>
        </w:tc>
      </w:tr>
      <w:tr w14:paraId="3BF3B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7" w:type="dxa"/>
            <w:tcBorders>
              <w:tl2br w:val="nil"/>
              <w:tr2bl w:val="nil"/>
            </w:tcBorders>
            <w:vAlign w:val="center"/>
          </w:tcPr>
          <w:p w14:paraId="1B89036E">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施工期</w:t>
            </w:r>
          </w:p>
        </w:tc>
        <w:tc>
          <w:tcPr>
            <w:tcW w:w="7643" w:type="dxa"/>
            <w:tcBorders>
              <w:tl2br w:val="nil"/>
              <w:tr2bl w:val="nil"/>
            </w:tcBorders>
            <w:vAlign w:val="center"/>
          </w:tcPr>
          <w:p w14:paraId="3FC4C517">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1.按照工程环保设计，与主体工程同步建设，严格执行“三同时”制度；</w:t>
            </w:r>
          </w:p>
          <w:p w14:paraId="3A2CDA7A">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2.完善环境监理制度与环保档案，制定年度环境管理工作计划；</w:t>
            </w:r>
          </w:p>
          <w:p w14:paraId="73BEA2A1">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3.监督各施工单位和监理单位的责任书完成情况，处理施工中偶发环境污染纠纷；</w:t>
            </w:r>
          </w:p>
          <w:p w14:paraId="688992DF">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4.认真做好各项环保设施的施工管理与验收，及时与当地环保行政主管部门沟通。</w:t>
            </w:r>
          </w:p>
        </w:tc>
      </w:tr>
      <w:tr w14:paraId="2FC63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25" w:hRule="atLeast"/>
          <w:jc w:val="center"/>
        </w:trPr>
        <w:tc>
          <w:tcPr>
            <w:tcW w:w="1417" w:type="dxa"/>
            <w:tcBorders>
              <w:tl2br w:val="nil"/>
              <w:tr2bl w:val="nil"/>
            </w:tcBorders>
            <w:vAlign w:val="center"/>
          </w:tcPr>
          <w:p w14:paraId="2DC98281">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运行期</w:t>
            </w:r>
          </w:p>
        </w:tc>
        <w:tc>
          <w:tcPr>
            <w:tcW w:w="7643" w:type="dxa"/>
            <w:tcBorders>
              <w:tl2br w:val="nil"/>
              <w:tr2bl w:val="nil"/>
            </w:tcBorders>
            <w:vAlign w:val="center"/>
          </w:tcPr>
          <w:p w14:paraId="35D7BA6A">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1.对照环评文件及其批复要求和项目设计文件，核查环保设施落实情况；</w:t>
            </w:r>
          </w:p>
          <w:p w14:paraId="155D4736">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2.检验环保工程运行状况及效果，要求记录在案，与主体工程同步运行；</w:t>
            </w:r>
          </w:p>
          <w:p w14:paraId="60F9BD5E">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3.组织、配合有资质环境监测部门开展污染源监测；</w:t>
            </w:r>
          </w:p>
          <w:p w14:paraId="2C0F303C">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4.委托有资质单位编制环境保护验收报告，组织对工程竣工验收；</w:t>
            </w:r>
          </w:p>
          <w:p w14:paraId="5D6D487B">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5.总结试运行经验，针对存在及出现问题进行整改，提出补救措施方案；</w:t>
            </w:r>
          </w:p>
          <w:p w14:paraId="5AA04DF9">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6.强化管理，按照《排污许可证申请与核发技术规范 </w:t>
            </w:r>
            <w:r>
              <w:rPr>
                <w:rFonts w:ascii="Times New Roman" w:hAnsi="Times New Roman"/>
                <w:color w:val="000000" w:themeColor="text1"/>
                <w:szCs w:val="21"/>
                <w:lang w:val="en-US"/>
                <w14:textFill>
                  <w14:solidFill>
                    <w14:schemeClr w14:val="tx1"/>
                  </w14:solidFill>
                </w14:textFill>
              </w:rPr>
              <w:t>畜禽养殖业</w:t>
            </w:r>
            <w:r>
              <w:rPr>
                <w:rFonts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lang w:val="en-US"/>
                <w14:textFill>
                  <w14:solidFill>
                    <w14:schemeClr w14:val="tx1"/>
                  </w14:solidFill>
                </w14:textFill>
              </w:rPr>
              <w:t>HJ1029-2019</w:t>
            </w:r>
            <w:r>
              <w:rPr>
                <w:rFonts w:ascii="Times New Roman" w:hAnsi="Times New Roman"/>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和</w:t>
            </w:r>
            <w:r>
              <w:rPr>
                <w:rFonts w:ascii="Times New Roman" w:hAnsi="Times New Roman"/>
                <w:color w:val="000000" w:themeColor="text1"/>
                <w:szCs w:val="21"/>
                <w14:textFill>
                  <w14:solidFill>
                    <w14:schemeClr w14:val="tx1"/>
                  </w14:solidFill>
                </w14:textFill>
              </w:rPr>
              <w:t xml:space="preserve">《排污许可证申请与核发技术规范 </w:t>
            </w:r>
            <w:r>
              <w:rPr>
                <w:rFonts w:hint="eastAsia"/>
                <w:color w:val="000000" w:themeColor="text1"/>
                <w:szCs w:val="21"/>
                <w:lang w:val="en-US" w:eastAsia="zh-CN"/>
                <w14:textFill>
                  <w14:solidFill>
                    <w14:schemeClr w14:val="tx1"/>
                  </w14:solidFill>
                </w14:textFill>
              </w:rPr>
              <w:t>锅炉</w:t>
            </w:r>
            <w:r>
              <w:rPr>
                <w:rFonts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lang w:val="en-US"/>
                <w14:textFill>
                  <w14:solidFill>
                    <w14:schemeClr w14:val="tx1"/>
                  </w14:solidFill>
                </w14:textFill>
              </w:rPr>
              <w:t>HJ</w:t>
            </w:r>
            <w:r>
              <w:rPr>
                <w:rFonts w:hint="eastAsia"/>
                <w:color w:val="000000" w:themeColor="text1"/>
                <w:szCs w:val="21"/>
                <w:lang w:val="en-US" w:eastAsia="zh-CN"/>
                <w14:textFill>
                  <w14:solidFill>
                    <w14:schemeClr w14:val="tx1"/>
                  </w14:solidFill>
                </w14:textFill>
              </w:rPr>
              <w:t>953</w:t>
            </w:r>
            <w:r>
              <w:rPr>
                <w:rFonts w:ascii="Times New Roman" w:hAnsi="Times New Roman"/>
                <w:color w:val="000000" w:themeColor="text1"/>
                <w:szCs w:val="21"/>
                <w:lang w:val="en-US"/>
                <w14:textFill>
                  <w14:solidFill>
                    <w14:schemeClr w14:val="tx1"/>
                  </w14:solidFill>
                </w14:textFill>
              </w:rPr>
              <w:t>-201</w:t>
            </w:r>
            <w:r>
              <w:rPr>
                <w:rFonts w:hint="eastAsia"/>
                <w:color w:val="000000" w:themeColor="text1"/>
                <w:szCs w:val="21"/>
                <w:lang w:val="en-US" w:eastAsia="zh-CN"/>
                <w14:textFill>
                  <w14:solidFill>
                    <w14:schemeClr w14:val="tx1"/>
                  </w14:solidFill>
                </w14:textFill>
              </w:rPr>
              <w:t>8</w:t>
            </w:r>
            <w:r>
              <w:rPr>
                <w:rFonts w:ascii="Times New Roman" w:hAnsi="Times New Roman"/>
                <w:color w:val="000000" w:themeColor="text1"/>
                <w:szCs w:val="21"/>
                <w14:textFill>
                  <w14:solidFill>
                    <w14:schemeClr w14:val="tx1"/>
                  </w14:solidFill>
                </w14:textFill>
              </w:rPr>
              <w:t>）申报排污许可，建立环保设施运行卡，定期检查、维护；</w:t>
            </w:r>
          </w:p>
          <w:p w14:paraId="6FC516E1">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7.开展定期</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例行</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14:textFill>
                  <w14:solidFill>
                    <w14:schemeClr w14:val="tx1"/>
                  </w14:solidFill>
                </w14:textFill>
              </w:rPr>
              <w:t>、不定期环境与污染源监测，发现问题及时处理；</w:t>
            </w:r>
          </w:p>
          <w:p w14:paraId="7CDA3B98">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8.建立健全环境保护档案，负责工厂日常环境保护，并按照国家有关规定及时、准确地上报企业环境报表；</w:t>
            </w:r>
          </w:p>
          <w:p w14:paraId="7E0969F2">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9.配合公司领导完成环保责任目标，确保污染物达标排放；</w:t>
            </w:r>
          </w:p>
          <w:p w14:paraId="3E6A55AC">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10.强化资源能源管理，实现废物减量化和再资源化，坚持环境污染有效预防；</w:t>
            </w:r>
          </w:p>
          <w:p w14:paraId="09638E9A">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 加强安全管理，完善事故源管理条例，严格岗位操作规程，完善环境风险事故应急预案；</w:t>
            </w:r>
          </w:p>
          <w:p w14:paraId="34651841">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12.处理与群众环境纠纷，组织对突发性污染事故善后处理，追查原因并及时上报；</w:t>
            </w:r>
          </w:p>
          <w:p w14:paraId="3AE0ACF9">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13.推行清洁生产审核，环境体系认证，实现企业可持续发展；</w:t>
            </w:r>
          </w:p>
          <w:p w14:paraId="7311BFCD">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14.负责环保宣传与员工培训，提高环保意识教育，提升企业环境管理水平，确保实现清洁生产、持续改进。</w:t>
            </w:r>
          </w:p>
          <w:p w14:paraId="46A74C0D">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15.根据《排污许可证申请与核发技术规范 畜禽养殖业》（HJ1029-2019）</w:t>
            </w:r>
            <w:r>
              <w:rPr>
                <w:rFonts w:hint="eastAsia"/>
                <w:color w:val="000000" w:themeColor="text1"/>
                <w:szCs w:val="21"/>
                <w:lang w:val="en-US" w:eastAsia="zh-CN"/>
                <w14:textFill>
                  <w14:solidFill>
                    <w14:schemeClr w14:val="tx1"/>
                  </w14:solidFill>
                </w14:textFill>
              </w:rPr>
              <w:t>和</w:t>
            </w:r>
            <w:r>
              <w:rPr>
                <w:rFonts w:ascii="Times New Roman" w:hAnsi="Times New Roman"/>
                <w:color w:val="000000" w:themeColor="text1"/>
                <w:szCs w:val="21"/>
                <w14:textFill>
                  <w14:solidFill>
                    <w14:schemeClr w14:val="tx1"/>
                  </w14:solidFill>
                </w14:textFill>
              </w:rPr>
              <w:t xml:space="preserve">《排污许可证申请与核发技术规范 </w:t>
            </w:r>
            <w:r>
              <w:rPr>
                <w:rFonts w:hint="eastAsia"/>
                <w:color w:val="000000" w:themeColor="text1"/>
                <w:szCs w:val="21"/>
                <w:lang w:val="en-US" w:eastAsia="zh-CN"/>
                <w14:textFill>
                  <w14:solidFill>
                    <w14:schemeClr w14:val="tx1"/>
                  </w14:solidFill>
                </w14:textFill>
              </w:rPr>
              <w:t>锅炉</w:t>
            </w:r>
            <w:r>
              <w:rPr>
                <w:rFonts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lang w:val="en-US"/>
                <w14:textFill>
                  <w14:solidFill>
                    <w14:schemeClr w14:val="tx1"/>
                  </w14:solidFill>
                </w14:textFill>
              </w:rPr>
              <w:t>HJ</w:t>
            </w:r>
            <w:r>
              <w:rPr>
                <w:rFonts w:hint="eastAsia"/>
                <w:color w:val="000000" w:themeColor="text1"/>
                <w:szCs w:val="21"/>
                <w:lang w:val="en-US" w:eastAsia="zh-CN"/>
                <w14:textFill>
                  <w14:solidFill>
                    <w14:schemeClr w14:val="tx1"/>
                  </w14:solidFill>
                </w14:textFill>
              </w:rPr>
              <w:t>953</w:t>
            </w:r>
            <w:r>
              <w:rPr>
                <w:rFonts w:ascii="Times New Roman" w:hAnsi="Times New Roman"/>
                <w:color w:val="000000" w:themeColor="text1"/>
                <w:szCs w:val="21"/>
                <w:lang w:val="en-US"/>
                <w14:textFill>
                  <w14:solidFill>
                    <w14:schemeClr w14:val="tx1"/>
                  </w14:solidFill>
                </w14:textFill>
              </w:rPr>
              <w:t>-201</w:t>
            </w:r>
            <w:r>
              <w:rPr>
                <w:rFonts w:hint="eastAsia"/>
                <w:color w:val="000000" w:themeColor="text1"/>
                <w:szCs w:val="21"/>
                <w:lang w:val="en-US" w:eastAsia="zh-CN"/>
                <w14:textFill>
                  <w14:solidFill>
                    <w14:schemeClr w14:val="tx1"/>
                  </w14:solidFill>
                </w14:textFill>
              </w:rPr>
              <w:t>8</w:t>
            </w:r>
            <w:r>
              <w:rPr>
                <w:rFonts w:ascii="Times New Roman" w:hAnsi="Times New Roman"/>
                <w:color w:val="000000" w:themeColor="text1"/>
                <w:szCs w:val="21"/>
                <w14:textFill>
                  <w14:solidFill>
                    <w14:schemeClr w14:val="tx1"/>
                  </w14:solidFill>
                </w14:textFill>
              </w:rPr>
              <w:t>），排污单位应当按照相关法律法规、标准和技术规范等要求</w:t>
            </w:r>
            <w:r>
              <w:rPr>
                <w:rFonts w:ascii="Times New Roman" w:hAnsi="Times New Roman"/>
                <w:color w:val="000000" w:themeColor="text1"/>
                <w:szCs w:val="21"/>
                <w:lang w:val="en-US"/>
                <w14:textFill>
                  <w14:solidFill>
                    <w14:schemeClr w14:val="tx1"/>
                  </w14:solidFill>
                </w14:textFill>
              </w:rPr>
              <w:t>对恶臭污染物</w:t>
            </w:r>
            <w:r>
              <w:rPr>
                <w:rFonts w:ascii="Times New Roman" w:hAnsi="Times New Roman"/>
                <w:color w:val="000000" w:themeColor="text1"/>
                <w:szCs w:val="21"/>
                <w14:textFill>
                  <w14:solidFill>
                    <w14:schemeClr w14:val="tx1"/>
                  </w14:solidFill>
                </w14:textFill>
              </w:rPr>
              <w:t>防治设施进行维护和管理，保证设施运行正常，</w:t>
            </w:r>
            <w:r>
              <w:rPr>
                <w:rFonts w:ascii="Times New Roman" w:hAnsi="Times New Roman"/>
                <w:color w:val="000000" w:themeColor="text1"/>
                <w:szCs w:val="21"/>
                <w:lang w:val="en-US"/>
                <w14:textFill>
                  <w14:solidFill>
                    <w14:schemeClr w14:val="tx1"/>
                  </w14:solidFill>
                </w14:textFill>
              </w:rPr>
              <w:t>恶臭</w:t>
            </w:r>
            <w:r>
              <w:rPr>
                <w:rFonts w:ascii="Times New Roman" w:hAnsi="Times New Roman"/>
                <w:color w:val="000000" w:themeColor="text1"/>
                <w:szCs w:val="21"/>
                <w14:textFill>
                  <w14:solidFill>
                    <w14:schemeClr w14:val="tx1"/>
                  </w14:solidFill>
                </w14:textFill>
              </w:rPr>
              <w:t>污染物符合相关国家或地方污染物排放标准的规定。</w:t>
            </w:r>
          </w:p>
          <w:p w14:paraId="6656EE9E">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16.</w:t>
            </w:r>
            <w:r>
              <w:rPr>
                <w:rFonts w:ascii="Times New Roman" w:hAnsi="Times New Roman"/>
                <w:color w:val="000000" w:themeColor="text1"/>
                <w:szCs w:val="21"/>
                <w14:textFill>
                  <w14:solidFill>
                    <w14:schemeClr w14:val="tx1"/>
                  </w14:solidFill>
                </w14:textFill>
              </w:rPr>
              <w:t>应进行雨污分流、清污分流、分类收集、分质处理，循环利用，污染物稳定达到排放标准要求。</w:t>
            </w:r>
          </w:p>
          <w:p w14:paraId="190ABFE6">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17.固体废物</w:t>
            </w:r>
            <w:r>
              <w:rPr>
                <w:rFonts w:hint="eastAsia" w:ascii="Times New Roman" w:hAnsi="Times New Roman"/>
                <w:color w:val="000000" w:themeColor="text1"/>
                <w:szCs w:val="21"/>
                <w:lang w:val="en-US" w:eastAsia="zh-CN"/>
                <w14:textFill>
                  <w14:solidFill>
                    <w14:schemeClr w14:val="tx1"/>
                  </w14:solidFill>
                </w14:textFill>
              </w:rPr>
              <w:t>鸭粪</w:t>
            </w:r>
            <w:r>
              <w:rPr>
                <w:rFonts w:ascii="Times New Roman" w:hAnsi="Times New Roman"/>
                <w:color w:val="000000" w:themeColor="text1"/>
                <w:szCs w:val="21"/>
                <w:lang w:val="en-US"/>
                <w14:textFill>
                  <w14:solidFill>
                    <w14:schemeClr w14:val="tx1"/>
                  </w14:solidFill>
                </w14:textFill>
              </w:rPr>
              <w:t>及垫草料</w:t>
            </w:r>
            <w:r>
              <w:rPr>
                <w:rFonts w:ascii="Times New Roman" w:hAnsi="Times New Roman"/>
                <w:color w:val="000000" w:themeColor="text1"/>
                <w:szCs w:val="21"/>
                <w14:textFill>
                  <w14:solidFill>
                    <w14:schemeClr w14:val="tx1"/>
                  </w14:solidFill>
                </w14:textFill>
              </w:rPr>
              <w:t>应收集并进行综合利用。</w:t>
            </w:r>
          </w:p>
          <w:p w14:paraId="332FEED5">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18.</w:t>
            </w:r>
            <w:r>
              <w:rPr>
                <w:rFonts w:hint="eastAsia"/>
                <w:color w:val="000000" w:themeColor="text1"/>
                <w:szCs w:val="21"/>
                <w:lang w:val="en-US" w:eastAsia="zh-CN"/>
                <w14:textFill>
                  <w14:solidFill>
                    <w14:schemeClr w14:val="tx1"/>
                  </w14:solidFill>
                </w14:textFill>
              </w:rPr>
              <w:t>淘汰鸭、</w:t>
            </w:r>
            <w:r>
              <w:rPr>
                <w:rFonts w:ascii="Times New Roman" w:hAnsi="Times New Roman"/>
                <w:color w:val="000000" w:themeColor="text1"/>
                <w:szCs w:val="21"/>
                <w:lang w:val="en-US"/>
                <w14:textFill>
                  <w14:solidFill>
                    <w14:schemeClr w14:val="tx1"/>
                  </w14:solidFill>
                </w14:textFill>
              </w:rPr>
              <w:t>病死</w:t>
            </w:r>
            <w:r>
              <w:rPr>
                <w:rFonts w:hint="eastAsia" w:ascii="Times New Roman" w:hAnsi="Times New Roman"/>
                <w:color w:val="000000" w:themeColor="text1"/>
                <w:szCs w:val="21"/>
                <w:lang w:val="en-US" w:eastAsia="zh-CN"/>
                <w14:textFill>
                  <w14:solidFill>
                    <w14:schemeClr w14:val="tx1"/>
                  </w14:solidFill>
                </w14:textFill>
              </w:rPr>
              <w:t>鸭</w:t>
            </w:r>
            <w:r>
              <w:rPr>
                <w:rFonts w:ascii="Times New Roman" w:hAnsi="Times New Roman"/>
                <w:color w:val="000000" w:themeColor="text1"/>
                <w:szCs w:val="21"/>
                <w14:textFill>
                  <w14:solidFill>
                    <w14:schemeClr w14:val="tx1"/>
                  </w14:solidFill>
                </w14:textFill>
              </w:rPr>
              <w:t>及时处理处置，</w:t>
            </w:r>
            <w:r>
              <w:rPr>
                <w:rFonts w:ascii="Times New Roman" w:hAnsi="Times New Roman"/>
                <w:color w:val="000000" w:themeColor="text1"/>
                <w:szCs w:val="21"/>
                <w:lang w:val="en-US"/>
                <w14:textFill>
                  <w14:solidFill>
                    <w14:schemeClr w14:val="tx1"/>
                  </w14:solidFill>
                </w14:textFill>
              </w:rPr>
              <w:t>委托伊宁市病死畜禽无害化处理中心处理</w:t>
            </w:r>
            <w:r>
              <w:rPr>
                <w:rFonts w:ascii="Times New Roman" w:hAnsi="Times New Roman"/>
                <w:color w:val="000000" w:themeColor="text1"/>
                <w:szCs w:val="21"/>
                <w14:textFill>
                  <w14:solidFill>
                    <w14:schemeClr w14:val="tx1"/>
                  </w14:solidFill>
                </w14:textFill>
              </w:rPr>
              <w:t>。</w:t>
            </w:r>
          </w:p>
          <w:p w14:paraId="4C819D9F">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19.</w:t>
            </w:r>
            <w:r>
              <w:rPr>
                <w:rFonts w:ascii="Times New Roman" w:hAnsi="Times New Roman"/>
                <w:color w:val="000000" w:themeColor="text1"/>
                <w:szCs w:val="21"/>
                <w14:textFill>
                  <w14:solidFill>
                    <w14:schemeClr w14:val="tx1"/>
                  </w14:solidFill>
                </w14:textFill>
              </w:rPr>
              <w:t>加强</w:t>
            </w:r>
            <w:r>
              <w:rPr>
                <w:rFonts w:ascii="Times New Roman" w:hAnsi="Times New Roman"/>
                <w:color w:val="000000" w:themeColor="text1"/>
                <w:szCs w:val="21"/>
                <w:lang w:val="en-US"/>
                <w14:textFill>
                  <w14:solidFill>
                    <w14:schemeClr w14:val="tx1"/>
                  </w14:solidFill>
                </w14:textFill>
              </w:rPr>
              <w:t>兽用医疗废物的</w:t>
            </w:r>
            <w:r>
              <w:rPr>
                <w:rFonts w:ascii="Times New Roman" w:hAnsi="Times New Roman"/>
                <w:color w:val="000000" w:themeColor="text1"/>
                <w:szCs w:val="21"/>
                <w14:textFill>
                  <w14:solidFill>
                    <w14:schemeClr w14:val="tx1"/>
                  </w14:solidFill>
                </w14:textFill>
              </w:rPr>
              <w:t>管理，</w:t>
            </w:r>
            <w:r>
              <w:rPr>
                <w:rFonts w:ascii="Times New Roman" w:hAnsi="Times New Roman"/>
                <w:color w:val="000000" w:themeColor="text1"/>
                <w:lang w:val="en-US"/>
                <w14:textFill>
                  <w14:solidFill>
                    <w14:schemeClr w14:val="tx1"/>
                  </w14:solidFill>
                </w14:textFill>
              </w:rPr>
              <w:t>兽用医疗废物暂存于危险废物暂存间，由有危险废物处理资质单位处理</w:t>
            </w:r>
            <w:r>
              <w:rPr>
                <w:rFonts w:ascii="Times New Roman" w:hAnsi="Times New Roman"/>
                <w:color w:val="000000" w:themeColor="text1"/>
                <w:szCs w:val="21"/>
                <w14:textFill>
                  <w14:solidFill>
                    <w14:schemeClr w14:val="tx1"/>
                  </w14:solidFill>
                </w14:textFill>
              </w:rPr>
              <w:t>。</w:t>
            </w:r>
          </w:p>
          <w:p w14:paraId="534FF8D3">
            <w:pPr>
              <w:pStyle w:val="56"/>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20.</w:t>
            </w:r>
            <w:r>
              <w:rPr>
                <w:rFonts w:ascii="Times New Roman" w:hAnsi="Times New Roman"/>
                <w:color w:val="000000" w:themeColor="text1"/>
                <w:szCs w:val="21"/>
                <w14:textFill>
                  <w14:solidFill>
                    <w14:schemeClr w14:val="tx1"/>
                  </w14:solidFill>
                </w14:textFill>
              </w:rPr>
              <w:t>应记录固体废物产生量和去向（处理、处置、综合利用或外运）及相应量。</w:t>
            </w:r>
          </w:p>
        </w:tc>
      </w:tr>
      <w:tr w14:paraId="1A638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7" w:type="dxa"/>
            <w:tcBorders>
              <w:tl2br w:val="nil"/>
              <w:tr2bl w:val="nil"/>
            </w:tcBorders>
            <w:vAlign w:val="center"/>
          </w:tcPr>
          <w:p w14:paraId="2A853BEE">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环境管理工作重点</w:t>
            </w:r>
          </w:p>
        </w:tc>
        <w:tc>
          <w:tcPr>
            <w:tcW w:w="7643" w:type="dxa"/>
            <w:tcBorders>
              <w:tl2br w:val="nil"/>
              <w:tr2bl w:val="nil"/>
            </w:tcBorders>
            <w:vAlign w:val="center"/>
          </w:tcPr>
          <w:p w14:paraId="3CA46EC2">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1.加强污染源监控与管理，提高水资源、能源和一般工业固废的综合利用率；</w:t>
            </w:r>
          </w:p>
          <w:p w14:paraId="595DA5DB">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2.坚持“预防为主、防治结合、综合治理”原则，强化企业污染防治设施管理力度，明确岗位职责，奖罚分明，责任到人；</w:t>
            </w:r>
          </w:p>
          <w:p w14:paraId="709BA6CE">
            <w:pPr>
              <w:pStyle w:val="56"/>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3.严格控制生产全过程“三废”排放，保护环境。</w:t>
            </w:r>
          </w:p>
        </w:tc>
      </w:tr>
    </w:tbl>
    <w:p w14:paraId="6A18D95C">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40" w:name="_Toc14191"/>
      <w:r>
        <w:rPr>
          <w:rFonts w:ascii="Times New Roman" w:hAnsi="Times New Roman" w:cs="Times New Roman"/>
          <w:color w:val="000000" w:themeColor="text1"/>
          <w:lang w:val="en-GB"/>
          <w14:textFill>
            <w14:solidFill>
              <w14:schemeClr w14:val="tx1"/>
            </w14:solidFill>
          </w14:textFill>
        </w:rPr>
        <w:t>污染物排放</w:t>
      </w:r>
      <w:r>
        <w:rPr>
          <w:rFonts w:ascii="Times New Roman" w:hAnsi="Times New Roman" w:cs="Times New Roman"/>
          <w:color w:val="000000" w:themeColor="text1"/>
          <w14:textFill>
            <w14:solidFill>
              <w14:schemeClr w14:val="tx1"/>
            </w14:solidFill>
          </w14:textFill>
        </w:rPr>
        <w:t>清单</w:t>
      </w:r>
      <w:r>
        <w:rPr>
          <w:rFonts w:hint="eastAsia" w:ascii="Times New Roman" w:hAnsi="Times New Roman" w:cs="Times New Roman"/>
          <w:color w:val="000000" w:themeColor="text1"/>
          <w:lang w:val="en-US" w:eastAsia="zh-CN"/>
          <w14:textFill>
            <w14:solidFill>
              <w14:schemeClr w14:val="tx1"/>
            </w14:solidFill>
          </w14:textFill>
        </w:rPr>
        <w:t>及总量控制说明</w:t>
      </w:r>
      <w:bookmarkEnd w:id="340"/>
    </w:p>
    <w:p w14:paraId="17E4377D">
      <w:pPr>
        <w:ind w:firstLine="480"/>
        <w:rPr>
          <w:rFonts w:ascii="Times New Roman" w:hAnsi="Times New Roman" w:cs="Times New Roman"/>
          <w:color w:val="000000" w:themeColor="text1"/>
          <w:lang w:val="en-GB"/>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项目采用干清粪工艺，无生产废水直接排放，生活污水经项目区防渗化粪池收集后定期由吸污车清运至</w:t>
      </w:r>
      <w:r>
        <w:rPr>
          <w:rFonts w:hint="eastAsia" w:ascii="Times New Roman" w:hAnsi="Times New Roman" w:cs="Times New Roman"/>
          <w:color w:val="000000" w:themeColor="text1"/>
          <w:lang w:val="en-US"/>
          <w14:textFill>
            <w14:solidFill>
              <w14:schemeClr w14:val="tx1"/>
            </w14:solidFill>
          </w14:textFill>
        </w:rPr>
        <w:t>63团3连</w:t>
      </w:r>
      <w:r>
        <w:rPr>
          <w:rFonts w:hint="eastAsia" w:ascii="Times New Roman" w:hAnsi="Times New Roman" w:cs="Times New Roman"/>
          <w:color w:val="000000" w:themeColor="text1"/>
          <w:lang w:val="en-US" w:eastAsia="zh-CN"/>
          <w14:textFill>
            <w14:solidFill>
              <w14:schemeClr w14:val="tx1"/>
            </w14:solidFill>
          </w14:textFill>
        </w:rPr>
        <w:t>粪污处理场集中处置，办公生活区采暖使用</w:t>
      </w:r>
      <w:r>
        <w:rPr>
          <w:rFonts w:hint="eastAsia" w:cs="Times New Roman"/>
          <w:color w:val="000000" w:themeColor="text1"/>
          <w:lang w:val="en-US" w:eastAsia="zh-CN"/>
          <w14:textFill>
            <w14:solidFill>
              <w14:schemeClr w14:val="tx1"/>
            </w14:solidFill>
          </w14:textFill>
        </w:rPr>
        <w:t>生物质锅炉。</w:t>
      </w:r>
      <w:r>
        <w:rPr>
          <w:rFonts w:hint="eastAsia" w:ascii="Times New Roman" w:hAnsi="Times New Roman" w:cs="Times New Roman"/>
          <w:color w:val="000000" w:themeColor="text1"/>
          <w:lang w:val="en-US" w:eastAsia="zh-CN"/>
          <w14:textFill>
            <w14:solidFill>
              <w14:schemeClr w14:val="tx1"/>
            </w14:solidFill>
          </w14:textFill>
        </w:rPr>
        <w:t>根据国家“十四五”总量控制水平，考虑本项目的排污特点，项目设置污染物排放总量控制因子</w:t>
      </w:r>
      <w:r>
        <w:rPr>
          <w:rFonts w:hint="eastAsia" w:cs="Times New Roman"/>
          <w:color w:val="000000" w:themeColor="text1"/>
          <w:lang w:val="en-US" w:eastAsia="zh-CN"/>
          <w14:textFill>
            <w14:solidFill>
              <w14:schemeClr w14:val="tx1"/>
            </w14:solidFill>
          </w14:textFill>
        </w:rPr>
        <w:t>为NOx，申请总量指标为</w:t>
      </w:r>
      <w:r>
        <w:rPr>
          <w:rFonts w:hint="eastAsia"/>
          <w:color w:val="000000" w:themeColor="text1"/>
          <w:lang w:val="en-US" w:eastAsia="zh-CN"/>
          <w14:textFill>
            <w14:solidFill>
              <w14:schemeClr w14:val="tx1"/>
            </w14:solidFill>
          </w14:textFill>
        </w:rPr>
        <w:t>0.306t/a</w:t>
      </w:r>
      <w:r>
        <w:rPr>
          <w:rFonts w:hint="eastAsia" w:ascii="Times New Roman" w:hAnsi="Times New Roman" w:cs="Times New Roman"/>
          <w:color w:val="000000" w:themeColor="text1"/>
          <w:lang w:val="en-US" w:eastAsia="zh-CN"/>
          <w14:textFill>
            <w14:solidFill>
              <w14:schemeClr w14:val="tx1"/>
            </w14:solidFill>
          </w14:textFill>
        </w:rPr>
        <w:t>。</w:t>
      </w:r>
    </w:p>
    <w:p w14:paraId="1FF3C4BE">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根据工程分析，本项目的污染物排放清单见表</w:t>
      </w:r>
      <w:r>
        <w:rPr>
          <w:rFonts w:hint="eastAsia" w:cs="Times New Roman"/>
          <w:color w:val="000000" w:themeColor="text1"/>
          <w:lang w:val="en-US" w:eastAsia="zh-CN"/>
          <w14:textFill>
            <w14:solidFill>
              <w14:schemeClr w14:val="tx1"/>
            </w14:solidFill>
          </w14:textFill>
        </w:rPr>
        <w:t>8</w:t>
      </w:r>
      <w:r>
        <w:rPr>
          <w:rFonts w:ascii="Times New Roman" w:hAnsi="Times New Roman" w:cs="Times New Roman"/>
          <w:color w:val="000000" w:themeColor="text1"/>
          <w:lang w:val="en-GB"/>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lang w:val="en-GB"/>
          <w14:textFill>
            <w14:solidFill>
              <w14:schemeClr w14:val="tx1"/>
            </w14:solidFill>
          </w14:textFill>
        </w:rPr>
        <w:t>。</w:t>
      </w:r>
    </w:p>
    <w:p w14:paraId="1B48F3DB">
      <w:pPr>
        <w:ind w:firstLine="480"/>
        <w:rPr>
          <w:rFonts w:ascii="Times New Roman" w:hAnsi="Times New Roman" w:cs="Times New Roman"/>
          <w:color w:val="000000" w:themeColor="text1"/>
          <w:lang w:val="zh-CN"/>
          <w14:textFill>
            <w14:solidFill>
              <w14:schemeClr w14:val="tx1"/>
            </w14:solidFill>
          </w14:textFill>
        </w:rPr>
        <w:sectPr>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p>
    <w:p w14:paraId="727D5B35">
      <w:pPr>
        <w:ind w:firstLine="0" w:firstLineChars="0"/>
        <w:jc w:val="center"/>
        <w:rPr>
          <w:rFonts w:ascii="Times New Roman" w:hAnsi="Times New Roman" w:eastAsia="宋体" w:cs="Times New Roman"/>
          <w:b/>
          <w:bCs/>
          <w:color w:val="000000" w:themeColor="text1"/>
          <w:lang w:val="zh-CN"/>
          <w14:textFill>
            <w14:solidFill>
              <w14:schemeClr w14:val="tx1"/>
            </w14:solidFill>
          </w14:textFill>
        </w:rPr>
      </w:pPr>
      <w:r>
        <w:rPr>
          <w:rFonts w:ascii="Times New Roman" w:hAnsi="Times New Roman" w:eastAsia="宋体" w:cs="Times New Roman"/>
          <w:b/>
          <w:bCs/>
          <w:color w:val="000000" w:themeColor="text1"/>
          <w:lang w:val="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8</w:t>
      </w:r>
      <w:r>
        <w:rPr>
          <w:rFonts w:ascii="Times New Roman" w:hAnsi="Times New Roman" w:eastAsia="宋体" w:cs="Times New Roman"/>
          <w:b/>
          <w:bCs/>
          <w:color w:val="000000" w:themeColor="text1"/>
          <w:lang w:val="zh-CN"/>
          <w14:textFill>
            <w14:solidFill>
              <w14:schemeClr w14:val="tx1"/>
            </w14:solidFill>
          </w14:textFill>
        </w:rPr>
        <w:t>.2-</w:t>
      </w:r>
      <w:r>
        <w:rPr>
          <w:rFonts w:ascii="Times New Roman" w:hAnsi="Times New Roman" w:eastAsia="宋体" w:cs="Times New Roman"/>
          <w:b/>
          <w:bCs/>
          <w:color w:val="000000" w:themeColor="text1"/>
          <w14:textFill>
            <w14:solidFill>
              <w14:schemeClr w14:val="tx1"/>
            </w14:solidFill>
          </w14:textFill>
        </w:rPr>
        <w:t>1</w:t>
      </w:r>
      <w:r>
        <w:rPr>
          <w:rFonts w:ascii="Times New Roman" w:hAnsi="Times New Roman" w:eastAsia="宋体" w:cs="Times New Roman"/>
          <w:b/>
          <w:bCs/>
          <w:color w:val="000000" w:themeColor="text1"/>
          <w:lang w:val="zh-CN"/>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ascii="Times New Roman" w:hAnsi="Times New Roman" w:eastAsia="宋体" w:cs="Times New Roman"/>
          <w:b/>
          <w:bCs/>
          <w:color w:val="000000" w:themeColor="text1"/>
          <w:lang w:val="zh-CN"/>
          <w14:textFill>
            <w14:solidFill>
              <w14:schemeClr w14:val="tx1"/>
            </w14:solidFill>
          </w14:textFill>
        </w:rPr>
        <w:t xml:space="preserve"> </w:t>
      </w:r>
      <w:r>
        <w:rPr>
          <w:rFonts w:hint="eastAsia" w:eastAsia="宋体" w:cs="Times New Roman"/>
          <w:b/>
          <w:bCs/>
          <w:color w:val="000000" w:themeColor="text1"/>
          <w:lang w:val="en-US" w:eastAsia="zh-CN"/>
          <w14:textFill>
            <w14:solidFill>
              <w14:schemeClr w14:val="tx1"/>
            </w14:solidFill>
          </w14:textFill>
        </w:rPr>
        <w:t>本项目</w:t>
      </w:r>
      <w:r>
        <w:rPr>
          <w:rFonts w:ascii="Times New Roman" w:hAnsi="Times New Roman" w:eastAsia="宋体" w:cs="Times New Roman"/>
          <w:b/>
          <w:bCs/>
          <w:color w:val="000000" w:themeColor="text1"/>
          <w:lang w:val="zh-CN"/>
          <w14:textFill>
            <w14:solidFill>
              <w14:schemeClr w14:val="tx1"/>
            </w14:solidFill>
          </w14:textFill>
        </w:rPr>
        <w:t>污染物排放清单</w:t>
      </w:r>
    </w:p>
    <w:tbl>
      <w:tblPr>
        <w:tblStyle w:val="81"/>
        <w:tblW w:w="1323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721"/>
        <w:gridCol w:w="1179"/>
        <w:gridCol w:w="957"/>
        <w:gridCol w:w="829"/>
        <w:gridCol w:w="4133"/>
        <w:gridCol w:w="839"/>
        <w:gridCol w:w="781"/>
        <w:gridCol w:w="1162"/>
        <w:gridCol w:w="2637"/>
      </w:tblGrid>
      <w:tr w14:paraId="7DB669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restart"/>
            <w:tcBorders>
              <w:tl2br w:val="nil"/>
              <w:tr2bl w:val="nil"/>
            </w:tcBorders>
            <w:vAlign w:val="center"/>
          </w:tcPr>
          <w:p w14:paraId="56C8A946">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污染物类别</w:t>
            </w:r>
          </w:p>
        </w:tc>
        <w:tc>
          <w:tcPr>
            <w:tcW w:w="1179" w:type="dxa"/>
            <w:vMerge w:val="restart"/>
            <w:tcBorders>
              <w:tl2br w:val="nil"/>
              <w:tr2bl w:val="nil"/>
            </w:tcBorders>
            <w:vAlign w:val="center"/>
          </w:tcPr>
          <w:p w14:paraId="75B5FC7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产污环节</w:t>
            </w:r>
          </w:p>
        </w:tc>
        <w:tc>
          <w:tcPr>
            <w:tcW w:w="957" w:type="dxa"/>
            <w:vMerge w:val="restart"/>
            <w:tcBorders>
              <w:tl2br w:val="nil"/>
              <w:tr2bl w:val="nil"/>
            </w:tcBorders>
            <w:vAlign w:val="center"/>
          </w:tcPr>
          <w:p w14:paraId="60A469D8">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排放形式</w:t>
            </w:r>
          </w:p>
        </w:tc>
        <w:tc>
          <w:tcPr>
            <w:tcW w:w="829" w:type="dxa"/>
            <w:vMerge w:val="restart"/>
            <w:tcBorders>
              <w:tl2br w:val="nil"/>
              <w:tr2bl w:val="nil"/>
            </w:tcBorders>
            <w:vAlign w:val="center"/>
          </w:tcPr>
          <w:p w14:paraId="1B3B8EB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污染物</w:t>
            </w:r>
          </w:p>
        </w:tc>
        <w:tc>
          <w:tcPr>
            <w:tcW w:w="4133" w:type="dxa"/>
            <w:vMerge w:val="restart"/>
            <w:tcBorders>
              <w:tl2br w:val="nil"/>
              <w:tr2bl w:val="nil"/>
            </w:tcBorders>
            <w:vAlign w:val="center"/>
          </w:tcPr>
          <w:p w14:paraId="22498CB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治理措施</w:t>
            </w:r>
          </w:p>
        </w:tc>
        <w:tc>
          <w:tcPr>
            <w:tcW w:w="839" w:type="dxa"/>
            <w:tcBorders>
              <w:tl2br w:val="nil"/>
              <w:tr2bl w:val="nil"/>
            </w:tcBorders>
            <w:vAlign w:val="center"/>
          </w:tcPr>
          <w:p w14:paraId="2223B732">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产生量</w:t>
            </w:r>
          </w:p>
        </w:tc>
        <w:tc>
          <w:tcPr>
            <w:tcW w:w="781" w:type="dxa"/>
            <w:tcBorders>
              <w:tl2br w:val="nil"/>
              <w:tr2bl w:val="nil"/>
            </w:tcBorders>
            <w:vAlign w:val="center"/>
          </w:tcPr>
          <w:p w14:paraId="265AAC2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排放量</w:t>
            </w:r>
          </w:p>
        </w:tc>
        <w:tc>
          <w:tcPr>
            <w:tcW w:w="3799" w:type="dxa"/>
            <w:gridSpan w:val="2"/>
            <w:tcBorders>
              <w:tl2br w:val="nil"/>
              <w:tr2bl w:val="nil"/>
            </w:tcBorders>
            <w:vAlign w:val="center"/>
          </w:tcPr>
          <w:p w14:paraId="3EA2BFAE">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执行标准</w:t>
            </w:r>
          </w:p>
        </w:tc>
      </w:tr>
      <w:tr w14:paraId="6CE572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7253A2F0">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27FBAE05">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957" w:type="dxa"/>
            <w:vMerge w:val="continue"/>
            <w:tcBorders>
              <w:tl2br w:val="nil"/>
              <w:tr2bl w:val="nil"/>
            </w:tcBorders>
            <w:vAlign w:val="center"/>
          </w:tcPr>
          <w:p w14:paraId="6CB059F6">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829" w:type="dxa"/>
            <w:vMerge w:val="continue"/>
            <w:tcBorders>
              <w:tl2br w:val="nil"/>
              <w:tr2bl w:val="nil"/>
            </w:tcBorders>
            <w:vAlign w:val="center"/>
          </w:tcPr>
          <w:p w14:paraId="1BA2E0C1">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4133" w:type="dxa"/>
            <w:vMerge w:val="continue"/>
            <w:tcBorders>
              <w:tl2br w:val="nil"/>
              <w:tr2bl w:val="nil"/>
            </w:tcBorders>
            <w:vAlign w:val="center"/>
          </w:tcPr>
          <w:p w14:paraId="348FBFDF">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839" w:type="dxa"/>
            <w:tcBorders>
              <w:tl2br w:val="nil"/>
              <w:tr2bl w:val="nil"/>
            </w:tcBorders>
            <w:vAlign w:val="center"/>
          </w:tcPr>
          <w:p w14:paraId="1AC3547B">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t/a</w:t>
            </w:r>
          </w:p>
        </w:tc>
        <w:tc>
          <w:tcPr>
            <w:tcW w:w="781" w:type="dxa"/>
            <w:tcBorders>
              <w:tl2br w:val="nil"/>
              <w:tr2bl w:val="nil"/>
            </w:tcBorders>
            <w:vAlign w:val="center"/>
          </w:tcPr>
          <w:p w14:paraId="19BEC42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t/a</w:t>
            </w:r>
          </w:p>
        </w:tc>
        <w:tc>
          <w:tcPr>
            <w:tcW w:w="1162" w:type="dxa"/>
            <w:tcBorders>
              <w:tl2br w:val="nil"/>
              <w:tr2bl w:val="nil"/>
            </w:tcBorders>
            <w:vAlign w:val="center"/>
          </w:tcPr>
          <w:p w14:paraId="3685DF71">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标准限值</w:t>
            </w:r>
          </w:p>
        </w:tc>
        <w:tc>
          <w:tcPr>
            <w:tcW w:w="2637" w:type="dxa"/>
            <w:tcBorders>
              <w:tl2br w:val="nil"/>
              <w:tr2bl w:val="nil"/>
            </w:tcBorders>
            <w:vAlign w:val="center"/>
          </w:tcPr>
          <w:p w14:paraId="167A6EE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标准来源</w:t>
            </w:r>
          </w:p>
        </w:tc>
      </w:tr>
      <w:tr w14:paraId="772E54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5" w:hRule="atLeast"/>
          <w:jc w:val="center"/>
        </w:trPr>
        <w:tc>
          <w:tcPr>
            <w:tcW w:w="721" w:type="dxa"/>
            <w:vMerge w:val="restart"/>
            <w:tcBorders>
              <w:tl2br w:val="nil"/>
              <w:tr2bl w:val="nil"/>
            </w:tcBorders>
            <w:vAlign w:val="center"/>
          </w:tcPr>
          <w:p w14:paraId="7318A1C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大气污染物</w:t>
            </w:r>
          </w:p>
        </w:tc>
        <w:tc>
          <w:tcPr>
            <w:tcW w:w="1179" w:type="dxa"/>
            <w:vMerge w:val="restart"/>
            <w:tcBorders>
              <w:tl2br w:val="nil"/>
              <w:tr2bl w:val="nil"/>
            </w:tcBorders>
            <w:vAlign w:val="center"/>
          </w:tcPr>
          <w:p w14:paraId="767F2970">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养殖区</w:t>
            </w:r>
          </w:p>
        </w:tc>
        <w:tc>
          <w:tcPr>
            <w:tcW w:w="957" w:type="dxa"/>
            <w:vMerge w:val="restart"/>
            <w:tcBorders>
              <w:tl2br w:val="nil"/>
              <w:tr2bl w:val="nil"/>
            </w:tcBorders>
            <w:vAlign w:val="center"/>
          </w:tcPr>
          <w:p w14:paraId="612F15E0">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无组织</w:t>
            </w:r>
          </w:p>
        </w:tc>
        <w:tc>
          <w:tcPr>
            <w:tcW w:w="829" w:type="dxa"/>
            <w:tcBorders>
              <w:tl2br w:val="nil"/>
              <w:tr2bl w:val="nil"/>
            </w:tcBorders>
            <w:vAlign w:val="center"/>
          </w:tcPr>
          <w:p w14:paraId="2C0375AC">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NH</w:t>
            </w:r>
            <w:r>
              <w:rPr>
                <w:rFonts w:ascii="Times New Roman" w:hAnsi="Times New Roman"/>
                <w:color w:val="000000" w:themeColor="text1"/>
                <w:szCs w:val="21"/>
                <w:vertAlign w:val="subscript"/>
                <w:lang w:val="en-US" w:eastAsia="en-US"/>
                <w14:textFill>
                  <w14:solidFill>
                    <w14:schemeClr w14:val="tx1"/>
                  </w14:solidFill>
                </w14:textFill>
              </w:rPr>
              <w:t>3</w:t>
            </w:r>
          </w:p>
        </w:tc>
        <w:tc>
          <w:tcPr>
            <w:tcW w:w="4133" w:type="dxa"/>
            <w:vMerge w:val="restart"/>
            <w:tcBorders>
              <w:tl2br w:val="nil"/>
              <w:tr2bl w:val="nil"/>
            </w:tcBorders>
            <w:vAlign w:val="center"/>
          </w:tcPr>
          <w:p w14:paraId="4AAA12AC">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定时清理粪便，加强圈舍通风，并科学合理调控饲粮，合理配置饲料成分，对养殖区域定期喷洒除臭剂</w:t>
            </w:r>
          </w:p>
        </w:tc>
        <w:tc>
          <w:tcPr>
            <w:tcW w:w="839" w:type="dxa"/>
            <w:tcBorders>
              <w:tl2br w:val="nil"/>
              <w:tr2bl w:val="nil"/>
            </w:tcBorders>
            <w:vAlign w:val="center"/>
          </w:tcPr>
          <w:p w14:paraId="34EC5331">
            <w:pPr>
              <w:pStyle w:val="56"/>
              <w:autoSpaceDE w:val="0"/>
              <w:autoSpaceDN w:val="0"/>
              <w:ind w:firstLine="0" w:firstLineChars="0"/>
              <w:rPr>
                <w:rFonts w:hint="default" w:ascii="Times New Roman" w:hAnsi="Times New Roman"/>
                <w:color w:val="000000" w:themeColor="text1"/>
                <w:szCs w:val="21"/>
                <w:lang w:val="en-US" w:eastAsia="en-US"/>
                <w14:textFill>
                  <w14:solidFill>
                    <w14:schemeClr w14:val="tx1"/>
                  </w14:solidFill>
                </w14:textFill>
              </w:rPr>
            </w:pPr>
            <w:r>
              <w:rPr>
                <w:rFonts w:hint="eastAsia"/>
                <w:color w:val="000000" w:themeColor="text1"/>
                <w:szCs w:val="21"/>
                <w:lang w:val="en-US" w:eastAsia="zh-CN"/>
                <w14:textFill>
                  <w14:solidFill>
                    <w14:schemeClr w14:val="tx1"/>
                  </w14:solidFill>
                </w14:textFill>
              </w:rPr>
              <w:t>1.97</w:t>
            </w:r>
          </w:p>
        </w:tc>
        <w:tc>
          <w:tcPr>
            <w:tcW w:w="781" w:type="dxa"/>
            <w:tcBorders>
              <w:tl2br w:val="nil"/>
              <w:tr2bl w:val="nil"/>
            </w:tcBorders>
            <w:vAlign w:val="center"/>
          </w:tcPr>
          <w:p w14:paraId="1BA84B3E">
            <w:pPr>
              <w:pStyle w:val="56"/>
              <w:autoSpaceDE w:val="0"/>
              <w:autoSpaceDN w:val="0"/>
              <w:ind w:firstLine="0" w:firstLineChars="0"/>
              <w:rPr>
                <w:rFonts w:hint="default" w:ascii="Times New Roman" w:hAnsi="Times New Roman"/>
                <w:color w:val="000000" w:themeColor="text1"/>
                <w:szCs w:val="21"/>
                <w:lang w:val="en-US" w:eastAsia="en-US"/>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394</w:t>
            </w:r>
          </w:p>
        </w:tc>
        <w:tc>
          <w:tcPr>
            <w:tcW w:w="1162" w:type="dxa"/>
            <w:tcBorders>
              <w:tl2br w:val="nil"/>
              <w:tr2bl w:val="nil"/>
            </w:tcBorders>
            <w:vAlign w:val="center"/>
          </w:tcPr>
          <w:p w14:paraId="5B278826">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1.5mg/m</w:t>
            </w:r>
            <w:r>
              <w:rPr>
                <w:rFonts w:ascii="Times New Roman" w:hAnsi="Times New Roman"/>
                <w:color w:val="000000" w:themeColor="text1"/>
                <w:szCs w:val="21"/>
                <w:vertAlign w:val="superscript"/>
                <w:lang w:eastAsia="en-US"/>
                <w14:textFill>
                  <w14:solidFill>
                    <w14:schemeClr w14:val="tx1"/>
                  </w14:solidFill>
                </w14:textFill>
              </w:rPr>
              <w:t>3</w:t>
            </w:r>
          </w:p>
        </w:tc>
        <w:tc>
          <w:tcPr>
            <w:tcW w:w="2637" w:type="dxa"/>
            <w:vMerge w:val="restart"/>
            <w:tcBorders>
              <w:tl2br w:val="nil"/>
              <w:tr2bl w:val="nil"/>
            </w:tcBorders>
            <w:vAlign w:val="center"/>
          </w:tcPr>
          <w:p w14:paraId="62F6B9D1">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《恶臭污染物排放标准》（GB14554-93）</w:t>
            </w:r>
            <w:r>
              <w:rPr>
                <w:rFonts w:ascii="Times New Roman" w:hAnsi="Times New Roman"/>
                <w:color w:val="000000" w:themeColor="text1"/>
                <w:szCs w:val="21"/>
                <w:lang w:val="en-US" w:eastAsia="zh-CN"/>
                <w14:textFill>
                  <w14:solidFill>
                    <w14:schemeClr w14:val="tx1"/>
                  </w14:solidFill>
                </w14:textFill>
              </w:rPr>
              <w:t>二级</w:t>
            </w:r>
            <w:r>
              <w:rPr>
                <w:rFonts w:ascii="Times New Roman" w:hAnsi="Times New Roman"/>
                <w:color w:val="000000" w:themeColor="text1"/>
                <w:szCs w:val="21"/>
                <w:lang w:eastAsia="zh-CN"/>
                <w14:textFill>
                  <w14:solidFill>
                    <w14:schemeClr w14:val="tx1"/>
                  </w14:solidFill>
                </w14:textFill>
              </w:rPr>
              <w:t>标准限值</w:t>
            </w:r>
          </w:p>
        </w:tc>
      </w:tr>
      <w:tr w14:paraId="16DBE6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01454812">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179" w:type="dxa"/>
            <w:vMerge w:val="continue"/>
            <w:tcBorders>
              <w:tl2br w:val="nil"/>
              <w:tr2bl w:val="nil"/>
            </w:tcBorders>
            <w:vAlign w:val="center"/>
          </w:tcPr>
          <w:p w14:paraId="150A2053">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957" w:type="dxa"/>
            <w:vMerge w:val="continue"/>
            <w:tcBorders>
              <w:tl2br w:val="nil"/>
              <w:tr2bl w:val="nil"/>
            </w:tcBorders>
            <w:vAlign w:val="center"/>
          </w:tcPr>
          <w:p w14:paraId="6D7BEEA2">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829" w:type="dxa"/>
            <w:tcBorders>
              <w:tl2br w:val="nil"/>
              <w:tr2bl w:val="nil"/>
            </w:tcBorders>
            <w:vAlign w:val="center"/>
          </w:tcPr>
          <w:p w14:paraId="3651DEF5">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H</w:t>
            </w:r>
            <w:r>
              <w:rPr>
                <w:rFonts w:ascii="Times New Roman" w:hAnsi="Times New Roman"/>
                <w:color w:val="000000" w:themeColor="text1"/>
                <w:szCs w:val="21"/>
                <w:vertAlign w:val="subscript"/>
                <w:lang w:val="en-US" w:eastAsia="en-US"/>
                <w14:textFill>
                  <w14:solidFill>
                    <w14:schemeClr w14:val="tx1"/>
                  </w14:solidFill>
                </w14:textFill>
              </w:rPr>
              <w:t>2</w:t>
            </w:r>
            <w:r>
              <w:rPr>
                <w:rFonts w:ascii="Times New Roman" w:hAnsi="Times New Roman"/>
                <w:color w:val="000000" w:themeColor="text1"/>
                <w:szCs w:val="21"/>
                <w:lang w:val="en-US" w:eastAsia="en-US"/>
                <w14:textFill>
                  <w14:solidFill>
                    <w14:schemeClr w14:val="tx1"/>
                  </w14:solidFill>
                </w14:textFill>
              </w:rPr>
              <w:t>S</w:t>
            </w:r>
          </w:p>
        </w:tc>
        <w:tc>
          <w:tcPr>
            <w:tcW w:w="4133" w:type="dxa"/>
            <w:vMerge w:val="continue"/>
            <w:tcBorders>
              <w:tl2br w:val="nil"/>
              <w:tr2bl w:val="nil"/>
            </w:tcBorders>
            <w:vAlign w:val="center"/>
          </w:tcPr>
          <w:p w14:paraId="46E60329">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839" w:type="dxa"/>
            <w:tcBorders>
              <w:tl2br w:val="nil"/>
              <w:tr2bl w:val="nil"/>
            </w:tcBorders>
            <w:vAlign w:val="center"/>
          </w:tcPr>
          <w:p w14:paraId="1D1A3E1C">
            <w:pPr>
              <w:pStyle w:val="56"/>
              <w:autoSpaceDE w:val="0"/>
              <w:autoSpaceDN w:val="0"/>
              <w:ind w:firstLine="0" w:firstLineChars="0"/>
              <w:rPr>
                <w:rFonts w:ascii="Times New Roman" w:hAnsi="Times New Roman"/>
                <w:color w:val="000000" w:themeColor="text1"/>
                <w:szCs w:val="21"/>
                <w:lang w:val="en-US" w:eastAsia="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w:t>
            </w:r>
          </w:p>
        </w:tc>
        <w:tc>
          <w:tcPr>
            <w:tcW w:w="781" w:type="dxa"/>
            <w:tcBorders>
              <w:tl2br w:val="nil"/>
              <w:tr2bl w:val="nil"/>
            </w:tcBorders>
            <w:vAlign w:val="center"/>
          </w:tcPr>
          <w:p w14:paraId="3702B0BC">
            <w:pPr>
              <w:pStyle w:val="56"/>
              <w:autoSpaceDE w:val="0"/>
              <w:autoSpaceDN w:val="0"/>
              <w:ind w:firstLine="0" w:firstLineChars="0"/>
              <w:rPr>
                <w:rFonts w:hint="default" w:ascii="Times New Roman" w:hAnsi="Times New Roman"/>
                <w:color w:val="000000" w:themeColor="text1"/>
                <w:szCs w:val="21"/>
                <w:lang w:val="en-US" w:eastAsia="en-US"/>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0.0</w:t>
            </w:r>
            <w:r>
              <w:rPr>
                <w:rFonts w:hint="eastAsia"/>
                <w:color w:val="000000" w:themeColor="text1"/>
                <w:szCs w:val="21"/>
                <w:lang w:val="en-US" w:eastAsia="zh-CN"/>
                <w14:textFill>
                  <w14:solidFill>
                    <w14:schemeClr w14:val="tx1"/>
                  </w14:solidFill>
                </w14:textFill>
              </w:rPr>
              <w:t>4</w:t>
            </w:r>
          </w:p>
        </w:tc>
        <w:tc>
          <w:tcPr>
            <w:tcW w:w="1162" w:type="dxa"/>
            <w:tcBorders>
              <w:tl2br w:val="nil"/>
              <w:tr2bl w:val="nil"/>
            </w:tcBorders>
            <w:vAlign w:val="center"/>
          </w:tcPr>
          <w:p w14:paraId="0629EC9E">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0.06mg/m</w:t>
            </w:r>
            <w:r>
              <w:rPr>
                <w:rFonts w:ascii="Times New Roman" w:hAnsi="Times New Roman"/>
                <w:color w:val="000000" w:themeColor="text1"/>
                <w:szCs w:val="21"/>
                <w:vertAlign w:val="superscript"/>
                <w:lang w:eastAsia="en-US"/>
                <w14:textFill>
                  <w14:solidFill>
                    <w14:schemeClr w14:val="tx1"/>
                  </w14:solidFill>
                </w14:textFill>
              </w:rPr>
              <w:t>3</w:t>
            </w:r>
          </w:p>
        </w:tc>
        <w:tc>
          <w:tcPr>
            <w:tcW w:w="2637" w:type="dxa"/>
            <w:vMerge w:val="continue"/>
            <w:tcBorders>
              <w:tl2br w:val="nil"/>
              <w:tr2bl w:val="nil"/>
            </w:tcBorders>
            <w:vAlign w:val="center"/>
          </w:tcPr>
          <w:p w14:paraId="519969DF">
            <w:pPr>
              <w:pStyle w:val="56"/>
              <w:autoSpaceDE w:val="0"/>
              <w:autoSpaceDN w:val="0"/>
              <w:rPr>
                <w:rFonts w:ascii="Times New Roman" w:hAnsi="Times New Roman"/>
                <w:color w:val="000000" w:themeColor="text1"/>
                <w:szCs w:val="21"/>
                <w:lang w:eastAsia="en-US"/>
                <w14:textFill>
                  <w14:solidFill>
                    <w14:schemeClr w14:val="tx1"/>
                  </w14:solidFill>
                </w14:textFill>
              </w:rPr>
            </w:pPr>
          </w:p>
        </w:tc>
      </w:tr>
      <w:tr w14:paraId="43FC5F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6F941865">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tcBorders>
              <w:tl2br w:val="nil"/>
              <w:tr2bl w:val="nil"/>
            </w:tcBorders>
            <w:vAlign w:val="center"/>
          </w:tcPr>
          <w:p w14:paraId="019BD36B">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饲料</w:t>
            </w:r>
            <w:r>
              <w:rPr>
                <w:rFonts w:hint="eastAsia" w:ascii="Times New Roman" w:hAnsi="Times New Roman"/>
                <w:color w:val="000000" w:themeColor="text1"/>
                <w:szCs w:val="21"/>
                <w:lang w:val="en-US" w:eastAsia="zh-CN"/>
                <w14:textFill>
                  <w14:solidFill>
                    <w14:schemeClr w14:val="tx1"/>
                  </w14:solidFill>
                </w14:textFill>
              </w:rPr>
              <w:t>混合</w:t>
            </w:r>
          </w:p>
        </w:tc>
        <w:tc>
          <w:tcPr>
            <w:tcW w:w="957" w:type="dxa"/>
            <w:vMerge w:val="continue"/>
            <w:tcBorders>
              <w:tl2br w:val="nil"/>
              <w:tr2bl w:val="nil"/>
            </w:tcBorders>
            <w:vAlign w:val="center"/>
          </w:tcPr>
          <w:p w14:paraId="32725F43">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829" w:type="dxa"/>
            <w:tcBorders>
              <w:tl2br w:val="nil"/>
              <w:tr2bl w:val="nil"/>
            </w:tcBorders>
            <w:vAlign w:val="center"/>
          </w:tcPr>
          <w:p w14:paraId="45C694D7">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TSP</w:t>
            </w:r>
          </w:p>
        </w:tc>
        <w:tc>
          <w:tcPr>
            <w:tcW w:w="4133" w:type="dxa"/>
            <w:tcBorders>
              <w:tl2br w:val="nil"/>
              <w:tr2bl w:val="nil"/>
            </w:tcBorders>
            <w:vAlign w:val="center"/>
          </w:tcPr>
          <w:p w14:paraId="1954DB47">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饲料</w:t>
            </w:r>
            <w:r>
              <w:rPr>
                <w:rFonts w:ascii="Times New Roman" w:hAnsi="Times New Roman"/>
                <w:color w:val="000000" w:themeColor="text1"/>
                <w:lang w:val="en-US" w:eastAsia="zh-CN"/>
                <w14:textFill>
                  <w14:solidFill>
                    <w14:schemeClr w14:val="tx1"/>
                  </w14:solidFill>
                </w14:textFill>
              </w:rPr>
              <w:t>混合、TMR混料箱为半封闭式，</w:t>
            </w:r>
            <w:r>
              <w:rPr>
                <w:rFonts w:hint="eastAsia" w:ascii="Times New Roman" w:hAnsi="Times New Roman"/>
                <w:color w:val="000000" w:themeColor="text1"/>
                <w:lang w:val="en-US" w:eastAsia="zh-CN"/>
                <w14:textFill>
                  <w14:solidFill>
                    <w14:schemeClr w14:val="tx1"/>
                  </w14:solidFill>
                </w14:textFill>
              </w:rPr>
              <w:t>配有简易布袋除尘、</w:t>
            </w:r>
            <w:r>
              <w:rPr>
                <w:rFonts w:ascii="Times New Roman" w:hAnsi="Times New Roman"/>
                <w:color w:val="000000" w:themeColor="text1"/>
                <w:lang w:val="en-US" w:eastAsia="zh-CN"/>
                <w14:textFill>
                  <w14:solidFill>
                    <w14:schemeClr w14:val="tx1"/>
                  </w14:solidFill>
                </w14:textFill>
              </w:rPr>
              <w:t>自然逸散</w:t>
            </w:r>
          </w:p>
        </w:tc>
        <w:tc>
          <w:tcPr>
            <w:tcW w:w="839" w:type="dxa"/>
            <w:tcBorders>
              <w:tl2br w:val="nil"/>
              <w:tr2bl w:val="nil"/>
            </w:tcBorders>
            <w:vAlign w:val="center"/>
          </w:tcPr>
          <w:p w14:paraId="623A6680">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0.99</w:t>
            </w:r>
          </w:p>
        </w:tc>
        <w:tc>
          <w:tcPr>
            <w:tcW w:w="781" w:type="dxa"/>
            <w:tcBorders>
              <w:tl2br w:val="nil"/>
              <w:tr2bl w:val="nil"/>
            </w:tcBorders>
            <w:vAlign w:val="center"/>
          </w:tcPr>
          <w:p w14:paraId="6202231B">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w:t>
            </w:r>
          </w:p>
        </w:tc>
        <w:tc>
          <w:tcPr>
            <w:tcW w:w="1162" w:type="dxa"/>
            <w:tcBorders>
              <w:tl2br w:val="nil"/>
              <w:tr2bl w:val="nil"/>
            </w:tcBorders>
            <w:vAlign w:val="center"/>
          </w:tcPr>
          <w:p w14:paraId="40A9B1A2">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lang w:eastAsia="zh-CN"/>
                <w14:textFill>
                  <w14:solidFill>
                    <w14:schemeClr w14:val="tx1"/>
                  </w14:solidFill>
                </w14:textFill>
              </w:rPr>
              <w:t>1.0mg/m</w:t>
            </w:r>
            <w:r>
              <w:rPr>
                <w:rFonts w:ascii="Times New Roman" w:hAnsi="Times New Roman"/>
                <w:color w:val="000000" w:themeColor="text1"/>
                <w:vertAlign w:val="superscript"/>
                <w:lang w:eastAsia="zh-CN"/>
                <w14:textFill>
                  <w14:solidFill>
                    <w14:schemeClr w14:val="tx1"/>
                  </w14:solidFill>
                </w14:textFill>
              </w:rPr>
              <w:t>3</w:t>
            </w:r>
          </w:p>
        </w:tc>
        <w:tc>
          <w:tcPr>
            <w:tcW w:w="2637" w:type="dxa"/>
            <w:tcBorders>
              <w:tl2br w:val="nil"/>
              <w:tr2bl w:val="nil"/>
            </w:tcBorders>
            <w:vAlign w:val="center"/>
          </w:tcPr>
          <w:p w14:paraId="4C705EC4">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lang w:eastAsia="zh-CN"/>
                <w14:textFill>
                  <w14:solidFill>
                    <w14:schemeClr w14:val="tx1"/>
                  </w14:solidFill>
                </w14:textFill>
              </w:rPr>
              <w:t>《大气污染物综合排放标准》（GB16297-1996）中表2的无组织排放限值要求</w:t>
            </w:r>
          </w:p>
        </w:tc>
      </w:tr>
      <w:tr w14:paraId="1CE7D3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721" w:type="dxa"/>
            <w:vMerge w:val="continue"/>
            <w:tcBorders>
              <w:tl2br w:val="nil"/>
              <w:tr2bl w:val="nil"/>
            </w:tcBorders>
            <w:vAlign w:val="center"/>
          </w:tcPr>
          <w:p w14:paraId="0A5AD21A">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restart"/>
            <w:tcBorders>
              <w:tl2br w:val="nil"/>
              <w:tr2bl w:val="nil"/>
            </w:tcBorders>
            <w:vAlign w:val="center"/>
          </w:tcPr>
          <w:p w14:paraId="0B3F14A3">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供热锅炉</w:t>
            </w:r>
          </w:p>
        </w:tc>
        <w:tc>
          <w:tcPr>
            <w:tcW w:w="957" w:type="dxa"/>
            <w:vMerge w:val="restart"/>
            <w:tcBorders>
              <w:tl2br w:val="nil"/>
              <w:tr2bl w:val="nil"/>
            </w:tcBorders>
            <w:vAlign w:val="center"/>
          </w:tcPr>
          <w:p w14:paraId="44122802">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有组织</w:t>
            </w:r>
          </w:p>
        </w:tc>
        <w:tc>
          <w:tcPr>
            <w:tcW w:w="829" w:type="dxa"/>
            <w:tcBorders>
              <w:bottom w:val="single" w:color="auto" w:sz="4" w:space="0"/>
              <w:tl2br w:val="nil"/>
              <w:tr2bl w:val="nil"/>
            </w:tcBorders>
            <w:vAlign w:val="center"/>
          </w:tcPr>
          <w:p w14:paraId="499A5F47">
            <w:pPr>
              <w:pStyle w:val="56"/>
              <w:autoSpaceDE w:val="0"/>
              <w:autoSpaceDN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PM</w:t>
            </w:r>
            <w:r>
              <w:rPr>
                <w:rFonts w:hint="eastAsia"/>
                <w:color w:val="000000" w:themeColor="text1"/>
                <w:vertAlign w:val="subscript"/>
                <w:lang w:val="en-US" w:eastAsia="zh-CN"/>
                <w14:textFill>
                  <w14:solidFill>
                    <w14:schemeClr w14:val="tx1"/>
                  </w14:solidFill>
                </w14:textFill>
              </w:rPr>
              <w:t>10</w:t>
            </w:r>
          </w:p>
        </w:tc>
        <w:tc>
          <w:tcPr>
            <w:tcW w:w="4133" w:type="dxa"/>
            <w:tcBorders>
              <w:bottom w:val="single" w:color="auto" w:sz="4" w:space="0"/>
              <w:tl2br w:val="nil"/>
              <w:tr2bl w:val="nil"/>
            </w:tcBorders>
            <w:vAlign w:val="center"/>
          </w:tcPr>
          <w:p w14:paraId="4BCD64E8">
            <w:pPr>
              <w:pStyle w:val="56"/>
              <w:autoSpaceDE w:val="0"/>
              <w:autoSpaceDN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碱式喷淋塔+15m烟囱</w:t>
            </w:r>
          </w:p>
        </w:tc>
        <w:tc>
          <w:tcPr>
            <w:tcW w:w="839" w:type="dxa"/>
            <w:tcBorders>
              <w:bottom w:val="single" w:color="auto" w:sz="4" w:space="0"/>
              <w:tl2br w:val="nil"/>
              <w:tr2bl w:val="nil"/>
            </w:tcBorders>
            <w:vAlign w:val="center"/>
          </w:tcPr>
          <w:p w14:paraId="33986493">
            <w:pPr>
              <w:pStyle w:val="56"/>
              <w:autoSpaceDE w:val="0"/>
              <w:autoSpaceDN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c>
          <w:tcPr>
            <w:tcW w:w="781" w:type="dxa"/>
            <w:tcBorders>
              <w:bottom w:val="single" w:color="auto" w:sz="4" w:space="0"/>
              <w:tl2br w:val="nil"/>
              <w:tr2bl w:val="nil"/>
            </w:tcBorders>
            <w:vAlign w:val="center"/>
          </w:tcPr>
          <w:p w14:paraId="5A755713">
            <w:pPr>
              <w:pStyle w:val="56"/>
              <w:autoSpaceDE w:val="0"/>
              <w:autoSpaceDN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0.065</w:t>
            </w:r>
          </w:p>
        </w:tc>
        <w:tc>
          <w:tcPr>
            <w:tcW w:w="1162" w:type="dxa"/>
            <w:tcBorders>
              <w:bottom w:val="single" w:color="auto" w:sz="4" w:space="0"/>
              <w:tl2br w:val="nil"/>
              <w:tr2bl w:val="nil"/>
            </w:tcBorders>
            <w:vAlign w:val="center"/>
          </w:tcPr>
          <w:p w14:paraId="7AE5FDE2">
            <w:pPr>
              <w:pStyle w:val="56"/>
              <w:autoSpaceDE w:val="0"/>
              <w:autoSpaceDN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r>
              <w:rPr>
                <w:rFonts w:ascii="Times New Roman" w:hAnsi="Times New Roman"/>
                <w:color w:val="000000" w:themeColor="text1"/>
                <w:lang w:eastAsia="zh-CN"/>
                <w14:textFill>
                  <w14:solidFill>
                    <w14:schemeClr w14:val="tx1"/>
                  </w14:solidFill>
                </w14:textFill>
              </w:rPr>
              <w:t>mg/m</w:t>
            </w:r>
            <w:r>
              <w:rPr>
                <w:rFonts w:ascii="Times New Roman" w:hAnsi="Times New Roman"/>
                <w:color w:val="000000" w:themeColor="text1"/>
                <w:vertAlign w:val="superscript"/>
                <w:lang w:eastAsia="zh-CN"/>
                <w14:textFill>
                  <w14:solidFill>
                    <w14:schemeClr w14:val="tx1"/>
                  </w14:solidFill>
                </w14:textFill>
              </w:rPr>
              <w:t>3</w:t>
            </w:r>
          </w:p>
        </w:tc>
        <w:tc>
          <w:tcPr>
            <w:tcW w:w="2637" w:type="dxa"/>
            <w:vMerge w:val="restart"/>
            <w:tcBorders>
              <w:tl2br w:val="nil"/>
              <w:tr2bl w:val="nil"/>
            </w:tcBorders>
            <w:vAlign w:val="center"/>
          </w:tcPr>
          <w:p w14:paraId="4C399B4E">
            <w:pPr>
              <w:pStyle w:val="56"/>
              <w:autoSpaceDE w:val="0"/>
              <w:autoSpaceDN w:val="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《锅炉大气污染物排放标准》（GB13271-2014）表2燃气锅炉大气污染物特别排放限值</w:t>
            </w:r>
          </w:p>
        </w:tc>
      </w:tr>
      <w:tr w14:paraId="0FE191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24" w:hRule="atLeast"/>
          <w:jc w:val="center"/>
        </w:trPr>
        <w:tc>
          <w:tcPr>
            <w:tcW w:w="721" w:type="dxa"/>
            <w:vMerge w:val="continue"/>
            <w:tcBorders>
              <w:tl2br w:val="nil"/>
              <w:tr2bl w:val="nil"/>
            </w:tcBorders>
            <w:vAlign w:val="center"/>
          </w:tcPr>
          <w:p w14:paraId="10197ECA">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1333A006">
            <w:pPr>
              <w:pStyle w:val="56"/>
              <w:autoSpaceDE w:val="0"/>
              <w:autoSpaceDN w:val="0"/>
              <w:rPr>
                <w:rFonts w:hint="eastAsia"/>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4101D870">
            <w:pPr>
              <w:pStyle w:val="56"/>
              <w:autoSpaceDE w:val="0"/>
              <w:autoSpaceDN w:val="0"/>
              <w:rPr>
                <w:rFonts w:hint="eastAsia"/>
                <w:color w:val="000000" w:themeColor="text1"/>
                <w:szCs w:val="21"/>
                <w:lang w:val="en-US" w:eastAsia="zh-CN"/>
                <w14:textFill>
                  <w14:solidFill>
                    <w14:schemeClr w14:val="tx1"/>
                  </w14:solidFill>
                </w14:textFill>
              </w:rPr>
            </w:pPr>
          </w:p>
        </w:tc>
        <w:tc>
          <w:tcPr>
            <w:tcW w:w="829" w:type="dxa"/>
            <w:tcBorders>
              <w:top w:val="single" w:color="auto" w:sz="4" w:space="0"/>
              <w:bottom w:val="single" w:color="auto" w:sz="4" w:space="0"/>
              <w:tl2br w:val="nil"/>
              <w:tr2bl w:val="nil"/>
            </w:tcBorders>
            <w:vAlign w:val="center"/>
          </w:tcPr>
          <w:p w14:paraId="4371EE80">
            <w:pPr>
              <w:pStyle w:val="56"/>
              <w:autoSpaceDE w:val="0"/>
              <w:autoSpaceDN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p>
        </w:tc>
        <w:tc>
          <w:tcPr>
            <w:tcW w:w="4133" w:type="dxa"/>
            <w:tcBorders>
              <w:top w:val="single" w:color="auto" w:sz="4" w:space="0"/>
              <w:bottom w:val="single" w:color="auto" w:sz="4" w:space="0"/>
              <w:tl2br w:val="nil"/>
              <w:tr2bl w:val="nil"/>
            </w:tcBorders>
            <w:vAlign w:val="center"/>
          </w:tcPr>
          <w:p w14:paraId="0389669E">
            <w:pPr>
              <w:pStyle w:val="56"/>
              <w:autoSpaceDE w:val="0"/>
              <w:autoSpaceDN w:val="0"/>
              <w:rPr>
                <w:rFonts w:hint="eastAsia"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碱式喷淋塔+15m烟囱</w:t>
            </w:r>
          </w:p>
        </w:tc>
        <w:tc>
          <w:tcPr>
            <w:tcW w:w="839" w:type="dxa"/>
            <w:tcBorders>
              <w:top w:val="single" w:color="auto" w:sz="4" w:space="0"/>
              <w:bottom w:val="single" w:color="auto" w:sz="4" w:space="0"/>
              <w:tl2br w:val="nil"/>
              <w:tr2bl w:val="nil"/>
            </w:tcBorders>
            <w:vAlign w:val="center"/>
          </w:tcPr>
          <w:p w14:paraId="5D5BCC1E">
            <w:pPr>
              <w:pStyle w:val="56"/>
              <w:autoSpaceDE w:val="0"/>
              <w:autoSpaceDN w:val="0"/>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0.442</w:t>
            </w:r>
          </w:p>
        </w:tc>
        <w:tc>
          <w:tcPr>
            <w:tcW w:w="781" w:type="dxa"/>
            <w:tcBorders>
              <w:top w:val="single" w:color="auto" w:sz="4" w:space="0"/>
              <w:bottom w:val="single" w:color="auto" w:sz="4" w:space="0"/>
              <w:tl2br w:val="nil"/>
              <w:tr2bl w:val="nil"/>
            </w:tcBorders>
            <w:vAlign w:val="center"/>
          </w:tcPr>
          <w:p w14:paraId="3CE3D5B3">
            <w:pPr>
              <w:pStyle w:val="56"/>
              <w:autoSpaceDE w:val="0"/>
              <w:autoSpaceDN w:val="0"/>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0.0818</w:t>
            </w:r>
          </w:p>
        </w:tc>
        <w:tc>
          <w:tcPr>
            <w:tcW w:w="1162" w:type="dxa"/>
            <w:tcBorders>
              <w:top w:val="single" w:color="auto" w:sz="4" w:space="0"/>
              <w:bottom w:val="single" w:color="auto" w:sz="4" w:space="0"/>
              <w:tl2br w:val="nil"/>
              <w:tr2bl w:val="nil"/>
            </w:tcBorders>
            <w:vAlign w:val="center"/>
          </w:tcPr>
          <w:p w14:paraId="6BAE771C">
            <w:pPr>
              <w:pStyle w:val="56"/>
              <w:autoSpaceDE w:val="0"/>
              <w:autoSpaceDN w:val="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50</w:t>
            </w:r>
            <w:r>
              <w:rPr>
                <w:rFonts w:ascii="Times New Roman" w:hAnsi="Times New Roman"/>
                <w:color w:val="000000" w:themeColor="text1"/>
                <w:lang w:eastAsia="zh-CN"/>
                <w14:textFill>
                  <w14:solidFill>
                    <w14:schemeClr w14:val="tx1"/>
                  </w14:solidFill>
                </w14:textFill>
              </w:rPr>
              <w:t>mg/m</w:t>
            </w:r>
            <w:r>
              <w:rPr>
                <w:rFonts w:ascii="Times New Roman" w:hAnsi="Times New Roman"/>
                <w:color w:val="000000" w:themeColor="text1"/>
                <w:vertAlign w:val="superscript"/>
                <w:lang w:eastAsia="zh-CN"/>
                <w14:textFill>
                  <w14:solidFill>
                    <w14:schemeClr w14:val="tx1"/>
                  </w14:solidFill>
                </w14:textFill>
              </w:rPr>
              <w:t>3</w:t>
            </w:r>
          </w:p>
        </w:tc>
        <w:tc>
          <w:tcPr>
            <w:tcW w:w="2637" w:type="dxa"/>
            <w:vMerge w:val="continue"/>
            <w:tcBorders>
              <w:tl2br w:val="nil"/>
              <w:tr2bl w:val="nil"/>
            </w:tcBorders>
            <w:vAlign w:val="center"/>
          </w:tcPr>
          <w:p w14:paraId="58321CB0">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p>
        </w:tc>
      </w:tr>
      <w:tr w14:paraId="34FA56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31" w:hRule="atLeast"/>
          <w:jc w:val="center"/>
        </w:trPr>
        <w:tc>
          <w:tcPr>
            <w:tcW w:w="721" w:type="dxa"/>
            <w:vMerge w:val="continue"/>
            <w:tcBorders>
              <w:tl2br w:val="nil"/>
              <w:tr2bl w:val="nil"/>
            </w:tcBorders>
            <w:vAlign w:val="center"/>
          </w:tcPr>
          <w:p w14:paraId="51B41E86">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6F2430EA">
            <w:pPr>
              <w:pStyle w:val="56"/>
              <w:autoSpaceDE w:val="0"/>
              <w:autoSpaceDN w:val="0"/>
              <w:rPr>
                <w:rFonts w:hint="eastAsia"/>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2A6061AD">
            <w:pPr>
              <w:pStyle w:val="56"/>
              <w:autoSpaceDE w:val="0"/>
              <w:autoSpaceDN w:val="0"/>
              <w:rPr>
                <w:rFonts w:hint="eastAsia"/>
                <w:color w:val="000000" w:themeColor="text1"/>
                <w:szCs w:val="21"/>
                <w:lang w:val="en-US" w:eastAsia="zh-CN"/>
                <w14:textFill>
                  <w14:solidFill>
                    <w14:schemeClr w14:val="tx1"/>
                  </w14:solidFill>
                </w14:textFill>
              </w:rPr>
            </w:pPr>
          </w:p>
        </w:tc>
        <w:tc>
          <w:tcPr>
            <w:tcW w:w="829" w:type="dxa"/>
            <w:tcBorders>
              <w:top w:val="single" w:color="auto" w:sz="4" w:space="0"/>
              <w:tl2br w:val="nil"/>
              <w:tr2bl w:val="nil"/>
            </w:tcBorders>
            <w:vAlign w:val="center"/>
          </w:tcPr>
          <w:p w14:paraId="7A6B4138">
            <w:pPr>
              <w:pStyle w:val="56"/>
              <w:autoSpaceDE w:val="0"/>
              <w:autoSpaceDN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NOx</w:t>
            </w:r>
          </w:p>
        </w:tc>
        <w:tc>
          <w:tcPr>
            <w:tcW w:w="4133" w:type="dxa"/>
            <w:tcBorders>
              <w:top w:val="single" w:color="auto" w:sz="4" w:space="0"/>
              <w:tl2br w:val="nil"/>
              <w:tr2bl w:val="nil"/>
            </w:tcBorders>
            <w:vAlign w:val="center"/>
          </w:tcPr>
          <w:p w14:paraId="20B8F577">
            <w:pPr>
              <w:pStyle w:val="56"/>
              <w:autoSpaceDE w:val="0"/>
              <w:autoSpaceDN w:val="0"/>
              <w:rPr>
                <w:rFonts w:hint="eastAsia"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碱式喷淋塔+15m烟囱</w:t>
            </w:r>
          </w:p>
        </w:tc>
        <w:tc>
          <w:tcPr>
            <w:tcW w:w="839" w:type="dxa"/>
            <w:tcBorders>
              <w:top w:val="single" w:color="auto" w:sz="4" w:space="0"/>
              <w:tl2br w:val="nil"/>
              <w:tr2bl w:val="nil"/>
            </w:tcBorders>
            <w:vAlign w:val="center"/>
          </w:tcPr>
          <w:p w14:paraId="54468B20">
            <w:pPr>
              <w:pStyle w:val="56"/>
              <w:autoSpaceDE w:val="0"/>
              <w:autoSpaceDN w:val="0"/>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1.02</w:t>
            </w:r>
          </w:p>
        </w:tc>
        <w:tc>
          <w:tcPr>
            <w:tcW w:w="781" w:type="dxa"/>
            <w:tcBorders>
              <w:top w:val="single" w:color="auto" w:sz="4" w:space="0"/>
              <w:tl2br w:val="nil"/>
              <w:tr2bl w:val="nil"/>
            </w:tcBorders>
            <w:vAlign w:val="center"/>
          </w:tcPr>
          <w:p w14:paraId="7BE5999A">
            <w:pPr>
              <w:pStyle w:val="56"/>
              <w:autoSpaceDE w:val="0"/>
              <w:autoSpaceDN w:val="0"/>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0.306</w:t>
            </w:r>
          </w:p>
        </w:tc>
        <w:tc>
          <w:tcPr>
            <w:tcW w:w="1162" w:type="dxa"/>
            <w:tcBorders>
              <w:top w:val="single" w:color="auto" w:sz="4" w:space="0"/>
              <w:tl2br w:val="nil"/>
              <w:tr2bl w:val="nil"/>
            </w:tcBorders>
            <w:vAlign w:val="center"/>
          </w:tcPr>
          <w:p w14:paraId="62F13256">
            <w:pPr>
              <w:pStyle w:val="56"/>
              <w:autoSpaceDE w:val="0"/>
              <w:autoSpaceDN w:val="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200</w:t>
            </w:r>
            <w:r>
              <w:rPr>
                <w:rFonts w:ascii="Times New Roman" w:hAnsi="Times New Roman"/>
                <w:color w:val="000000" w:themeColor="text1"/>
                <w:lang w:eastAsia="zh-CN"/>
                <w14:textFill>
                  <w14:solidFill>
                    <w14:schemeClr w14:val="tx1"/>
                  </w14:solidFill>
                </w14:textFill>
              </w:rPr>
              <w:t>mg/m</w:t>
            </w:r>
            <w:r>
              <w:rPr>
                <w:rFonts w:ascii="Times New Roman" w:hAnsi="Times New Roman"/>
                <w:color w:val="000000" w:themeColor="text1"/>
                <w:vertAlign w:val="superscript"/>
                <w:lang w:eastAsia="zh-CN"/>
                <w14:textFill>
                  <w14:solidFill>
                    <w14:schemeClr w14:val="tx1"/>
                  </w14:solidFill>
                </w14:textFill>
              </w:rPr>
              <w:t>3</w:t>
            </w:r>
          </w:p>
        </w:tc>
        <w:tc>
          <w:tcPr>
            <w:tcW w:w="2637" w:type="dxa"/>
            <w:vMerge w:val="continue"/>
            <w:tcBorders>
              <w:tl2br w:val="nil"/>
              <w:tr2bl w:val="nil"/>
            </w:tcBorders>
            <w:vAlign w:val="center"/>
          </w:tcPr>
          <w:p w14:paraId="647A1BE0">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p>
        </w:tc>
      </w:tr>
      <w:tr w14:paraId="2004AD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521FC693">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tcBorders>
              <w:tl2br w:val="nil"/>
              <w:tr2bl w:val="nil"/>
            </w:tcBorders>
            <w:vAlign w:val="center"/>
          </w:tcPr>
          <w:p w14:paraId="59FD28F3">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食堂</w:t>
            </w:r>
          </w:p>
        </w:tc>
        <w:tc>
          <w:tcPr>
            <w:tcW w:w="957" w:type="dxa"/>
            <w:tcBorders>
              <w:tl2br w:val="nil"/>
              <w:tr2bl w:val="nil"/>
            </w:tcBorders>
            <w:vAlign w:val="center"/>
          </w:tcPr>
          <w:p w14:paraId="11CED58B">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有组织</w:t>
            </w:r>
          </w:p>
        </w:tc>
        <w:tc>
          <w:tcPr>
            <w:tcW w:w="829" w:type="dxa"/>
            <w:tcBorders>
              <w:tl2br w:val="nil"/>
              <w:tr2bl w:val="nil"/>
            </w:tcBorders>
            <w:vAlign w:val="center"/>
          </w:tcPr>
          <w:p w14:paraId="2CE78524">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食堂油烟</w:t>
            </w:r>
          </w:p>
        </w:tc>
        <w:tc>
          <w:tcPr>
            <w:tcW w:w="4133" w:type="dxa"/>
            <w:tcBorders>
              <w:tl2br w:val="nil"/>
              <w:tr2bl w:val="nil"/>
            </w:tcBorders>
            <w:vAlign w:val="center"/>
          </w:tcPr>
          <w:p w14:paraId="5F9A5E5F">
            <w:pPr>
              <w:pStyle w:val="56"/>
              <w:autoSpaceDE w:val="0"/>
              <w:autoSpaceDN w:val="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油烟净化器</w:t>
            </w:r>
          </w:p>
        </w:tc>
        <w:tc>
          <w:tcPr>
            <w:tcW w:w="839" w:type="dxa"/>
            <w:tcBorders>
              <w:tl2br w:val="nil"/>
              <w:tr2bl w:val="nil"/>
            </w:tcBorders>
            <w:vAlign w:val="center"/>
          </w:tcPr>
          <w:p w14:paraId="75506DDC">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0.0082</w:t>
            </w:r>
          </w:p>
        </w:tc>
        <w:tc>
          <w:tcPr>
            <w:tcW w:w="781" w:type="dxa"/>
            <w:tcBorders>
              <w:tl2br w:val="nil"/>
              <w:tr2bl w:val="nil"/>
            </w:tcBorders>
            <w:vAlign w:val="center"/>
          </w:tcPr>
          <w:p w14:paraId="4BC213A8">
            <w:pPr>
              <w:pStyle w:val="56"/>
              <w:autoSpaceDE w:val="0"/>
              <w:autoSpaceDN w:val="0"/>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33</w:t>
            </w:r>
          </w:p>
        </w:tc>
        <w:tc>
          <w:tcPr>
            <w:tcW w:w="1162" w:type="dxa"/>
            <w:tcBorders>
              <w:tl2br w:val="nil"/>
              <w:tr2bl w:val="nil"/>
            </w:tcBorders>
            <w:vAlign w:val="center"/>
          </w:tcPr>
          <w:p w14:paraId="469E0EED">
            <w:pPr>
              <w:pStyle w:val="56"/>
              <w:autoSpaceDE w:val="0"/>
              <w:autoSpaceDN w:val="0"/>
              <w:rPr>
                <w:rFonts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2.0mg/m</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c>
          <w:tcPr>
            <w:tcW w:w="2637" w:type="dxa"/>
            <w:tcBorders>
              <w:tl2br w:val="nil"/>
              <w:tr2bl w:val="nil"/>
            </w:tcBorders>
            <w:vAlign w:val="center"/>
          </w:tcPr>
          <w:p w14:paraId="41FA96D6">
            <w:pPr>
              <w:pStyle w:val="56"/>
              <w:autoSpaceDE w:val="0"/>
              <w:autoSpaceDN w:val="0"/>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《饮食业油烟排放标准（试行）》（</w:t>
            </w:r>
            <w:r>
              <w:rPr>
                <w:rFonts w:hint="default" w:ascii="Times New Roman" w:hAnsi="Times New Roman" w:eastAsia="宋体" w:cs="Times New Roman"/>
                <w:color w:val="000000" w:themeColor="text1"/>
                <w:lang w:val="en-US" w:eastAsia="zh-CN"/>
                <w14:textFill>
                  <w14:solidFill>
                    <w14:schemeClr w14:val="tx1"/>
                  </w14:solidFill>
                </w14:textFill>
              </w:rPr>
              <w:t>GB18483-2001</w:t>
            </w: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42139A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restart"/>
            <w:tcBorders>
              <w:tl2br w:val="nil"/>
              <w:tr2bl w:val="nil"/>
            </w:tcBorders>
            <w:vAlign w:val="center"/>
          </w:tcPr>
          <w:p w14:paraId="1FCFBAE1">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废水污染物</w:t>
            </w:r>
          </w:p>
        </w:tc>
        <w:tc>
          <w:tcPr>
            <w:tcW w:w="1179" w:type="dxa"/>
            <w:vMerge w:val="restart"/>
            <w:tcBorders>
              <w:tl2br w:val="nil"/>
              <w:tr2bl w:val="nil"/>
            </w:tcBorders>
            <w:vAlign w:val="center"/>
          </w:tcPr>
          <w:p w14:paraId="07F33DB9">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生活污水</w:t>
            </w:r>
          </w:p>
        </w:tc>
        <w:tc>
          <w:tcPr>
            <w:tcW w:w="957" w:type="dxa"/>
            <w:vMerge w:val="restart"/>
            <w:tcBorders>
              <w:tl2br w:val="nil"/>
              <w:tr2bl w:val="nil"/>
            </w:tcBorders>
            <w:vAlign w:val="center"/>
          </w:tcPr>
          <w:p w14:paraId="4DC0F056">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间断排放</w:t>
            </w:r>
          </w:p>
        </w:tc>
        <w:tc>
          <w:tcPr>
            <w:tcW w:w="829" w:type="dxa"/>
            <w:tcBorders>
              <w:tl2br w:val="nil"/>
              <w:tr2bl w:val="nil"/>
            </w:tcBorders>
            <w:vAlign w:val="center"/>
          </w:tcPr>
          <w:p w14:paraId="7BCDB4E4">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COD</w:t>
            </w:r>
          </w:p>
        </w:tc>
        <w:tc>
          <w:tcPr>
            <w:tcW w:w="4133" w:type="dxa"/>
            <w:vMerge w:val="restart"/>
            <w:tcBorders>
              <w:tl2br w:val="nil"/>
              <w:tr2bl w:val="nil"/>
            </w:tcBorders>
            <w:vAlign w:val="center"/>
          </w:tcPr>
          <w:p w14:paraId="7CB8051C">
            <w:pPr>
              <w:pStyle w:val="56"/>
              <w:autoSpaceDE w:val="0"/>
              <w:autoSpaceDN w:val="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防渗化粪池处理，定期用吸污车拉运至63团</w:t>
            </w:r>
            <w:r>
              <w:rPr>
                <w:rFonts w:hint="eastAsia"/>
                <w:color w:val="000000" w:themeColor="text1"/>
                <w:lang w:val="en-US" w:eastAsia="zh-CN"/>
                <w14:textFill>
                  <w14:solidFill>
                    <w14:schemeClr w14:val="tx1"/>
                  </w14:solidFill>
                </w14:textFill>
              </w:rPr>
              <w:t>污水处理厂</w:t>
            </w:r>
          </w:p>
        </w:tc>
        <w:tc>
          <w:tcPr>
            <w:tcW w:w="839" w:type="dxa"/>
            <w:vMerge w:val="restart"/>
            <w:tcBorders>
              <w:tl2br w:val="nil"/>
              <w:tr2bl w:val="nil"/>
            </w:tcBorders>
            <w:vAlign w:val="center"/>
          </w:tcPr>
          <w:p w14:paraId="7EFB4264">
            <w:pPr>
              <w:pStyle w:val="56"/>
              <w:autoSpaceDE w:val="0"/>
              <w:autoSpaceDN w:val="0"/>
              <w:ind w:firstLine="0" w:firstLineChars="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污水336</w:t>
            </w:r>
          </w:p>
        </w:tc>
        <w:tc>
          <w:tcPr>
            <w:tcW w:w="781" w:type="dxa"/>
            <w:vMerge w:val="restart"/>
            <w:tcBorders>
              <w:tl2br w:val="nil"/>
              <w:tr2bl w:val="nil"/>
            </w:tcBorders>
            <w:vAlign w:val="center"/>
          </w:tcPr>
          <w:p w14:paraId="6F93C05D">
            <w:pPr>
              <w:pStyle w:val="56"/>
              <w:autoSpaceDE w:val="0"/>
              <w:autoSpaceDN w:val="0"/>
              <w:ind w:firstLine="0" w:firstLineChars="0"/>
              <w:rPr>
                <w:rFonts w:hint="eastAsia"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污水33.6</w:t>
            </w:r>
          </w:p>
        </w:tc>
        <w:tc>
          <w:tcPr>
            <w:tcW w:w="1162" w:type="dxa"/>
            <w:tcBorders>
              <w:tl2br w:val="nil"/>
              <w:tr2bl w:val="nil"/>
            </w:tcBorders>
            <w:vAlign w:val="center"/>
          </w:tcPr>
          <w:p w14:paraId="1B0DF4F6">
            <w:pPr>
              <w:pStyle w:val="56"/>
              <w:autoSpaceDE w:val="0"/>
              <w:autoSpaceDN w:val="0"/>
              <w:ind w:firstLine="0" w:firstLineChars="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500mg/L</w:t>
            </w:r>
          </w:p>
        </w:tc>
        <w:tc>
          <w:tcPr>
            <w:tcW w:w="2637" w:type="dxa"/>
            <w:vMerge w:val="restart"/>
            <w:tcBorders>
              <w:tl2br w:val="nil"/>
              <w:tr2bl w:val="nil"/>
            </w:tcBorders>
            <w:vAlign w:val="center"/>
          </w:tcPr>
          <w:p w14:paraId="6FDB604B">
            <w:pPr>
              <w:pStyle w:val="56"/>
              <w:autoSpaceDE w:val="0"/>
              <w:autoSpaceDN w:val="0"/>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《污水综合排放标准》（</w:t>
            </w:r>
            <w:r>
              <w:rPr>
                <w:rFonts w:hint="default" w:ascii="Times New Roman" w:hAnsi="Times New Roman"/>
                <w:color w:val="000000" w:themeColor="text1"/>
                <w:lang w:val="en-US" w:eastAsia="zh-CN"/>
                <w14:textFill>
                  <w14:solidFill>
                    <w14:schemeClr w14:val="tx1"/>
                  </w14:solidFill>
                </w14:textFill>
              </w:rPr>
              <w:t>GB8978-1996</w:t>
            </w:r>
            <w:r>
              <w:rPr>
                <w:rFonts w:hint="eastAsia" w:ascii="Times New Roman" w:hAnsi="Times New Roman"/>
                <w:color w:val="000000" w:themeColor="text1"/>
                <w:lang w:val="en-US" w:eastAsia="zh-CN"/>
                <w14:textFill>
                  <w14:solidFill>
                    <w14:schemeClr w14:val="tx1"/>
                  </w14:solidFill>
                </w14:textFill>
              </w:rPr>
              <w:t>）表</w:t>
            </w:r>
            <w:r>
              <w:rPr>
                <w:rFonts w:hint="default" w:ascii="Times New Roman" w:hAnsi="Times New Roman"/>
                <w:color w:val="000000" w:themeColor="text1"/>
                <w:lang w:val="en-US" w:eastAsia="zh-CN"/>
                <w14:textFill>
                  <w14:solidFill>
                    <w14:schemeClr w14:val="tx1"/>
                  </w14:solidFill>
                </w14:textFill>
              </w:rPr>
              <w:t>4</w:t>
            </w:r>
            <w:r>
              <w:rPr>
                <w:rFonts w:hint="eastAsia" w:ascii="Times New Roman" w:hAnsi="Times New Roman"/>
                <w:color w:val="000000" w:themeColor="text1"/>
                <w:lang w:val="en-US" w:eastAsia="zh-CN"/>
                <w14:textFill>
                  <w14:solidFill>
                    <w14:schemeClr w14:val="tx1"/>
                  </w14:solidFill>
                </w14:textFill>
              </w:rPr>
              <w:t>三级标准</w:t>
            </w:r>
          </w:p>
        </w:tc>
      </w:tr>
      <w:tr w14:paraId="58CD37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00F0C388">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06F22E16">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26E060AC">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829" w:type="dxa"/>
            <w:tcBorders>
              <w:tl2br w:val="nil"/>
              <w:tr2bl w:val="nil"/>
            </w:tcBorders>
            <w:vAlign w:val="center"/>
          </w:tcPr>
          <w:p w14:paraId="10E124C1">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BOD</w:t>
            </w:r>
            <w:r>
              <w:rPr>
                <w:rFonts w:hint="eastAsia" w:ascii="Times New Roman" w:hAnsi="Times New Roman"/>
                <w:color w:val="000000" w:themeColor="text1"/>
                <w:vertAlign w:val="subscript"/>
                <w:lang w:val="en-US" w:eastAsia="zh-CN"/>
                <w14:textFill>
                  <w14:solidFill>
                    <w14:schemeClr w14:val="tx1"/>
                  </w14:solidFill>
                </w14:textFill>
              </w:rPr>
              <w:t>5</w:t>
            </w:r>
          </w:p>
        </w:tc>
        <w:tc>
          <w:tcPr>
            <w:tcW w:w="4133" w:type="dxa"/>
            <w:vMerge w:val="continue"/>
            <w:tcBorders>
              <w:tl2br w:val="nil"/>
              <w:tr2bl w:val="nil"/>
            </w:tcBorders>
            <w:vAlign w:val="center"/>
          </w:tcPr>
          <w:p w14:paraId="5F63F52B">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14:paraId="2D93C0E1">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p>
        </w:tc>
        <w:tc>
          <w:tcPr>
            <w:tcW w:w="781" w:type="dxa"/>
            <w:vMerge w:val="continue"/>
            <w:tcBorders>
              <w:tl2br w:val="nil"/>
              <w:tr2bl w:val="nil"/>
            </w:tcBorders>
            <w:vAlign w:val="center"/>
          </w:tcPr>
          <w:p w14:paraId="4A1B6347">
            <w:pPr>
              <w:pStyle w:val="56"/>
              <w:autoSpaceDE w:val="0"/>
              <w:autoSpaceDN w:val="0"/>
              <w:ind w:firstLine="0" w:firstLineChars="0"/>
              <w:rPr>
                <w:rFonts w:hint="eastAsia" w:ascii="Times New Roman" w:hAnsi="Times New Roman"/>
                <w:color w:val="000000" w:themeColor="text1"/>
                <w:lang w:val="en-US" w:eastAsia="zh-CN"/>
                <w14:textFill>
                  <w14:solidFill>
                    <w14:schemeClr w14:val="tx1"/>
                  </w14:solidFill>
                </w14:textFill>
              </w:rPr>
            </w:pPr>
          </w:p>
        </w:tc>
        <w:tc>
          <w:tcPr>
            <w:tcW w:w="1162" w:type="dxa"/>
            <w:tcBorders>
              <w:tl2br w:val="nil"/>
              <w:tr2bl w:val="nil"/>
            </w:tcBorders>
            <w:vAlign w:val="center"/>
          </w:tcPr>
          <w:p w14:paraId="21EB25A1">
            <w:pPr>
              <w:pStyle w:val="56"/>
              <w:autoSpaceDE w:val="0"/>
              <w:autoSpaceDN w:val="0"/>
              <w:ind w:firstLine="0" w:firstLineChars="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300mg/L</w:t>
            </w:r>
          </w:p>
        </w:tc>
        <w:tc>
          <w:tcPr>
            <w:tcW w:w="2637" w:type="dxa"/>
            <w:vMerge w:val="continue"/>
            <w:tcBorders>
              <w:tl2br w:val="nil"/>
              <w:tr2bl w:val="nil"/>
            </w:tcBorders>
            <w:vAlign w:val="center"/>
          </w:tcPr>
          <w:p w14:paraId="1840D354">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r>
      <w:tr w14:paraId="6A9083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6C0BFAA1">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09B72101">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77BC9518">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829" w:type="dxa"/>
            <w:tcBorders>
              <w:tl2br w:val="nil"/>
              <w:tr2bl w:val="nil"/>
            </w:tcBorders>
            <w:vAlign w:val="center"/>
          </w:tcPr>
          <w:p w14:paraId="5DAE5289">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SS</w:t>
            </w:r>
          </w:p>
        </w:tc>
        <w:tc>
          <w:tcPr>
            <w:tcW w:w="4133" w:type="dxa"/>
            <w:vMerge w:val="continue"/>
            <w:tcBorders>
              <w:tl2br w:val="nil"/>
              <w:tr2bl w:val="nil"/>
            </w:tcBorders>
            <w:vAlign w:val="center"/>
          </w:tcPr>
          <w:p w14:paraId="197248F1">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14:paraId="6A91C2EC">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p>
        </w:tc>
        <w:tc>
          <w:tcPr>
            <w:tcW w:w="781" w:type="dxa"/>
            <w:vMerge w:val="continue"/>
            <w:tcBorders>
              <w:tl2br w:val="nil"/>
              <w:tr2bl w:val="nil"/>
            </w:tcBorders>
            <w:vAlign w:val="center"/>
          </w:tcPr>
          <w:p w14:paraId="4B249FA2">
            <w:pPr>
              <w:pStyle w:val="56"/>
              <w:autoSpaceDE w:val="0"/>
              <w:autoSpaceDN w:val="0"/>
              <w:ind w:firstLine="0" w:firstLineChars="0"/>
              <w:rPr>
                <w:rFonts w:hint="eastAsia" w:ascii="Times New Roman" w:hAnsi="Times New Roman"/>
                <w:color w:val="000000" w:themeColor="text1"/>
                <w:lang w:val="en-US" w:eastAsia="zh-CN"/>
                <w14:textFill>
                  <w14:solidFill>
                    <w14:schemeClr w14:val="tx1"/>
                  </w14:solidFill>
                </w14:textFill>
              </w:rPr>
            </w:pPr>
          </w:p>
        </w:tc>
        <w:tc>
          <w:tcPr>
            <w:tcW w:w="1162" w:type="dxa"/>
            <w:tcBorders>
              <w:tl2br w:val="nil"/>
              <w:tr2bl w:val="nil"/>
            </w:tcBorders>
            <w:vAlign w:val="center"/>
          </w:tcPr>
          <w:p w14:paraId="64D26E19">
            <w:pPr>
              <w:pStyle w:val="56"/>
              <w:autoSpaceDE w:val="0"/>
              <w:autoSpaceDN w:val="0"/>
              <w:ind w:firstLine="0" w:firstLineChars="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400mg/L</w:t>
            </w:r>
          </w:p>
        </w:tc>
        <w:tc>
          <w:tcPr>
            <w:tcW w:w="2637" w:type="dxa"/>
            <w:vMerge w:val="continue"/>
            <w:tcBorders>
              <w:tl2br w:val="nil"/>
              <w:tr2bl w:val="nil"/>
            </w:tcBorders>
            <w:vAlign w:val="center"/>
          </w:tcPr>
          <w:p w14:paraId="558A6150">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r>
      <w:tr w14:paraId="1D2A7D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3081A337">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restart"/>
            <w:tcBorders>
              <w:tl2br w:val="nil"/>
              <w:tr2bl w:val="nil"/>
            </w:tcBorders>
            <w:vAlign w:val="center"/>
          </w:tcPr>
          <w:p w14:paraId="7C82D44A">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养殖废水</w:t>
            </w:r>
          </w:p>
        </w:tc>
        <w:tc>
          <w:tcPr>
            <w:tcW w:w="957" w:type="dxa"/>
            <w:vMerge w:val="restart"/>
            <w:tcBorders>
              <w:tl2br w:val="nil"/>
              <w:tr2bl w:val="nil"/>
            </w:tcBorders>
            <w:vAlign w:val="center"/>
          </w:tcPr>
          <w:p w14:paraId="2BA782A8">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间断排放</w:t>
            </w:r>
          </w:p>
        </w:tc>
        <w:tc>
          <w:tcPr>
            <w:tcW w:w="829" w:type="dxa"/>
            <w:tcBorders>
              <w:tl2br w:val="nil"/>
              <w:tr2bl w:val="nil"/>
            </w:tcBorders>
            <w:vAlign w:val="center"/>
          </w:tcPr>
          <w:p w14:paraId="1941DECF">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COD</w:t>
            </w:r>
          </w:p>
        </w:tc>
        <w:tc>
          <w:tcPr>
            <w:tcW w:w="4133" w:type="dxa"/>
            <w:vMerge w:val="restart"/>
            <w:tcBorders>
              <w:tl2br w:val="nil"/>
              <w:tr2bl w:val="nil"/>
            </w:tcBorders>
            <w:vAlign w:val="center"/>
          </w:tcPr>
          <w:p w14:paraId="08EF72C3">
            <w:pPr>
              <w:pStyle w:val="56"/>
              <w:autoSpaceDE w:val="0"/>
              <w:autoSpaceDN w:val="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通过鸭舍集污池收集排放到场区污水处理设施，处理后暂存回用水池，用于场区绿化浇灌</w:t>
            </w:r>
          </w:p>
        </w:tc>
        <w:tc>
          <w:tcPr>
            <w:tcW w:w="839" w:type="dxa"/>
            <w:vMerge w:val="restart"/>
            <w:tcBorders>
              <w:tl2br w:val="nil"/>
              <w:tr2bl w:val="nil"/>
            </w:tcBorders>
            <w:vAlign w:val="center"/>
          </w:tcPr>
          <w:p w14:paraId="3C899C25">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w:t>
            </w:r>
            <w:r>
              <w:rPr>
                <w:rFonts w:hint="eastAsia"/>
                <w:color w:val="000000" w:themeColor="text1"/>
                <w:lang w:val="en-US" w:eastAsia="zh-CN"/>
                <w14:textFill>
                  <w14:solidFill>
                    <w14:schemeClr w14:val="tx1"/>
                  </w14:solidFill>
                </w14:textFill>
              </w:rPr>
              <w:t>1762.5</w:t>
            </w:r>
          </w:p>
        </w:tc>
        <w:tc>
          <w:tcPr>
            <w:tcW w:w="781" w:type="dxa"/>
            <w:vMerge w:val="restart"/>
            <w:tcBorders>
              <w:tl2br w:val="nil"/>
              <w:tr2bl w:val="nil"/>
            </w:tcBorders>
            <w:vAlign w:val="center"/>
          </w:tcPr>
          <w:p w14:paraId="74CAF3AE">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162" w:type="dxa"/>
            <w:tcBorders>
              <w:tl2br w:val="nil"/>
              <w:tr2bl w:val="nil"/>
            </w:tcBorders>
            <w:vAlign w:val="center"/>
          </w:tcPr>
          <w:p w14:paraId="56DFD6BC">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400mg/L</w:t>
            </w:r>
          </w:p>
        </w:tc>
        <w:tc>
          <w:tcPr>
            <w:tcW w:w="2637" w:type="dxa"/>
            <w:vMerge w:val="restart"/>
            <w:tcBorders>
              <w:tl2br w:val="nil"/>
              <w:tr2bl w:val="nil"/>
            </w:tcBorders>
            <w:vAlign w:val="center"/>
          </w:tcPr>
          <w:p w14:paraId="62227791">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《畜禽养殖业污染物排放标准》（GB18596-2001）</w:t>
            </w:r>
          </w:p>
        </w:tc>
      </w:tr>
      <w:tr w14:paraId="6797E3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2E19ABC9">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6D82AD7D">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1BF5F8C6">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829" w:type="dxa"/>
            <w:tcBorders>
              <w:tl2br w:val="nil"/>
              <w:tr2bl w:val="nil"/>
            </w:tcBorders>
            <w:vAlign w:val="center"/>
          </w:tcPr>
          <w:p w14:paraId="538DCECC">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B</w:t>
            </w:r>
            <w:r>
              <w:rPr>
                <w:rFonts w:hint="eastAsia" w:ascii="Times New Roman" w:hAnsi="Times New Roman"/>
                <w:color w:val="000000" w:themeColor="text1"/>
                <w:szCs w:val="21"/>
                <w:lang w:val="en-US" w:eastAsia="zh-CN"/>
                <w14:textFill>
                  <w14:solidFill>
                    <w14:schemeClr w14:val="tx1"/>
                  </w14:solidFill>
                </w14:textFill>
              </w:rPr>
              <w:t>OD</w:t>
            </w:r>
            <w:r>
              <w:rPr>
                <w:rFonts w:hint="eastAsia" w:ascii="Times New Roman" w:hAnsi="Times New Roman"/>
                <w:color w:val="000000" w:themeColor="text1"/>
                <w:szCs w:val="21"/>
                <w:vertAlign w:val="subscript"/>
                <w:lang w:val="en-US" w:eastAsia="zh-CN"/>
                <w14:textFill>
                  <w14:solidFill>
                    <w14:schemeClr w14:val="tx1"/>
                  </w14:solidFill>
                </w14:textFill>
              </w:rPr>
              <w:t>5</w:t>
            </w:r>
          </w:p>
        </w:tc>
        <w:tc>
          <w:tcPr>
            <w:tcW w:w="4133" w:type="dxa"/>
            <w:vMerge w:val="continue"/>
            <w:tcBorders>
              <w:tl2br w:val="nil"/>
              <w:tr2bl w:val="nil"/>
            </w:tcBorders>
            <w:vAlign w:val="center"/>
          </w:tcPr>
          <w:p w14:paraId="54A88545">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14:paraId="68A98545">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781" w:type="dxa"/>
            <w:vMerge w:val="continue"/>
            <w:tcBorders>
              <w:tl2br w:val="nil"/>
              <w:tr2bl w:val="nil"/>
            </w:tcBorders>
            <w:vAlign w:val="center"/>
          </w:tcPr>
          <w:p w14:paraId="10041894">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1162" w:type="dxa"/>
            <w:tcBorders>
              <w:tl2br w:val="nil"/>
              <w:tr2bl w:val="nil"/>
            </w:tcBorders>
            <w:vAlign w:val="center"/>
          </w:tcPr>
          <w:p w14:paraId="1B940FC8">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150mg/L</w:t>
            </w:r>
          </w:p>
        </w:tc>
        <w:tc>
          <w:tcPr>
            <w:tcW w:w="2637" w:type="dxa"/>
            <w:vMerge w:val="continue"/>
            <w:tcBorders>
              <w:tl2br w:val="nil"/>
              <w:tr2bl w:val="nil"/>
            </w:tcBorders>
            <w:vAlign w:val="center"/>
          </w:tcPr>
          <w:p w14:paraId="195E7ED2">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p>
        </w:tc>
      </w:tr>
      <w:tr w14:paraId="5D2E53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1E3A8FF2">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7C28EE62">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30936496">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829" w:type="dxa"/>
            <w:tcBorders>
              <w:tl2br w:val="nil"/>
              <w:tr2bl w:val="nil"/>
            </w:tcBorders>
            <w:vAlign w:val="center"/>
          </w:tcPr>
          <w:p w14:paraId="15D7BCB3">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SS</w:t>
            </w:r>
          </w:p>
        </w:tc>
        <w:tc>
          <w:tcPr>
            <w:tcW w:w="4133" w:type="dxa"/>
            <w:vMerge w:val="continue"/>
            <w:tcBorders>
              <w:tl2br w:val="nil"/>
              <w:tr2bl w:val="nil"/>
            </w:tcBorders>
            <w:vAlign w:val="center"/>
          </w:tcPr>
          <w:p w14:paraId="5B270E80">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14:paraId="7F7A9EAF">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781" w:type="dxa"/>
            <w:vMerge w:val="continue"/>
            <w:tcBorders>
              <w:tl2br w:val="nil"/>
              <w:tr2bl w:val="nil"/>
            </w:tcBorders>
            <w:vAlign w:val="center"/>
          </w:tcPr>
          <w:p w14:paraId="15F9347A">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1162" w:type="dxa"/>
            <w:tcBorders>
              <w:tl2br w:val="nil"/>
              <w:tr2bl w:val="nil"/>
            </w:tcBorders>
            <w:vAlign w:val="center"/>
          </w:tcPr>
          <w:p w14:paraId="00CF16D1">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200mg/L</w:t>
            </w:r>
          </w:p>
        </w:tc>
        <w:tc>
          <w:tcPr>
            <w:tcW w:w="2637" w:type="dxa"/>
            <w:vMerge w:val="continue"/>
            <w:tcBorders>
              <w:tl2br w:val="nil"/>
              <w:tr2bl w:val="nil"/>
            </w:tcBorders>
            <w:vAlign w:val="center"/>
          </w:tcPr>
          <w:p w14:paraId="105A36CE">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p>
        </w:tc>
      </w:tr>
      <w:tr w14:paraId="4A6D1B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2DEDDBBF">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723836F7">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3AFFB08B">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829" w:type="dxa"/>
            <w:tcBorders>
              <w:tl2br w:val="nil"/>
              <w:tr2bl w:val="nil"/>
            </w:tcBorders>
            <w:vAlign w:val="center"/>
          </w:tcPr>
          <w:p w14:paraId="2CFD8079">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氨氮</w:t>
            </w:r>
          </w:p>
        </w:tc>
        <w:tc>
          <w:tcPr>
            <w:tcW w:w="4133" w:type="dxa"/>
            <w:vMerge w:val="continue"/>
            <w:tcBorders>
              <w:tl2br w:val="nil"/>
              <w:tr2bl w:val="nil"/>
            </w:tcBorders>
            <w:vAlign w:val="center"/>
          </w:tcPr>
          <w:p w14:paraId="7F7239AD">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14:paraId="1C22E529">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781" w:type="dxa"/>
            <w:vMerge w:val="continue"/>
            <w:tcBorders>
              <w:tl2br w:val="nil"/>
              <w:tr2bl w:val="nil"/>
            </w:tcBorders>
            <w:vAlign w:val="center"/>
          </w:tcPr>
          <w:p w14:paraId="72A75D4A">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1162" w:type="dxa"/>
            <w:tcBorders>
              <w:tl2br w:val="nil"/>
              <w:tr2bl w:val="nil"/>
            </w:tcBorders>
            <w:vAlign w:val="center"/>
          </w:tcPr>
          <w:p w14:paraId="08425F4E">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80mg/L</w:t>
            </w:r>
          </w:p>
        </w:tc>
        <w:tc>
          <w:tcPr>
            <w:tcW w:w="2637" w:type="dxa"/>
            <w:vMerge w:val="continue"/>
            <w:tcBorders>
              <w:tl2br w:val="nil"/>
              <w:tr2bl w:val="nil"/>
            </w:tcBorders>
            <w:vAlign w:val="center"/>
          </w:tcPr>
          <w:p w14:paraId="1023CBD2">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p>
        </w:tc>
      </w:tr>
      <w:tr w14:paraId="3F7408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721" w:type="dxa"/>
            <w:vMerge w:val="continue"/>
            <w:tcBorders>
              <w:tl2br w:val="nil"/>
              <w:tr2bl w:val="nil"/>
            </w:tcBorders>
            <w:vAlign w:val="center"/>
          </w:tcPr>
          <w:p w14:paraId="43A68792">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vMerge w:val="continue"/>
            <w:tcBorders>
              <w:tl2br w:val="nil"/>
              <w:tr2bl w:val="nil"/>
            </w:tcBorders>
            <w:vAlign w:val="center"/>
          </w:tcPr>
          <w:p w14:paraId="3657ACCF">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957" w:type="dxa"/>
            <w:vMerge w:val="continue"/>
            <w:tcBorders>
              <w:tl2br w:val="nil"/>
              <w:tr2bl w:val="nil"/>
            </w:tcBorders>
            <w:vAlign w:val="center"/>
          </w:tcPr>
          <w:p w14:paraId="24BBF5C5">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829" w:type="dxa"/>
            <w:tcBorders>
              <w:tl2br w:val="nil"/>
              <w:tr2bl w:val="nil"/>
            </w:tcBorders>
            <w:vAlign w:val="center"/>
          </w:tcPr>
          <w:p w14:paraId="4176F9DA">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c>
          <w:tcPr>
            <w:tcW w:w="4133" w:type="dxa"/>
            <w:vMerge w:val="continue"/>
            <w:tcBorders>
              <w:tl2br w:val="nil"/>
              <w:tr2bl w:val="nil"/>
            </w:tcBorders>
            <w:vAlign w:val="center"/>
          </w:tcPr>
          <w:p w14:paraId="0916E2B9">
            <w:pPr>
              <w:pStyle w:val="56"/>
              <w:autoSpaceDE w:val="0"/>
              <w:autoSpaceDN w:val="0"/>
              <w:rPr>
                <w:rFonts w:hint="eastAsia" w:ascii="Times New Roman" w:hAnsi="Times New Roman"/>
                <w:color w:val="000000" w:themeColor="text1"/>
                <w:lang w:val="en-US" w:eastAsia="zh-CN"/>
                <w14:textFill>
                  <w14:solidFill>
                    <w14:schemeClr w14:val="tx1"/>
                  </w14:solidFill>
                </w14:textFill>
              </w:rPr>
            </w:pPr>
          </w:p>
        </w:tc>
        <w:tc>
          <w:tcPr>
            <w:tcW w:w="839" w:type="dxa"/>
            <w:vMerge w:val="continue"/>
            <w:tcBorders>
              <w:tl2br w:val="nil"/>
              <w:tr2bl w:val="nil"/>
            </w:tcBorders>
            <w:vAlign w:val="center"/>
          </w:tcPr>
          <w:p w14:paraId="49F2B538">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781" w:type="dxa"/>
            <w:vMerge w:val="continue"/>
            <w:tcBorders>
              <w:tl2br w:val="nil"/>
              <w:tr2bl w:val="nil"/>
            </w:tcBorders>
            <w:vAlign w:val="center"/>
          </w:tcPr>
          <w:p w14:paraId="23616C78">
            <w:pPr>
              <w:pStyle w:val="56"/>
              <w:autoSpaceDE w:val="0"/>
              <w:autoSpaceDN w:val="0"/>
              <w:ind w:firstLine="0" w:firstLineChars="0"/>
              <w:rPr>
                <w:rFonts w:hint="default" w:ascii="Times New Roman" w:hAnsi="Times New Roman"/>
                <w:color w:val="000000" w:themeColor="text1"/>
                <w:lang w:val="en-US" w:eastAsia="zh-CN"/>
                <w14:textFill>
                  <w14:solidFill>
                    <w14:schemeClr w14:val="tx1"/>
                  </w14:solidFill>
                </w14:textFill>
              </w:rPr>
            </w:pPr>
          </w:p>
        </w:tc>
        <w:tc>
          <w:tcPr>
            <w:tcW w:w="1162" w:type="dxa"/>
            <w:tcBorders>
              <w:tl2br w:val="nil"/>
              <w:tr2bl w:val="nil"/>
            </w:tcBorders>
            <w:vAlign w:val="center"/>
          </w:tcPr>
          <w:p w14:paraId="125184FD">
            <w:pPr>
              <w:pStyle w:val="56"/>
              <w:autoSpaceDE w:val="0"/>
              <w:autoSpaceDN w:val="0"/>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8.0mg/L</w:t>
            </w:r>
          </w:p>
        </w:tc>
        <w:tc>
          <w:tcPr>
            <w:tcW w:w="2637" w:type="dxa"/>
            <w:vMerge w:val="continue"/>
            <w:tcBorders>
              <w:tl2br w:val="nil"/>
              <w:tr2bl w:val="nil"/>
            </w:tcBorders>
            <w:vAlign w:val="center"/>
          </w:tcPr>
          <w:p w14:paraId="64B6E588">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p>
        </w:tc>
      </w:tr>
      <w:tr w14:paraId="02D4E7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2" w:hRule="atLeast"/>
          <w:jc w:val="center"/>
        </w:trPr>
        <w:tc>
          <w:tcPr>
            <w:tcW w:w="721" w:type="dxa"/>
            <w:tcBorders>
              <w:tl2br w:val="nil"/>
              <w:tr2bl w:val="nil"/>
            </w:tcBorders>
            <w:vAlign w:val="center"/>
          </w:tcPr>
          <w:p w14:paraId="648EA2EB">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噪声</w:t>
            </w:r>
          </w:p>
        </w:tc>
        <w:tc>
          <w:tcPr>
            <w:tcW w:w="1179" w:type="dxa"/>
            <w:tcBorders>
              <w:tl2br w:val="nil"/>
              <w:tr2bl w:val="nil"/>
            </w:tcBorders>
            <w:vAlign w:val="center"/>
          </w:tcPr>
          <w:p w14:paraId="2E27ECD1">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设备噪声</w:t>
            </w:r>
          </w:p>
        </w:tc>
        <w:tc>
          <w:tcPr>
            <w:tcW w:w="957" w:type="dxa"/>
            <w:tcBorders>
              <w:tl2br w:val="nil"/>
              <w:tr2bl w:val="nil"/>
            </w:tcBorders>
            <w:vAlign w:val="center"/>
          </w:tcPr>
          <w:p w14:paraId="0FA2B38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间断排放</w:t>
            </w:r>
          </w:p>
        </w:tc>
        <w:tc>
          <w:tcPr>
            <w:tcW w:w="829" w:type="dxa"/>
            <w:tcBorders>
              <w:tl2br w:val="nil"/>
              <w:tr2bl w:val="nil"/>
            </w:tcBorders>
            <w:vAlign w:val="center"/>
          </w:tcPr>
          <w:p w14:paraId="7352C04C">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噪声</w:t>
            </w:r>
          </w:p>
        </w:tc>
        <w:tc>
          <w:tcPr>
            <w:tcW w:w="4133" w:type="dxa"/>
            <w:tcBorders>
              <w:tl2br w:val="nil"/>
              <w:tr2bl w:val="nil"/>
            </w:tcBorders>
            <w:vAlign w:val="center"/>
          </w:tcPr>
          <w:p w14:paraId="21139C1E">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选择低噪产品，合理布局等</w:t>
            </w:r>
          </w:p>
        </w:tc>
        <w:tc>
          <w:tcPr>
            <w:tcW w:w="839" w:type="dxa"/>
            <w:tcBorders>
              <w:tl2br w:val="nil"/>
              <w:tr2bl w:val="nil"/>
            </w:tcBorders>
            <w:vAlign w:val="center"/>
          </w:tcPr>
          <w:p w14:paraId="68A8A95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w:t>
            </w:r>
          </w:p>
        </w:tc>
        <w:tc>
          <w:tcPr>
            <w:tcW w:w="781" w:type="dxa"/>
            <w:tcBorders>
              <w:tl2br w:val="nil"/>
              <w:tr2bl w:val="nil"/>
            </w:tcBorders>
            <w:vAlign w:val="center"/>
          </w:tcPr>
          <w:p w14:paraId="5F17BDB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w:t>
            </w:r>
          </w:p>
        </w:tc>
        <w:tc>
          <w:tcPr>
            <w:tcW w:w="1162" w:type="dxa"/>
            <w:tcBorders>
              <w:tl2br w:val="nil"/>
              <w:tr2bl w:val="nil"/>
            </w:tcBorders>
            <w:vAlign w:val="center"/>
          </w:tcPr>
          <w:p w14:paraId="06ADDDE8">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昼间</w:t>
            </w:r>
            <w:r>
              <w:rPr>
                <w:rFonts w:hint="eastAsia" w:ascii="Times New Roman" w:hAnsi="Times New Roman"/>
                <w:color w:val="000000" w:themeColor="text1"/>
                <w:szCs w:val="21"/>
                <w:lang w:val="en-US" w:eastAsia="zh-CN"/>
                <w14:textFill>
                  <w14:solidFill>
                    <w14:schemeClr w14:val="tx1"/>
                  </w14:solidFill>
                </w14:textFill>
              </w:rPr>
              <w:t>65</w:t>
            </w:r>
            <w:r>
              <w:rPr>
                <w:rFonts w:ascii="Times New Roman" w:hAnsi="Times New Roman"/>
                <w:color w:val="000000" w:themeColor="text1"/>
                <w:szCs w:val="21"/>
                <w:lang w:eastAsia="zh-CN"/>
                <w14:textFill>
                  <w14:solidFill>
                    <w14:schemeClr w14:val="tx1"/>
                  </w14:solidFill>
                </w14:textFill>
              </w:rPr>
              <w:t>dB（A）；夜间5</w:t>
            </w:r>
            <w:r>
              <w:rPr>
                <w:rFonts w:hint="eastAsia" w:ascii="Times New Roman" w:hAnsi="Times New Roman"/>
                <w:color w:val="000000" w:themeColor="text1"/>
                <w:szCs w:val="21"/>
                <w:lang w:val="en-US" w:eastAsia="zh-CN"/>
                <w14:textFill>
                  <w14:solidFill>
                    <w14:schemeClr w14:val="tx1"/>
                  </w14:solidFill>
                </w14:textFill>
              </w:rPr>
              <w:t>5</w:t>
            </w:r>
            <w:r>
              <w:rPr>
                <w:rFonts w:ascii="Times New Roman" w:hAnsi="Times New Roman"/>
                <w:color w:val="000000" w:themeColor="text1"/>
                <w:szCs w:val="21"/>
                <w:lang w:eastAsia="zh-CN"/>
                <w14:textFill>
                  <w14:solidFill>
                    <w14:schemeClr w14:val="tx1"/>
                  </w14:solidFill>
                </w14:textFill>
              </w:rPr>
              <w:t>dB（A）</w:t>
            </w:r>
          </w:p>
        </w:tc>
        <w:tc>
          <w:tcPr>
            <w:tcW w:w="2637" w:type="dxa"/>
            <w:tcBorders>
              <w:tl2br w:val="nil"/>
              <w:tr2bl w:val="nil"/>
            </w:tcBorders>
            <w:vAlign w:val="center"/>
          </w:tcPr>
          <w:p w14:paraId="4C8C303D">
            <w:pPr>
              <w:pStyle w:val="56"/>
              <w:autoSpaceDE w:val="0"/>
              <w:autoSpaceDN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《工业企业厂界噪声排放标准》（GB12348-2008）中的3类标准</w:t>
            </w:r>
          </w:p>
        </w:tc>
      </w:tr>
      <w:tr w14:paraId="63E193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721" w:type="dxa"/>
            <w:vMerge w:val="restart"/>
            <w:tcBorders>
              <w:tl2br w:val="nil"/>
              <w:tr2bl w:val="nil"/>
            </w:tcBorders>
            <w:vAlign w:val="center"/>
          </w:tcPr>
          <w:p w14:paraId="479B9A65">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固体废物</w:t>
            </w:r>
          </w:p>
        </w:tc>
        <w:tc>
          <w:tcPr>
            <w:tcW w:w="1179" w:type="dxa"/>
            <w:vMerge w:val="restart"/>
            <w:tcBorders>
              <w:tl2br w:val="nil"/>
              <w:tr2bl w:val="nil"/>
            </w:tcBorders>
            <w:vAlign w:val="center"/>
          </w:tcPr>
          <w:p w14:paraId="1EE8149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一般固废</w:t>
            </w:r>
          </w:p>
        </w:tc>
        <w:tc>
          <w:tcPr>
            <w:tcW w:w="957" w:type="dxa"/>
            <w:vMerge w:val="restart"/>
            <w:tcBorders>
              <w:tl2br w:val="nil"/>
              <w:tr2bl w:val="nil"/>
            </w:tcBorders>
            <w:vAlign w:val="center"/>
          </w:tcPr>
          <w:p w14:paraId="2454AC3C">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间断排放</w:t>
            </w:r>
          </w:p>
        </w:tc>
        <w:tc>
          <w:tcPr>
            <w:tcW w:w="829" w:type="dxa"/>
            <w:tcBorders>
              <w:tl2br w:val="nil"/>
              <w:tr2bl w:val="nil"/>
            </w:tcBorders>
            <w:vAlign w:val="center"/>
          </w:tcPr>
          <w:p w14:paraId="6F3C2CD1">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鸭粪</w:t>
            </w:r>
            <w:r>
              <w:rPr>
                <w:rFonts w:ascii="Times New Roman" w:hAnsi="Times New Roman"/>
                <w:color w:val="000000" w:themeColor="text1"/>
                <w:szCs w:val="21"/>
                <w:lang w:eastAsia="en-US"/>
                <w14:textFill>
                  <w14:solidFill>
                    <w14:schemeClr w14:val="tx1"/>
                  </w14:solidFill>
                </w14:textFill>
              </w:rPr>
              <w:t>及垫料</w:t>
            </w:r>
          </w:p>
        </w:tc>
        <w:tc>
          <w:tcPr>
            <w:tcW w:w="4133" w:type="dxa"/>
            <w:tcBorders>
              <w:tl2br w:val="nil"/>
              <w:tr2bl w:val="nil"/>
            </w:tcBorders>
            <w:vAlign w:val="center"/>
          </w:tcPr>
          <w:p w14:paraId="388B5DCF">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项目采用干清</w:t>
            </w:r>
            <w:r>
              <w:rPr>
                <w:rFonts w:ascii="Times New Roman" w:hAnsi="Times New Roman"/>
                <w:color w:val="000000" w:themeColor="text1"/>
                <w:szCs w:val="21"/>
                <w:lang w:val="en-US" w:eastAsia="zh-CN"/>
                <w14:textFill>
                  <w14:solidFill>
                    <w14:schemeClr w14:val="tx1"/>
                  </w14:solidFill>
                </w14:textFill>
              </w:rPr>
              <w:t>粪</w:t>
            </w:r>
            <w:r>
              <w:rPr>
                <w:rFonts w:ascii="Times New Roman" w:hAnsi="Times New Roman"/>
                <w:color w:val="000000" w:themeColor="text1"/>
                <w:szCs w:val="21"/>
                <w:lang w:eastAsia="zh-CN"/>
                <w14:textFill>
                  <w14:solidFill>
                    <w14:schemeClr w14:val="tx1"/>
                  </w14:solidFill>
                </w14:textFill>
              </w:rPr>
              <w:t>工艺，</w:t>
            </w:r>
            <w:r>
              <w:rPr>
                <w:rFonts w:hint="eastAsia" w:ascii="Times New Roman" w:hAnsi="Times New Roman"/>
                <w:color w:val="000000" w:themeColor="text1"/>
                <w:szCs w:val="21"/>
                <w:lang w:eastAsia="zh-CN"/>
                <w14:textFill>
                  <w14:solidFill>
                    <w14:schemeClr w14:val="tx1"/>
                  </w14:solidFill>
                </w14:textFill>
              </w:rPr>
              <w:t>鸭粪</w:t>
            </w:r>
            <w:r>
              <w:rPr>
                <w:rFonts w:ascii="Times New Roman" w:hAnsi="Times New Roman"/>
                <w:color w:val="000000" w:themeColor="text1"/>
                <w:szCs w:val="21"/>
                <w:lang w:eastAsia="zh-CN"/>
                <w14:textFill>
                  <w14:solidFill>
                    <w14:schemeClr w14:val="tx1"/>
                  </w14:solidFill>
                </w14:textFill>
              </w:rPr>
              <w:t>及垫草料不在项目区贮存，直接拉运至</w:t>
            </w:r>
            <w:r>
              <w:rPr>
                <w:rFonts w:hint="eastAsia" w:ascii="Times New Roman" w:hAnsi="Times New Roman"/>
                <w:color w:val="000000" w:themeColor="text1"/>
                <w:szCs w:val="21"/>
                <w:lang w:val="en-US" w:eastAsia="zh-CN"/>
                <w14:textFill>
                  <w14:solidFill>
                    <w14:schemeClr w14:val="tx1"/>
                  </w14:solidFill>
                </w14:textFill>
              </w:rPr>
              <w:t>63团3连粪污处理场</w:t>
            </w:r>
            <w:r>
              <w:rPr>
                <w:rFonts w:ascii="Times New Roman" w:hAnsi="Times New Roman"/>
                <w:color w:val="000000" w:themeColor="text1"/>
                <w:szCs w:val="21"/>
                <w:lang w:eastAsia="zh-CN"/>
                <w14:textFill>
                  <w14:solidFill>
                    <w14:schemeClr w14:val="tx1"/>
                  </w14:solidFill>
                </w14:textFill>
              </w:rPr>
              <w:t>外售</w:t>
            </w:r>
          </w:p>
        </w:tc>
        <w:tc>
          <w:tcPr>
            <w:tcW w:w="839" w:type="dxa"/>
            <w:tcBorders>
              <w:tl2br w:val="nil"/>
              <w:tr2bl w:val="nil"/>
            </w:tcBorders>
            <w:vAlign w:val="center"/>
          </w:tcPr>
          <w:p w14:paraId="64C5FE30">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hint="eastAsia"/>
                <w:color w:val="000000" w:themeColor="text1"/>
                <w:lang w:val="en-US" w:eastAsia="zh-CN"/>
                <w14:textFill>
                  <w14:solidFill>
                    <w14:schemeClr w14:val="tx1"/>
                  </w14:solidFill>
                </w14:textFill>
              </w:rPr>
              <w:t>4360.5</w:t>
            </w:r>
          </w:p>
        </w:tc>
        <w:tc>
          <w:tcPr>
            <w:tcW w:w="781" w:type="dxa"/>
            <w:tcBorders>
              <w:tl2br w:val="nil"/>
              <w:tr2bl w:val="nil"/>
            </w:tcBorders>
            <w:vAlign w:val="center"/>
          </w:tcPr>
          <w:p w14:paraId="3178C0C2">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0</w:t>
            </w:r>
          </w:p>
        </w:tc>
        <w:tc>
          <w:tcPr>
            <w:tcW w:w="1162" w:type="dxa"/>
            <w:vMerge w:val="restart"/>
            <w:tcBorders>
              <w:tl2br w:val="nil"/>
              <w:tr2bl w:val="nil"/>
            </w:tcBorders>
            <w:vAlign w:val="center"/>
          </w:tcPr>
          <w:p w14:paraId="6311A0A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合理处置</w:t>
            </w:r>
          </w:p>
        </w:tc>
        <w:tc>
          <w:tcPr>
            <w:tcW w:w="2637" w:type="dxa"/>
            <w:vMerge w:val="restart"/>
            <w:tcBorders>
              <w:tl2br w:val="nil"/>
              <w:tr2bl w:val="nil"/>
            </w:tcBorders>
            <w:vAlign w:val="center"/>
          </w:tcPr>
          <w:p w14:paraId="37DD0C7F">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《一般工业固体废物贮存和填埋污染控制标准GB18599-2020》</w:t>
            </w:r>
          </w:p>
        </w:tc>
      </w:tr>
      <w:tr w14:paraId="2F1C3B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8" w:hRule="atLeast"/>
          <w:jc w:val="center"/>
        </w:trPr>
        <w:tc>
          <w:tcPr>
            <w:tcW w:w="721" w:type="dxa"/>
            <w:vMerge w:val="continue"/>
            <w:tcBorders>
              <w:tl2br w:val="nil"/>
              <w:tr2bl w:val="nil"/>
            </w:tcBorders>
            <w:vAlign w:val="center"/>
          </w:tcPr>
          <w:p w14:paraId="7F1D39FB">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179" w:type="dxa"/>
            <w:vMerge w:val="continue"/>
            <w:tcBorders>
              <w:tl2br w:val="nil"/>
              <w:tr2bl w:val="nil"/>
            </w:tcBorders>
            <w:vAlign w:val="center"/>
          </w:tcPr>
          <w:p w14:paraId="3A03437F">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957" w:type="dxa"/>
            <w:vMerge w:val="continue"/>
            <w:tcBorders>
              <w:tl2br w:val="nil"/>
              <w:tr2bl w:val="nil"/>
            </w:tcBorders>
            <w:vAlign w:val="center"/>
          </w:tcPr>
          <w:p w14:paraId="4E358D44">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829" w:type="dxa"/>
            <w:tcBorders>
              <w:tl2br w:val="nil"/>
              <w:tr2bl w:val="nil"/>
            </w:tcBorders>
            <w:vAlign w:val="center"/>
          </w:tcPr>
          <w:p w14:paraId="576D805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病死</w:t>
            </w:r>
            <w:r>
              <w:rPr>
                <w:rFonts w:hint="eastAsia" w:ascii="Times New Roman" w:hAnsi="Times New Roman"/>
                <w:color w:val="000000" w:themeColor="text1"/>
                <w:szCs w:val="21"/>
                <w:lang w:eastAsia="zh-CN"/>
                <w14:textFill>
                  <w14:solidFill>
                    <w14:schemeClr w14:val="tx1"/>
                  </w14:solidFill>
                </w14:textFill>
              </w:rPr>
              <w:t>鸭</w:t>
            </w:r>
            <w:r>
              <w:rPr>
                <w:rFonts w:ascii="Times New Roman" w:hAnsi="Times New Roman"/>
                <w:color w:val="000000" w:themeColor="text1"/>
                <w:szCs w:val="21"/>
                <w:lang w:eastAsia="en-US"/>
                <w14:textFill>
                  <w14:solidFill>
                    <w14:schemeClr w14:val="tx1"/>
                  </w14:solidFill>
                </w14:textFill>
              </w:rPr>
              <w:t>尸体</w:t>
            </w:r>
          </w:p>
        </w:tc>
        <w:tc>
          <w:tcPr>
            <w:tcW w:w="4133" w:type="dxa"/>
            <w:tcBorders>
              <w:tl2br w:val="nil"/>
              <w:tr2bl w:val="nil"/>
            </w:tcBorders>
            <w:vAlign w:val="center"/>
          </w:tcPr>
          <w:p w14:paraId="70431503">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委托伊宁市病死畜禽无害化处理中心处理</w:t>
            </w:r>
          </w:p>
        </w:tc>
        <w:tc>
          <w:tcPr>
            <w:tcW w:w="839" w:type="dxa"/>
            <w:tcBorders>
              <w:tl2br w:val="nil"/>
              <w:tr2bl w:val="nil"/>
            </w:tcBorders>
            <w:vAlign w:val="center"/>
          </w:tcPr>
          <w:p w14:paraId="61326846">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w:t>
            </w:r>
            <w:r>
              <w:rPr>
                <w:rFonts w:hint="eastAsia"/>
                <w:color w:val="000000" w:themeColor="text1"/>
                <w:szCs w:val="21"/>
                <w:lang w:val="en-US" w:eastAsia="zh-CN"/>
                <w14:textFill>
                  <w14:solidFill>
                    <w14:schemeClr w14:val="tx1"/>
                  </w14:solidFill>
                </w14:textFill>
              </w:rPr>
              <w:t>4</w:t>
            </w:r>
          </w:p>
        </w:tc>
        <w:tc>
          <w:tcPr>
            <w:tcW w:w="781" w:type="dxa"/>
            <w:tcBorders>
              <w:tl2br w:val="nil"/>
              <w:tr2bl w:val="nil"/>
            </w:tcBorders>
            <w:vAlign w:val="center"/>
          </w:tcPr>
          <w:p w14:paraId="4C37172D">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0</w:t>
            </w:r>
          </w:p>
        </w:tc>
        <w:tc>
          <w:tcPr>
            <w:tcW w:w="1162" w:type="dxa"/>
            <w:vMerge w:val="continue"/>
            <w:tcBorders>
              <w:tl2br w:val="nil"/>
              <w:tr2bl w:val="nil"/>
            </w:tcBorders>
            <w:vAlign w:val="center"/>
          </w:tcPr>
          <w:p w14:paraId="548729BD">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2637" w:type="dxa"/>
            <w:vMerge w:val="continue"/>
            <w:tcBorders>
              <w:tl2br w:val="nil"/>
              <w:tr2bl w:val="nil"/>
            </w:tcBorders>
            <w:vAlign w:val="center"/>
          </w:tcPr>
          <w:p w14:paraId="04420B9D">
            <w:pPr>
              <w:pStyle w:val="56"/>
              <w:autoSpaceDE w:val="0"/>
              <w:autoSpaceDN w:val="0"/>
              <w:rPr>
                <w:rFonts w:ascii="Times New Roman" w:hAnsi="Times New Roman"/>
                <w:color w:val="000000" w:themeColor="text1"/>
                <w:szCs w:val="21"/>
                <w:lang w:eastAsia="en-US"/>
                <w14:textFill>
                  <w14:solidFill>
                    <w14:schemeClr w14:val="tx1"/>
                  </w14:solidFill>
                </w14:textFill>
              </w:rPr>
            </w:pPr>
          </w:p>
        </w:tc>
      </w:tr>
      <w:tr w14:paraId="140B70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8" w:hRule="atLeast"/>
          <w:jc w:val="center"/>
        </w:trPr>
        <w:tc>
          <w:tcPr>
            <w:tcW w:w="721" w:type="dxa"/>
            <w:vMerge w:val="continue"/>
            <w:tcBorders>
              <w:tl2br w:val="nil"/>
              <w:tr2bl w:val="nil"/>
            </w:tcBorders>
            <w:vAlign w:val="center"/>
          </w:tcPr>
          <w:p w14:paraId="543EE3DA">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179" w:type="dxa"/>
            <w:vMerge w:val="continue"/>
            <w:tcBorders>
              <w:tl2br w:val="nil"/>
              <w:tr2bl w:val="nil"/>
            </w:tcBorders>
            <w:vAlign w:val="center"/>
          </w:tcPr>
          <w:p w14:paraId="733EA839">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957" w:type="dxa"/>
            <w:vMerge w:val="continue"/>
            <w:tcBorders>
              <w:tl2br w:val="nil"/>
              <w:tr2bl w:val="nil"/>
            </w:tcBorders>
            <w:vAlign w:val="center"/>
          </w:tcPr>
          <w:p w14:paraId="228C41B9">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829" w:type="dxa"/>
            <w:tcBorders>
              <w:tl2br w:val="nil"/>
              <w:tr2bl w:val="nil"/>
            </w:tcBorders>
            <w:vAlign w:val="center"/>
          </w:tcPr>
          <w:p w14:paraId="418E056C">
            <w:pPr>
              <w:pStyle w:val="56"/>
              <w:autoSpaceDE w:val="0"/>
              <w:autoSpaceDN w:val="0"/>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供热锅炉灰渣及烟气治理污泥</w:t>
            </w:r>
          </w:p>
        </w:tc>
        <w:tc>
          <w:tcPr>
            <w:tcW w:w="4133" w:type="dxa"/>
            <w:tcBorders>
              <w:tl2br w:val="nil"/>
              <w:tr2bl w:val="nil"/>
            </w:tcBorders>
            <w:vAlign w:val="center"/>
          </w:tcPr>
          <w:p w14:paraId="06D26191">
            <w:pPr>
              <w:pStyle w:val="56"/>
              <w:autoSpaceDE w:val="0"/>
              <w:autoSpaceDN w:val="0"/>
              <w:rPr>
                <w:rFonts w:hint="default"/>
                <w:color w:val="000000" w:themeColor="text1"/>
                <w:szCs w:val="21"/>
                <w:lang w:val="en-US"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拉运至</w:t>
            </w:r>
            <w:r>
              <w:rPr>
                <w:rFonts w:hint="eastAsia" w:ascii="Times New Roman" w:hAnsi="Times New Roman"/>
                <w:color w:val="000000" w:themeColor="text1"/>
                <w:szCs w:val="21"/>
                <w:lang w:val="en-US" w:eastAsia="zh-CN"/>
                <w14:textFill>
                  <w14:solidFill>
                    <w14:schemeClr w14:val="tx1"/>
                  </w14:solidFill>
                </w14:textFill>
              </w:rPr>
              <w:t>63团3连粪污处理场</w:t>
            </w:r>
            <w:r>
              <w:rPr>
                <w:rFonts w:hint="eastAsia"/>
                <w:color w:val="000000" w:themeColor="text1"/>
                <w:szCs w:val="21"/>
                <w:lang w:val="en-US" w:eastAsia="zh-CN"/>
                <w14:textFill>
                  <w14:solidFill>
                    <w14:schemeClr w14:val="tx1"/>
                  </w14:solidFill>
                </w14:textFill>
              </w:rPr>
              <w:t>生产废料</w:t>
            </w:r>
          </w:p>
        </w:tc>
        <w:tc>
          <w:tcPr>
            <w:tcW w:w="839" w:type="dxa"/>
            <w:tcBorders>
              <w:tl2br w:val="nil"/>
              <w:tr2bl w:val="nil"/>
            </w:tcBorders>
            <w:vAlign w:val="center"/>
          </w:tcPr>
          <w:p w14:paraId="068190F6">
            <w:pPr>
              <w:pStyle w:val="56"/>
              <w:autoSpaceDE w:val="0"/>
              <w:autoSpaceDN w:val="0"/>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w:t>
            </w:r>
          </w:p>
        </w:tc>
        <w:tc>
          <w:tcPr>
            <w:tcW w:w="781" w:type="dxa"/>
            <w:tcBorders>
              <w:tl2br w:val="nil"/>
              <w:tr2bl w:val="nil"/>
            </w:tcBorders>
            <w:vAlign w:val="center"/>
          </w:tcPr>
          <w:p w14:paraId="4E2CFDF8">
            <w:pPr>
              <w:pStyle w:val="56"/>
              <w:autoSpaceDE w:val="0"/>
              <w:autoSpaceDN w:val="0"/>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1162" w:type="dxa"/>
            <w:vMerge w:val="continue"/>
            <w:tcBorders>
              <w:tl2br w:val="nil"/>
              <w:tr2bl w:val="nil"/>
            </w:tcBorders>
            <w:vAlign w:val="center"/>
          </w:tcPr>
          <w:p w14:paraId="1B5160BF">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2637" w:type="dxa"/>
            <w:tcBorders>
              <w:tl2br w:val="nil"/>
              <w:tr2bl w:val="nil"/>
            </w:tcBorders>
            <w:vAlign w:val="center"/>
          </w:tcPr>
          <w:p w14:paraId="76AC1EB5">
            <w:pPr>
              <w:pStyle w:val="56"/>
              <w:autoSpaceDE w:val="0"/>
              <w:autoSpaceDN w:val="0"/>
              <w:rPr>
                <w:rFonts w:hint="eastAsia"/>
                <w:color w:val="000000" w:themeColor="text1"/>
                <w:szCs w:val="21"/>
                <w:lang w:val="en-US" w:eastAsia="zh-CN"/>
                <w14:textFill>
                  <w14:solidFill>
                    <w14:schemeClr w14:val="tx1"/>
                  </w14:solidFill>
                </w14:textFill>
              </w:rPr>
            </w:pPr>
          </w:p>
        </w:tc>
      </w:tr>
      <w:tr w14:paraId="252600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8" w:hRule="atLeast"/>
          <w:jc w:val="center"/>
        </w:trPr>
        <w:tc>
          <w:tcPr>
            <w:tcW w:w="721" w:type="dxa"/>
            <w:vMerge w:val="continue"/>
            <w:tcBorders>
              <w:tl2br w:val="nil"/>
              <w:tr2bl w:val="nil"/>
            </w:tcBorders>
            <w:vAlign w:val="center"/>
          </w:tcPr>
          <w:p w14:paraId="36C7EFA6">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179" w:type="dxa"/>
            <w:vMerge w:val="continue"/>
            <w:tcBorders>
              <w:tl2br w:val="nil"/>
              <w:tr2bl w:val="nil"/>
            </w:tcBorders>
            <w:vAlign w:val="center"/>
          </w:tcPr>
          <w:p w14:paraId="556DD691">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957" w:type="dxa"/>
            <w:vMerge w:val="continue"/>
            <w:tcBorders>
              <w:tl2br w:val="nil"/>
              <w:tr2bl w:val="nil"/>
            </w:tcBorders>
            <w:vAlign w:val="center"/>
          </w:tcPr>
          <w:p w14:paraId="526E00EB">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829" w:type="dxa"/>
            <w:tcBorders>
              <w:tl2br w:val="nil"/>
              <w:tr2bl w:val="nil"/>
            </w:tcBorders>
            <w:vAlign w:val="center"/>
          </w:tcPr>
          <w:p w14:paraId="61CF6DCD">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生活垃圾</w:t>
            </w:r>
          </w:p>
        </w:tc>
        <w:tc>
          <w:tcPr>
            <w:tcW w:w="4133" w:type="dxa"/>
            <w:tcBorders>
              <w:tl2br w:val="nil"/>
              <w:tr2bl w:val="nil"/>
            </w:tcBorders>
            <w:vAlign w:val="center"/>
          </w:tcPr>
          <w:p w14:paraId="22494BB9">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收集后交环卫部门送垃圾填埋场处置</w:t>
            </w:r>
          </w:p>
        </w:tc>
        <w:tc>
          <w:tcPr>
            <w:tcW w:w="839" w:type="dxa"/>
            <w:tcBorders>
              <w:tl2br w:val="nil"/>
              <w:tr2bl w:val="nil"/>
            </w:tcBorders>
            <w:vAlign w:val="center"/>
          </w:tcPr>
          <w:p w14:paraId="5923FC09">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4.56</w:t>
            </w:r>
          </w:p>
        </w:tc>
        <w:tc>
          <w:tcPr>
            <w:tcW w:w="781" w:type="dxa"/>
            <w:tcBorders>
              <w:tl2br w:val="nil"/>
              <w:tr2bl w:val="nil"/>
            </w:tcBorders>
            <w:vAlign w:val="center"/>
          </w:tcPr>
          <w:p w14:paraId="3E9C497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color w:val="000000" w:themeColor="text1"/>
                <w:szCs w:val="21"/>
                <w:lang w:val="en-US" w:eastAsia="zh-CN"/>
                <w14:textFill>
                  <w14:solidFill>
                    <w14:schemeClr w14:val="tx1"/>
                  </w14:solidFill>
                </w14:textFill>
              </w:rPr>
              <w:t>4.56</w:t>
            </w:r>
          </w:p>
        </w:tc>
        <w:tc>
          <w:tcPr>
            <w:tcW w:w="1162" w:type="dxa"/>
            <w:vMerge w:val="continue"/>
            <w:tcBorders>
              <w:tl2br w:val="nil"/>
              <w:tr2bl w:val="nil"/>
            </w:tcBorders>
            <w:vAlign w:val="center"/>
          </w:tcPr>
          <w:p w14:paraId="45A8322A">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2637" w:type="dxa"/>
            <w:tcBorders>
              <w:tl2br w:val="nil"/>
              <w:tr2bl w:val="nil"/>
            </w:tcBorders>
            <w:vAlign w:val="center"/>
          </w:tcPr>
          <w:p w14:paraId="45F82C7C">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C3592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21" w:type="dxa"/>
            <w:vMerge w:val="continue"/>
            <w:tcBorders>
              <w:tl2br w:val="nil"/>
              <w:tr2bl w:val="nil"/>
            </w:tcBorders>
            <w:vAlign w:val="center"/>
          </w:tcPr>
          <w:p w14:paraId="6F4D0358">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179" w:type="dxa"/>
            <w:tcBorders>
              <w:tl2br w:val="nil"/>
              <w:tr2bl w:val="nil"/>
            </w:tcBorders>
            <w:vAlign w:val="center"/>
          </w:tcPr>
          <w:p w14:paraId="72049A98">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危险废物</w:t>
            </w:r>
          </w:p>
        </w:tc>
        <w:tc>
          <w:tcPr>
            <w:tcW w:w="957" w:type="dxa"/>
            <w:tcBorders>
              <w:tl2br w:val="nil"/>
              <w:tr2bl w:val="nil"/>
            </w:tcBorders>
            <w:vAlign w:val="center"/>
          </w:tcPr>
          <w:p w14:paraId="52951A3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间断排放</w:t>
            </w:r>
          </w:p>
        </w:tc>
        <w:tc>
          <w:tcPr>
            <w:tcW w:w="829" w:type="dxa"/>
            <w:tcBorders>
              <w:tl2br w:val="nil"/>
              <w:tr2bl w:val="nil"/>
            </w:tcBorders>
            <w:vAlign w:val="center"/>
          </w:tcPr>
          <w:p w14:paraId="7B2E1B58">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兽用医疗废物</w:t>
            </w:r>
          </w:p>
        </w:tc>
        <w:tc>
          <w:tcPr>
            <w:tcW w:w="4133" w:type="dxa"/>
            <w:tcBorders>
              <w:tl2br w:val="nil"/>
              <w:tr2bl w:val="nil"/>
            </w:tcBorders>
            <w:vAlign w:val="center"/>
          </w:tcPr>
          <w:p w14:paraId="2E5E872A">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本项目</w:t>
            </w:r>
            <w:r>
              <w:rPr>
                <w:rFonts w:ascii="Times New Roman" w:hAnsi="Times New Roman"/>
                <w:color w:val="000000" w:themeColor="text1"/>
                <w:lang w:val="en-US" w:eastAsia="zh-CN"/>
                <w14:textFill>
                  <w14:solidFill>
                    <w14:schemeClr w14:val="tx1"/>
                  </w14:solidFill>
                </w14:textFill>
              </w:rPr>
              <w:t>兽用医疗废物暂存于危险废物暂存间，由有危险废物处理资质单位处理</w:t>
            </w:r>
          </w:p>
        </w:tc>
        <w:tc>
          <w:tcPr>
            <w:tcW w:w="839" w:type="dxa"/>
            <w:tcBorders>
              <w:tl2br w:val="nil"/>
              <w:tr2bl w:val="nil"/>
            </w:tcBorders>
            <w:vAlign w:val="center"/>
          </w:tcPr>
          <w:p w14:paraId="2562CD9A">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153</w:t>
            </w:r>
          </w:p>
        </w:tc>
        <w:tc>
          <w:tcPr>
            <w:tcW w:w="781" w:type="dxa"/>
            <w:tcBorders>
              <w:tl2br w:val="nil"/>
              <w:tr2bl w:val="nil"/>
            </w:tcBorders>
            <w:vAlign w:val="center"/>
          </w:tcPr>
          <w:p w14:paraId="3A46656E">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153</w:t>
            </w:r>
          </w:p>
        </w:tc>
        <w:tc>
          <w:tcPr>
            <w:tcW w:w="1162" w:type="dxa"/>
            <w:vMerge w:val="continue"/>
            <w:tcBorders>
              <w:tl2br w:val="nil"/>
              <w:tr2bl w:val="nil"/>
            </w:tcBorders>
            <w:vAlign w:val="center"/>
          </w:tcPr>
          <w:p w14:paraId="06A7AA0A">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2637" w:type="dxa"/>
            <w:tcBorders>
              <w:tl2br w:val="nil"/>
              <w:tr2bl w:val="nil"/>
            </w:tcBorders>
            <w:vAlign w:val="center"/>
          </w:tcPr>
          <w:p w14:paraId="253EAF64">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《危险废物贮存污染控制标准》（GB18597-20</w:t>
            </w:r>
            <w:r>
              <w:rPr>
                <w:rFonts w:hint="eastAsia" w:ascii="Times New Roman" w:hAnsi="Times New Roman" w:cs="Times New Roman"/>
                <w:color w:val="000000" w:themeColor="text1"/>
                <w:lang w:val="en-US" w:eastAsia="zh-CN"/>
                <w14:textFill>
                  <w14:solidFill>
                    <w14:schemeClr w14:val="tx1"/>
                  </w14:solidFill>
                </w14:textFill>
              </w:rPr>
              <w:t>23</w:t>
            </w:r>
            <w:r>
              <w:rPr>
                <w:rFonts w:ascii="Times New Roman" w:hAnsi="Times New Roman" w:cs="Times New Roman"/>
                <w:color w:val="000000" w:themeColor="text1"/>
                <w14:textFill>
                  <w14:solidFill>
                    <w14:schemeClr w14:val="tx1"/>
                  </w14:solidFill>
                </w14:textFill>
              </w:rPr>
              <w:t>）</w:t>
            </w:r>
          </w:p>
        </w:tc>
      </w:tr>
    </w:tbl>
    <w:p w14:paraId="02E1D8EE">
      <w:pPr>
        <w:ind w:firstLine="480"/>
        <w:rPr>
          <w:rFonts w:ascii="Times New Roman" w:hAnsi="Times New Roman" w:eastAsia="宋体" w:cs="Times New Roman"/>
          <w:color w:val="000000" w:themeColor="text1"/>
          <w:kern w:val="2"/>
          <w:sz w:val="21"/>
          <w:szCs w:val="22"/>
          <w:lang w:val="en-GB" w:eastAsia="zh-CN" w:bidi="zh-CN"/>
          <w14:textFill>
            <w14:solidFill>
              <w14:schemeClr w14:val="tx1"/>
            </w14:solidFill>
          </w14:textFill>
        </w:rPr>
        <w:sectPr>
          <w:headerReference r:id="rId20" w:type="default"/>
          <w:pgSz w:w="16838" w:h="11906" w:orient="landscape"/>
          <w:pgMar w:top="1440" w:right="1800" w:bottom="1440" w:left="1800" w:header="1077" w:footer="850" w:gutter="0"/>
          <w:pgBorders>
            <w:top w:val="none" w:sz="0" w:space="0"/>
            <w:left w:val="none" w:sz="0" w:space="0"/>
            <w:bottom w:val="none" w:sz="0" w:space="0"/>
            <w:right w:val="none" w:sz="0" w:space="0"/>
          </w:pgBorders>
          <w:cols w:space="425" w:num="1"/>
          <w:docGrid w:type="lines" w:linePitch="326" w:charSpace="0"/>
        </w:sectPr>
      </w:pPr>
    </w:p>
    <w:p w14:paraId="3E2545C6">
      <w:pPr>
        <w:pStyle w:val="4"/>
        <w:numPr>
          <w:ilvl w:val="1"/>
          <w:numId w:val="1"/>
        </w:numPr>
        <w:ind w:left="120"/>
        <w:rPr>
          <w:rFonts w:ascii="Times New Roman" w:hAnsi="Times New Roman" w:cs="Times New Roman"/>
          <w:color w:val="000000" w:themeColor="text1"/>
          <w:lang w:val="zh-CN"/>
          <w14:textFill>
            <w14:solidFill>
              <w14:schemeClr w14:val="tx1"/>
            </w14:solidFill>
          </w14:textFill>
        </w:rPr>
      </w:pPr>
      <w:bookmarkStart w:id="341" w:name="_Toc26267"/>
      <w:r>
        <w:rPr>
          <w:rFonts w:ascii="Times New Roman" w:hAnsi="Times New Roman" w:cs="Times New Roman"/>
          <w:color w:val="000000" w:themeColor="text1"/>
          <w14:textFill>
            <w14:solidFill>
              <w14:schemeClr w14:val="tx1"/>
            </w14:solidFill>
          </w14:textFill>
        </w:rPr>
        <w:t>排污许可证制度衔接</w:t>
      </w:r>
      <w:bookmarkEnd w:id="341"/>
    </w:p>
    <w:p w14:paraId="02AC845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目前我国正在推进排污许可制度改革工作。项目必须在发生实际排污行为之前申领排污许可证，环境影响评价文件及批复中与污染物排放相关的主要内容应当纳入排污许可证，其排污许可证执行情况应作为环境影响后评价的重要依据。</w:t>
      </w:r>
    </w:p>
    <w:p w14:paraId="2C94C377">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本项目为家禽饲养业，饲养过程中需对购买的饲料搅拌加工，依据《固定污染源排污许可分类管理名录》（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年版）及《</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年纳入排污许可管理的行业和管理类别表》，项目排污许可管理类别为登记管理，依据《排污许可证申请与核发技术规范 总则》（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HJ942-2018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）项目建设完成后，需及时办理排污许可登记，并在当地生态环境局备案。</w:t>
      </w:r>
    </w:p>
    <w:p w14:paraId="69D19AC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单位在申请排污许可证前，应当将主要申请内容，包括排污单位基本信息、拟申请的许可事项、产排污环节、污染防治措施，通过国家排污许可证管理信息平台或者其他规定途径等便于公众知晓的方式向社会公开。建设单位对排污许可证申请材料的真实性、合法性、完整性负法律责任；承诺按照排污许可证的规定排污并严格执行；按照相关标准规范开展自行监测、台账记录；按时提交执行报告并及时公开相关信息。</w:t>
      </w:r>
    </w:p>
    <w:p w14:paraId="43E944D0">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本项目建成投产后，</w:t>
      </w:r>
      <w:r>
        <w:rPr>
          <w:rFonts w:hint="eastAsia" w:cs="Times New Roman"/>
          <w:color w:val="000000" w:themeColor="text1"/>
          <w:lang w:val="en-US" w:eastAsia="zh-CN"/>
          <w14:textFill>
            <w14:solidFill>
              <w14:schemeClr w14:val="tx1"/>
            </w14:solidFill>
          </w14:textFill>
        </w:rPr>
        <w:t>日常养殖废水收集处理后回用于绿化浇灌，</w:t>
      </w:r>
      <w:r>
        <w:rPr>
          <w:rFonts w:ascii="Times New Roman" w:hAnsi="Times New Roman" w:cs="Times New Roman"/>
          <w:color w:val="000000" w:themeColor="text1"/>
          <w:lang w:val="zh-CN"/>
          <w14:textFill>
            <w14:solidFill>
              <w14:schemeClr w14:val="tx1"/>
            </w14:solidFill>
          </w14:textFill>
        </w:rPr>
        <w:t>圈舍采用干清粪工艺，</w:t>
      </w:r>
      <w:r>
        <w:rPr>
          <w:rFonts w:hint="eastAsia" w:ascii="Times New Roman" w:hAnsi="Times New Roman" w:cs="Times New Roman"/>
          <w:color w:val="000000" w:themeColor="text1"/>
          <w:lang w:val="zh-CN"/>
          <w14:textFill>
            <w14:solidFill>
              <w14:schemeClr w14:val="tx1"/>
            </w14:solidFill>
          </w14:textFill>
        </w:rPr>
        <w:t>鸭粪</w:t>
      </w:r>
      <w:r>
        <w:rPr>
          <w:rFonts w:ascii="Times New Roman" w:hAnsi="Times New Roman" w:cs="Times New Roman"/>
          <w:color w:val="000000" w:themeColor="text1"/>
          <w:lang w:val="zh-CN"/>
          <w14:textFill>
            <w14:solidFill>
              <w14:schemeClr w14:val="tx1"/>
            </w14:solidFill>
          </w14:textFill>
        </w:rPr>
        <w:t>及垫草料不在项目区贮存，直接拉运至</w:t>
      </w:r>
      <w:r>
        <w:rPr>
          <w:rFonts w:hint="eastAsia" w:ascii="Times New Roman" w:hAnsi="Times New Roman" w:cs="Times New Roman"/>
          <w:color w:val="000000" w:themeColor="text1"/>
          <w:lang w:val="en-US" w:eastAsia="zh-CN"/>
          <w14:textFill>
            <w14:solidFill>
              <w14:schemeClr w14:val="tx1"/>
            </w14:solidFill>
          </w14:textFill>
        </w:rPr>
        <w:t>63团粪污处理场</w:t>
      </w:r>
      <w:r>
        <w:rPr>
          <w:rFonts w:ascii="Times New Roman" w:hAnsi="Times New Roman" w:cs="Times New Roman"/>
          <w:color w:val="000000" w:themeColor="text1"/>
          <w:lang w:val="zh-CN"/>
          <w14:textFill>
            <w14:solidFill>
              <w14:schemeClr w14:val="tx1"/>
            </w14:solidFill>
          </w14:textFill>
        </w:rPr>
        <w:t>外售，因此，本项目无</w:t>
      </w:r>
      <w:r>
        <w:rPr>
          <w:rFonts w:hint="eastAsia" w:cs="Times New Roman"/>
          <w:color w:val="000000" w:themeColor="text1"/>
          <w:lang w:val="en-US" w:eastAsia="zh-CN"/>
          <w14:textFill>
            <w14:solidFill>
              <w14:schemeClr w14:val="tx1"/>
            </w14:solidFill>
          </w14:textFill>
        </w:rPr>
        <w:t>养殖</w:t>
      </w:r>
      <w:r>
        <w:rPr>
          <w:rFonts w:ascii="Times New Roman" w:hAnsi="Times New Roman" w:cs="Times New Roman"/>
          <w:color w:val="000000" w:themeColor="text1"/>
          <w:lang w:val="zh-CN"/>
          <w14:textFill>
            <w14:solidFill>
              <w14:schemeClr w14:val="tx1"/>
            </w14:solidFill>
          </w14:textFill>
        </w:rPr>
        <w:t>废水</w:t>
      </w:r>
      <w:r>
        <w:rPr>
          <w:rFonts w:hint="eastAsia" w:cs="Times New Roman"/>
          <w:color w:val="000000" w:themeColor="text1"/>
          <w:lang w:val="en-US" w:eastAsia="zh-CN"/>
          <w14:textFill>
            <w14:solidFill>
              <w14:schemeClr w14:val="tx1"/>
            </w14:solidFill>
          </w14:textFill>
        </w:rPr>
        <w:t>和养殖固废</w:t>
      </w:r>
      <w:r>
        <w:rPr>
          <w:rFonts w:hint="eastAsia" w:ascii="Times New Roman" w:hAnsi="Times New Roman" w:cs="Times New Roman"/>
          <w:color w:val="000000" w:themeColor="text1"/>
          <w:lang w:val="en-US" w:eastAsia="zh-CN"/>
          <w14:textFill>
            <w14:solidFill>
              <w14:schemeClr w14:val="tx1"/>
            </w14:solidFill>
          </w14:textFill>
        </w:rPr>
        <w:t>排放</w:t>
      </w:r>
      <w:r>
        <w:rPr>
          <w:rFonts w:ascii="Times New Roman" w:hAnsi="Times New Roman" w:cs="Times New Roman"/>
          <w:color w:val="000000" w:themeColor="text1"/>
          <w:lang w:val="zh-CN"/>
          <w14:textFill>
            <w14:solidFill>
              <w14:schemeClr w14:val="tx1"/>
            </w14:solidFill>
          </w14:textFill>
        </w:rPr>
        <w:t>；工作人员办公生活</w:t>
      </w:r>
      <w:r>
        <w:rPr>
          <w:rFonts w:hint="eastAsia" w:ascii="Times New Roman" w:hAnsi="Times New Roman" w:cs="Times New Roman"/>
          <w:color w:val="000000" w:themeColor="text1"/>
          <w:lang w:val="en-US" w:eastAsia="zh-CN"/>
          <w14:textFill>
            <w14:solidFill>
              <w14:schemeClr w14:val="tx1"/>
            </w14:solidFill>
          </w14:textFill>
        </w:rPr>
        <w:t>污水排入化粪池，定期清运至63团</w:t>
      </w:r>
      <w:r>
        <w:rPr>
          <w:rFonts w:hint="eastAsia" w:cs="Times New Roman"/>
          <w:color w:val="000000" w:themeColor="text1"/>
          <w:lang w:val="en-US" w:eastAsia="zh-CN"/>
          <w14:textFill>
            <w14:solidFill>
              <w14:schemeClr w14:val="tx1"/>
            </w14:solidFill>
          </w14:textFill>
        </w:rPr>
        <w:t>污水处理厂</w:t>
      </w:r>
      <w:r>
        <w:rPr>
          <w:rFonts w:ascii="Times New Roman" w:hAnsi="Times New Roman" w:cs="Times New Roman"/>
          <w:color w:val="000000" w:themeColor="text1"/>
          <w:lang w:val="zh-CN"/>
          <w14:textFill>
            <w14:solidFill>
              <w14:schemeClr w14:val="tx1"/>
            </w14:solidFill>
          </w14:textFill>
        </w:rPr>
        <w:t>；项目区养殖</w:t>
      </w:r>
      <w:r>
        <w:rPr>
          <w:rFonts w:ascii="Times New Roman" w:hAnsi="Times New Roman" w:cs="Times New Roman"/>
          <w:color w:val="000000" w:themeColor="text1"/>
          <w14:textFill>
            <w14:solidFill>
              <w14:schemeClr w14:val="tx1"/>
            </w14:solidFill>
          </w14:textFill>
        </w:rPr>
        <w:t>区和</w:t>
      </w:r>
      <w:r>
        <w:rPr>
          <w:rFonts w:hint="eastAsia" w:cs="Times New Roman"/>
          <w:color w:val="000000" w:themeColor="text1"/>
          <w:lang w:val="en-US" w:eastAsia="zh-CN"/>
          <w14:textFill>
            <w14:solidFill>
              <w14:schemeClr w14:val="tx1"/>
            </w14:solidFill>
          </w14:textFill>
        </w:rPr>
        <w:t>养殖污水处理设施臭气</w:t>
      </w:r>
      <w:r>
        <w:rPr>
          <w:rFonts w:ascii="Times New Roman" w:hAnsi="Times New Roman" w:cs="Times New Roman"/>
          <w:color w:val="000000" w:themeColor="text1"/>
          <w:lang w:val="zh-CN"/>
          <w14:textFill>
            <w14:solidFill>
              <w14:schemeClr w14:val="tx1"/>
            </w14:solidFill>
          </w14:textFill>
        </w:rPr>
        <w:t>排放以无组织排放为主，不属于总量控制要求的大气污染物</w:t>
      </w:r>
      <w:r>
        <w:rPr>
          <w:rFonts w:hint="eastAsia"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本项目采用生物质燃料锅炉供热，经预测排放NOx0.306t/a，属于总量控制污染物，</w:t>
      </w:r>
      <w:r>
        <w:rPr>
          <w:rFonts w:ascii="Times New Roman" w:hAnsi="Times New Roman" w:cs="Times New Roman"/>
          <w:color w:val="000000" w:themeColor="text1"/>
          <w:lang w:val="zh-CN"/>
          <w14:textFill>
            <w14:solidFill>
              <w14:schemeClr w14:val="tx1"/>
            </w14:solidFill>
          </w14:textFill>
        </w:rPr>
        <w:t>因此，本项目需申请污染物排放总量控制指标</w:t>
      </w:r>
      <w:r>
        <w:rPr>
          <w:rFonts w:hint="eastAsia" w:cs="Times New Roman"/>
          <w:color w:val="000000" w:themeColor="text1"/>
          <w:lang w:val="en-US" w:eastAsia="zh-CN"/>
          <w14:textFill>
            <w14:solidFill>
              <w14:schemeClr w14:val="tx1"/>
            </w14:solidFill>
          </w14:textFill>
        </w:rPr>
        <w:t>NOx0.306t/a</w:t>
      </w:r>
      <w:r>
        <w:rPr>
          <w:rFonts w:ascii="Times New Roman" w:hAnsi="Times New Roman" w:cs="Times New Roman"/>
          <w:color w:val="000000" w:themeColor="text1"/>
          <w:lang w:val="zh-CN"/>
          <w14:textFill>
            <w14:solidFill>
              <w14:schemeClr w14:val="tx1"/>
            </w14:solidFill>
          </w14:textFill>
        </w:rPr>
        <w:t>。</w:t>
      </w:r>
    </w:p>
    <w:p w14:paraId="6F367DEE">
      <w:pPr>
        <w:pStyle w:val="4"/>
        <w:numPr>
          <w:ilvl w:val="1"/>
          <w:numId w:val="1"/>
        </w:numPr>
        <w:ind w:left="120"/>
        <w:rPr>
          <w:rFonts w:ascii="Times New Roman" w:hAnsi="Times New Roman" w:cs="Times New Roman"/>
          <w:color w:val="000000" w:themeColor="text1"/>
          <w:lang w:val="zh-CN"/>
          <w14:textFill>
            <w14:solidFill>
              <w14:schemeClr w14:val="tx1"/>
            </w14:solidFill>
          </w14:textFill>
        </w:rPr>
      </w:pPr>
      <w:bookmarkStart w:id="342" w:name="_Toc28975"/>
      <w:r>
        <w:rPr>
          <w:rFonts w:ascii="Times New Roman" w:hAnsi="Times New Roman" w:cs="Times New Roman"/>
          <w:color w:val="000000" w:themeColor="text1"/>
          <w14:textFill>
            <w14:solidFill>
              <w14:schemeClr w14:val="tx1"/>
            </w14:solidFill>
          </w14:textFill>
        </w:rPr>
        <w:t>信息公开制度</w:t>
      </w:r>
      <w:bookmarkEnd w:id="342"/>
    </w:p>
    <w:p w14:paraId="5BD96E30">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根据《建设项目环境影响评价信息公开机制方案</w:t>
      </w:r>
      <w:r>
        <w:rPr>
          <w:rFonts w:hint="eastAsia" w:ascii="Times New Roman" w:hAnsi="Times New Roman" w:cs="Times New Roman"/>
          <w:color w:val="000000" w:themeColor="text1"/>
          <w:lang w:val="zh-CN" w:bidi="zh-CN"/>
          <w14:textFill>
            <w14:solidFill>
              <w14:schemeClr w14:val="tx1"/>
            </w14:solidFill>
          </w14:textFill>
        </w:rPr>
        <w:t>》《</w:t>
      </w:r>
      <w:r>
        <w:rPr>
          <w:rFonts w:ascii="Times New Roman" w:hAnsi="Times New Roman" w:cs="Times New Roman"/>
          <w:color w:val="000000" w:themeColor="text1"/>
          <w:lang w:val="zh-CN" w:bidi="zh-CN"/>
          <w14:textFill>
            <w14:solidFill>
              <w14:schemeClr w14:val="tx1"/>
            </w14:solidFill>
          </w14:textFill>
        </w:rPr>
        <w:t>企业事业单位环境信息公开办法》中的相关规定，本项目建设单位应当向社会公开以下信息：</w:t>
      </w:r>
    </w:p>
    <w:p w14:paraId="71BC5A2C">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（1）基础信息，包括单位名称、组织机构代码、法定代表人、生产地址、联系方式，以及生产经营和管理服务的主要内容、产品及规模；</w:t>
      </w:r>
    </w:p>
    <w:p w14:paraId="3B4A3E32">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 xml:space="preserve">（2）排污信息，包括主要污染物及特征污染物的名称、排放方式、排放口数量和分布情况、排放浓度和总量、超标情况，以及执行的污染物排放标准、核定的排放总量； </w:t>
      </w:r>
    </w:p>
    <w:p w14:paraId="1BFFB51E">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 xml:space="preserve">（3）防治污染设施的建设和运行情况； </w:t>
      </w:r>
    </w:p>
    <w:p w14:paraId="13DB4402">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 xml:space="preserve">（4）建设项目环境影响评价及其他环境保护行政许可情况； </w:t>
      </w:r>
    </w:p>
    <w:p w14:paraId="15920C9C">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（5）突发环境事件应急预案。</w:t>
      </w:r>
    </w:p>
    <w:p w14:paraId="5E130E29">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（6）其他应当公开的环境信息。</w:t>
      </w:r>
    </w:p>
    <w:p w14:paraId="445D5E75">
      <w:pPr>
        <w:pStyle w:val="4"/>
        <w:numPr>
          <w:ilvl w:val="1"/>
          <w:numId w:val="1"/>
        </w:numPr>
        <w:ind w:left="120"/>
        <w:rPr>
          <w:rFonts w:ascii="Times New Roman" w:hAnsi="Times New Roman" w:cs="Times New Roman"/>
          <w:color w:val="000000" w:themeColor="text1"/>
          <w14:textFill>
            <w14:solidFill>
              <w14:schemeClr w14:val="tx1"/>
            </w14:solidFill>
          </w14:textFill>
        </w:rPr>
      </w:pPr>
      <w:bookmarkStart w:id="343" w:name="_Toc156"/>
      <w:r>
        <w:rPr>
          <w:rFonts w:ascii="Times New Roman" w:hAnsi="Times New Roman" w:cs="Times New Roman"/>
          <w:color w:val="000000" w:themeColor="text1"/>
          <w14:textFill>
            <w14:solidFill>
              <w14:schemeClr w14:val="tx1"/>
            </w14:solidFill>
          </w14:textFill>
        </w:rPr>
        <w:t>环境监测计划</w:t>
      </w:r>
      <w:bookmarkEnd w:id="343"/>
    </w:p>
    <w:p w14:paraId="58FE666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按照《排污单位自行监测技术指南 总则》</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HJ 819-2017</w:t>
      </w:r>
      <w:r>
        <w:rPr>
          <w:rFonts w:hint="eastAsia"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和《排污许可证申请与核发技术规范 畜禽养殖业》（HJ1029-2019），制定本项目环境监测方案如下，企业可按以下监测方案配置相关监测技术力量或委托社会化第三方检测机构承担。</w:t>
      </w:r>
    </w:p>
    <w:p w14:paraId="214DD3DD">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污染源监测计划</w:t>
      </w:r>
    </w:p>
    <w:p w14:paraId="74FC31AA">
      <w:pPr>
        <w:pStyle w:val="11"/>
        <w:rPr>
          <w:rFonts w:ascii="Times New Roman" w:hAnsi="Times New Roman" w:cs="Times New Roman" w:eastAsiaTheme="minorEastAsia"/>
          <w:color w:val="000000" w:themeColor="text1"/>
          <w:szCs w:val="22"/>
          <w14:textFill>
            <w14:solidFill>
              <w14:schemeClr w14:val="tx1"/>
            </w14:solidFill>
          </w14:textFill>
        </w:rPr>
      </w:pPr>
      <w:r>
        <w:rPr>
          <w:rFonts w:hint="eastAsia" w:ascii="Times New Roman" w:hAnsi="Times New Roman" w:cs="Times New Roman" w:eastAsiaTheme="minorEastAsia"/>
          <w:color w:val="000000" w:themeColor="text1"/>
          <w:szCs w:val="22"/>
          <w:lang w:val="en-US" w:eastAsia="zh-CN"/>
          <w14:textFill>
            <w14:solidFill>
              <w14:schemeClr w14:val="tx1"/>
            </w14:solidFill>
          </w14:textFill>
        </w:rPr>
        <w:t>本项目实施后，企业需定期进行例行监测，根据《排污单位自行监测技术指南总则》（HJ819-2017）《畜禽养殖业污染防治技术规范》《排污许可申请与核发技术规范畜禽养殖行业》《排污许可申请与核发技术规范 锅炉》等要求，本项目</w:t>
      </w:r>
      <w:r>
        <w:rPr>
          <w:rFonts w:ascii="Times New Roman" w:hAnsi="Times New Roman" w:cs="Times New Roman" w:eastAsiaTheme="minorEastAsia"/>
          <w:color w:val="000000" w:themeColor="text1"/>
          <w:szCs w:val="22"/>
          <w14:textFill>
            <w14:solidFill>
              <w14:schemeClr w14:val="tx1"/>
            </w14:solidFill>
          </w14:textFill>
        </w:rPr>
        <w:t>运营期污染源开展日常环境监控监测计划见表</w:t>
      </w:r>
      <w:r>
        <w:rPr>
          <w:rFonts w:hint="eastAsia" w:ascii="Times New Roman" w:hAnsi="Times New Roman" w:cs="Times New Roman" w:eastAsiaTheme="minorEastAsia"/>
          <w:color w:val="000000" w:themeColor="text1"/>
          <w:szCs w:val="22"/>
          <w:lang w:val="en-US" w:eastAsia="zh-CN"/>
          <w14:textFill>
            <w14:solidFill>
              <w14:schemeClr w14:val="tx1"/>
            </w14:solidFill>
          </w14:textFill>
        </w:rPr>
        <w:t>8</w:t>
      </w:r>
      <w:r>
        <w:rPr>
          <w:rFonts w:ascii="Times New Roman" w:hAnsi="Times New Roman" w:cs="Times New Roman" w:eastAsiaTheme="minorEastAsia"/>
          <w:color w:val="000000" w:themeColor="text1"/>
          <w:szCs w:val="22"/>
          <w14:textFill>
            <w14:solidFill>
              <w14:schemeClr w14:val="tx1"/>
            </w14:solidFill>
          </w14:textFill>
        </w:rPr>
        <w:t>.5-1。</w:t>
      </w:r>
    </w:p>
    <w:p w14:paraId="316B5D7A">
      <w:pPr>
        <w:ind w:firstLine="0" w:firstLineChars="0"/>
        <w:jc w:val="center"/>
        <w:rPr>
          <w:rFonts w:ascii="Times New Roman" w:hAnsi="Times New Roman" w:eastAsia="宋体" w:cs="Times New Roman"/>
          <w:b/>
          <w:bCs/>
          <w:color w:val="000000" w:themeColor="text1"/>
          <w:lang w:val="zh-CN"/>
          <w14:textFill>
            <w14:solidFill>
              <w14:schemeClr w14:val="tx1"/>
            </w14:solidFill>
          </w14:textFill>
        </w:rPr>
      </w:pPr>
      <w:r>
        <w:rPr>
          <w:rFonts w:ascii="Times New Roman" w:hAnsi="Times New Roman" w:eastAsia="宋体" w:cs="Times New Roman"/>
          <w:b/>
          <w:bCs/>
          <w:color w:val="000000" w:themeColor="text1"/>
          <w:lang w:val="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8</w:t>
      </w:r>
      <w:r>
        <w:rPr>
          <w:rFonts w:ascii="Times New Roman" w:hAnsi="Times New Roman" w:eastAsia="宋体" w:cs="Times New Roman"/>
          <w:b/>
          <w:bCs/>
          <w:color w:val="000000" w:themeColor="text1"/>
          <w14:textFill>
            <w14:solidFill>
              <w14:schemeClr w14:val="tx1"/>
            </w14:solidFill>
          </w14:textFill>
        </w:rPr>
        <w:t xml:space="preserve">.5-1    </w:t>
      </w:r>
      <w:r>
        <w:rPr>
          <w:rFonts w:ascii="Times New Roman" w:hAnsi="Times New Roman" w:eastAsia="宋体" w:cs="Times New Roman"/>
          <w:b/>
          <w:bCs/>
          <w:color w:val="000000" w:themeColor="text1"/>
          <w:lang w:val="zh-CN"/>
          <w14:textFill>
            <w14:solidFill>
              <w14:schemeClr w14:val="tx1"/>
            </w14:solidFill>
          </w14:textFill>
        </w:rPr>
        <w:t>运营期监测计划表</w:t>
      </w:r>
    </w:p>
    <w:tbl>
      <w:tblPr>
        <w:tblStyle w:val="81"/>
        <w:tblW w:w="88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26"/>
        <w:gridCol w:w="1795"/>
        <w:gridCol w:w="2480"/>
        <w:gridCol w:w="1219"/>
        <w:gridCol w:w="2524"/>
      </w:tblGrid>
      <w:tr w14:paraId="465511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tcBorders>
              <w:tl2br w:val="nil"/>
              <w:tr2bl w:val="nil"/>
            </w:tcBorders>
            <w:vAlign w:val="center"/>
          </w:tcPr>
          <w:p w14:paraId="17345617">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类型</w:t>
            </w:r>
          </w:p>
        </w:tc>
        <w:tc>
          <w:tcPr>
            <w:tcW w:w="1795" w:type="dxa"/>
            <w:tcBorders>
              <w:tl2br w:val="nil"/>
              <w:tr2bl w:val="nil"/>
            </w:tcBorders>
            <w:vAlign w:val="center"/>
          </w:tcPr>
          <w:p w14:paraId="35CE5632">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监测点位置</w:t>
            </w:r>
          </w:p>
        </w:tc>
        <w:tc>
          <w:tcPr>
            <w:tcW w:w="2480" w:type="dxa"/>
            <w:tcBorders>
              <w:tl2br w:val="nil"/>
              <w:tr2bl w:val="nil"/>
            </w:tcBorders>
            <w:vAlign w:val="center"/>
          </w:tcPr>
          <w:p w14:paraId="0C4454A4">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监测项目</w:t>
            </w:r>
          </w:p>
        </w:tc>
        <w:tc>
          <w:tcPr>
            <w:tcW w:w="1219" w:type="dxa"/>
            <w:tcBorders>
              <w:tl2br w:val="nil"/>
              <w:tr2bl w:val="nil"/>
            </w:tcBorders>
            <w:vAlign w:val="center"/>
          </w:tcPr>
          <w:p w14:paraId="1E715AD8">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频率</w:t>
            </w:r>
          </w:p>
        </w:tc>
        <w:tc>
          <w:tcPr>
            <w:tcW w:w="2524" w:type="dxa"/>
            <w:tcBorders>
              <w:tl2br w:val="nil"/>
              <w:tr2bl w:val="nil"/>
            </w:tcBorders>
            <w:vAlign w:val="center"/>
          </w:tcPr>
          <w:p w14:paraId="5115F58E">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控制指标</w:t>
            </w:r>
          </w:p>
        </w:tc>
      </w:tr>
      <w:tr w14:paraId="73081C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vMerge w:val="restart"/>
            <w:tcBorders>
              <w:tl2br w:val="nil"/>
              <w:tr2bl w:val="nil"/>
            </w:tcBorders>
            <w:vAlign w:val="center"/>
          </w:tcPr>
          <w:p w14:paraId="0CF7A493">
            <w:pPr>
              <w:pStyle w:val="56"/>
              <w:autoSpaceDE w:val="0"/>
              <w:autoSpaceDN w:val="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锅炉烟气</w:t>
            </w:r>
          </w:p>
        </w:tc>
        <w:tc>
          <w:tcPr>
            <w:tcW w:w="1795" w:type="dxa"/>
            <w:tcBorders>
              <w:tl2br w:val="nil"/>
              <w:tr2bl w:val="nil"/>
            </w:tcBorders>
            <w:vAlign w:val="center"/>
          </w:tcPr>
          <w:p w14:paraId="018AB802">
            <w:pPr>
              <w:pStyle w:val="56"/>
              <w:autoSpaceDE w:val="0"/>
              <w:autoSpaceDN w:val="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DA001</w:t>
            </w:r>
          </w:p>
        </w:tc>
        <w:tc>
          <w:tcPr>
            <w:tcW w:w="2480" w:type="dxa"/>
            <w:tcBorders>
              <w:tl2br w:val="nil"/>
              <w:tr2bl w:val="nil"/>
            </w:tcBorders>
            <w:vAlign w:val="center"/>
          </w:tcPr>
          <w:p w14:paraId="4149024E">
            <w:pPr>
              <w:pStyle w:val="56"/>
              <w:autoSpaceDE w:val="0"/>
              <w:autoSpaceDN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PM</w:t>
            </w:r>
            <w:r>
              <w:rPr>
                <w:rFonts w:hint="eastAsia"/>
                <w:color w:val="000000" w:themeColor="text1"/>
                <w:szCs w:val="21"/>
                <w:vertAlign w:val="subscript"/>
                <w:lang w:val="en-US" w:eastAsia="zh-CN"/>
                <w14:textFill>
                  <w14:solidFill>
                    <w14:schemeClr w14:val="tx1"/>
                  </w14:solidFill>
                </w14:textFill>
              </w:rPr>
              <w:t>10</w:t>
            </w:r>
            <w:r>
              <w:rPr>
                <w:rFonts w:hint="eastAsia"/>
                <w:color w:val="000000" w:themeColor="text1"/>
                <w:szCs w:val="21"/>
                <w:lang w:val="en-US" w:eastAsia="zh-CN"/>
                <w14:textFill>
                  <w14:solidFill>
                    <w14:schemeClr w14:val="tx1"/>
                  </w14:solidFill>
                </w14:textFill>
              </w:rPr>
              <w:t>、NO</w:t>
            </w:r>
            <w:r>
              <w:rPr>
                <w:rFonts w:hint="eastAsia"/>
                <w:color w:val="000000" w:themeColor="text1"/>
                <w:szCs w:val="21"/>
                <w:vertAlign w:val="subscript"/>
                <w:lang w:val="en-US" w:eastAsia="zh-CN"/>
                <w14:textFill>
                  <w14:solidFill>
                    <w14:schemeClr w14:val="tx1"/>
                  </w14:solidFill>
                </w14:textFill>
              </w:rPr>
              <w:t>x</w:t>
            </w: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219" w:type="dxa"/>
            <w:tcBorders>
              <w:tl2br w:val="nil"/>
              <w:tr2bl w:val="nil"/>
            </w:tcBorders>
            <w:vAlign w:val="center"/>
          </w:tcPr>
          <w:p w14:paraId="0FF70845">
            <w:pPr>
              <w:pStyle w:val="56"/>
              <w:autoSpaceDE w:val="0"/>
              <w:autoSpaceDN w:val="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FF0000"/>
                <w:szCs w:val="21"/>
                <w:lang w:eastAsia="en-US"/>
              </w:rPr>
              <w:t>1次/</w:t>
            </w:r>
            <w:r>
              <w:rPr>
                <w:rFonts w:hint="eastAsia"/>
                <w:color w:val="FF0000"/>
                <w:szCs w:val="21"/>
                <w:lang w:val="en-US" w:eastAsia="zh-CN"/>
              </w:rPr>
              <w:t>月</w:t>
            </w:r>
          </w:p>
        </w:tc>
        <w:tc>
          <w:tcPr>
            <w:tcW w:w="2524" w:type="dxa"/>
            <w:vMerge w:val="restart"/>
            <w:tcBorders>
              <w:tl2br w:val="nil"/>
              <w:tr2bl w:val="nil"/>
            </w:tcBorders>
            <w:vAlign w:val="center"/>
          </w:tcPr>
          <w:p w14:paraId="7B004BF6">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《排污单位自行监测技术指南</w:t>
            </w:r>
            <w:r>
              <w:rPr>
                <w:rFonts w:hint="eastAsia"/>
                <w:color w:val="000000" w:themeColor="text1"/>
                <w:szCs w:val="21"/>
                <w:lang w:val="en-US" w:eastAsia="zh-CN"/>
                <w14:textFill>
                  <w14:solidFill>
                    <w14:schemeClr w14:val="tx1"/>
                  </w14:solidFill>
                </w14:textFill>
              </w:rPr>
              <w:t xml:space="preserve"> 总则</w:t>
            </w:r>
            <w:r>
              <w:rPr>
                <w:rFonts w:hint="eastAsia" w:ascii="Times New Roman" w:hAnsi="Times New Roman"/>
                <w:color w:val="000000" w:themeColor="text1"/>
                <w:szCs w:val="21"/>
                <w:lang w:eastAsia="zh-CN"/>
                <w14:textFill>
                  <w14:solidFill>
                    <w14:schemeClr w14:val="tx1"/>
                  </w14:solidFill>
                </w14:textFill>
              </w:rPr>
              <w:t>》（HJ 8</w:t>
            </w:r>
            <w:r>
              <w:rPr>
                <w:rFonts w:hint="eastAsia"/>
                <w:color w:val="000000" w:themeColor="text1"/>
                <w:szCs w:val="21"/>
                <w:lang w:val="en-US" w:eastAsia="zh-CN"/>
                <w14:textFill>
                  <w14:solidFill>
                    <w14:schemeClr w14:val="tx1"/>
                  </w14:solidFill>
                </w14:textFill>
              </w:rPr>
              <w:t>19</w:t>
            </w:r>
            <w:r>
              <w:rPr>
                <w:rFonts w:hint="eastAsia" w:ascii="Times New Roman" w:hAnsi="Times New Roman"/>
                <w:color w:val="000000" w:themeColor="text1"/>
                <w:szCs w:val="21"/>
                <w:lang w:eastAsia="zh-CN"/>
                <w14:textFill>
                  <w14:solidFill>
                    <w14:schemeClr w14:val="tx1"/>
                  </w14:solidFill>
                </w14:textFill>
              </w:rPr>
              <w:t>-2017）《排污单位自行监测技术指南火力发电及锅炉》（HJ 820-2017）</w:t>
            </w:r>
          </w:p>
        </w:tc>
      </w:tr>
      <w:tr w14:paraId="490B68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vMerge w:val="continue"/>
            <w:tcBorders>
              <w:tl2br w:val="nil"/>
              <w:tr2bl w:val="nil"/>
            </w:tcBorders>
            <w:vAlign w:val="center"/>
          </w:tcPr>
          <w:p w14:paraId="7908915D">
            <w:pPr>
              <w:pStyle w:val="56"/>
              <w:autoSpaceDE w:val="0"/>
              <w:autoSpaceDN w:val="0"/>
              <w:jc w:val="center"/>
              <w:rPr>
                <w:rFonts w:hint="eastAsia" w:ascii="Times New Roman" w:hAnsi="Times New Roman"/>
                <w:color w:val="000000" w:themeColor="text1"/>
                <w:szCs w:val="21"/>
                <w:lang w:val="en-US" w:eastAsia="zh-CN"/>
                <w14:textFill>
                  <w14:solidFill>
                    <w14:schemeClr w14:val="tx1"/>
                  </w14:solidFill>
                </w14:textFill>
              </w:rPr>
            </w:pPr>
          </w:p>
        </w:tc>
        <w:tc>
          <w:tcPr>
            <w:tcW w:w="1795" w:type="dxa"/>
            <w:tcBorders>
              <w:tl2br w:val="nil"/>
              <w:tr2bl w:val="nil"/>
            </w:tcBorders>
            <w:vAlign w:val="center"/>
          </w:tcPr>
          <w:p w14:paraId="246D85C8">
            <w:pPr>
              <w:pStyle w:val="56"/>
              <w:autoSpaceDE w:val="0"/>
              <w:autoSpaceDN w:val="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厂内供热锅炉附近</w:t>
            </w:r>
          </w:p>
        </w:tc>
        <w:tc>
          <w:tcPr>
            <w:tcW w:w="2480" w:type="dxa"/>
            <w:tcBorders>
              <w:tl2br w:val="nil"/>
              <w:tr2bl w:val="nil"/>
            </w:tcBorders>
            <w:vAlign w:val="center"/>
          </w:tcPr>
          <w:p w14:paraId="3454B50D">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hint="eastAsia"/>
                <w:color w:val="000000" w:themeColor="text1"/>
                <w:szCs w:val="21"/>
                <w:lang w:val="en-US" w:eastAsia="zh-CN"/>
                <w14:textFill>
                  <w14:solidFill>
                    <w14:schemeClr w14:val="tx1"/>
                  </w14:solidFill>
                </w14:textFill>
              </w:rPr>
              <w:t>PM</w:t>
            </w:r>
            <w:r>
              <w:rPr>
                <w:rFonts w:hint="eastAsia"/>
                <w:color w:val="000000" w:themeColor="text1"/>
                <w:szCs w:val="21"/>
                <w:vertAlign w:val="subscript"/>
                <w:lang w:val="en-US" w:eastAsia="zh-CN"/>
                <w14:textFill>
                  <w14:solidFill>
                    <w14:schemeClr w14:val="tx1"/>
                  </w14:solidFill>
                </w14:textFill>
              </w:rPr>
              <w:t>10</w:t>
            </w:r>
            <w:r>
              <w:rPr>
                <w:rFonts w:hint="eastAsia"/>
                <w:color w:val="000000" w:themeColor="text1"/>
                <w:szCs w:val="21"/>
                <w:lang w:val="en-US" w:eastAsia="zh-CN"/>
                <w14:textFill>
                  <w14:solidFill>
                    <w14:schemeClr w14:val="tx1"/>
                  </w14:solidFill>
                </w14:textFill>
              </w:rPr>
              <w:t>、NO</w:t>
            </w:r>
            <w:r>
              <w:rPr>
                <w:rFonts w:hint="eastAsia"/>
                <w:color w:val="000000" w:themeColor="text1"/>
                <w:szCs w:val="21"/>
                <w:vertAlign w:val="subscript"/>
                <w:lang w:val="en-US" w:eastAsia="zh-CN"/>
                <w14:textFill>
                  <w14:solidFill>
                    <w14:schemeClr w14:val="tx1"/>
                  </w14:solidFill>
                </w14:textFill>
              </w:rPr>
              <w:t>x</w:t>
            </w: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219" w:type="dxa"/>
            <w:tcBorders>
              <w:tl2br w:val="nil"/>
              <w:tr2bl w:val="nil"/>
            </w:tcBorders>
            <w:vAlign w:val="center"/>
          </w:tcPr>
          <w:p w14:paraId="396B748B">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1次/年</w:t>
            </w:r>
          </w:p>
        </w:tc>
        <w:tc>
          <w:tcPr>
            <w:tcW w:w="2524" w:type="dxa"/>
            <w:vMerge w:val="continue"/>
            <w:tcBorders>
              <w:tl2br w:val="nil"/>
              <w:tr2bl w:val="nil"/>
            </w:tcBorders>
            <w:vAlign w:val="center"/>
          </w:tcPr>
          <w:p w14:paraId="2B4021FE">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p>
        </w:tc>
      </w:tr>
      <w:tr w14:paraId="5A3C54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vMerge w:val="continue"/>
            <w:tcBorders>
              <w:tl2br w:val="nil"/>
              <w:tr2bl w:val="nil"/>
            </w:tcBorders>
            <w:vAlign w:val="center"/>
          </w:tcPr>
          <w:p w14:paraId="5CC9C69C">
            <w:pPr>
              <w:pStyle w:val="56"/>
              <w:autoSpaceDE w:val="0"/>
              <w:autoSpaceDN w:val="0"/>
              <w:jc w:val="center"/>
              <w:rPr>
                <w:rFonts w:hint="eastAsia" w:ascii="Times New Roman" w:hAnsi="Times New Roman"/>
                <w:color w:val="000000" w:themeColor="text1"/>
                <w:szCs w:val="21"/>
                <w:lang w:val="en-US" w:eastAsia="zh-CN"/>
                <w14:textFill>
                  <w14:solidFill>
                    <w14:schemeClr w14:val="tx1"/>
                  </w14:solidFill>
                </w14:textFill>
              </w:rPr>
            </w:pPr>
          </w:p>
        </w:tc>
        <w:tc>
          <w:tcPr>
            <w:tcW w:w="1795" w:type="dxa"/>
            <w:tcBorders>
              <w:tl2br w:val="nil"/>
              <w:tr2bl w:val="nil"/>
            </w:tcBorders>
            <w:vAlign w:val="center"/>
          </w:tcPr>
          <w:p w14:paraId="30C3FACB">
            <w:pPr>
              <w:pStyle w:val="56"/>
              <w:autoSpaceDE w:val="0"/>
              <w:autoSpaceDN w:val="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下风向厂界外1m</w:t>
            </w:r>
          </w:p>
        </w:tc>
        <w:tc>
          <w:tcPr>
            <w:tcW w:w="2480" w:type="dxa"/>
            <w:tcBorders>
              <w:tl2br w:val="nil"/>
              <w:tr2bl w:val="nil"/>
            </w:tcBorders>
            <w:vAlign w:val="center"/>
          </w:tcPr>
          <w:p w14:paraId="54C24F4D">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hint="eastAsia"/>
                <w:color w:val="000000" w:themeColor="text1"/>
                <w:szCs w:val="21"/>
                <w:lang w:val="en-US" w:eastAsia="zh-CN"/>
                <w14:textFill>
                  <w14:solidFill>
                    <w14:schemeClr w14:val="tx1"/>
                  </w14:solidFill>
                </w14:textFill>
              </w:rPr>
              <w:t>PM</w:t>
            </w:r>
            <w:r>
              <w:rPr>
                <w:rFonts w:hint="eastAsia"/>
                <w:color w:val="000000" w:themeColor="text1"/>
                <w:szCs w:val="21"/>
                <w:vertAlign w:val="subscript"/>
                <w:lang w:val="en-US" w:eastAsia="zh-CN"/>
                <w14:textFill>
                  <w14:solidFill>
                    <w14:schemeClr w14:val="tx1"/>
                  </w14:solidFill>
                </w14:textFill>
              </w:rPr>
              <w:t>10</w:t>
            </w:r>
            <w:r>
              <w:rPr>
                <w:rFonts w:hint="eastAsia"/>
                <w:color w:val="000000" w:themeColor="text1"/>
                <w:szCs w:val="21"/>
                <w:lang w:val="en-US" w:eastAsia="zh-CN"/>
                <w14:textFill>
                  <w14:solidFill>
                    <w14:schemeClr w14:val="tx1"/>
                  </w14:solidFill>
                </w14:textFill>
              </w:rPr>
              <w:t>、NO</w:t>
            </w:r>
            <w:r>
              <w:rPr>
                <w:rFonts w:hint="eastAsia"/>
                <w:color w:val="000000" w:themeColor="text1"/>
                <w:szCs w:val="21"/>
                <w:vertAlign w:val="subscript"/>
                <w:lang w:val="en-US" w:eastAsia="zh-CN"/>
                <w14:textFill>
                  <w14:solidFill>
                    <w14:schemeClr w14:val="tx1"/>
                  </w14:solidFill>
                </w14:textFill>
              </w:rPr>
              <w:t>x</w:t>
            </w: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219" w:type="dxa"/>
            <w:tcBorders>
              <w:tl2br w:val="nil"/>
              <w:tr2bl w:val="nil"/>
            </w:tcBorders>
            <w:vAlign w:val="center"/>
          </w:tcPr>
          <w:p w14:paraId="249C7114">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1次/年</w:t>
            </w:r>
          </w:p>
        </w:tc>
        <w:tc>
          <w:tcPr>
            <w:tcW w:w="2524" w:type="dxa"/>
            <w:vMerge w:val="continue"/>
            <w:tcBorders>
              <w:tl2br w:val="nil"/>
              <w:tr2bl w:val="nil"/>
            </w:tcBorders>
            <w:vAlign w:val="center"/>
          </w:tcPr>
          <w:p w14:paraId="4B4F1DE6">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p>
        </w:tc>
      </w:tr>
      <w:tr w14:paraId="3EECA1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vMerge w:val="restart"/>
            <w:tcBorders>
              <w:tl2br w:val="nil"/>
              <w:tr2bl w:val="nil"/>
            </w:tcBorders>
            <w:vAlign w:val="center"/>
          </w:tcPr>
          <w:p w14:paraId="18433C23">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hint="eastAsia"/>
                <w:color w:val="000000" w:themeColor="text1"/>
                <w:szCs w:val="21"/>
                <w:lang w:val="en-US" w:eastAsia="zh-CN"/>
                <w14:textFill>
                  <w14:solidFill>
                    <w14:schemeClr w14:val="tx1"/>
                  </w14:solidFill>
                </w14:textFill>
              </w:rPr>
              <w:t>养殖</w:t>
            </w:r>
            <w:r>
              <w:rPr>
                <w:rFonts w:ascii="Times New Roman" w:hAnsi="Times New Roman"/>
                <w:color w:val="000000" w:themeColor="text1"/>
                <w:szCs w:val="21"/>
                <w:lang w:eastAsia="en-US"/>
                <w14:textFill>
                  <w14:solidFill>
                    <w14:schemeClr w14:val="tx1"/>
                  </w14:solidFill>
                </w14:textFill>
              </w:rPr>
              <w:t>废气</w:t>
            </w:r>
          </w:p>
        </w:tc>
        <w:tc>
          <w:tcPr>
            <w:tcW w:w="1795" w:type="dxa"/>
            <w:vMerge w:val="restart"/>
            <w:tcBorders>
              <w:tl2br w:val="nil"/>
              <w:tr2bl w:val="nil"/>
            </w:tcBorders>
            <w:vAlign w:val="center"/>
          </w:tcPr>
          <w:p w14:paraId="492C74C5">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厂界</w:t>
            </w:r>
            <w:r>
              <w:rPr>
                <w:rFonts w:ascii="Times New Roman" w:hAnsi="Times New Roman"/>
                <w:color w:val="000000" w:themeColor="text1"/>
                <w:szCs w:val="21"/>
                <w:lang w:val="en-US" w:eastAsia="en-US"/>
                <w14:textFill>
                  <w14:solidFill>
                    <w14:schemeClr w14:val="tx1"/>
                  </w14:solidFill>
                </w14:textFill>
              </w:rPr>
              <w:t>下</w:t>
            </w:r>
            <w:r>
              <w:rPr>
                <w:rFonts w:ascii="Times New Roman" w:hAnsi="Times New Roman"/>
                <w:color w:val="000000" w:themeColor="text1"/>
                <w:szCs w:val="21"/>
                <w:lang w:eastAsia="en-US"/>
                <w14:textFill>
                  <w14:solidFill>
                    <w14:schemeClr w14:val="tx1"/>
                  </w14:solidFill>
                </w14:textFill>
              </w:rPr>
              <w:t>风向设1点</w:t>
            </w:r>
          </w:p>
        </w:tc>
        <w:tc>
          <w:tcPr>
            <w:tcW w:w="2480" w:type="dxa"/>
            <w:tcBorders>
              <w:tl2br w:val="nil"/>
              <w:tr2bl w:val="nil"/>
            </w:tcBorders>
            <w:vAlign w:val="center"/>
          </w:tcPr>
          <w:p w14:paraId="65C87F97">
            <w:pPr>
              <w:pStyle w:val="56"/>
              <w:autoSpaceDE w:val="0"/>
              <w:autoSpaceDN w:val="0"/>
              <w:jc w:val="center"/>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H</w:t>
            </w:r>
            <w:r>
              <w:rPr>
                <w:rFonts w:ascii="Times New Roman" w:hAnsi="Times New Roman"/>
                <w:color w:val="000000" w:themeColor="text1"/>
                <w:szCs w:val="21"/>
                <w:vertAlign w:val="subscript"/>
                <w:lang w:eastAsia="en-US"/>
                <w14:textFill>
                  <w14:solidFill>
                    <w14:schemeClr w14:val="tx1"/>
                  </w14:solidFill>
                </w14:textFill>
              </w:rPr>
              <w:t>2</w:t>
            </w:r>
            <w:r>
              <w:rPr>
                <w:rFonts w:ascii="Times New Roman" w:hAnsi="Times New Roman"/>
                <w:color w:val="000000" w:themeColor="text1"/>
                <w:szCs w:val="21"/>
                <w:lang w:eastAsia="en-US"/>
                <w14:textFill>
                  <w14:solidFill>
                    <w14:schemeClr w14:val="tx1"/>
                  </w14:solidFill>
                </w14:textFill>
              </w:rPr>
              <w:t>S、NH</w:t>
            </w:r>
            <w:r>
              <w:rPr>
                <w:rFonts w:ascii="Times New Roman" w:hAnsi="Times New Roman"/>
                <w:color w:val="000000" w:themeColor="text1"/>
                <w:szCs w:val="21"/>
                <w:vertAlign w:val="subscript"/>
                <w:lang w:eastAsia="en-US"/>
                <w14:textFill>
                  <w14:solidFill>
                    <w14:schemeClr w14:val="tx1"/>
                  </w14:solidFill>
                </w14:textFill>
              </w:rPr>
              <w:t>3</w:t>
            </w:r>
          </w:p>
        </w:tc>
        <w:tc>
          <w:tcPr>
            <w:tcW w:w="1219" w:type="dxa"/>
            <w:vMerge w:val="restart"/>
            <w:tcBorders>
              <w:tl2br w:val="nil"/>
              <w:tr2bl w:val="nil"/>
            </w:tcBorders>
            <w:vAlign w:val="center"/>
          </w:tcPr>
          <w:p w14:paraId="3D4FB613">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1次/</w:t>
            </w:r>
            <w:r>
              <w:rPr>
                <w:rFonts w:hint="eastAsia" w:ascii="Times New Roman" w:hAnsi="Times New Roman"/>
                <w:color w:val="000000" w:themeColor="text1"/>
                <w:szCs w:val="21"/>
                <w:lang w:val="en-US" w:eastAsia="zh-CN"/>
                <w14:textFill>
                  <w14:solidFill>
                    <w14:schemeClr w14:val="tx1"/>
                  </w14:solidFill>
                </w14:textFill>
              </w:rPr>
              <w:t>半</w:t>
            </w:r>
            <w:r>
              <w:rPr>
                <w:rFonts w:ascii="Times New Roman" w:hAnsi="Times New Roman"/>
                <w:color w:val="000000" w:themeColor="text1"/>
                <w:szCs w:val="21"/>
                <w:lang w:eastAsia="en-US"/>
                <w14:textFill>
                  <w14:solidFill>
                    <w14:schemeClr w14:val="tx1"/>
                  </w14:solidFill>
                </w14:textFill>
              </w:rPr>
              <w:t>年</w:t>
            </w:r>
          </w:p>
        </w:tc>
        <w:tc>
          <w:tcPr>
            <w:tcW w:w="2524" w:type="dxa"/>
            <w:tcBorders>
              <w:tl2br w:val="nil"/>
              <w:tr2bl w:val="nil"/>
            </w:tcBorders>
            <w:vAlign w:val="center"/>
          </w:tcPr>
          <w:p w14:paraId="30735371">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《恶臭污染物排放标准》（GB14554-93）表2标准限值</w:t>
            </w:r>
          </w:p>
        </w:tc>
      </w:tr>
      <w:tr w14:paraId="46B6CF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vMerge w:val="continue"/>
            <w:tcBorders>
              <w:tl2br w:val="nil"/>
              <w:tr2bl w:val="nil"/>
            </w:tcBorders>
            <w:vAlign w:val="center"/>
          </w:tcPr>
          <w:p w14:paraId="2F96517D">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p>
        </w:tc>
        <w:tc>
          <w:tcPr>
            <w:tcW w:w="1795" w:type="dxa"/>
            <w:vMerge w:val="continue"/>
            <w:tcBorders>
              <w:tl2br w:val="nil"/>
              <w:tr2bl w:val="nil"/>
            </w:tcBorders>
            <w:vAlign w:val="center"/>
          </w:tcPr>
          <w:p w14:paraId="1F7A5635">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p>
        </w:tc>
        <w:tc>
          <w:tcPr>
            <w:tcW w:w="2480" w:type="dxa"/>
            <w:tcBorders>
              <w:tl2br w:val="nil"/>
              <w:tr2bl w:val="nil"/>
            </w:tcBorders>
            <w:vAlign w:val="center"/>
          </w:tcPr>
          <w:p w14:paraId="69FFA204">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臭气浓度</w:t>
            </w:r>
          </w:p>
        </w:tc>
        <w:tc>
          <w:tcPr>
            <w:tcW w:w="1219" w:type="dxa"/>
            <w:vMerge w:val="continue"/>
            <w:tcBorders>
              <w:tl2br w:val="nil"/>
              <w:tr2bl w:val="nil"/>
            </w:tcBorders>
            <w:vAlign w:val="center"/>
          </w:tcPr>
          <w:p w14:paraId="5FE75568">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p>
        </w:tc>
        <w:tc>
          <w:tcPr>
            <w:tcW w:w="2524" w:type="dxa"/>
            <w:tcBorders>
              <w:tl2br w:val="nil"/>
              <w:tr2bl w:val="nil"/>
            </w:tcBorders>
            <w:vAlign w:val="center"/>
          </w:tcPr>
          <w:p w14:paraId="21A1968E">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《畜禽养殖业污染物排放标准》</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lang w:eastAsia="zh-CN"/>
                <w14:textFill>
                  <w14:solidFill>
                    <w14:schemeClr w14:val="tx1"/>
                  </w14:solidFill>
                </w14:textFill>
              </w:rPr>
              <w:t>GB18596-2001</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lang w:eastAsia="zh-CN"/>
                <w14:textFill>
                  <w14:solidFill>
                    <w14:schemeClr w14:val="tx1"/>
                  </w14:solidFill>
                </w14:textFill>
              </w:rPr>
              <w:t>表7标准限值</w:t>
            </w:r>
          </w:p>
        </w:tc>
      </w:tr>
      <w:tr w14:paraId="0BBCB0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2621" w:type="dxa"/>
            <w:gridSpan w:val="2"/>
            <w:tcBorders>
              <w:tl2br w:val="nil"/>
              <w:tr2bl w:val="nil"/>
            </w:tcBorders>
            <w:vAlign w:val="center"/>
          </w:tcPr>
          <w:p w14:paraId="7705C209">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固废</w:t>
            </w:r>
          </w:p>
        </w:tc>
        <w:tc>
          <w:tcPr>
            <w:tcW w:w="2480" w:type="dxa"/>
            <w:tcBorders>
              <w:tl2br w:val="nil"/>
              <w:tr2bl w:val="nil"/>
            </w:tcBorders>
            <w:vAlign w:val="center"/>
          </w:tcPr>
          <w:p w14:paraId="48E147A4">
            <w:pPr>
              <w:pStyle w:val="56"/>
              <w:autoSpaceDE w:val="0"/>
              <w:autoSpaceDN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统计固体废物种类、产生量、处理方式、去向</w:t>
            </w:r>
          </w:p>
        </w:tc>
        <w:tc>
          <w:tcPr>
            <w:tcW w:w="3743" w:type="dxa"/>
            <w:gridSpan w:val="2"/>
            <w:tcBorders>
              <w:tl2br w:val="nil"/>
              <w:tr2bl w:val="nil"/>
            </w:tcBorders>
            <w:vAlign w:val="center"/>
          </w:tcPr>
          <w:p w14:paraId="03C7C08C">
            <w:pPr>
              <w:pStyle w:val="56"/>
              <w:autoSpaceDE w:val="0"/>
              <w:autoSpaceDN w:val="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每月统计1次，处置过程随时记录</w:t>
            </w:r>
          </w:p>
        </w:tc>
      </w:tr>
      <w:tr w14:paraId="2963A1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tcBorders>
              <w:tl2br w:val="nil"/>
              <w:tr2bl w:val="nil"/>
            </w:tcBorders>
            <w:vAlign w:val="center"/>
          </w:tcPr>
          <w:p w14:paraId="79B38A88">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噪声</w:t>
            </w:r>
          </w:p>
        </w:tc>
        <w:tc>
          <w:tcPr>
            <w:tcW w:w="1795" w:type="dxa"/>
            <w:tcBorders>
              <w:tl2br w:val="nil"/>
              <w:tr2bl w:val="nil"/>
            </w:tcBorders>
            <w:vAlign w:val="center"/>
          </w:tcPr>
          <w:p w14:paraId="7FD563A3">
            <w:pPr>
              <w:pStyle w:val="56"/>
              <w:autoSpaceDE w:val="0"/>
              <w:autoSpaceDN w:val="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厂界</w:t>
            </w:r>
            <w:r>
              <w:rPr>
                <w:rFonts w:hint="eastAsia" w:ascii="Times New Roman" w:hAnsi="Times New Roman"/>
                <w:color w:val="000000" w:themeColor="text1"/>
                <w:szCs w:val="21"/>
                <w:lang w:val="en-US" w:eastAsia="zh-CN"/>
                <w14:textFill>
                  <w14:solidFill>
                    <w14:schemeClr w14:val="tx1"/>
                  </w14:solidFill>
                </w14:textFill>
              </w:rPr>
              <w:t>四周</w:t>
            </w:r>
          </w:p>
        </w:tc>
        <w:tc>
          <w:tcPr>
            <w:tcW w:w="2480" w:type="dxa"/>
            <w:tcBorders>
              <w:tl2br w:val="nil"/>
              <w:tr2bl w:val="nil"/>
            </w:tcBorders>
            <w:vAlign w:val="center"/>
          </w:tcPr>
          <w:p w14:paraId="509B4DA7">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昼间、夜间等效声级</w:t>
            </w:r>
          </w:p>
        </w:tc>
        <w:tc>
          <w:tcPr>
            <w:tcW w:w="1219" w:type="dxa"/>
            <w:tcBorders>
              <w:tl2br w:val="nil"/>
              <w:tr2bl w:val="nil"/>
            </w:tcBorders>
            <w:vAlign w:val="center"/>
          </w:tcPr>
          <w:p w14:paraId="7C6D26F8">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1次/季度</w:t>
            </w:r>
          </w:p>
        </w:tc>
        <w:tc>
          <w:tcPr>
            <w:tcW w:w="2524" w:type="dxa"/>
            <w:tcBorders>
              <w:tl2br w:val="nil"/>
              <w:tr2bl w:val="nil"/>
            </w:tcBorders>
            <w:vAlign w:val="center"/>
          </w:tcPr>
          <w:p w14:paraId="22A7C1C3">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《工业企业厂界环境噪声排放标准》</w:t>
            </w:r>
            <w:r>
              <w:rPr>
                <w:rFonts w:ascii="Times New Roman" w:hAnsi="Times New Roman"/>
                <w:color w:val="000000" w:themeColor="text1"/>
                <w:szCs w:val="21"/>
                <w:lang w:val="en-US" w:eastAsia="zh-CN"/>
                <w14:textFill>
                  <w14:solidFill>
                    <w14:schemeClr w14:val="tx1"/>
                  </w14:solidFill>
                </w14:textFill>
              </w:rPr>
              <w:t xml:space="preserve"> </w:t>
            </w:r>
            <w:r>
              <w:rPr>
                <w:rFonts w:ascii="Times New Roman" w:hAnsi="Times New Roman"/>
                <w:color w:val="000000" w:themeColor="text1"/>
                <w:szCs w:val="21"/>
                <w:lang w:eastAsia="zh-CN"/>
                <w14:textFill>
                  <w14:solidFill>
                    <w14:schemeClr w14:val="tx1"/>
                  </w14:solidFill>
                </w14:textFill>
              </w:rPr>
              <w:t>（GB3096-2008）中</w:t>
            </w:r>
            <w:r>
              <w:rPr>
                <w:rFonts w:hint="eastAsia" w:ascii="Times New Roman" w:hAnsi="Times New Roman"/>
                <w:color w:val="000000" w:themeColor="text1"/>
                <w:szCs w:val="21"/>
                <w:lang w:val="en-US" w:eastAsia="zh-CN"/>
                <w14:textFill>
                  <w14:solidFill>
                    <w14:schemeClr w14:val="tx1"/>
                  </w14:solidFill>
                </w14:textFill>
              </w:rPr>
              <w:t>3</w:t>
            </w:r>
            <w:r>
              <w:rPr>
                <w:rFonts w:ascii="Times New Roman" w:hAnsi="Times New Roman"/>
                <w:color w:val="000000" w:themeColor="text1"/>
                <w:szCs w:val="21"/>
                <w:lang w:eastAsia="zh-CN"/>
                <w14:textFill>
                  <w14:solidFill>
                    <w14:schemeClr w14:val="tx1"/>
                  </w14:solidFill>
                </w14:textFill>
              </w:rPr>
              <w:t>类</w:t>
            </w:r>
          </w:p>
        </w:tc>
      </w:tr>
      <w:tr w14:paraId="64B23D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826" w:type="dxa"/>
            <w:tcBorders>
              <w:tl2br w:val="nil"/>
              <w:tr2bl w:val="nil"/>
            </w:tcBorders>
            <w:vAlign w:val="center"/>
          </w:tcPr>
          <w:p w14:paraId="5AA8D30F">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地下水</w:t>
            </w:r>
          </w:p>
        </w:tc>
        <w:tc>
          <w:tcPr>
            <w:tcW w:w="1795" w:type="dxa"/>
            <w:tcBorders>
              <w:tl2br w:val="nil"/>
              <w:tr2bl w:val="nil"/>
            </w:tcBorders>
            <w:vAlign w:val="center"/>
          </w:tcPr>
          <w:p w14:paraId="1F9AA643">
            <w:pPr>
              <w:pStyle w:val="56"/>
              <w:autoSpaceDE w:val="0"/>
              <w:autoSpaceDN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项目区下游水井</w:t>
            </w:r>
          </w:p>
        </w:tc>
        <w:tc>
          <w:tcPr>
            <w:tcW w:w="2480" w:type="dxa"/>
            <w:tcBorders>
              <w:tl2br w:val="nil"/>
              <w:tr2bl w:val="nil"/>
            </w:tcBorders>
            <w:vAlign w:val="center"/>
          </w:tcPr>
          <w:p w14:paraId="1B2DD0FD">
            <w:pPr>
              <w:pStyle w:val="56"/>
              <w:autoSpaceDE w:val="0"/>
              <w:autoSpaceDN w:val="0"/>
              <w:jc w:val="center"/>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pH值、总磷、氨氮、耗氧量、硝酸盐氮、亚硝酸盐氮、硫酸盐、砷、汞、镉、铅、铬、铜、锌、总大肠菌群、细菌总数</w:t>
            </w:r>
          </w:p>
        </w:tc>
        <w:tc>
          <w:tcPr>
            <w:tcW w:w="1219" w:type="dxa"/>
            <w:tcBorders>
              <w:tl2br w:val="nil"/>
              <w:tr2bl w:val="nil"/>
            </w:tcBorders>
            <w:vAlign w:val="center"/>
          </w:tcPr>
          <w:p w14:paraId="7FD7D0AC">
            <w:pPr>
              <w:pStyle w:val="56"/>
              <w:autoSpaceDE w:val="0"/>
              <w:autoSpaceDN w:val="0"/>
              <w:jc w:val="center"/>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1次/每年</w:t>
            </w:r>
          </w:p>
        </w:tc>
        <w:tc>
          <w:tcPr>
            <w:tcW w:w="2524" w:type="dxa"/>
            <w:tcBorders>
              <w:tl2br w:val="nil"/>
              <w:tr2bl w:val="nil"/>
            </w:tcBorders>
            <w:vAlign w:val="center"/>
          </w:tcPr>
          <w:p w14:paraId="0AFEA9DC">
            <w:pPr>
              <w:pStyle w:val="56"/>
              <w:autoSpaceDE w:val="0"/>
              <w:autoSpaceDN w:val="0"/>
              <w:jc w:val="center"/>
              <w:rPr>
                <w:rFonts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lang w:eastAsia="zh-CN"/>
                <w14:textFill>
                  <w14:solidFill>
                    <w14:schemeClr w14:val="tx1"/>
                  </w14:solidFill>
                </w14:textFill>
              </w:rPr>
              <w:t>《地下水质量标准》（GB/T14848-2017）中Ⅲ类标准</w:t>
            </w:r>
          </w:p>
        </w:tc>
      </w:tr>
    </w:tbl>
    <w:p w14:paraId="4F637746">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监测数据的管理</w:t>
      </w:r>
    </w:p>
    <w:p w14:paraId="7AB2536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按照HJ819、HJ/T373要求，排污单位应当根据自行监测方案及开展状况，梳理全过程监测质控要求，建立自行监测质量保证与质量控制体系。</w:t>
      </w:r>
    </w:p>
    <w:p w14:paraId="431E21C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年度进行考核，必须把所有的环境监测资料进行归纳、整理和评价，审核后资料按档案管理规范编号存档，并同时上报当地环保部门以便落实环保措施，作为今后区域环境管理及政府决策使用，建设方应设专人负责将每年的数据上报给生态环境主管部门。</w:t>
      </w:r>
    </w:p>
    <w:p w14:paraId="598EC903">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污染物排放口（源）挂牌标识</w:t>
      </w:r>
    </w:p>
    <w:p w14:paraId="357BB875">
      <w:pPr>
        <w:keepNext w:val="0"/>
        <w:keepLines w:val="0"/>
        <w:widowControl/>
        <w:suppressLineNumbers w:val="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的各排污口按照环境管理要求，必须进行规范化建设，在本项目的污水处理站排放口、大气排放源、噪声、固废排放源设立规范的环境保护图形标志，按照《环境保护图形标志―排放口（源）》（GB15562.1-1995）</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环境保护图形标志</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固体废弃物贮存（处置）场</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（GB15562.</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-1995</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含2023修改单</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和</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《危险废物识别标志设置技术规范》（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 1276—2022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执行，以利于环境保护行政主管部门对各排放口的监督管理。标志牌制作由国家环境保护总局统一监制，标志牌应设置在与之功能相应的醒目处。</w:t>
      </w:r>
    </w:p>
    <w:p w14:paraId="5F97F8C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环境保护图形标志具体设置图形见表</w:t>
      </w:r>
      <w:r>
        <w:rPr>
          <w:rFonts w:hint="eastAsia"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.5-2</w:t>
      </w:r>
      <w:r>
        <w:rPr>
          <w:rFonts w:ascii="Times New Roman" w:hAnsi="Times New Roman" w:cs="Times New Roman"/>
          <w:color w:val="000000" w:themeColor="text1"/>
          <w14:textFill>
            <w14:solidFill>
              <w14:schemeClr w14:val="tx1"/>
            </w14:solidFill>
          </w14:textFill>
        </w:rPr>
        <w:t>。</w:t>
      </w:r>
    </w:p>
    <w:p w14:paraId="581D7922">
      <w:pPr>
        <w:ind w:firstLine="0" w:firstLineChars="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lang w:val="zh-CN"/>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8</w:t>
      </w:r>
      <w:r>
        <w:rPr>
          <w:rFonts w:ascii="Times New Roman" w:hAnsi="Times New Roman" w:eastAsia="宋体" w:cs="Times New Roman"/>
          <w:b/>
          <w:bCs/>
          <w:color w:val="000000" w:themeColor="text1"/>
          <w:lang w:val="zh-CN"/>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5</w:t>
      </w:r>
      <w:r>
        <w:rPr>
          <w:rFonts w:ascii="Times New Roman" w:hAnsi="Times New Roman" w:eastAsia="宋体" w:cs="Times New Roman"/>
          <w:b/>
          <w:bCs/>
          <w:color w:val="000000" w:themeColor="text1"/>
          <w:lang w:val="zh-CN"/>
          <w14:textFill>
            <w14:solidFill>
              <w14:schemeClr w14:val="tx1"/>
            </w14:solidFill>
          </w14:textFill>
        </w:rPr>
        <w:t>-2      环境保护图形标志具体设置图形</w:t>
      </w:r>
      <w:r>
        <w:rPr>
          <w:rFonts w:ascii="Times New Roman" w:hAnsi="Times New Roman" w:eastAsia="宋体" w:cs="Times New Roman"/>
          <w:b/>
          <w:bCs/>
          <w:color w:val="000000" w:themeColor="text1"/>
          <w14:textFill>
            <w14:solidFill>
              <w14:schemeClr w14:val="tx1"/>
            </w14:solidFill>
          </w14:textFill>
        </w:rPr>
        <w:t>表</w:t>
      </w:r>
    </w:p>
    <w:tbl>
      <w:tblPr>
        <w:tblStyle w:val="35"/>
        <w:tblW w:w="838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57"/>
        <w:gridCol w:w="2372"/>
        <w:gridCol w:w="1416"/>
        <w:gridCol w:w="1385"/>
      </w:tblGrid>
      <w:tr w14:paraId="066DB5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49D99F0A">
            <w:pPr>
              <w:pStyle w:val="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序号</w:t>
            </w:r>
          </w:p>
        </w:tc>
        <w:tc>
          <w:tcPr>
            <w:tcW w:w="2357" w:type="dxa"/>
            <w:tcBorders>
              <w:tl2br w:val="nil"/>
              <w:tr2bl w:val="nil"/>
            </w:tcBorders>
            <w:shd w:val="clear" w:color="auto" w:fill="auto"/>
            <w:vAlign w:val="center"/>
          </w:tcPr>
          <w:p w14:paraId="699F291B">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提示图形符号</w:t>
            </w:r>
          </w:p>
        </w:tc>
        <w:tc>
          <w:tcPr>
            <w:tcW w:w="2372" w:type="dxa"/>
            <w:tcBorders>
              <w:tl2br w:val="nil"/>
              <w:tr2bl w:val="nil"/>
            </w:tcBorders>
            <w:shd w:val="clear" w:color="auto" w:fill="auto"/>
            <w:vAlign w:val="center"/>
          </w:tcPr>
          <w:p w14:paraId="0CDA655A">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警告图形符合</w:t>
            </w:r>
          </w:p>
        </w:tc>
        <w:tc>
          <w:tcPr>
            <w:tcW w:w="1416" w:type="dxa"/>
            <w:tcBorders>
              <w:tl2br w:val="nil"/>
              <w:tr2bl w:val="nil"/>
            </w:tcBorders>
            <w:shd w:val="clear" w:color="auto" w:fill="auto"/>
            <w:vAlign w:val="center"/>
          </w:tcPr>
          <w:p w14:paraId="63D595E6">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名称</w:t>
            </w:r>
          </w:p>
        </w:tc>
        <w:tc>
          <w:tcPr>
            <w:tcW w:w="1385" w:type="dxa"/>
            <w:tcBorders>
              <w:tl2br w:val="nil"/>
              <w:tr2bl w:val="nil"/>
            </w:tcBorders>
            <w:shd w:val="clear" w:color="auto" w:fill="auto"/>
            <w:vAlign w:val="center"/>
          </w:tcPr>
          <w:p w14:paraId="5C72803D">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功能</w:t>
            </w:r>
          </w:p>
        </w:tc>
      </w:tr>
      <w:tr w14:paraId="4845D5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2CD2F7EF">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1</w:t>
            </w:r>
          </w:p>
        </w:tc>
        <w:tc>
          <w:tcPr>
            <w:tcW w:w="2357" w:type="dxa"/>
            <w:tcBorders>
              <w:tl2br w:val="nil"/>
              <w:tr2bl w:val="nil"/>
            </w:tcBorders>
            <w:shd w:val="clear" w:color="auto" w:fill="auto"/>
            <w:vAlign w:val="center"/>
          </w:tcPr>
          <w:p w14:paraId="1B220A59">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802005" cy="802005"/>
                  <wp:effectExtent l="0" t="0" r="17145"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802005" cy="802005"/>
                          </a:xfrm>
                          <a:prstGeom prst="rect">
                            <a:avLst/>
                          </a:prstGeom>
                          <a:noFill/>
                          <a:ln>
                            <a:noFill/>
                          </a:ln>
                        </pic:spPr>
                      </pic:pic>
                    </a:graphicData>
                  </a:graphic>
                </wp:inline>
              </w:drawing>
            </w:r>
          </w:p>
        </w:tc>
        <w:tc>
          <w:tcPr>
            <w:tcW w:w="2372" w:type="dxa"/>
            <w:tcBorders>
              <w:tl2br w:val="nil"/>
              <w:tr2bl w:val="nil"/>
            </w:tcBorders>
            <w:shd w:val="clear" w:color="auto" w:fill="auto"/>
            <w:vAlign w:val="center"/>
          </w:tcPr>
          <w:p w14:paraId="280C7275">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931545" cy="828040"/>
                  <wp:effectExtent l="0" t="0" r="190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931545" cy="828040"/>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07200959">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废气排放口</w:t>
            </w:r>
          </w:p>
        </w:tc>
        <w:tc>
          <w:tcPr>
            <w:tcW w:w="1385" w:type="dxa"/>
            <w:tcBorders>
              <w:tl2br w:val="nil"/>
              <w:tr2bl w:val="nil"/>
            </w:tcBorders>
            <w:shd w:val="clear" w:color="auto" w:fill="auto"/>
            <w:vAlign w:val="center"/>
          </w:tcPr>
          <w:p w14:paraId="0BD74448">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表示废气向大气环境排放</w:t>
            </w:r>
          </w:p>
        </w:tc>
      </w:tr>
      <w:tr w14:paraId="179F22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5F8380D5">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2</w:t>
            </w:r>
          </w:p>
        </w:tc>
        <w:tc>
          <w:tcPr>
            <w:tcW w:w="2357" w:type="dxa"/>
            <w:tcBorders>
              <w:tl2br w:val="nil"/>
              <w:tr2bl w:val="nil"/>
            </w:tcBorders>
            <w:shd w:val="clear" w:color="auto" w:fill="auto"/>
            <w:vAlign w:val="center"/>
          </w:tcPr>
          <w:p w14:paraId="13E0C3A2">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854710" cy="85471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854710" cy="854710"/>
                          </a:xfrm>
                          <a:prstGeom prst="rect">
                            <a:avLst/>
                          </a:prstGeom>
                          <a:noFill/>
                        </pic:spPr>
                      </pic:pic>
                    </a:graphicData>
                  </a:graphic>
                </wp:inline>
              </w:drawing>
            </w:r>
          </w:p>
        </w:tc>
        <w:tc>
          <w:tcPr>
            <w:tcW w:w="2372" w:type="dxa"/>
            <w:tcBorders>
              <w:tl2br w:val="nil"/>
              <w:tr2bl w:val="nil"/>
            </w:tcBorders>
            <w:shd w:val="clear" w:color="auto" w:fill="auto"/>
            <w:vAlign w:val="center"/>
          </w:tcPr>
          <w:p w14:paraId="16923170">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972820" cy="866140"/>
                  <wp:effectExtent l="0" t="0" r="17780"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972820" cy="866140"/>
                          </a:xfrm>
                          <a:prstGeom prst="rect">
                            <a:avLst/>
                          </a:prstGeom>
                          <a:noFill/>
                        </pic:spPr>
                      </pic:pic>
                    </a:graphicData>
                  </a:graphic>
                </wp:inline>
              </w:drawing>
            </w:r>
          </w:p>
        </w:tc>
        <w:tc>
          <w:tcPr>
            <w:tcW w:w="1416" w:type="dxa"/>
            <w:tcBorders>
              <w:tl2br w:val="nil"/>
              <w:tr2bl w:val="nil"/>
            </w:tcBorders>
            <w:shd w:val="clear" w:color="auto" w:fill="auto"/>
            <w:vAlign w:val="center"/>
          </w:tcPr>
          <w:p w14:paraId="11115EEF">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废水排放口</w:t>
            </w:r>
          </w:p>
        </w:tc>
        <w:tc>
          <w:tcPr>
            <w:tcW w:w="1385" w:type="dxa"/>
            <w:tcBorders>
              <w:tl2br w:val="nil"/>
              <w:tr2bl w:val="nil"/>
            </w:tcBorders>
            <w:shd w:val="clear" w:color="auto" w:fill="auto"/>
            <w:vAlign w:val="center"/>
          </w:tcPr>
          <w:p w14:paraId="36A2427E">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p>
        </w:tc>
      </w:tr>
      <w:tr w14:paraId="24425C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7F67A408">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3</w:t>
            </w:r>
          </w:p>
        </w:tc>
        <w:tc>
          <w:tcPr>
            <w:tcW w:w="2357" w:type="dxa"/>
            <w:tcBorders>
              <w:tl2br w:val="nil"/>
              <w:tr2bl w:val="nil"/>
            </w:tcBorders>
            <w:shd w:val="clear" w:color="auto" w:fill="auto"/>
            <w:vAlign w:val="center"/>
          </w:tcPr>
          <w:p w14:paraId="7304E346">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750570" cy="75057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750570" cy="750570"/>
                          </a:xfrm>
                          <a:prstGeom prst="rect">
                            <a:avLst/>
                          </a:prstGeom>
                          <a:noFill/>
                          <a:ln>
                            <a:noFill/>
                          </a:ln>
                        </pic:spPr>
                      </pic:pic>
                    </a:graphicData>
                  </a:graphic>
                </wp:inline>
              </w:drawing>
            </w:r>
          </w:p>
        </w:tc>
        <w:tc>
          <w:tcPr>
            <w:tcW w:w="2372" w:type="dxa"/>
            <w:tcBorders>
              <w:tl2br w:val="nil"/>
              <w:tr2bl w:val="nil"/>
            </w:tcBorders>
            <w:shd w:val="clear" w:color="auto" w:fill="auto"/>
            <w:vAlign w:val="center"/>
          </w:tcPr>
          <w:p w14:paraId="72D29BBE">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017905" cy="741680"/>
                  <wp:effectExtent l="0" t="0" r="1079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017905" cy="741680"/>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2D43C28D">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噪声排放源</w:t>
            </w:r>
          </w:p>
        </w:tc>
        <w:tc>
          <w:tcPr>
            <w:tcW w:w="1385" w:type="dxa"/>
            <w:tcBorders>
              <w:tl2br w:val="nil"/>
              <w:tr2bl w:val="nil"/>
            </w:tcBorders>
            <w:shd w:val="clear" w:color="auto" w:fill="auto"/>
            <w:vAlign w:val="center"/>
          </w:tcPr>
          <w:p w14:paraId="0511B0DA">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表示噪声向外环境排放</w:t>
            </w:r>
          </w:p>
        </w:tc>
      </w:tr>
      <w:tr w14:paraId="79C6C6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15D24675">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4</w:t>
            </w:r>
          </w:p>
        </w:tc>
        <w:tc>
          <w:tcPr>
            <w:tcW w:w="2357" w:type="dxa"/>
            <w:tcBorders>
              <w:tl2br w:val="nil"/>
              <w:tr2bl w:val="nil"/>
            </w:tcBorders>
            <w:shd w:val="clear" w:color="auto" w:fill="auto"/>
            <w:vAlign w:val="center"/>
          </w:tcPr>
          <w:p w14:paraId="2C0C3557">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828040" cy="828040"/>
                  <wp:effectExtent l="0" t="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828040" cy="828040"/>
                          </a:xfrm>
                          <a:prstGeom prst="rect">
                            <a:avLst/>
                          </a:prstGeom>
                          <a:noFill/>
                          <a:ln>
                            <a:noFill/>
                          </a:ln>
                        </pic:spPr>
                      </pic:pic>
                    </a:graphicData>
                  </a:graphic>
                </wp:inline>
              </w:drawing>
            </w:r>
          </w:p>
        </w:tc>
        <w:tc>
          <w:tcPr>
            <w:tcW w:w="2372" w:type="dxa"/>
            <w:tcBorders>
              <w:tl2br w:val="nil"/>
              <w:tr2bl w:val="nil"/>
            </w:tcBorders>
            <w:shd w:val="clear" w:color="auto" w:fill="auto"/>
            <w:vAlign w:val="center"/>
          </w:tcPr>
          <w:p w14:paraId="3DD3100C">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966470" cy="862330"/>
                  <wp:effectExtent l="0" t="0" r="508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966470" cy="862330"/>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72027903">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一般固体废物</w:t>
            </w:r>
          </w:p>
        </w:tc>
        <w:tc>
          <w:tcPr>
            <w:tcW w:w="1385" w:type="dxa"/>
            <w:tcBorders>
              <w:tl2br w:val="nil"/>
              <w:tr2bl w:val="nil"/>
            </w:tcBorders>
            <w:shd w:val="clear" w:color="auto" w:fill="auto"/>
            <w:vAlign w:val="center"/>
          </w:tcPr>
          <w:p w14:paraId="6C51CF27">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表示一般固体废物贮存、处置场</w:t>
            </w:r>
          </w:p>
        </w:tc>
      </w:tr>
      <w:tr w14:paraId="115CA2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851" w:type="dxa"/>
            <w:tcBorders>
              <w:tl2br w:val="nil"/>
              <w:tr2bl w:val="nil"/>
            </w:tcBorders>
            <w:shd w:val="clear" w:color="auto" w:fill="auto"/>
            <w:vAlign w:val="center"/>
          </w:tcPr>
          <w:p w14:paraId="75F4D4FA">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5</w:t>
            </w:r>
          </w:p>
        </w:tc>
        <w:tc>
          <w:tcPr>
            <w:tcW w:w="2357" w:type="dxa"/>
            <w:tcBorders>
              <w:tl2br w:val="nil"/>
              <w:tr2bl w:val="nil"/>
            </w:tcBorders>
            <w:shd w:val="clear" w:color="auto" w:fill="auto"/>
            <w:vAlign w:val="center"/>
          </w:tcPr>
          <w:p w14:paraId="7B255C35">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p>
        </w:tc>
        <w:tc>
          <w:tcPr>
            <w:tcW w:w="2372" w:type="dxa"/>
            <w:tcBorders>
              <w:tl2br w:val="nil"/>
              <w:tr2bl w:val="nil"/>
            </w:tcBorders>
            <w:shd w:val="clear" w:color="auto" w:fill="auto"/>
            <w:vAlign w:val="center"/>
          </w:tcPr>
          <w:p w14:paraId="57F00627">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915035" cy="818515"/>
                  <wp:effectExtent l="0" t="0" r="1841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915035" cy="818515"/>
                          </a:xfrm>
                          <a:prstGeom prst="rect">
                            <a:avLst/>
                          </a:prstGeom>
                          <a:noFill/>
                          <a:ln>
                            <a:noFill/>
                          </a:ln>
                        </pic:spPr>
                      </pic:pic>
                    </a:graphicData>
                  </a:graphic>
                </wp:inline>
              </w:drawing>
            </w:r>
          </w:p>
        </w:tc>
        <w:tc>
          <w:tcPr>
            <w:tcW w:w="1416" w:type="dxa"/>
            <w:tcBorders>
              <w:tl2br w:val="nil"/>
              <w:tr2bl w:val="nil"/>
            </w:tcBorders>
            <w:shd w:val="clear" w:color="auto" w:fill="auto"/>
            <w:vAlign w:val="center"/>
          </w:tcPr>
          <w:p w14:paraId="1782C47C">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危险废物</w:t>
            </w:r>
          </w:p>
        </w:tc>
        <w:tc>
          <w:tcPr>
            <w:tcW w:w="1385" w:type="dxa"/>
            <w:tcBorders>
              <w:tl2br w:val="nil"/>
              <w:tr2bl w:val="nil"/>
            </w:tcBorders>
            <w:shd w:val="clear" w:color="auto" w:fill="auto"/>
            <w:vAlign w:val="center"/>
          </w:tcPr>
          <w:p w14:paraId="4AA90C48">
            <w:pPr>
              <w:pStyle w:val="60"/>
              <w:autoSpaceDE w:val="0"/>
              <w:autoSpaceDN w:val="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表示危险废物贮存、处置场</w:t>
            </w:r>
          </w:p>
        </w:tc>
      </w:tr>
    </w:tbl>
    <w:p w14:paraId="4FF2B72A">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44" w:name="8.5竣工验收计划"/>
      <w:bookmarkEnd w:id="344"/>
      <w:bookmarkStart w:id="345" w:name="8.4环境监控计划"/>
      <w:bookmarkEnd w:id="345"/>
      <w:bookmarkStart w:id="346" w:name="_bookmark48"/>
      <w:bookmarkEnd w:id="346"/>
      <w:bookmarkStart w:id="347" w:name="_bookmark49"/>
      <w:bookmarkEnd w:id="347"/>
      <w:bookmarkStart w:id="348" w:name="_Toc7813"/>
      <w:r>
        <w:rPr>
          <w:rFonts w:ascii="Times New Roman" w:hAnsi="Times New Roman" w:cs="Times New Roman"/>
          <w:color w:val="000000" w:themeColor="text1"/>
          <w:lang w:val="en-GB"/>
          <w14:textFill>
            <w14:solidFill>
              <w14:schemeClr w14:val="tx1"/>
            </w14:solidFill>
          </w14:textFill>
        </w:rPr>
        <w:t>环境管理台账记录与排污许可执行报告编制要求</w:t>
      </w:r>
      <w:bookmarkEnd w:id="348"/>
    </w:p>
    <w:p w14:paraId="437AF83C">
      <w:pPr>
        <w:pStyle w:val="5"/>
        <w:numPr>
          <w:ilvl w:val="2"/>
          <w:numId w:val="1"/>
        </w:numPr>
        <w:ind w:left="120"/>
        <w:rPr>
          <w:rFonts w:ascii="Times New Roman" w:hAnsi="Times New Roman" w:cs="Times New Roman"/>
          <w:color w:val="000000" w:themeColor="text1"/>
          <w:lang w:val="en-GB"/>
          <w14:textFill>
            <w14:solidFill>
              <w14:schemeClr w14:val="tx1"/>
            </w14:solidFill>
          </w14:textFill>
        </w:rPr>
      </w:pPr>
      <w:bookmarkStart w:id="349" w:name="_Toc31435"/>
      <w:bookmarkStart w:id="350" w:name="_Toc27912"/>
      <w:bookmarkStart w:id="351" w:name="_Toc25652"/>
      <w:bookmarkStart w:id="352" w:name="_Toc9414"/>
      <w:r>
        <w:rPr>
          <w:rFonts w:ascii="Times New Roman" w:hAnsi="Times New Roman" w:cs="Times New Roman"/>
          <w:color w:val="000000" w:themeColor="text1"/>
          <w:lang w:val="en-GB"/>
          <w14:textFill>
            <w14:solidFill>
              <w14:schemeClr w14:val="tx1"/>
            </w14:solidFill>
          </w14:textFill>
        </w:rPr>
        <w:t>环境管理台账记录要求</w:t>
      </w:r>
      <w:bookmarkEnd w:id="349"/>
      <w:bookmarkEnd w:id="350"/>
      <w:bookmarkEnd w:id="351"/>
      <w:bookmarkEnd w:id="352"/>
    </w:p>
    <w:p w14:paraId="69CCCABE">
      <w:pPr>
        <w:pStyle w:val="6"/>
        <w:numPr>
          <w:ilvl w:val="3"/>
          <w:numId w:val="1"/>
        </w:numPr>
        <w:ind w:left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一般原则</w:t>
      </w:r>
    </w:p>
    <w:p w14:paraId="6A4CD84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畜禽养殖行业排污单位应建立环境管理台账记录制度，落实环境管理台账记录的责任部门和责任人，明确工作职责，包括台账的记录、整理、维护和管理等，并对环境管理台账的真实性、完整性和规范性负责。</w:t>
      </w:r>
    </w:p>
    <w:p w14:paraId="569B82F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管理台账应按照电子化储存和纸质储存两种形式同步管理。畜禽养殖行业排污单位环境管理台账应记录基本信息、生产设施运行管理信息和污染防治设施运行管理信息、监测记录信息和其他环境管理信息等。生产设施、污染防治设施、排放口编码应与排污许可证中载明的编码一致。</w:t>
      </w:r>
    </w:p>
    <w:p w14:paraId="6C1C2669">
      <w:pPr>
        <w:pStyle w:val="6"/>
        <w:numPr>
          <w:ilvl w:val="3"/>
          <w:numId w:val="1"/>
        </w:num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记录内容</w:t>
      </w:r>
    </w:p>
    <w:p w14:paraId="7621F84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（1）基本信息</w:t>
      </w:r>
    </w:p>
    <w:p w14:paraId="0CAA1D0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基本信息包括排污单位生产设施基本信息与污染防治设施基本信息。</w:t>
      </w:r>
    </w:p>
    <w:p w14:paraId="402D2A2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a）生产设施基本信息</w:t>
      </w:r>
    </w:p>
    <w:p w14:paraId="31403D3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生产设施基本信息包括养殖种类、养殖能力、占地面积、栏舍面积、是否雨污分流等。</w:t>
      </w:r>
    </w:p>
    <w:p w14:paraId="01E73E1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b）污染防治设施基本信息</w:t>
      </w:r>
    </w:p>
    <w:p w14:paraId="57AEB54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防治设施基本信息包括废水处理设施名称、编码、处理规模、处理工艺、污水处理处置方式、是否有流量计、是否安装在线监测及在线监测指标；无组织废气收集装置名称、编码、处理方式、型号、排放方式、是否开展监测等。</w:t>
      </w:r>
    </w:p>
    <w:p w14:paraId="01802F9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（2）生产设施运行管理信息</w:t>
      </w:r>
    </w:p>
    <w:p w14:paraId="23CBD1D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生产设施运行管理信息为养殖栏舍管理信息，具体应记录养殖种类、栏舍数量、栏舍面积、养殖方式、存栏量、出栏量、总取水量、总排水量。</w:t>
      </w:r>
    </w:p>
    <w:p w14:paraId="2B7E63E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（3）污染防治设施运行管理信息</w:t>
      </w:r>
    </w:p>
    <w:p w14:paraId="4A097F1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包括废水、无组织废气及固体粪污污染防治设施运行管理信息，至少记录以下内容：</w:t>
      </w:r>
    </w:p>
    <w:p w14:paraId="16B3B22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a）正常情况</w:t>
      </w:r>
    </w:p>
    <w:p w14:paraId="67B6FC9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污染防治设施运行管理信息应记录污染物排放情况、污泥产生量及处理处置情况、主要药剂添加情况等；无组织废气污染防治设施运行管理信息应记录无组织排放控制措施、记录班次、控制措施运行参数等；固体粪污设施运行管理信息应记录清粪方式、粪污产生量和清出量、粪污利用去向等。</w:t>
      </w:r>
    </w:p>
    <w:p w14:paraId="17A5915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b）异常情况</w:t>
      </w:r>
    </w:p>
    <w:p w14:paraId="7FDA2EC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应记录异常（停运）时刻、恢复（启动）时刻、事件原因、是否报告、所采取的措施。</w:t>
      </w:r>
    </w:p>
    <w:p w14:paraId="0B3D7F8C">
      <w:pPr>
        <w:pStyle w:val="6"/>
        <w:numPr>
          <w:ilvl w:val="3"/>
          <w:numId w:val="1"/>
        </w:num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记录频次</w:t>
      </w:r>
    </w:p>
    <w:p w14:paraId="41CB971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（1）基本信息</w:t>
      </w:r>
    </w:p>
    <w:p w14:paraId="2571689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对于未发生变化的基本信息，按年记录，1次/年；对于发生变化的基本信息，在发生变化时记录。</w:t>
      </w:r>
    </w:p>
    <w:p w14:paraId="6DBCDA0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（2）生产设施运行管理信息</w:t>
      </w:r>
    </w:p>
    <w:p w14:paraId="78209BC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栏舍数量、栏舍面积、存栏量、出栏量等信息按批次记录，1次/批次；总取水量、总排水量信息按月记录，按年汇总。</w:t>
      </w:r>
    </w:p>
    <w:p w14:paraId="68BCE732">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（3）污染防治设施运行管理信息</w:t>
      </w:r>
    </w:p>
    <w:p w14:paraId="7A70CE4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a）正常情况</w:t>
      </w:r>
    </w:p>
    <w:p w14:paraId="376D7F2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污染防治设施运行情况、污染物排放情况按日记录，按月汇总；主要药剂添加情况按批次记录，按月汇总；用电量逐月记录，1次/月；无组织废气污染防治措施管理信息按日记录，1次/日；固体粪污产生量按日记录，按月汇总，清出量按批次记录，按月汇总。</w:t>
      </w:r>
    </w:p>
    <w:p w14:paraId="0BA32D2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b）异常情况</w:t>
      </w:r>
    </w:p>
    <w:p w14:paraId="2921B10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按照异常情况期记录，一次/异常情况期。</w:t>
      </w:r>
    </w:p>
    <w:p w14:paraId="204CEAE2">
      <w:pPr>
        <w:pStyle w:val="6"/>
        <w:numPr>
          <w:ilvl w:val="3"/>
          <w:numId w:val="1"/>
        </w:num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记录存储及保存</w:t>
      </w:r>
    </w:p>
    <w:p w14:paraId="5765CD1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（1）纸质存储</w:t>
      </w:r>
    </w:p>
    <w:p w14:paraId="47DD2EE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纸质台账应存放于保护袋、卷夹或保护盒等保存介质中；由专人签字、定点保存；应采取防光、防热、防潮、防细菌及防污染等措施；如有破损应及时修补，并留存备查。</w:t>
      </w:r>
    </w:p>
    <w:p w14:paraId="410299A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（2）电子化存储</w:t>
      </w:r>
    </w:p>
    <w:p w14:paraId="0F4378E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应存放于电子储存介质中，并进行数据备份；可在排污许可证管理信息平台填报并保存，由专人定期维护管理。</w:t>
      </w:r>
    </w:p>
    <w:p w14:paraId="028FFF51">
      <w:pPr>
        <w:pStyle w:val="5"/>
        <w:numPr>
          <w:ilvl w:val="2"/>
          <w:numId w:val="1"/>
        </w:numPr>
        <w:ind w:left="120"/>
        <w:rPr>
          <w:rFonts w:ascii="Times New Roman" w:hAnsi="Times New Roman" w:cs="Times New Roman"/>
          <w:color w:val="000000" w:themeColor="text1"/>
          <w:lang w:val="en-GB"/>
          <w14:textFill>
            <w14:solidFill>
              <w14:schemeClr w14:val="tx1"/>
            </w14:solidFill>
          </w14:textFill>
        </w:rPr>
      </w:pPr>
      <w:bookmarkStart w:id="353" w:name="_Toc14273"/>
      <w:bookmarkStart w:id="354" w:name="_Toc1214"/>
      <w:bookmarkStart w:id="355" w:name="_Toc6554"/>
      <w:bookmarkStart w:id="356" w:name="_Toc9627"/>
      <w:r>
        <w:rPr>
          <w:rFonts w:ascii="Times New Roman" w:hAnsi="Times New Roman" w:cs="Times New Roman"/>
          <w:color w:val="000000" w:themeColor="text1"/>
          <w:lang w:val="en-GB"/>
          <w14:textFill>
            <w14:solidFill>
              <w14:schemeClr w14:val="tx1"/>
            </w14:solidFill>
          </w14:textFill>
        </w:rPr>
        <w:t>排污许可证执行报告编制要求</w:t>
      </w:r>
      <w:bookmarkEnd w:id="353"/>
      <w:bookmarkEnd w:id="354"/>
      <w:bookmarkEnd w:id="355"/>
      <w:bookmarkEnd w:id="356"/>
    </w:p>
    <w:p w14:paraId="11B1CAD4">
      <w:pPr>
        <w:pStyle w:val="6"/>
        <w:numPr>
          <w:ilvl w:val="3"/>
          <w:numId w:val="1"/>
        </w:num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报告周期</w:t>
      </w:r>
    </w:p>
    <w:p w14:paraId="421D9FA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（1）一般原则</w:t>
      </w:r>
    </w:p>
    <w:p w14:paraId="48883E1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养殖排污单位应提交年度执行报告与季度执行报告。地方生态环境主管部门根据环境管理需求，可要求排污单位提交月度执行报告，并在排污许可证中明确。排污单位按照排污许可证规定的时间提交执行报告。</w:t>
      </w:r>
    </w:p>
    <w:p w14:paraId="0DC9ADB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（2）年度执行报告</w:t>
      </w:r>
    </w:p>
    <w:p w14:paraId="4F5A5E8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对于持证时间超过三个月的年度，报告周期为当年全年（自然年）；对于持证时间不足三个月的年度，当年可不提交年度执行报告，排污许可证执行情况纳入下一年年度执行报告。</w:t>
      </w:r>
    </w:p>
    <w:p w14:paraId="7F50166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（3）季度执行报告</w:t>
      </w:r>
    </w:p>
    <w:p w14:paraId="51B2578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对于持证时间超过一个月的季度，报告周期为当季全季（自然季度），对于持证时间不足一个月的季度，该报告周期内可不提交季度执行报告，排污许可证执行情况纳入下一季度执行报告。</w:t>
      </w:r>
    </w:p>
    <w:p w14:paraId="38C89CFF">
      <w:pPr>
        <w:pStyle w:val="6"/>
        <w:numPr>
          <w:ilvl w:val="3"/>
          <w:numId w:val="1"/>
        </w:num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报告编制内容</w:t>
      </w:r>
    </w:p>
    <w:p w14:paraId="01965653">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污单位应对提交的排污许可证执行报告中各项内容和数据的真实性、有效性负责，并自愿承担相应法律责任；应自觉接受生态环境主管部门监管和社会公众监督，如提交的内容和数据与实际情况不符，应积极配合调查，并依法接受处罚。排污单位应对上述要求做出承诺，并将承诺书纳入执行报告中。</w:t>
      </w:r>
    </w:p>
    <w:p w14:paraId="1E6D3DA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（1）年度执行报告</w:t>
      </w:r>
    </w:p>
    <w:p w14:paraId="5D908C1E">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执行报告提纲具体内容如下，记录样式参见</w:t>
      </w:r>
      <w:r>
        <w:rPr>
          <w:rFonts w:hint="eastAsia" w:ascii="Times New Roman" w:hAnsi="Times New Roman" w:cs="Times New Roman" w:eastAsiaTheme="minorEastAsia"/>
          <w:color w:val="000000" w:themeColor="text1"/>
          <w:szCs w:val="22"/>
          <w:lang w:val="en-US" w:eastAsia="zh-CN"/>
          <w14:textFill>
            <w14:solidFill>
              <w14:schemeClr w14:val="tx1"/>
            </w14:solidFill>
          </w14:textFill>
        </w:rPr>
        <w:t>《排污许可申请与核发技术规范 锅炉》</w:t>
      </w:r>
      <w:r>
        <w:rPr>
          <w:rFonts w:ascii="Times New Roman" w:hAnsi="Times New Roman" w:cs="Times New Roman"/>
          <w:color w:val="000000" w:themeColor="text1"/>
          <w14:textFill>
            <w14:solidFill>
              <w14:schemeClr w14:val="tx1"/>
            </w14:solidFill>
          </w14:textFill>
        </w:rPr>
        <w:t>《排污许可证申请与核发技术规范畜禽养殖行业》（HJ 1029—2019）附录 B。</w:t>
      </w:r>
    </w:p>
    <w:p w14:paraId="7A44FCFD">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1）排污单位基本情况；</w:t>
      </w:r>
    </w:p>
    <w:p w14:paraId="29E7C17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2）污染防治设施运行情况；</w:t>
      </w:r>
    </w:p>
    <w:p w14:paraId="385C780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3）自行监测执行情况；</w:t>
      </w:r>
    </w:p>
    <w:p w14:paraId="4779B2A6">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4）环境管理台账执行情况；</w:t>
      </w:r>
    </w:p>
    <w:p w14:paraId="3EE3A49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5）实际排放情况及合规判定分析；</w:t>
      </w:r>
    </w:p>
    <w:p w14:paraId="7464E2B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6）信息公开情况；</w:t>
      </w:r>
    </w:p>
    <w:p w14:paraId="466A097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7）排污单位内部环境管理体系建设与运行情况；</w:t>
      </w:r>
    </w:p>
    <w:p w14:paraId="71EEF834">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8）其他排污许可证规定的内容执行情况；</w:t>
      </w:r>
    </w:p>
    <w:p w14:paraId="1A313C0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9）其他需要说明的问题；</w:t>
      </w:r>
    </w:p>
    <w:p w14:paraId="28F5818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10）结论；</w:t>
      </w:r>
    </w:p>
    <w:p w14:paraId="66320101">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11）附件附图要求。</w:t>
      </w:r>
    </w:p>
    <w:p w14:paraId="2A227AD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（2）季度执行报告</w:t>
      </w:r>
    </w:p>
    <w:p w14:paraId="22FF426A">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季度执行报告应包括污染物实际排放浓度、实际排放量、合规判定分析、超标排放或污染防治设施异常情况说明等内容。</w:t>
      </w:r>
    </w:p>
    <w:p w14:paraId="03B9B835">
      <w:pPr>
        <w:pStyle w:val="4"/>
        <w:numPr>
          <w:ilvl w:val="1"/>
          <w:numId w:val="1"/>
        </w:numPr>
        <w:ind w:left="120"/>
        <w:rPr>
          <w:rFonts w:ascii="Times New Roman" w:hAnsi="Times New Roman" w:cs="Times New Roman"/>
          <w:color w:val="000000" w:themeColor="text1"/>
          <w14:textFill>
            <w14:solidFill>
              <w14:schemeClr w14:val="tx1"/>
            </w14:solidFill>
          </w14:textFill>
        </w:rPr>
      </w:pPr>
      <w:bookmarkStart w:id="357" w:name="_Toc4906"/>
      <w:r>
        <w:rPr>
          <w:rFonts w:ascii="Times New Roman" w:hAnsi="Times New Roman" w:cs="Times New Roman"/>
          <w:color w:val="000000" w:themeColor="text1"/>
          <w:lang w:bidi="zh-CN"/>
          <w14:textFill>
            <w14:solidFill>
              <w14:schemeClr w14:val="tx1"/>
            </w14:solidFill>
          </w14:textFill>
        </w:rPr>
        <w:t>突发环境事件应急预案编制要求</w:t>
      </w:r>
      <w:bookmarkEnd w:id="357"/>
    </w:p>
    <w:p w14:paraId="730C34F0">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突发环境事件应急</w:t>
      </w:r>
      <w:r>
        <w:rPr>
          <w:rFonts w:ascii="Times New Roman" w:hAnsi="Times New Roman" w:cs="Times New Roman"/>
          <w:color w:val="000000" w:themeColor="text1"/>
          <w:lang w:val="zh-CN"/>
          <w14:textFill>
            <w14:solidFill>
              <w14:schemeClr w14:val="tx1"/>
            </w14:solidFill>
          </w14:textFill>
        </w:rPr>
        <w:t>预案的编制</w:t>
      </w:r>
      <w:r>
        <w:rPr>
          <w:rFonts w:hint="eastAsia" w:cs="Times New Roman"/>
          <w:color w:val="000000" w:themeColor="text1"/>
          <w:lang w:val="zh-CN"/>
          <w14:textFill>
            <w14:solidFill>
              <w14:schemeClr w14:val="tx1"/>
            </w14:solidFill>
          </w14:textFill>
        </w:rPr>
        <w:t>是</w:t>
      </w:r>
      <w:r>
        <w:rPr>
          <w:rFonts w:ascii="Times New Roman" w:hAnsi="Times New Roman" w:cs="Times New Roman"/>
          <w:color w:val="000000" w:themeColor="text1"/>
          <w:lang w:val="zh-CN"/>
          <w14:textFill>
            <w14:solidFill>
              <w14:schemeClr w14:val="tx1"/>
            </w14:solidFill>
          </w14:textFill>
        </w:rPr>
        <w:t>对</w:t>
      </w:r>
      <w:r>
        <w:rPr>
          <w:rFonts w:ascii="Times New Roman" w:hAnsi="Times New Roman" w:cs="Times New Roman"/>
          <w:color w:val="000000" w:themeColor="text1"/>
          <w14:textFill>
            <w14:solidFill>
              <w14:schemeClr w14:val="tx1"/>
            </w14:solidFill>
          </w14:textFill>
        </w:rPr>
        <w:t>项目</w:t>
      </w:r>
      <w:r>
        <w:rPr>
          <w:rFonts w:ascii="Times New Roman" w:hAnsi="Times New Roman" w:cs="Times New Roman"/>
          <w:color w:val="000000" w:themeColor="text1"/>
          <w:lang w:val="zh-CN"/>
          <w14:textFill>
            <w14:solidFill>
              <w14:schemeClr w14:val="tx1"/>
            </w14:solidFill>
          </w14:textFill>
        </w:rPr>
        <w:t>基本情况进行调查，了解企业生产状况，识别环境风险保护目标，进行环境风险评估后，确定环境风险源并预测可能发生的环境风险事件。明确突发环境事件发生的类型以及发生的可能性，最终提出适应企业现有应急处置能力的应急预防措施及预案编制的要求，达到更好</w:t>
      </w:r>
      <w:r>
        <w:rPr>
          <w:rFonts w:hint="eastAsia" w:cs="Times New Roman"/>
          <w:color w:val="000000" w:themeColor="text1"/>
          <w:lang w:val="zh-CN"/>
          <w14:textFill>
            <w14:solidFill>
              <w14:schemeClr w14:val="tx1"/>
            </w14:solidFill>
          </w14:textFill>
        </w:rPr>
        <w:t>地</w:t>
      </w:r>
      <w:r>
        <w:rPr>
          <w:rFonts w:ascii="Times New Roman" w:hAnsi="Times New Roman" w:cs="Times New Roman"/>
          <w:color w:val="000000" w:themeColor="text1"/>
          <w:lang w:val="zh-CN"/>
          <w14:textFill>
            <w14:solidFill>
              <w14:schemeClr w14:val="tx1"/>
            </w14:solidFill>
          </w14:textFill>
        </w:rPr>
        <w:t>预防突发事件的发生或将突发事件的危害降至最低。</w:t>
      </w:r>
    </w:p>
    <w:p w14:paraId="1C12986E">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编制过程主要包括成立应急预案编制小组、基本情况调查、环境风险源识别与环境风险评价、环境应急能力评估、应急预案编制、应急预案的评审、发布与更新、应急预案的实施等环节。</w:t>
      </w:r>
    </w:p>
    <w:p w14:paraId="1E62A1F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本项目在编制突发环境事件应急</w:t>
      </w:r>
      <w:r>
        <w:rPr>
          <w:rFonts w:ascii="Times New Roman" w:hAnsi="Times New Roman" w:cs="Times New Roman"/>
          <w:color w:val="000000" w:themeColor="text1"/>
          <w:lang w:val="zh-CN"/>
          <w14:textFill>
            <w14:solidFill>
              <w14:schemeClr w14:val="tx1"/>
            </w14:solidFill>
          </w14:textFill>
        </w:rPr>
        <w:t>预案</w:t>
      </w:r>
      <w:r>
        <w:rPr>
          <w:rFonts w:ascii="Times New Roman" w:hAnsi="Times New Roman" w:cs="Times New Roman"/>
          <w:color w:val="000000" w:themeColor="text1"/>
          <w14:textFill>
            <w14:solidFill>
              <w14:schemeClr w14:val="tx1"/>
            </w14:solidFill>
          </w14:textFill>
        </w:rPr>
        <w:t>时应着重调查分析项目病死及病害动物无害化过程、废（污）水泄漏和疫情等风险分析。应与项目所在区域建立联动机制，发生疫情时按照《动物疫情管理办法》及时处理</w:t>
      </w:r>
      <w:r>
        <w:rPr>
          <w:rFonts w:hint="eastAsia" w:cs="Times New Roman"/>
          <w:color w:val="000000" w:themeColor="text1"/>
          <w:lang w:eastAsia="zh-CN"/>
          <w14:textFill>
            <w14:solidFill>
              <w14:schemeClr w14:val="tx1"/>
            </w14:solidFill>
          </w14:textFill>
        </w:rPr>
        <w:t>并</w:t>
      </w:r>
      <w:r>
        <w:rPr>
          <w:rFonts w:ascii="Times New Roman" w:hAnsi="Times New Roman" w:cs="Times New Roman"/>
          <w:color w:val="000000" w:themeColor="text1"/>
          <w14:textFill>
            <w14:solidFill>
              <w14:schemeClr w14:val="tx1"/>
            </w14:solidFill>
          </w14:textFill>
        </w:rPr>
        <w:t>上报。</w:t>
      </w:r>
    </w:p>
    <w:p w14:paraId="1FBC4D2A">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58" w:name="_Toc29004"/>
      <w:r>
        <w:rPr>
          <w:rFonts w:ascii="Times New Roman" w:hAnsi="Times New Roman" w:cs="Times New Roman"/>
          <w:color w:val="000000" w:themeColor="text1"/>
          <w:lang w:val="en-GB"/>
          <w14:textFill>
            <w14:solidFill>
              <w14:schemeClr w14:val="tx1"/>
            </w14:solidFill>
          </w14:textFill>
        </w:rPr>
        <w:t>竣工环保验收</w:t>
      </w:r>
      <w:bookmarkEnd w:id="358"/>
    </w:p>
    <w:p w14:paraId="22695259">
      <w:pPr>
        <w:pStyle w:val="5"/>
        <w:numPr>
          <w:ilvl w:val="2"/>
          <w:numId w:val="1"/>
        </w:numPr>
        <w:ind w:left="120"/>
        <w:rPr>
          <w:rFonts w:ascii="Times New Roman" w:hAnsi="Times New Roman" w:cs="Times New Roman"/>
          <w:color w:val="000000" w:themeColor="text1"/>
          <w:lang w:val="en-GB"/>
          <w14:textFill>
            <w14:solidFill>
              <w14:schemeClr w14:val="tx1"/>
            </w14:solidFill>
          </w14:textFill>
        </w:rPr>
      </w:pPr>
      <w:bookmarkStart w:id="359" w:name="_Toc31612"/>
      <w:bookmarkStart w:id="360" w:name="_Toc6260"/>
      <w:bookmarkStart w:id="361" w:name="_Toc2493"/>
      <w:bookmarkStart w:id="362" w:name="_Toc23078"/>
      <w:r>
        <w:rPr>
          <w:rFonts w:ascii="Times New Roman" w:hAnsi="Times New Roman" w:cs="Times New Roman"/>
          <w:color w:val="000000" w:themeColor="text1"/>
          <w:lang w:val="en-GB"/>
          <w14:textFill>
            <w14:solidFill>
              <w14:schemeClr w14:val="tx1"/>
            </w14:solidFill>
          </w14:textFill>
        </w:rPr>
        <w:t>竣工验收管理及要求</w:t>
      </w:r>
      <w:bookmarkEnd w:id="359"/>
      <w:bookmarkEnd w:id="360"/>
      <w:bookmarkEnd w:id="361"/>
      <w:bookmarkEnd w:id="362"/>
    </w:p>
    <w:p w14:paraId="509C683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国务院关于修改〈建设项目环境保护管理条例〉的决定》（国务院第682号令）第十七条：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编制环境影响报告书、环境影响报告表的建设项目，其配套建设的环境保护设施经验收合格，方可正式投入生产或者使用；未经验收合格或者验收不合格的，不得投入生产或者使用。</w:t>
      </w:r>
    </w:p>
    <w:p w14:paraId="4E258DE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在建设项目正式投入生产或使用之前，建设单位进行自主验收，主要对配套建设的环境保护设施进行验收，编制验收报告。</w:t>
      </w:r>
    </w:p>
    <w:p w14:paraId="7F5D78B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自主环境保护验收条件为：</w:t>
      </w:r>
    </w:p>
    <w:p w14:paraId="19B65D8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（1）建设项目建设前期环境保护审查、审批手续完备，技术资料与环境保护档案齐全。</w:t>
      </w:r>
    </w:p>
    <w:p w14:paraId="7A7F293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（2）环境保护设施按批准的环境影响报告书和设计要求建成，环境保护设施经负荷试车检测合格，其污染防治能力适应主体工程的需要。</w:t>
      </w:r>
    </w:p>
    <w:p w14:paraId="6DA1D33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（3）环境保护设施安装质量符合国家和有关部门颁发的专业工程验收规范、规程和检验评定标准。</w:t>
      </w:r>
    </w:p>
    <w:p w14:paraId="2D98AE5F">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（4）具备环境保护设施运转条件，包括经培训的环境保护设施岗位操作人员的到位、管理制度的建设、原材料、动力的落实等，且符合交付使用的其他条件。</w:t>
      </w:r>
    </w:p>
    <w:p w14:paraId="43CD9FC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（5）各项环境保护措施按环境影响报告书规定的要求落实，建设过程中受到破坏并且可恢复的环境已经得到修整。</w:t>
      </w:r>
    </w:p>
    <w:p w14:paraId="5318C1CF">
      <w:pPr>
        <w:pStyle w:val="5"/>
        <w:numPr>
          <w:ilvl w:val="2"/>
          <w:numId w:val="1"/>
        </w:numPr>
        <w:ind w:left="120"/>
        <w:rPr>
          <w:rFonts w:ascii="Times New Roman" w:hAnsi="Times New Roman" w:cs="Times New Roman"/>
          <w:color w:val="000000" w:themeColor="text1"/>
          <w14:textFill>
            <w14:solidFill>
              <w14:schemeClr w14:val="tx1"/>
            </w14:solidFill>
          </w14:textFill>
        </w:rPr>
      </w:pPr>
      <w:bookmarkStart w:id="363" w:name="_Toc11096"/>
      <w:bookmarkStart w:id="364" w:name="_Toc31113"/>
      <w:bookmarkStart w:id="365" w:name="_Toc24697"/>
      <w:bookmarkStart w:id="366" w:name="_Toc16942"/>
      <w:r>
        <w:rPr>
          <w:rFonts w:ascii="Times New Roman" w:hAnsi="Times New Roman" w:cs="Times New Roman"/>
          <w:color w:val="000000" w:themeColor="text1"/>
          <w14:textFill>
            <w14:solidFill>
              <w14:schemeClr w14:val="tx1"/>
            </w14:solidFill>
          </w14:textFill>
        </w:rPr>
        <w:t>环保竣工验收内容</w:t>
      </w:r>
      <w:bookmarkEnd w:id="363"/>
      <w:bookmarkEnd w:id="364"/>
      <w:bookmarkEnd w:id="365"/>
      <w:bookmarkEnd w:id="366"/>
    </w:p>
    <w:p w14:paraId="3A1798B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所有环保设施均应与主体工程同时设计、同时施工、同时投产，根据《建设项目环境保护管理条例》（国务院令第682号），项目进入生产运营期，应由建设单位自行进行该项目的环境保护设施竣工验收，可委托有资质的监测单位对该项目的环境保护设施进行现场监测及调查，并相应编制《建设项目竣工环境保护验收监测报告》后，通过验收组验收后，报当地的生态环境部门备案。</w:t>
      </w:r>
    </w:p>
    <w:p w14:paraId="39D97C06">
      <w:pPr>
        <w:ind w:firstLine="480"/>
        <w:rPr>
          <w:rFonts w:hint="eastAsia" w:ascii="Times New Roman" w:hAnsi="Times New Roman" w:cs="Times New Roman" w:eastAsiaTheme="minorEastAsia"/>
          <w:color w:val="000000" w:themeColor="text1"/>
          <w:lang w:val="zh-CN" w:eastAsia="zh-CN"/>
          <w14:textFill>
            <w14:solidFill>
              <w14:schemeClr w14:val="tx1"/>
            </w14:solidFill>
          </w14:textFill>
        </w:rPr>
        <w:sectPr>
          <w:headerReference r:id="rId21" w:type="default"/>
          <w:pgSz w:w="11906" w:h="16838"/>
          <w:pgMar w:top="1588" w:right="1474" w:bottom="1474" w:left="1588" w:header="1077" w:footer="850" w:gutter="0"/>
          <w:pgBorders>
            <w:top w:val="none" w:sz="0" w:space="0"/>
            <w:left w:val="none" w:sz="0" w:space="0"/>
            <w:bottom w:val="none" w:sz="0" w:space="0"/>
            <w:right w:val="none" w:sz="0" w:space="0"/>
          </w:pgBorders>
          <w:cols w:space="425" w:num="1"/>
          <w:docGrid w:type="lines" w:linePitch="326" w:charSpace="0"/>
        </w:sectPr>
      </w:pPr>
      <w:r>
        <w:rPr>
          <w:rFonts w:ascii="Times New Roman" w:hAnsi="Times New Roman" w:cs="Times New Roman"/>
          <w:color w:val="000000" w:themeColor="text1"/>
          <w14:textFill>
            <w14:solidFill>
              <w14:schemeClr w14:val="tx1"/>
            </w14:solidFill>
          </w14:textFill>
        </w:rPr>
        <w:t>本项目环境保护措施竣工验收情况详见表</w:t>
      </w:r>
      <w:r>
        <w:rPr>
          <w:rFonts w:hint="eastAsia" w:cs="Times New Roman"/>
          <w:color w:val="000000" w:themeColor="text1"/>
          <w:lang w:val="en-US" w:eastAsia="zh-CN"/>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.8-1</w:t>
      </w:r>
      <w:r>
        <w:rPr>
          <w:rFonts w:hint="eastAsia" w:ascii="Times New Roman" w:hAnsi="Times New Roman" w:cs="Times New Roman"/>
          <w:color w:val="000000" w:themeColor="text1"/>
          <w:lang w:eastAsia="zh-CN"/>
          <w14:textFill>
            <w14:solidFill>
              <w14:schemeClr w14:val="tx1"/>
            </w14:solidFill>
          </w14:textFill>
        </w:rPr>
        <w:t>。</w:t>
      </w:r>
    </w:p>
    <w:p w14:paraId="31407E6E">
      <w:pPr>
        <w:pStyle w:val="46"/>
        <w:ind w:firstLine="0" w:firstLineChars="0"/>
        <w:jc w:val="center"/>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eastAsia="宋体" w:cs="Times New Roman"/>
          <w:b/>
          <w:bCs/>
          <w:color w:val="000000" w:themeColor="text1"/>
          <w:sz w:val="24"/>
          <w:szCs w:val="24"/>
          <w:lang w:val="zh-CN"/>
          <w14:textFill>
            <w14:solidFill>
              <w14:schemeClr w14:val="tx1"/>
            </w14:solidFill>
          </w14:textFill>
        </w:rPr>
        <w:t>表</w:t>
      </w:r>
      <w:r>
        <w:rPr>
          <w:rFonts w:hint="eastAsia" w:ascii="Times New Roman" w:eastAsia="宋体" w:cs="Times New Roman"/>
          <w:b/>
          <w:bCs/>
          <w:color w:val="000000" w:themeColor="text1"/>
          <w:sz w:val="24"/>
          <w:szCs w:val="24"/>
          <w:lang w:val="en-US" w:eastAsia="zh-CN"/>
          <w14:textFill>
            <w14:solidFill>
              <w14:schemeClr w14:val="tx1"/>
            </w14:solidFill>
          </w14:textFill>
        </w:rPr>
        <w:t>8</w:t>
      </w:r>
      <w:r>
        <w:rPr>
          <w:rFonts w:ascii="Times New Roman" w:hAnsi="Times New Roman" w:eastAsia="宋体" w:cs="Times New Roman"/>
          <w:b/>
          <w:bCs/>
          <w:color w:val="000000" w:themeColor="text1"/>
          <w:sz w:val="24"/>
          <w:szCs w:val="24"/>
          <w14:textFill>
            <w14:solidFill>
              <w14:schemeClr w14:val="tx1"/>
            </w14:solidFill>
          </w14:textFill>
        </w:rPr>
        <w:t xml:space="preserve">.8-1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ascii="Times New Roman" w:hAnsi="Times New Roman" w:eastAsia="宋体" w:cs="Times New Roman"/>
          <w:b/>
          <w:bCs/>
          <w:color w:val="000000" w:themeColor="text1"/>
          <w:sz w:val="24"/>
          <w:szCs w:val="24"/>
          <w14:textFill>
            <w14:solidFill>
              <w14:schemeClr w14:val="tx1"/>
            </w14:solidFill>
          </w14:textFill>
        </w:rPr>
        <w:t xml:space="preserve"> </w:t>
      </w:r>
      <w:r>
        <w:rPr>
          <w:rFonts w:ascii="Times New Roman" w:hAnsi="Times New Roman" w:eastAsia="宋体" w:cs="Times New Roman"/>
          <w:b/>
          <w:bCs/>
          <w:color w:val="000000" w:themeColor="text1"/>
          <w:sz w:val="24"/>
          <w:szCs w:val="24"/>
          <w:lang w:val="zh-CN"/>
          <w14:textFill>
            <w14:solidFill>
              <w14:schemeClr w14:val="tx1"/>
            </w14:solidFill>
          </w14:textFill>
        </w:rPr>
        <w:t>环保“三同时”竣工验收</w:t>
      </w:r>
    </w:p>
    <w:tbl>
      <w:tblPr>
        <w:tblStyle w:val="81"/>
        <w:tblW w:w="1377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87"/>
        <w:gridCol w:w="1850"/>
        <w:gridCol w:w="1503"/>
        <w:gridCol w:w="5174"/>
        <w:gridCol w:w="4262"/>
      </w:tblGrid>
      <w:tr w14:paraId="5A4C88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tcBorders>
              <w:tl2br w:val="nil"/>
              <w:tr2bl w:val="nil"/>
            </w:tcBorders>
            <w:vAlign w:val="center"/>
          </w:tcPr>
          <w:p w14:paraId="6CFAD796">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类别</w:t>
            </w:r>
          </w:p>
        </w:tc>
        <w:tc>
          <w:tcPr>
            <w:tcW w:w="1850" w:type="dxa"/>
            <w:tcBorders>
              <w:tl2br w:val="nil"/>
              <w:tr2bl w:val="nil"/>
            </w:tcBorders>
            <w:vAlign w:val="center"/>
          </w:tcPr>
          <w:p w14:paraId="65F5CEF1">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污染源</w:t>
            </w:r>
          </w:p>
        </w:tc>
        <w:tc>
          <w:tcPr>
            <w:tcW w:w="1503" w:type="dxa"/>
            <w:tcBorders>
              <w:tl2br w:val="nil"/>
              <w:tr2bl w:val="nil"/>
            </w:tcBorders>
            <w:vAlign w:val="center"/>
          </w:tcPr>
          <w:p w14:paraId="4B2A58D0">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污染物</w:t>
            </w:r>
          </w:p>
        </w:tc>
        <w:tc>
          <w:tcPr>
            <w:tcW w:w="5174" w:type="dxa"/>
            <w:tcBorders>
              <w:tl2br w:val="nil"/>
              <w:tr2bl w:val="nil"/>
            </w:tcBorders>
            <w:vAlign w:val="center"/>
          </w:tcPr>
          <w:p w14:paraId="0EE27A43">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拟采取的治理措施及验收要求</w:t>
            </w:r>
          </w:p>
        </w:tc>
        <w:tc>
          <w:tcPr>
            <w:tcW w:w="4262" w:type="dxa"/>
            <w:tcBorders>
              <w:tl2br w:val="nil"/>
              <w:tr2bl w:val="nil"/>
            </w:tcBorders>
            <w:vAlign w:val="center"/>
          </w:tcPr>
          <w:p w14:paraId="06FD60B2">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验收标准</w:t>
            </w:r>
          </w:p>
        </w:tc>
      </w:tr>
      <w:tr w14:paraId="127025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6" w:hRule="atLeast"/>
          <w:jc w:val="center"/>
        </w:trPr>
        <w:tc>
          <w:tcPr>
            <w:tcW w:w="987" w:type="dxa"/>
            <w:vMerge w:val="restart"/>
            <w:tcBorders>
              <w:tl2br w:val="nil"/>
              <w:tr2bl w:val="nil"/>
            </w:tcBorders>
            <w:vAlign w:val="center"/>
          </w:tcPr>
          <w:p w14:paraId="264FEA6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废气</w:t>
            </w:r>
          </w:p>
        </w:tc>
        <w:tc>
          <w:tcPr>
            <w:tcW w:w="1850" w:type="dxa"/>
            <w:tcBorders>
              <w:tl2br w:val="nil"/>
              <w:tr2bl w:val="nil"/>
            </w:tcBorders>
            <w:vAlign w:val="center"/>
          </w:tcPr>
          <w:p w14:paraId="304E4C1F">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养殖区恶臭</w:t>
            </w:r>
          </w:p>
        </w:tc>
        <w:tc>
          <w:tcPr>
            <w:tcW w:w="1503" w:type="dxa"/>
            <w:vMerge w:val="restart"/>
            <w:tcBorders>
              <w:tl2br w:val="nil"/>
              <w:tr2bl w:val="nil"/>
            </w:tcBorders>
            <w:vAlign w:val="center"/>
          </w:tcPr>
          <w:p w14:paraId="784AF3EB">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H</w:t>
            </w:r>
            <w:r>
              <w:rPr>
                <w:rFonts w:ascii="Times New Roman" w:hAnsi="Times New Roman"/>
                <w:color w:val="000000" w:themeColor="text1"/>
                <w:szCs w:val="21"/>
                <w:vertAlign w:val="subscript"/>
                <w:lang w:eastAsia="en-US"/>
                <w14:textFill>
                  <w14:solidFill>
                    <w14:schemeClr w14:val="tx1"/>
                  </w14:solidFill>
                </w14:textFill>
              </w:rPr>
              <w:t>2</w:t>
            </w:r>
            <w:r>
              <w:rPr>
                <w:rFonts w:ascii="Times New Roman" w:hAnsi="Times New Roman"/>
                <w:color w:val="000000" w:themeColor="text1"/>
                <w:szCs w:val="21"/>
                <w:lang w:eastAsia="en-US"/>
                <w14:textFill>
                  <w14:solidFill>
                    <w14:schemeClr w14:val="tx1"/>
                  </w14:solidFill>
                </w14:textFill>
              </w:rPr>
              <w:t>S、NH</w:t>
            </w:r>
            <w:r>
              <w:rPr>
                <w:rFonts w:ascii="Times New Roman" w:hAnsi="Times New Roman"/>
                <w:color w:val="000000" w:themeColor="text1"/>
                <w:szCs w:val="21"/>
                <w:vertAlign w:val="subscript"/>
                <w:lang w:eastAsia="en-US"/>
                <w14:textFill>
                  <w14:solidFill>
                    <w14:schemeClr w14:val="tx1"/>
                  </w14:solidFill>
                </w14:textFill>
              </w:rPr>
              <w:t>3</w:t>
            </w:r>
            <w:r>
              <w:rPr>
                <w:rFonts w:ascii="Times New Roman" w:hAnsi="Times New Roman"/>
                <w:color w:val="000000" w:themeColor="text1"/>
                <w:szCs w:val="21"/>
                <w:lang w:eastAsia="en-US"/>
                <w14:textFill>
                  <w14:solidFill>
                    <w14:schemeClr w14:val="tx1"/>
                  </w14:solidFill>
                </w14:textFill>
              </w:rPr>
              <w:t>、</w:t>
            </w:r>
            <w:r>
              <w:rPr>
                <w:rFonts w:ascii="Times New Roman" w:hAnsi="Times New Roman"/>
                <w:color w:val="000000" w:themeColor="text1"/>
                <w:szCs w:val="21"/>
                <w:lang w:val="en-US" w:eastAsia="en-US"/>
                <w14:textFill>
                  <w14:solidFill>
                    <w14:schemeClr w14:val="tx1"/>
                  </w14:solidFill>
                </w14:textFill>
              </w:rPr>
              <w:t>臭气浓度</w:t>
            </w:r>
          </w:p>
        </w:tc>
        <w:tc>
          <w:tcPr>
            <w:tcW w:w="5174" w:type="dxa"/>
            <w:vMerge w:val="restart"/>
            <w:tcBorders>
              <w:tl2br w:val="nil"/>
              <w:tr2bl w:val="nil"/>
            </w:tcBorders>
            <w:vAlign w:val="center"/>
          </w:tcPr>
          <w:p w14:paraId="30AC95B2">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科学配比饲料、加强圈舍通风、喷洒除臭剂等措施进行控制</w:t>
            </w:r>
          </w:p>
        </w:tc>
        <w:tc>
          <w:tcPr>
            <w:tcW w:w="4262" w:type="dxa"/>
            <w:vMerge w:val="restart"/>
            <w:tcBorders>
              <w:tl2br w:val="nil"/>
              <w:tr2bl w:val="nil"/>
            </w:tcBorders>
            <w:vAlign w:val="center"/>
          </w:tcPr>
          <w:p w14:paraId="020D4E94">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H</w:t>
            </w:r>
            <w:r>
              <w:rPr>
                <w:rFonts w:ascii="Times New Roman" w:hAnsi="Times New Roman"/>
                <w:color w:val="000000" w:themeColor="text1"/>
                <w:szCs w:val="21"/>
                <w:vertAlign w:val="subscript"/>
                <w:lang w:eastAsia="zh-CN"/>
                <w14:textFill>
                  <w14:solidFill>
                    <w14:schemeClr w14:val="tx1"/>
                  </w14:solidFill>
                </w14:textFill>
              </w:rPr>
              <w:t>2</w:t>
            </w:r>
            <w:r>
              <w:rPr>
                <w:rFonts w:ascii="Times New Roman" w:hAnsi="Times New Roman"/>
                <w:color w:val="000000" w:themeColor="text1"/>
                <w:szCs w:val="21"/>
                <w:lang w:eastAsia="zh-CN"/>
                <w14:textFill>
                  <w14:solidFill>
                    <w14:schemeClr w14:val="tx1"/>
                  </w14:solidFill>
                </w14:textFill>
              </w:rPr>
              <w:t>S、NH</w:t>
            </w:r>
            <w:r>
              <w:rPr>
                <w:rFonts w:ascii="Times New Roman" w:hAnsi="Times New Roman"/>
                <w:color w:val="000000" w:themeColor="text1"/>
                <w:szCs w:val="21"/>
                <w:vertAlign w:val="subscript"/>
                <w:lang w:eastAsia="zh-CN"/>
                <w14:textFill>
                  <w14:solidFill>
                    <w14:schemeClr w14:val="tx1"/>
                  </w14:solidFill>
                </w14:textFill>
              </w:rPr>
              <w:t>3</w:t>
            </w:r>
            <w:r>
              <w:rPr>
                <w:rFonts w:ascii="Times New Roman" w:hAnsi="Times New Roman"/>
                <w:color w:val="000000" w:themeColor="text1"/>
                <w:szCs w:val="21"/>
                <w:lang w:eastAsia="zh-CN"/>
                <w14:textFill>
                  <w14:solidFill>
                    <w14:schemeClr w14:val="tx1"/>
                  </w14:solidFill>
                </w14:textFill>
              </w:rPr>
              <w:t>、</w:t>
            </w:r>
            <w:r>
              <w:rPr>
                <w:rFonts w:ascii="Times New Roman" w:hAnsi="Times New Roman"/>
                <w:color w:val="000000" w:themeColor="text1"/>
                <w:szCs w:val="21"/>
                <w:lang w:val="en-US" w:eastAsia="zh-CN"/>
                <w14:textFill>
                  <w14:solidFill>
                    <w14:schemeClr w14:val="tx1"/>
                  </w14:solidFill>
                </w14:textFill>
              </w:rPr>
              <w:t>臭气浓度</w:t>
            </w:r>
            <w:r>
              <w:rPr>
                <w:rFonts w:ascii="Times New Roman" w:hAnsi="Times New Roman"/>
                <w:color w:val="000000" w:themeColor="text1"/>
                <w:szCs w:val="21"/>
                <w:lang w:eastAsia="zh-CN"/>
                <w14:textFill>
                  <w14:solidFill>
                    <w14:schemeClr w14:val="tx1"/>
                  </w14:solidFill>
                </w14:textFill>
              </w:rPr>
              <w:t>满足《恶臭污染物排放标准》（GB14554-93）表1标准限值</w:t>
            </w:r>
          </w:p>
        </w:tc>
      </w:tr>
      <w:tr w14:paraId="0DC9BE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313EAA1D">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850" w:type="dxa"/>
            <w:tcBorders>
              <w:tl2br w:val="nil"/>
              <w:tr2bl w:val="nil"/>
            </w:tcBorders>
            <w:vAlign w:val="center"/>
          </w:tcPr>
          <w:p w14:paraId="360C93E5">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化粪池</w:t>
            </w:r>
            <w:r>
              <w:rPr>
                <w:rFonts w:ascii="Times New Roman" w:hAnsi="Times New Roman"/>
                <w:color w:val="000000" w:themeColor="text1"/>
                <w:szCs w:val="21"/>
                <w:lang w:eastAsia="en-US"/>
                <w14:textFill>
                  <w14:solidFill>
                    <w14:schemeClr w14:val="tx1"/>
                  </w14:solidFill>
                </w14:textFill>
              </w:rPr>
              <w:t>恶臭</w:t>
            </w:r>
          </w:p>
        </w:tc>
        <w:tc>
          <w:tcPr>
            <w:tcW w:w="1503" w:type="dxa"/>
            <w:vMerge w:val="continue"/>
            <w:tcBorders>
              <w:tl2br w:val="nil"/>
              <w:tr2bl w:val="nil"/>
            </w:tcBorders>
            <w:vAlign w:val="center"/>
          </w:tcPr>
          <w:p w14:paraId="2822D50C">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5174" w:type="dxa"/>
            <w:vMerge w:val="continue"/>
            <w:tcBorders>
              <w:tl2br w:val="nil"/>
              <w:tr2bl w:val="nil"/>
            </w:tcBorders>
            <w:vAlign w:val="center"/>
          </w:tcPr>
          <w:p w14:paraId="541CC957">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4262" w:type="dxa"/>
            <w:vMerge w:val="continue"/>
            <w:tcBorders>
              <w:tl2br w:val="nil"/>
              <w:tr2bl w:val="nil"/>
            </w:tcBorders>
            <w:vAlign w:val="center"/>
          </w:tcPr>
          <w:p w14:paraId="7317DB16">
            <w:pPr>
              <w:pStyle w:val="56"/>
              <w:autoSpaceDE w:val="0"/>
              <w:autoSpaceDN w:val="0"/>
              <w:rPr>
                <w:rFonts w:ascii="Times New Roman" w:hAnsi="Times New Roman"/>
                <w:color w:val="000000" w:themeColor="text1"/>
                <w:szCs w:val="21"/>
                <w:lang w:eastAsia="en-US"/>
                <w14:textFill>
                  <w14:solidFill>
                    <w14:schemeClr w14:val="tx1"/>
                  </w14:solidFill>
                </w14:textFill>
              </w:rPr>
            </w:pPr>
          </w:p>
        </w:tc>
      </w:tr>
      <w:tr w14:paraId="5B58DF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0C5BAD3A">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850" w:type="dxa"/>
            <w:tcBorders>
              <w:tl2br w:val="nil"/>
              <w:tr2bl w:val="nil"/>
            </w:tcBorders>
            <w:vAlign w:val="center"/>
          </w:tcPr>
          <w:p w14:paraId="2065BF4F">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供热锅炉烟气</w:t>
            </w:r>
          </w:p>
        </w:tc>
        <w:tc>
          <w:tcPr>
            <w:tcW w:w="1503" w:type="dxa"/>
            <w:tcBorders>
              <w:tl2br w:val="nil"/>
              <w:tr2bl w:val="nil"/>
            </w:tcBorders>
            <w:vAlign w:val="center"/>
          </w:tcPr>
          <w:p w14:paraId="45F7E29B">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PM</w:t>
            </w:r>
            <w:r>
              <w:rPr>
                <w:rFonts w:hint="eastAsia"/>
                <w:color w:val="000000" w:themeColor="text1"/>
                <w:vertAlign w:val="subscript"/>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、NOx</w:t>
            </w:r>
          </w:p>
        </w:tc>
        <w:tc>
          <w:tcPr>
            <w:tcW w:w="5174" w:type="dxa"/>
            <w:tcBorders>
              <w:tl2br w:val="nil"/>
              <w:tr2bl w:val="nil"/>
            </w:tcBorders>
            <w:vAlign w:val="center"/>
          </w:tcPr>
          <w:p w14:paraId="51F6F161">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碱式喷淋塔+15m烟囱</w:t>
            </w:r>
          </w:p>
        </w:tc>
        <w:tc>
          <w:tcPr>
            <w:tcW w:w="4262" w:type="dxa"/>
            <w:tcBorders>
              <w:tl2br w:val="nil"/>
              <w:tr2bl w:val="nil"/>
            </w:tcBorders>
            <w:vAlign w:val="center"/>
          </w:tcPr>
          <w:p w14:paraId="55C4BF77">
            <w:pPr>
              <w:pStyle w:val="56"/>
              <w:autoSpaceDE w:val="0"/>
              <w:autoSpaceDN w:val="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《锅炉大气污染物排放标准》（GB13271-2014）表2燃气锅炉大气污染物特别排放限值</w:t>
            </w:r>
          </w:p>
        </w:tc>
      </w:tr>
      <w:tr w14:paraId="6722FF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5F38B358">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850" w:type="dxa"/>
            <w:tcBorders>
              <w:tl2br w:val="nil"/>
              <w:tr2bl w:val="nil"/>
            </w:tcBorders>
            <w:vAlign w:val="center"/>
          </w:tcPr>
          <w:p w14:paraId="1C3F2AE8">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食堂油烟</w:t>
            </w:r>
          </w:p>
        </w:tc>
        <w:tc>
          <w:tcPr>
            <w:tcW w:w="1503" w:type="dxa"/>
            <w:tcBorders>
              <w:tl2br w:val="nil"/>
              <w:tr2bl w:val="nil"/>
            </w:tcBorders>
            <w:vAlign w:val="center"/>
          </w:tcPr>
          <w:p w14:paraId="0F67B24A">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油烟</w:t>
            </w:r>
          </w:p>
        </w:tc>
        <w:tc>
          <w:tcPr>
            <w:tcW w:w="5174" w:type="dxa"/>
            <w:tcBorders>
              <w:tl2br w:val="nil"/>
              <w:tr2bl w:val="nil"/>
            </w:tcBorders>
            <w:vAlign w:val="center"/>
          </w:tcPr>
          <w:p w14:paraId="55C17D2C">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油烟净化器</w:t>
            </w:r>
          </w:p>
        </w:tc>
        <w:tc>
          <w:tcPr>
            <w:tcW w:w="4262" w:type="dxa"/>
            <w:tcBorders>
              <w:tl2br w:val="nil"/>
              <w:tr2bl w:val="nil"/>
            </w:tcBorders>
            <w:vAlign w:val="center"/>
          </w:tcPr>
          <w:p w14:paraId="68FADC31">
            <w:pPr>
              <w:pStyle w:val="56"/>
              <w:autoSpaceDE w:val="0"/>
              <w:autoSpaceDN w:val="0"/>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饮食业油烟排放标准</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GB18483-2001</w:t>
            </w:r>
            <w:r>
              <w:rPr>
                <w:rFonts w:hint="eastAsia" w:ascii="Times New Roman" w:hAnsi="Times New Roman"/>
                <w:color w:val="000000" w:themeColor="text1"/>
                <w:szCs w:val="21"/>
                <w:lang w:eastAsia="zh-CN"/>
                <w14:textFill>
                  <w14:solidFill>
                    <w14:schemeClr w14:val="tx1"/>
                  </w14:solidFill>
                </w14:textFill>
              </w:rPr>
              <w:t>）</w:t>
            </w:r>
          </w:p>
        </w:tc>
      </w:tr>
      <w:tr w14:paraId="3D8247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06A52B2C">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850" w:type="dxa"/>
            <w:tcBorders>
              <w:tl2br w:val="nil"/>
              <w:tr2bl w:val="nil"/>
            </w:tcBorders>
            <w:vAlign w:val="center"/>
          </w:tcPr>
          <w:p w14:paraId="4897C4C2">
            <w:pPr>
              <w:pStyle w:val="56"/>
              <w:autoSpaceDE w:val="0"/>
              <w:autoSpaceDN w:val="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饲料混合</w:t>
            </w:r>
          </w:p>
        </w:tc>
        <w:tc>
          <w:tcPr>
            <w:tcW w:w="1503" w:type="dxa"/>
            <w:tcBorders>
              <w:tl2br w:val="nil"/>
              <w:tr2bl w:val="nil"/>
            </w:tcBorders>
            <w:vAlign w:val="center"/>
          </w:tcPr>
          <w:p w14:paraId="30817701">
            <w:pPr>
              <w:pStyle w:val="56"/>
              <w:autoSpaceDE w:val="0"/>
              <w:autoSpaceDN w:val="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TSP</w:t>
            </w:r>
          </w:p>
        </w:tc>
        <w:tc>
          <w:tcPr>
            <w:tcW w:w="5174" w:type="dxa"/>
            <w:tcBorders>
              <w:tl2br w:val="nil"/>
              <w:tr2bl w:val="nil"/>
            </w:tcBorders>
            <w:vAlign w:val="center"/>
          </w:tcPr>
          <w:p w14:paraId="08384E18">
            <w:pPr>
              <w:pStyle w:val="56"/>
              <w:autoSpaceDE w:val="0"/>
              <w:autoSpaceDN w:val="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饲料混合、TMR混料箱为半封闭式，配有简易布袋除尘、自然逸散</w:t>
            </w:r>
          </w:p>
        </w:tc>
        <w:tc>
          <w:tcPr>
            <w:tcW w:w="4262" w:type="dxa"/>
            <w:tcBorders>
              <w:tl2br w:val="nil"/>
              <w:tr2bl w:val="nil"/>
            </w:tcBorders>
            <w:vAlign w:val="center"/>
          </w:tcPr>
          <w:p w14:paraId="69B53DF3">
            <w:pPr>
              <w:pStyle w:val="56"/>
              <w:autoSpaceDE w:val="0"/>
              <w:autoSpaceDN w:val="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《大气污染物综合排放标准》（GB16297-1996）中表2的无组织排放限值要求</w:t>
            </w:r>
          </w:p>
        </w:tc>
      </w:tr>
      <w:tr w14:paraId="3B746A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tcBorders>
              <w:tl2br w:val="nil"/>
              <w:tr2bl w:val="nil"/>
            </w:tcBorders>
            <w:vAlign w:val="center"/>
          </w:tcPr>
          <w:p w14:paraId="6EB161A0">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噪声</w:t>
            </w:r>
          </w:p>
        </w:tc>
        <w:tc>
          <w:tcPr>
            <w:tcW w:w="1850" w:type="dxa"/>
            <w:tcBorders>
              <w:tl2br w:val="nil"/>
              <w:tr2bl w:val="nil"/>
            </w:tcBorders>
            <w:vAlign w:val="center"/>
          </w:tcPr>
          <w:p w14:paraId="5B59D771">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设备噪声</w:t>
            </w:r>
          </w:p>
        </w:tc>
        <w:tc>
          <w:tcPr>
            <w:tcW w:w="1503" w:type="dxa"/>
            <w:tcBorders>
              <w:tl2br w:val="nil"/>
              <w:tr2bl w:val="nil"/>
            </w:tcBorders>
            <w:vAlign w:val="center"/>
          </w:tcPr>
          <w:p w14:paraId="6A79A0F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噪声</w:t>
            </w:r>
          </w:p>
        </w:tc>
        <w:tc>
          <w:tcPr>
            <w:tcW w:w="5174" w:type="dxa"/>
            <w:tcBorders>
              <w:tl2br w:val="nil"/>
              <w:tr2bl w:val="nil"/>
            </w:tcBorders>
            <w:vAlign w:val="center"/>
          </w:tcPr>
          <w:p w14:paraId="4CB39319">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采用隔声、减振</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自然衰减</w:t>
            </w:r>
            <w:r>
              <w:rPr>
                <w:rFonts w:ascii="Times New Roman" w:hAnsi="Times New Roman"/>
                <w:color w:val="000000" w:themeColor="text1"/>
                <w:szCs w:val="21"/>
                <w:lang w:eastAsia="zh-CN"/>
                <w14:textFill>
                  <w14:solidFill>
                    <w14:schemeClr w14:val="tx1"/>
                  </w14:solidFill>
                </w14:textFill>
              </w:rPr>
              <w:t>等措施</w:t>
            </w:r>
          </w:p>
        </w:tc>
        <w:tc>
          <w:tcPr>
            <w:tcW w:w="4262" w:type="dxa"/>
            <w:tcBorders>
              <w:tl2br w:val="nil"/>
              <w:tr2bl w:val="nil"/>
            </w:tcBorders>
            <w:vAlign w:val="center"/>
          </w:tcPr>
          <w:p w14:paraId="6C82FEA2">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满足《工业企业厂界环境噪声排放标准》（GB12348-2008）</w:t>
            </w:r>
            <w:r>
              <w:rPr>
                <w:rFonts w:hint="eastAsia" w:ascii="Times New Roman" w:hAnsi="Times New Roman"/>
                <w:color w:val="000000" w:themeColor="text1"/>
                <w:szCs w:val="21"/>
                <w:lang w:val="en-US" w:eastAsia="zh-CN"/>
                <w14:textFill>
                  <w14:solidFill>
                    <w14:schemeClr w14:val="tx1"/>
                  </w14:solidFill>
                </w14:textFill>
              </w:rPr>
              <w:t>3</w:t>
            </w:r>
            <w:r>
              <w:rPr>
                <w:rFonts w:ascii="Times New Roman" w:hAnsi="Times New Roman"/>
                <w:color w:val="000000" w:themeColor="text1"/>
                <w:szCs w:val="21"/>
                <w:lang w:eastAsia="zh-CN"/>
                <w14:textFill>
                  <w14:solidFill>
                    <w14:schemeClr w14:val="tx1"/>
                  </w14:solidFill>
                </w14:textFill>
              </w:rPr>
              <w:t>类标准</w:t>
            </w:r>
          </w:p>
        </w:tc>
      </w:tr>
      <w:tr w14:paraId="3D3E4E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restart"/>
            <w:tcBorders>
              <w:tl2br w:val="nil"/>
              <w:tr2bl w:val="nil"/>
            </w:tcBorders>
            <w:vAlign w:val="center"/>
          </w:tcPr>
          <w:p w14:paraId="678F8B37">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污水治理</w:t>
            </w:r>
          </w:p>
        </w:tc>
        <w:tc>
          <w:tcPr>
            <w:tcW w:w="1850" w:type="dxa"/>
            <w:tcBorders>
              <w:tl2br w:val="nil"/>
              <w:tr2bl w:val="nil"/>
            </w:tcBorders>
            <w:vAlign w:val="center"/>
          </w:tcPr>
          <w:p w14:paraId="551E0309">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办公区厕所化粪池</w:t>
            </w:r>
          </w:p>
        </w:tc>
        <w:tc>
          <w:tcPr>
            <w:tcW w:w="1503" w:type="dxa"/>
            <w:tcBorders>
              <w:tl2br w:val="nil"/>
              <w:tr2bl w:val="nil"/>
            </w:tcBorders>
            <w:vAlign w:val="center"/>
          </w:tcPr>
          <w:p w14:paraId="1E9CE92C">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SS、BOD、COD</w:t>
            </w:r>
          </w:p>
        </w:tc>
        <w:tc>
          <w:tcPr>
            <w:tcW w:w="5174" w:type="dxa"/>
            <w:tcBorders>
              <w:tl2br w:val="nil"/>
              <w:tr2bl w:val="nil"/>
            </w:tcBorders>
            <w:vAlign w:val="center"/>
          </w:tcPr>
          <w:p w14:paraId="0F0B90BF">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定期抽排到63团污水处理厂</w:t>
            </w:r>
          </w:p>
        </w:tc>
        <w:tc>
          <w:tcPr>
            <w:tcW w:w="4262" w:type="dxa"/>
            <w:tcBorders>
              <w:tl2br w:val="nil"/>
              <w:tr2bl w:val="nil"/>
            </w:tcBorders>
            <w:vAlign w:val="center"/>
          </w:tcPr>
          <w:p w14:paraId="30A177E8">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《污水综合排放标准》（</w:t>
            </w:r>
            <w:r>
              <w:rPr>
                <w:rFonts w:hint="default" w:ascii="Times New Roman" w:hAnsi="Times New Roman"/>
                <w:color w:val="000000" w:themeColor="text1"/>
                <w:lang w:val="en-US" w:eastAsia="zh-CN"/>
                <w14:textFill>
                  <w14:solidFill>
                    <w14:schemeClr w14:val="tx1"/>
                  </w14:solidFill>
                </w14:textFill>
              </w:rPr>
              <w:t>GB8978-1996</w:t>
            </w:r>
            <w:r>
              <w:rPr>
                <w:rFonts w:hint="eastAsia" w:ascii="Times New Roman" w:hAnsi="Times New Roman"/>
                <w:color w:val="000000" w:themeColor="text1"/>
                <w:lang w:val="en-US"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三级B</w:t>
            </w:r>
          </w:p>
        </w:tc>
      </w:tr>
      <w:tr w14:paraId="7A6EF4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09B666FE">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p>
        </w:tc>
        <w:tc>
          <w:tcPr>
            <w:tcW w:w="1850" w:type="dxa"/>
            <w:tcBorders>
              <w:tl2br w:val="nil"/>
              <w:tr2bl w:val="nil"/>
            </w:tcBorders>
            <w:vAlign w:val="center"/>
          </w:tcPr>
          <w:p w14:paraId="54DD2195">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养殖区</w:t>
            </w:r>
          </w:p>
        </w:tc>
        <w:tc>
          <w:tcPr>
            <w:tcW w:w="1503" w:type="dxa"/>
            <w:tcBorders>
              <w:tl2br w:val="nil"/>
              <w:tr2bl w:val="nil"/>
            </w:tcBorders>
            <w:vAlign w:val="center"/>
          </w:tcPr>
          <w:p w14:paraId="72A3B26A">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CODcr、BOD</w:t>
            </w:r>
            <w:r>
              <w:rPr>
                <w:rFonts w:hint="eastAsia" w:ascii="Times New Roman" w:hAnsi="Times New Roman"/>
                <w:color w:val="000000" w:themeColor="text1"/>
                <w:szCs w:val="21"/>
                <w:vertAlign w:val="subscript"/>
                <w:lang w:val="en-US" w:eastAsia="zh-CN"/>
                <w14:textFill>
                  <w14:solidFill>
                    <w14:schemeClr w14:val="tx1"/>
                  </w14:solidFill>
                </w14:textFill>
              </w:rPr>
              <w:t>5</w:t>
            </w:r>
            <w:r>
              <w:rPr>
                <w:rFonts w:hint="eastAsia" w:ascii="Times New Roman" w:hAnsi="Times New Roman"/>
                <w:color w:val="000000" w:themeColor="text1"/>
                <w:szCs w:val="21"/>
                <w:lang w:val="en-US"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SS、氨氮、总磷</w:t>
            </w:r>
          </w:p>
        </w:tc>
        <w:tc>
          <w:tcPr>
            <w:tcW w:w="5174" w:type="dxa"/>
            <w:tcBorders>
              <w:tl2br w:val="nil"/>
              <w:tr2bl w:val="nil"/>
            </w:tcBorders>
            <w:vAlign w:val="center"/>
          </w:tcPr>
          <w:p w14:paraId="72C64A5B">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经鸭舍污水池收集到场区污水处理设施，处理后最终回用于场区绿化</w:t>
            </w:r>
          </w:p>
        </w:tc>
        <w:tc>
          <w:tcPr>
            <w:tcW w:w="4262" w:type="dxa"/>
            <w:tcBorders>
              <w:tl2br w:val="nil"/>
              <w:tr2bl w:val="nil"/>
            </w:tcBorders>
            <w:vAlign w:val="center"/>
          </w:tcPr>
          <w:p w14:paraId="452832E4">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收集池、污水处理设施、回用水池按设计建设</w:t>
            </w:r>
          </w:p>
        </w:tc>
      </w:tr>
      <w:tr w14:paraId="5D15E3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restart"/>
            <w:tcBorders>
              <w:tl2br w:val="nil"/>
              <w:tr2bl w:val="nil"/>
            </w:tcBorders>
            <w:vAlign w:val="center"/>
          </w:tcPr>
          <w:p w14:paraId="10C814E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固体废物</w:t>
            </w:r>
          </w:p>
        </w:tc>
        <w:tc>
          <w:tcPr>
            <w:tcW w:w="1850" w:type="dxa"/>
            <w:tcBorders>
              <w:tl2br w:val="nil"/>
              <w:tr2bl w:val="nil"/>
            </w:tcBorders>
            <w:vAlign w:val="center"/>
          </w:tcPr>
          <w:p w14:paraId="1633A41B">
            <w:pPr>
              <w:pStyle w:val="56"/>
              <w:autoSpaceDE w:val="0"/>
              <w:autoSpaceDN w:val="0"/>
              <w:rPr>
                <w:rFonts w:hint="eastAsia" w:ascii="Times New Roman" w:hAnsi="Times New Roman"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淘汰鸭、</w:t>
            </w:r>
            <w:r>
              <w:rPr>
                <w:rFonts w:ascii="Times New Roman" w:hAnsi="Times New Roman"/>
                <w:color w:val="000000" w:themeColor="text1"/>
                <w:szCs w:val="21"/>
                <w:lang w:val="en-US" w:eastAsia="en-US"/>
                <w14:textFill>
                  <w14:solidFill>
                    <w14:schemeClr w14:val="tx1"/>
                  </w14:solidFill>
                </w14:textFill>
              </w:rPr>
              <w:t>病死</w:t>
            </w:r>
            <w:r>
              <w:rPr>
                <w:rFonts w:hint="eastAsia" w:ascii="Times New Roman" w:hAnsi="Times New Roman"/>
                <w:color w:val="000000" w:themeColor="text1"/>
                <w:szCs w:val="21"/>
                <w:lang w:val="en-US" w:eastAsia="zh-CN"/>
                <w14:textFill>
                  <w14:solidFill>
                    <w14:schemeClr w14:val="tx1"/>
                  </w14:solidFill>
                </w14:textFill>
              </w:rPr>
              <w:t>鸭</w:t>
            </w:r>
          </w:p>
        </w:tc>
        <w:tc>
          <w:tcPr>
            <w:tcW w:w="1503" w:type="dxa"/>
            <w:tcBorders>
              <w:tl2br w:val="nil"/>
              <w:tr2bl w:val="nil"/>
            </w:tcBorders>
            <w:vAlign w:val="center"/>
          </w:tcPr>
          <w:p w14:paraId="2066BC39">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鸭</w:t>
            </w:r>
            <w:r>
              <w:rPr>
                <w:rFonts w:ascii="Times New Roman" w:hAnsi="Times New Roman"/>
                <w:color w:val="000000" w:themeColor="text1"/>
                <w:szCs w:val="21"/>
                <w:lang w:eastAsia="en-US"/>
                <w14:textFill>
                  <w14:solidFill>
                    <w14:schemeClr w14:val="tx1"/>
                  </w14:solidFill>
                </w14:textFill>
              </w:rPr>
              <w:t>尸体</w:t>
            </w:r>
          </w:p>
        </w:tc>
        <w:tc>
          <w:tcPr>
            <w:tcW w:w="5174" w:type="dxa"/>
            <w:tcBorders>
              <w:tl2br w:val="nil"/>
              <w:tr2bl w:val="nil"/>
            </w:tcBorders>
            <w:vAlign w:val="center"/>
          </w:tcPr>
          <w:p w14:paraId="55A8DB56">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委托伊宁市病死畜禽无害化处理中心处理</w:t>
            </w:r>
          </w:p>
        </w:tc>
        <w:tc>
          <w:tcPr>
            <w:tcW w:w="4262" w:type="dxa"/>
            <w:tcBorders>
              <w:tl2br w:val="nil"/>
              <w:tr2bl w:val="nil"/>
            </w:tcBorders>
            <w:vAlign w:val="center"/>
          </w:tcPr>
          <w:p w14:paraId="2C67A03B">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合理处置</w:t>
            </w:r>
          </w:p>
        </w:tc>
      </w:tr>
      <w:tr w14:paraId="78BE84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000664BB">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850" w:type="dxa"/>
            <w:tcBorders>
              <w:tl2br w:val="nil"/>
              <w:tr2bl w:val="nil"/>
            </w:tcBorders>
            <w:vAlign w:val="center"/>
          </w:tcPr>
          <w:p w14:paraId="3C6BE0C0">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生活垃圾</w:t>
            </w:r>
          </w:p>
        </w:tc>
        <w:tc>
          <w:tcPr>
            <w:tcW w:w="1503" w:type="dxa"/>
            <w:tcBorders>
              <w:tl2br w:val="nil"/>
              <w:tr2bl w:val="nil"/>
            </w:tcBorders>
            <w:vAlign w:val="center"/>
          </w:tcPr>
          <w:p w14:paraId="3495E336">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c>
          <w:tcPr>
            <w:tcW w:w="5174" w:type="dxa"/>
            <w:tcBorders>
              <w:tl2br w:val="nil"/>
              <w:tr2bl w:val="nil"/>
            </w:tcBorders>
            <w:vAlign w:val="center"/>
          </w:tcPr>
          <w:p w14:paraId="20F09F21">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生活垃圾集中收集，日产日清</w:t>
            </w:r>
          </w:p>
        </w:tc>
        <w:tc>
          <w:tcPr>
            <w:tcW w:w="4262" w:type="dxa"/>
            <w:tcBorders>
              <w:tl2br w:val="nil"/>
              <w:tr2bl w:val="nil"/>
            </w:tcBorders>
            <w:vAlign w:val="center"/>
          </w:tcPr>
          <w:p w14:paraId="25E0EC15">
            <w:pPr>
              <w:pStyle w:val="56"/>
              <w:autoSpaceDE w:val="0"/>
              <w:autoSpaceDN w:val="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w:t>
            </w:r>
          </w:p>
        </w:tc>
      </w:tr>
      <w:tr w14:paraId="6D8FE6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7D237A35">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850" w:type="dxa"/>
            <w:tcBorders>
              <w:tl2br w:val="nil"/>
              <w:tr2bl w:val="nil"/>
            </w:tcBorders>
            <w:vAlign w:val="center"/>
          </w:tcPr>
          <w:p w14:paraId="3CA727B4">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供热锅炉灰渣及烟气治理污泥</w:t>
            </w:r>
          </w:p>
        </w:tc>
        <w:tc>
          <w:tcPr>
            <w:tcW w:w="1503" w:type="dxa"/>
            <w:tcBorders>
              <w:tl2br w:val="nil"/>
              <w:tr2bl w:val="nil"/>
            </w:tcBorders>
            <w:vAlign w:val="center"/>
          </w:tcPr>
          <w:p w14:paraId="71F88D6B">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5174" w:type="dxa"/>
            <w:tcBorders>
              <w:tl2br w:val="nil"/>
              <w:tr2bl w:val="nil"/>
            </w:tcBorders>
            <w:vAlign w:val="center"/>
          </w:tcPr>
          <w:p w14:paraId="41C09E6A">
            <w:pPr>
              <w:pStyle w:val="56"/>
              <w:autoSpaceDE w:val="0"/>
              <w:autoSpaceDN w:val="0"/>
              <w:rPr>
                <w:rFonts w:hint="default" w:ascii="Times New Roman" w:hAnsi="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送63团粪污处理厂生产肥料</w:t>
            </w:r>
          </w:p>
        </w:tc>
        <w:tc>
          <w:tcPr>
            <w:tcW w:w="4262" w:type="dxa"/>
            <w:tcBorders>
              <w:tl2br w:val="nil"/>
              <w:tr2bl w:val="nil"/>
            </w:tcBorders>
            <w:vAlign w:val="center"/>
          </w:tcPr>
          <w:p w14:paraId="3FFFB6BC">
            <w:pPr>
              <w:pStyle w:val="56"/>
              <w:autoSpaceDE w:val="0"/>
              <w:autoSpaceDN w:val="0"/>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5C3B7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vMerge w:val="continue"/>
            <w:tcBorders>
              <w:tl2br w:val="nil"/>
              <w:tr2bl w:val="nil"/>
            </w:tcBorders>
            <w:vAlign w:val="center"/>
          </w:tcPr>
          <w:p w14:paraId="4B6003CD">
            <w:pPr>
              <w:pStyle w:val="56"/>
              <w:autoSpaceDE w:val="0"/>
              <w:autoSpaceDN w:val="0"/>
              <w:rPr>
                <w:rFonts w:ascii="Times New Roman" w:hAnsi="Times New Roman"/>
                <w:color w:val="000000" w:themeColor="text1"/>
                <w:szCs w:val="21"/>
                <w:lang w:eastAsia="en-US"/>
                <w14:textFill>
                  <w14:solidFill>
                    <w14:schemeClr w14:val="tx1"/>
                  </w14:solidFill>
                </w14:textFill>
              </w:rPr>
            </w:pPr>
          </w:p>
        </w:tc>
        <w:tc>
          <w:tcPr>
            <w:tcW w:w="1850" w:type="dxa"/>
            <w:tcBorders>
              <w:tl2br w:val="nil"/>
              <w:tr2bl w:val="nil"/>
            </w:tcBorders>
            <w:vAlign w:val="center"/>
          </w:tcPr>
          <w:p w14:paraId="03479718">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养殖区</w:t>
            </w:r>
          </w:p>
        </w:tc>
        <w:tc>
          <w:tcPr>
            <w:tcW w:w="1503" w:type="dxa"/>
            <w:tcBorders>
              <w:tl2br w:val="nil"/>
              <w:tr2bl w:val="nil"/>
            </w:tcBorders>
            <w:vAlign w:val="center"/>
          </w:tcPr>
          <w:p w14:paraId="3160B954">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鸭粪</w:t>
            </w:r>
            <w:r>
              <w:rPr>
                <w:rFonts w:ascii="Times New Roman" w:hAnsi="Times New Roman"/>
                <w:color w:val="000000" w:themeColor="text1"/>
                <w:szCs w:val="21"/>
                <w:lang w:val="en-US" w:eastAsia="en-US"/>
                <w14:textFill>
                  <w14:solidFill>
                    <w14:schemeClr w14:val="tx1"/>
                  </w14:solidFill>
                </w14:textFill>
              </w:rPr>
              <w:t>及</w:t>
            </w:r>
            <w:r>
              <w:rPr>
                <w:rFonts w:ascii="Times New Roman" w:hAnsi="Times New Roman"/>
                <w:color w:val="000000" w:themeColor="text1"/>
                <w:szCs w:val="21"/>
                <w:lang w:eastAsia="en-US"/>
                <w14:textFill>
                  <w14:solidFill>
                    <w14:schemeClr w14:val="tx1"/>
                  </w14:solidFill>
                </w14:textFill>
              </w:rPr>
              <w:t>垫</w:t>
            </w:r>
            <w:r>
              <w:rPr>
                <w:rFonts w:ascii="Times New Roman" w:hAnsi="Times New Roman"/>
                <w:color w:val="000000" w:themeColor="text1"/>
                <w:szCs w:val="21"/>
                <w:lang w:val="en-US" w:eastAsia="en-US"/>
                <w14:textFill>
                  <w14:solidFill>
                    <w14:schemeClr w14:val="tx1"/>
                  </w14:solidFill>
                </w14:textFill>
              </w:rPr>
              <w:t>草</w:t>
            </w:r>
            <w:r>
              <w:rPr>
                <w:rFonts w:ascii="Times New Roman" w:hAnsi="Times New Roman"/>
                <w:color w:val="000000" w:themeColor="text1"/>
                <w:szCs w:val="21"/>
                <w:lang w:eastAsia="en-US"/>
                <w14:textFill>
                  <w14:solidFill>
                    <w14:schemeClr w14:val="tx1"/>
                  </w14:solidFill>
                </w14:textFill>
              </w:rPr>
              <w:t>料</w:t>
            </w:r>
          </w:p>
        </w:tc>
        <w:tc>
          <w:tcPr>
            <w:tcW w:w="5174" w:type="dxa"/>
            <w:tcBorders>
              <w:tl2br w:val="nil"/>
              <w:tr2bl w:val="nil"/>
            </w:tcBorders>
            <w:vAlign w:val="center"/>
          </w:tcPr>
          <w:p w14:paraId="07A1884E">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鸭粪</w:t>
            </w:r>
            <w:r>
              <w:rPr>
                <w:rFonts w:ascii="Times New Roman" w:hAnsi="Times New Roman"/>
                <w:color w:val="000000" w:themeColor="text1"/>
                <w:lang w:eastAsia="zh-CN"/>
                <w14:textFill>
                  <w14:solidFill>
                    <w14:schemeClr w14:val="tx1"/>
                  </w14:solidFill>
                </w14:textFill>
              </w:rPr>
              <w:t>及垫草料不在项目区贮存，直接拉运至</w:t>
            </w:r>
            <w:r>
              <w:rPr>
                <w:rFonts w:hint="eastAsia" w:ascii="Times New Roman" w:hAnsi="Times New Roman"/>
                <w:color w:val="000000" w:themeColor="text1"/>
                <w:lang w:val="en-US" w:eastAsia="zh-CN"/>
                <w14:textFill>
                  <w14:solidFill>
                    <w14:schemeClr w14:val="tx1"/>
                  </w14:solidFill>
                </w14:textFill>
              </w:rPr>
              <w:t>63团3连粪污处理场</w:t>
            </w:r>
            <w:r>
              <w:rPr>
                <w:rFonts w:ascii="Times New Roman" w:hAnsi="Times New Roman"/>
                <w:color w:val="000000" w:themeColor="text1"/>
                <w:lang w:eastAsia="zh-CN"/>
                <w14:textFill>
                  <w14:solidFill>
                    <w14:schemeClr w14:val="tx1"/>
                  </w14:solidFill>
                </w14:textFill>
              </w:rPr>
              <w:t>外售。</w:t>
            </w:r>
          </w:p>
        </w:tc>
        <w:tc>
          <w:tcPr>
            <w:tcW w:w="4262" w:type="dxa"/>
            <w:tcBorders>
              <w:tl2br w:val="nil"/>
              <w:tr2bl w:val="nil"/>
            </w:tcBorders>
            <w:vAlign w:val="center"/>
          </w:tcPr>
          <w:p w14:paraId="44803329">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《畜禽养殖业污染物排放标准》（GB18596-2001）</w:t>
            </w:r>
          </w:p>
        </w:tc>
      </w:tr>
      <w:tr w14:paraId="6EF32F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05" w:hRule="atLeast"/>
          <w:jc w:val="center"/>
        </w:trPr>
        <w:tc>
          <w:tcPr>
            <w:tcW w:w="987" w:type="dxa"/>
            <w:vMerge w:val="continue"/>
            <w:tcBorders>
              <w:tl2br w:val="nil"/>
              <w:tr2bl w:val="nil"/>
            </w:tcBorders>
            <w:vAlign w:val="center"/>
          </w:tcPr>
          <w:p w14:paraId="5CBD49F7">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850" w:type="dxa"/>
            <w:vMerge w:val="restart"/>
            <w:tcBorders>
              <w:tl2br w:val="nil"/>
              <w:tr2bl w:val="nil"/>
            </w:tcBorders>
            <w:vAlign w:val="center"/>
          </w:tcPr>
          <w:p w14:paraId="4134B098">
            <w:pPr>
              <w:pStyle w:val="56"/>
              <w:autoSpaceDE w:val="0"/>
              <w:autoSpaceDN w:val="0"/>
              <w:rPr>
                <w:rFonts w:ascii="Times New Roman" w:hAnsi="Times New Roman"/>
                <w:color w:val="000000" w:themeColor="text1"/>
                <w:szCs w:val="21"/>
                <w:lang w:val="en-US" w:eastAsia="en-US"/>
                <w14:textFill>
                  <w14:solidFill>
                    <w14:schemeClr w14:val="tx1"/>
                  </w14:solidFill>
                </w14:textFill>
              </w:rPr>
            </w:pPr>
            <w:r>
              <w:rPr>
                <w:rFonts w:ascii="Times New Roman" w:hAnsi="Times New Roman"/>
                <w:color w:val="000000" w:themeColor="text1"/>
                <w:szCs w:val="21"/>
                <w:lang w:val="en-US" w:eastAsia="en-US"/>
                <w14:textFill>
                  <w14:solidFill>
                    <w14:schemeClr w14:val="tx1"/>
                  </w14:solidFill>
                </w14:textFill>
              </w:rPr>
              <w:t>兽用医疗废物</w:t>
            </w:r>
          </w:p>
        </w:tc>
        <w:tc>
          <w:tcPr>
            <w:tcW w:w="1503" w:type="dxa"/>
            <w:vMerge w:val="restart"/>
            <w:tcBorders>
              <w:tl2br w:val="nil"/>
              <w:tr2bl w:val="nil"/>
            </w:tcBorders>
            <w:vAlign w:val="center"/>
          </w:tcPr>
          <w:p w14:paraId="0D80D0F2">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医疗废物</w:t>
            </w:r>
          </w:p>
        </w:tc>
        <w:tc>
          <w:tcPr>
            <w:tcW w:w="5174" w:type="dxa"/>
            <w:tcBorders>
              <w:tl2br w:val="nil"/>
              <w:tr2bl w:val="nil"/>
            </w:tcBorders>
            <w:vAlign w:val="center"/>
          </w:tcPr>
          <w:p w14:paraId="1BD0BC18">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val="en-US" w:eastAsia="zh-CN"/>
                <w14:textFill>
                  <w14:solidFill>
                    <w14:schemeClr w14:val="tx1"/>
                  </w14:solidFill>
                </w14:textFill>
              </w:rPr>
              <w:t>本</w:t>
            </w:r>
            <w:r>
              <w:rPr>
                <w:rFonts w:ascii="Times New Roman" w:hAnsi="Times New Roman"/>
                <w:color w:val="000000" w:themeColor="text1"/>
                <w:szCs w:val="21"/>
                <w:lang w:eastAsia="zh-CN"/>
                <w14:textFill>
                  <w14:solidFill>
                    <w14:schemeClr w14:val="tx1"/>
                  </w14:solidFill>
                </w14:textFill>
              </w:rPr>
              <w:t>项目</w:t>
            </w:r>
            <w:r>
              <w:rPr>
                <w:rFonts w:ascii="Times New Roman" w:hAnsi="Times New Roman"/>
                <w:color w:val="000000" w:themeColor="text1"/>
                <w:lang w:val="en-US" w:eastAsia="zh-CN"/>
                <w14:textFill>
                  <w14:solidFill>
                    <w14:schemeClr w14:val="tx1"/>
                  </w14:solidFill>
                </w14:textFill>
              </w:rPr>
              <w:t>兽用医疗废物暂存于危险废物暂存间，由有危险废物处理资质单位处理</w:t>
            </w:r>
          </w:p>
        </w:tc>
        <w:tc>
          <w:tcPr>
            <w:tcW w:w="4262" w:type="dxa"/>
            <w:tcBorders>
              <w:tl2br w:val="nil"/>
              <w:tr2bl w:val="nil"/>
            </w:tcBorders>
            <w:vAlign w:val="center"/>
          </w:tcPr>
          <w:p w14:paraId="5CB50A95">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合理处置</w:t>
            </w:r>
          </w:p>
        </w:tc>
      </w:tr>
      <w:tr w14:paraId="7B3142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05" w:hRule="atLeast"/>
          <w:jc w:val="center"/>
        </w:trPr>
        <w:tc>
          <w:tcPr>
            <w:tcW w:w="987" w:type="dxa"/>
            <w:vMerge w:val="continue"/>
            <w:tcBorders>
              <w:tl2br w:val="nil"/>
              <w:tr2bl w:val="nil"/>
            </w:tcBorders>
            <w:vAlign w:val="center"/>
          </w:tcPr>
          <w:p w14:paraId="6AB66F13">
            <w:pPr>
              <w:pStyle w:val="56"/>
              <w:autoSpaceDE w:val="0"/>
              <w:autoSpaceDN w:val="0"/>
              <w:rPr>
                <w:rFonts w:ascii="Times New Roman" w:hAnsi="Times New Roman"/>
                <w:color w:val="000000" w:themeColor="text1"/>
                <w:szCs w:val="21"/>
                <w:lang w:eastAsia="zh-CN"/>
                <w14:textFill>
                  <w14:solidFill>
                    <w14:schemeClr w14:val="tx1"/>
                  </w14:solidFill>
                </w14:textFill>
              </w:rPr>
            </w:pPr>
          </w:p>
        </w:tc>
        <w:tc>
          <w:tcPr>
            <w:tcW w:w="1850" w:type="dxa"/>
            <w:vMerge w:val="continue"/>
            <w:tcBorders>
              <w:tl2br w:val="nil"/>
              <w:tr2bl w:val="nil"/>
            </w:tcBorders>
            <w:vAlign w:val="center"/>
          </w:tcPr>
          <w:p w14:paraId="7EDF30C8">
            <w:pPr>
              <w:pStyle w:val="56"/>
              <w:autoSpaceDE w:val="0"/>
              <w:autoSpaceDN w:val="0"/>
              <w:rPr>
                <w:rFonts w:ascii="Times New Roman" w:hAnsi="Times New Roman"/>
                <w:color w:val="000000" w:themeColor="text1"/>
                <w:szCs w:val="21"/>
                <w:lang w:val="en-US" w:eastAsia="en-US"/>
                <w14:textFill>
                  <w14:solidFill>
                    <w14:schemeClr w14:val="tx1"/>
                  </w14:solidFill>
                </w14:textFill>
              </w:rPr>
            </w:pPr>
          </w:p>
        </w:tc>
        <w:tc>
          <w:tcPr>
            <w:tcW w:w="1503" w:type="dxa"/>
            <w:vMerge w:val="continue"/>
            <w:tcBorders>
              <w:tl2br w:val="nil"/>
              <w:tr2bl w:val="nil"/>
            </w:tcBorders>
            <w:vAlign w:val="center"/>
          </w:tcPr>
          <w:p w14:paraId="2FAF8B28">
            <w:pPr>
              <w:pStyle w:val="56"/>
              <w:autoSpaceDE w:val="0"/>
              <w:autoSpaceDN w:val="0"/>
              <w:rPr>
                <w:rFonts w:hint="eastAsia" w:ascii="Times New Roman" w:hAnsi="Times New Roman"/>
                <w:color w:val="000000" w:themeColor="text1"/>
                <w:szCs w:val="21"/>
                <w:lang w:val="en-US" w:eastAsia="zh-CN"/>
                <w14:textFill>
                  <w14:solidFill>
                    <w14:schemeClr w14:val="tx1"/>
                  </w14:solidFill>
                </w14:textFill>
              </w:rPr>
            </w:pPr>
          </w:p>
        </w:tc>
        <w:tc>
          <w:tcPr>
            <w:tcW w:w="5174" w:type="dxa"/>
            <w:tcBorders>
              <w:tl2br w:val="nil"/>
              <w:tr2bl w:val="nil"/>
            </w:tcBorders>
            <w:vAlign w:val="center"/>
          </w:tcPr>
          <w:p w14:paraId="3342FCB7">
            <w:pPr>
              <w:pStyle w:val="56"/>
              <w:autoSpaceDE w:val="0"/>
              <w:autoSpaceDN w:val="0"/>
              <w:rPr>
                <w:rFonts w:ascii="Times New Roman" w:hAnsi="Times New Roman"/>
                <w:color w:val="000000" w:themeColor="text1"/>
                <w:szCs w:val="21"/>
                <w:lang w:val="en-US" w:eastAsia="zh-CN"/>
                <w14:textFill>
                  <w14:solidFill>
                    <w14:schemeClr w14:val="tx1"/>
                  </w14:solidFill>
                </w14:textFill>
              </w:rPr>
            </w:pPr>
            <w:r>
              <w:rPr>
                <w:rFonts w:ascii="Times New Roman" w:hAnsi="Times New Roman"/>
                <w:color w:val="000000" w:themeColor="text1"/>
                <w:lang w:val="en-US" w:eastAsia="zh-CN"/>
                <w14:textFill>
                  <w14:solidFill>
                    <w14:schemeClr w14:val="tx1"/>
                  </w14:solidFill>
                </w14:textFill>
              </w:rPr>
              <w:t>危险废物暂存间</w:t>
            </w:r>
          </w:p>
        </w:tc>
        <w:tc>
          <w:tcPr>
            <w:tcW w:w="4262" w:type="dxa"/>
            <w:tcBorders>
              <w:tl2br w:val="nil"/>
              <w:tr2bl w:val="nil"/>
            </w:tcBorders>
            <w:vAlign w:val="center"/>
          </w:tcPr>
          <w:p w14:paraId="72E10EC5">
            <w:pPr>
              <w:pStyle w:val="56"/>
              <w:autoSpaceDE w:val="0"/>
              <w:autoSpaceDN w:val="0"/>
              <w:rPr>
                <w:rFonts w:ascii="Times New Roman" w:hAnsi="Times New Roman"/>
                <w:color w:val="000000" w:themeColor="text1"/>
                <w:szCs w:val="21"/>
                <w:lang w:eastAsia="en-US"/>
                <w14:textFill>
                  <w14:solidFill>
                    <w14:schemeClr w14:val="tx1"/>
                  </w14:solidFill>
                </w14:textFill>
              </w:rPr>
            </w:pPr>
            <w:r>
              <w:rPr>
                <w:rFonts w:hint="eastAsia" w:ascii="Times New Roman" w:hAnsi="Times New Roman" w:eastAsia="仿宋_GB2312" w:cs="Times New Roman"/>
                <w:b w:val="0"/>
                <w:bCs w:val="0"/>
                <w:color w:val="auto"/>
                <w:sz w:val="24"/>
                <w:szCs w:val="24"/>
                <w:lang w:val="en-US" w:eastAsia="zh-CN"/>
              </w:rPr>
              <w:t>《危险废物贮存污染控制标准》（GB18597-2023）</w:t>
            </w:r>
          </w:p>
        </w:tc>
      </w:tr>
      <w:tr w14:paraId="653652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987" w:type="dxa"/>
            <w:tcBorders>
              <w:tl2br w:val="nil"/>
              <w:tr2bl w:val="nil"/>
            </w:tcBorders>
            <w:vAlign w:val="center"/>
          </w:tcPr>
          <w:p w14:paraId="69AF30A1">
            <w:pPr>
              <w:pStyle w:val="56"/>
              <w:autoSpaceDE w:val="0"/>
              <w:autoSpaceDN w:val="0"/>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lang w:eastAsia="en-US"/>
                <w14:textFill>
                  <w14:solidFill>
                    <w14:schemeClr w14:val="tx1"/>
                  </w14:solidFill>
                </w14:textFill>
              </w:rPr>
              <w:t>地下水</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土壤</w:t>
            </w:r>
          </w:p>
        </w:tc>
        <w:tc>
          <w:tcPr>
            <w:tcW w:w="12789" w:type="dxa"/>
            <w:gridSpan w:val="4"/>
            <w:tcBorders>
              <w:tl2br w:val="nil"/>
              <w:tr2bl w:val="nil"/>
            </w:tcBorders>
            <w:vAlign w:val="center"/>
          </w:tcPr>
          <w:p w14:paraId="3D85A7D1">
            <w:pPr>
              <w:pStyle w:val="56"/>
              <w:autoSpaceDE w:val="0"/>
              <w:autoSpaceDN w:val="0"/>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按照分区防渗措施做好防渗工程，加强日常管理及监测</w:t>
            </w:r>
          </w:p>
        </w:tc>
      </w:tr>
    </w:tbl>
    <w:p w14:paraId="17336768">
      <w:pPr>
        <w:ind w:firstLine="480"/>
        <w:rPr>
          <w:rFonts w:ascii="Times New Roman" w:hAnsi="Times New Roman" w:cs="Times New Roman"/>
          <w:color w:val="000000" w:themeColor="text1"/>
          <w:lang w:val="en-GB"/>
          <w14:textFill>
            <w14:solidFill>
              <w14:schemeClr w14:val="tx1"/>
            </w14:solidFill>
          </w14:textFill>
        </w:rPr>
        <w:sectPr>
          <w:headerReference r:id="rId22" w:type="default"/>
          <w:pgSz w:w="16838" w:h="11906" w:orient="landscape"/>
          <w:pgMar w:top="1588" w:right="1588" w:bottom="1474" w:left="1474" w:header="1077" w:footer="850" w:gutter="0"/>
          <w:pgBorders>
            <w:top w:val="none" w:sz="0" w:space="0"/>
            <w:left w:val="none" w:sz="0" w:space="0"/>
            <w:bottom w:val="none" w:sz="0" w:space="0"/>
            <w:right w:val="none" w:sz="0" w:space="0"/>
          </w:pgBorders>
          <w:cols w:space="425" w:num="1"/>
          <w:docGrid w:type="lines" w:linePitch="326" w:charSpace="0"/>
        </w:sectPr>
      </w:pPr>
      <w:bookmarkStart w:id="367" w:name="9环境影响评价结论"/>
      <w:bookmarkEnd w:id="367"/>
      <w:bookmarkStart w:id="368" w:name="_bookmark50"/>
      <w:bookmarkEnd w:id="368"/>
      <w:bookmarkStart w:id="369" w:name="8.6排污许可制度"/>
      <w:bookmarkEnd w:id="369"/>
    </w:p>
    <w:p w14:paraId="6967EE2A">
      <w:pPr>
        <w:pStyle w:val="3"/>
        <w:numPr>
          <w:ilvl w:val="0"/>
          <w:numId w:val="1"/>
        </w:numPr>
        <w:rPr>
          <w:rFonts w:ascii="Times New Roman" w:hAnsi="Times New Roman" w:cs="Times New Roman"/>
          <w:color w:val="000000" w:themeColor="text1"/>
          <w14:textFill>
            <w14:solidFill>
              <w14:schemeClr w14:val="tx1"/>
            </w14:solidFill>
          </w14:textFill>
        </w:rPr>
      </w:pPr>
      <w:bookmarkStart w:id="370" w:name="_Toc27943"/>
      <w:bookmarkStart w:id="371" w:name="_Toc483492121"/>
      <w:bookmarkStart w:id="372" w:name="_Toc490417164"/>
      <w:r>
        <w:rPr>
          <w:rFonts w:ascii="Times New Roman" w:hAnsi="Times New Roman" w:cs="Times New Roman"/>
          <w:color w:val="000000" w:themeColor="text1"/>
          <w14:textFill>
            <w14:solidFill>
              <w14:schemeClr w14:val="tx1"/>
            </w14:solidFill>
          </w14:textFill>
        </w:rPr>
        <w:t>环境影响评价结论</w:t>
      </w:r>
      <w:bookmarkEnd w:id="370"/>
      <w:bookmarkEnd w:id="371"/>
      <w:bookmarkEnd w:id="372"/>
    </w:p>
    <w:p w14:paraId="3B122D80">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73" w:name="_Toc490417165"/>
      <w:bookmarkStart w:id="374" w:name="_Toc6021"/>
      <w:bookmarkStart w:id="375" w:name="_Toc483492122"/>
      <w:r>
        <w:rPr>
          <w:rFonts w:ascii="Times New Roman" w:hAnsi="Times New Roman" w:cs="Times New Roman"/>
          <w:color w:val="000000" w:themeColor="text1"/>
          <w:lang w:val="en-GB"/>
          <w14:textFill>
            <w14:solidFill>
              <w14:schemeClr w14:val="tx1"/>
            </w14:solidFill>
          </w14:textFill>
        </w:rPr>
        <w:t>建设项目概况</w:t>
      </w:r>
      <w:bookmarkEnd w:id="373"/>
      <w:bookmarkEnd w:id="374"/>
      <w:bookmarkEnd w:id="375"/>
    </w:p>
    <w:p w14:paraId="74C2788C">
      <w:pPr>
        <w:pStyle w:val="5"/>
        <w:numPr>
          <w:ilvl w:val="2"/>
          <w:numId w:val="1"/>
        </w:numPr>
        <w:ind w:left="1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项目基本情况</w:t>
      </w:r>
    </w:p>
    <w:p w14:paraId="5060B91A">
      <w:pPr>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（1）项目名称：</w:t>
      </w:r>
      <w:r>
        <w:rPr>
          <w:rFonts w:hint="eastAsia" w:cs="Times New Roman"/>
          <w:color w:val="000000" w:themeColor="text1"/>
          <w:lang w:eastAsia="zh-CN"/>
          <w14:textFill>
            <w14:solidFill>
              <w14:schemeClr w14:val="tx1"/>
            </w14:solidFill>
          </w14:textFill>
        </w:rPr>
        <w:t>第四师63团种禽养殖基地建设项目</w:t>
      </w:r>
    </w:p>
    <w:p w14:paraId="145B0F94">
      <w:pPr>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（2）建设单位：</w:t>
      </w:r>
      <w:r>
        <w:rPr>
          <w:rFonts w:hint="eastAsia" w:cs="Times New Roman"/>
          <w:color w:val="000000" w:themeColor="text1"/>
          <w:lang w:eastAsia="zh-CN"/>
          <w14:textFill>
            <w14:solidFill>
              <w14:schemeClr w14:val="tx1"/>
            </w14:solidFill>
          </w14:textFill>
        </w:rPr>
        <w:t>新疆鼎成农业科技有限公司</w:t>
      </w:r>
    </w:p>
    <w:p w14:paraId="0CD2703F">
      <w:pPr>
        <w:ind w:firstLine="48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（3）建设性质：</w:t>
      </w:r>
      <w:r>
        <w:rPr>
          <w:rFonts w:hint="eastAsia" w:cs="Times New Roman"/>
          <w:color w:val="000000" w:themeColor="text1"/>
          <w:lang w:val="en-US" w:eastAsia="zh-CN"/>
          <w14:textFill>
            <w14:solidFill>
              <w14:schemeClr w14:val="tx1"/>
            </w14:solidFill>
          </w14:textFill>
        </w:rPr>
        <w:t>新建</w:t>
      </w:r>
    </w:p>
    <w:p w14:paraId="0427EF0A">
      <w:pPr>
        <w:ind w:firstLine="48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（4）建设地点：本项目建设地点位于</w:t>
      </w:r>
      <w:r>
        <w:rPr>
          <w:rFonts w:hint="eastAsia" w:ascii="Times New Roman" w:hAnsi="Times New Roman" w:cs="Times New Roman"/>
          <w:color w:val="auto"/>
          <w:lang w:val="en-US" w:eastAsia="zh-CN"/>
        </w:rPr>
        <w:t>第四师63团6连</w:t>
      </w:r>
      <w:r>
        <w:rPr>
          <w:rFonts w:hint="eastAsia" w:cs="Times New Roman"/>
          <w:color w:val="auto"/>
          <w:lang w:val="en-US" w:eastAsia="zh-CN"/>
        </w:rPr>
        <w:t>西南</w:t>
      </w:r>
      <w:r>
        <w:rPr>
          <w:rFonts w:hint="eastAsia" w:ascii="Times New Roman" w:hAnsi="Times New Roman" w:cs="Times New Roman"/>
          <w:color w:val="auto"/>
          <w:lang w:val="en-US" w:eastAsia="zh-CN"/>
        </w:rPr>
        <w:t>方向约</w:t>
      </w:r>
      <w:r>
        <w:rPr>
          <w:rFonts w:hint="eastAsia" w:cs="Times New Roman"/>
          <w:color w:val="auto"/>
          <w:lang w:val="en-US" w:eastAsia="zh-CN"/>
        </w:rPr>
        <w:t>2.7</w:t>
      </w:r>
      <w:r>
        <w:rPr>
          <w:rFonts w:hint="eastAsia" w:ascii="Times New Roman" w:hAnsi="Times New Roman" w:cs="Times New Roman"/>
          <w:color w:val="auto"/>
          <w:lang w:val="en-US" w:eastAsia="zh-CN"/>
        </w:rPr>
        <w:t>km</w:t>
      </w:r>
      <w:r>
        <w:rPr>
          <w:rFonts w:hint="eastAsia" w:cs="Times New Roman"/>
          <w:color w:val="auto"/>
          <w:lang w:val="en-US" w:eastAsia="zh-CN"/>
        </w:rPr>
        <w:t>，13</w:t>
      </w:r>
      <w:r>
        <w:rPr>
          <w:rFonts w:hint="eastAsia" w:ascii="Times New Roman" w:hAnsi="Times New Roman" w:cs="Times New Roman"/>
          <w:color w:val="auto"/>
          <w:lang w:val="en-US" w:eastAsia="zh-CN"/>
        </w:rPr>
        <w:t>连</w:t>
      </w:r>
      <w:r>
        <w:rPr>
          <w:rFonts w:hint="eastAsia" w:cs="Times New Roman"/>
          <w:color w:val="auto"/>
          <w:lang w:val="en-US" w:eastAsia="zh-CN"/>
        </w:rPr>
        <w:t>以西</w:t>
      </w:r>
      <w:r>
        <w:rPr>
          <w:rFonts w:hint="eastAsia" w:ascii="Times New Roman" w:hAnsi="Times New Roman" w:cs="Times New Roman"/>
          <w:color w:val="auto"/>
          <w:lang w:val="en-US" w:eastAsia="zh-CN"/>
        </w:rPr>
        <w:t>方向</w:t>
      </w:r>
      <w:r>
        <w:rPr>
          <w:rFonts w:hint="eastAsia" w:cs="Times New Roman"/>
          <w:color w:val="auto"/>
          <w:lang w:val="en-US" w:eastAsia="zh-CN"/>
        </w:rPr>
        <w:t>2.7</w:t>
      </w:r>
      <w:r>
        <w:rPr>
          <w:rFonts w:hint="eastAsia" w:ascii="Times New Roman" w:hAnsi="Times New Roman" w:cs="Times New Roman"/>
          <w:color w:val="auto"/>
          <w:lang w:val="en-US" w:eastAsia="zh-CN"/>
        </w:rPr>
        <w:t>km处</w:t>
      </w:r>
      <w:r>
        <w:rPr>
          <w:rFonts w:ascii="Times New Roman" w:hAnsi="Times New Roman" w:cs="Times New Roman"/>
          <w:color w:val="auto"/>
        </w:rPr>
        <w:t>，</w:t>
      </w:r>
      <w:r>
        <w:rPr>
          <w:rFonts w:hint="eastAsia" w:cs="Times New Roman"/>
          <w:color w:val="auto"/>
          <w:lang w:eastAsia="zh-CN"/>
        </w:rPr>
        <w:t>向西距离中哈边境线约</w:t>
      </w:r>
      <w:r>
        <w:rPr>
          <w:rFonts w:hint="eastAsia" w:cs="Times New Roman"/>
          <w:color w:val="auto"/>
          <w:lang w:val="en-US" w:eastAsia="zh-CN"/>
        </w:rPr>
        <w:t>3公里。项目建设用地北侧60m有农田，东侧650m有农田</w:t>
      </w:r>
      <w:r>
        <w:rPr>
          <w:rFonts w:ascii="Times New Roman" w:hAnsi="Times New Roman" w:cs="Times New Roman"/>
          <w:color w:val="auto"/>
        </w:rPr>
        <w:t>，</w:t>
      </w:r>
      <w:r>
        <w:rPr>
          <w:rFonts w:hint="eastAsia" w:cs="Times New Roman"/>
          <w:color w:val="auto"/>
          <w:lang w:eastAsia="zh-CN"/>
        </w:rPr>
        <w:t>东侧</w:t>
      </w:r>
      <w:r>
        <w:rPr>
          <w:rFonts w:hint="eastAsia" w:cs="Times New Roman"/>
          <w:color w:val="auto"/>
          <w:lang w:val="en-US" w:eastAsia="zh-CN"/>
        </w:rPr>
        <w:t>950m有农户1户，附近其他土地均为塔克尔穆库尔沙地，项目</w:t>
      </w:r>
      <w:r>
        <w:rPr>
          <w:rFonts w:hint="eastAsia" w:cs="Times New Roman"/>
          <w:color w:val="auto"/>
          <w:lang w:eastAsia="zh-CN"/>
        </w:rPr>
        <w:t>其他各向</w:t>
      </w:r>
      <w:r>
        <w:rPr>
          <w:rFonts w:hint="eastAsia" w:cs="Times New Roman"/>
          <w:color w:val="auto"/>
          <w:lang w:val="en-US" w:eastAsia="zh-CN"/>
        </w:rPr>
        <w:t>2.5</w:t>
      </w:r>
      <w:r>
        <w:rPr>
          <w:rFonts w:ascii="Times New Roman" w:hAnsi="Times New Roman" w:cs="Times New Roman"/>
          <w:color w:val="auto"/>
        </w:rPr>
        <w:t>km范围内无城镇居民区、文化教育科学研究区等人口集中区域，不涉及风景名胜区、自然保护区的核心区和缓冲区。中心地理坐标为东经：</w:t>
      </w:r>
      <w:r>
        <w:rPr>
          <w:rFonts w:hint="eastAsia" w:ascii="Times New Roman" w:hAnsi="Times New Roman" w:cs="Times New Roman"/>
          <w:color w:val="auto"/>
          <w:lang w:val="en-US" w:eastAsia="zh-CN"/>
        </w:rPr>
        <w:t>80</w:t>
      </w:r>
      <w:r>
        <w:rPr>
          <w:rFonts w:ascii="Times New Roman" w:hAnsi="Times New Roman" w:cs="Times New Roman"/>
          <w:color w:val="auto"/>
        </w:rPr>
        <w:t>°</w:t>
      </w:r>
      <w:r>
        <w:rPr>
          <w:rFonts w:hint="eastAsia" w:ascii="Times New Roman" w:hAnsi="Times New Roman" w:cs="Times New Roman"/>
          <w:color w:val="auto"/>
          <w:lang w:val="en-US" w:eastAsia="zh-CN"/>
        </w:rPr>
        <w:t>3</w:t>
      </w:r>
      <w:r>
        <w:rPr>
          <w:rFonts w:hint="eastAsia" w:cs="Times New Roman"/>
          <w:color w:val="auto"/>
          <w:lang w:val="en-US" w:eastAsia="zh-CN"/>
        </w:rPr>
        <w:t>2</w:t>
      </w:r>
      <w:r>
        <w:rPr>
          <w:rFonts w:ascii="Times New Roman" w:hAnsi="Times New Roman" w:cs="Times New Roman"/>
          <w:color w:val="auto"/>
        </w:rPr>
        <w:t>′</w:t>
      </w:r>
      <w:r>
        <w:rPr>
          <w:rFonts w:hint="eastAsia" w:cs="Times New Roman"/>
          <w:color w:val="auto"/>
          <w:lang w:val="en-US" w:eastAsia="zh-CN"/>
        </w:rPr>
        <w:t>22.165</w:t>
      </w:r>
      <w:r>
        <w:rPr>
          <w:rFonts w:ascii="Times New Roman" w:hAnsi="Times New Roman" w:cs="Times New Roman"/>
          <w:color w:val="auto"/>
        </w:rPr>
        <w:t>″，北纬：</w:t>
      </w:r>
      <w:r>
        <w:rPr>
          <w:rFonts w:hint="eastAsia" w:ascii="Times New Roman" w:hAnsi="Times New Roman" w:cs="Times New Roman"/>
          <w:color w:val="auto"/>
          <w:lang w:val="en-US" w:eastAsia="zh-CN"/>
        </w:rPr>
        <w:t>4</w:t>
      </w:r>
      <w:r>
        <w:rPr>
          <w:rFonts w:hint="eastAsia" w:cs="Times New Roman"/>
          <w:color w:val="auto"/>
          <w:lang w:val="en-US" w:eastAsia="zh-CN"/>
        </w:rPr>
        <w:t>3</w:t>
      </w:r>
      <w:r>
        <w:rPr>
          <w:rFonts w:ascii="Times New Roman" w:hAnsi="Times New Roman" w:cs="Times New Roman"/>
          <w:color w:val="auto"/>
        </w:rPr>
        <w:t>°</w:t>
      </w:r>
      <w:r>
        <w:rPr>
          <w:rFonts w:hint="eastAsia" w:cs="Times New Roman"/>
          <w:color w:val="auto"/>
          <w:lang w:val="en-US" w:eastAsia="zh-CN"/>
        </w:rPr>
        <w:t>55</w:t>
      </w:r>
      <w:r>
        <w:rPr>
          <w:rFonts w:ascii="Times New Roman" w:hAnsi="Times New Roman" w:cs="Times New Roman"/>
          <w:color w:val="auto"/>
        </w:rPr>
        <w:t>′</w:t>
      </w:r>
      <w:r>
        <w:rPr>
          <w:rFonts w:hint="eastAsia" w:cs="Times New Roman"/>
          <w:color w:val="auto"/>
          <w:lang w:val="en-US" w:eastAsia="zh-CN"/>
        </w:rPr>
        <w:t>08</w:t>
      </w:r>
      <w:r>
        <w:rPr>
          <w:rFonts w:hint="eastAsia" w:ascii="Times New Roman" w:hAnsi="Times New Roman" w:cs="Times New Roman"/>
          <w:color w:val="auto"/>
          <w:lang w:val="en-US" w:eastAsia="zh-CN"/>
        </w:rPr>
        <w:t>.</w:t>
      </w:r>
      <w:r>
        <w:rPr>
          <w:rFonts w:hint="eastAsia" w:cs="Times New Roman"/>
          <w:color w:val="auto"/>
          <w:lang w:val="en-US" w:eastAsia="zh-CN"/>
        </w:rPr>
        <w:t>278</w:t>
      </w:r>
      <w:r>
        <w:rPr>
          <w:rFonts w:ascii="Times New Roman" w:hAnsi="Times New Roman" w:cs="Times New Roman"/>
          <w:color w:val="auto"/>
        </w:rPr>
        <w:t>″。</w:t>
      </w:r>
    </w:p>
    <w:p w14:paraId="7F218FA5">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（5）劳动定员和工作制度：项目定员</w:t>
      </w:r>
      <w:r>
        <w:rPr>
          <w:rFonts w:hint="eastAsia" w:cs="Times New Roman"/>
          <w:color w:val="000000" w:themeColor="text1"/>
          <w:lang w:val="en-US" w:eastAsia="zh-CN"/>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人，</w:t>
      </w:r>
      <w:r>
        <w:rPr>
          <w:rFonts w:hint="eastAsia" w:ascii="Times New Roman" w:hAnsi="Times New Roman" w:cs="Times New Roman"/>
          <w:color w:val="000000" w:themeColor="text1"/>
          <w:lang w:val="en-US" w:eastAsia="zh-CN"/>
          <w14:textFill>
            <w14:solidFill>
              <w14:schemeClr w14:val="tx1"/>
            </w14:solidFill>
          </w14:textFill>
        </w:rPr>
        <w:t>均在场内食宿，</w:t>
      </w:r>
      <w:r>
        <w:rPr>
          <w:rFonts w:ascii="Times New Roman" w:hAnsi="Times New Roman" w:cs="Times New Roman"/>
          <w:color w:val="000000" w:themeColor="text1"/>
          <w14:textFill>
            <w14:solidFill>
              <w14:schemeClr w14:val="tx1"/>
            </w14:solidFill>
          </w14:textFill>
        </w:rPr>
        <w:t>全年工作365d，</w:t>
      </w:r>
      <w:r>
        <w:rPr>
          <w:rFonts w:hint="eastAsia" w:ascii="Times New Roman" w:hAnsi="Times New Roman" w:cs="Times New Roman"/>
          <w:color w:val="000000" w:themeColor="text1"/>
          <w:lang w:val="en-US" w:eastAsia="zh-CN"/>
          <w14:textFill>
            <w14:solidFill>
              <w14:schemeClr w14:val="tx1"/>
            </w14:solidFill>
          </w14:textFill>
        </w:rPr>
        <w:t>三班制，每班工作8小时</w:t>
      </w:r>
      <w:r>
        <w:rPr>
          <w:rFonts w:ascii="Times New Roman" w:hAnsi="Times New Roman" w:cs="Times New Roman"/>
          <w:color w:val="000000" w:themeColor="text1"/>
          <w14:textFill>
            <w14:solidFill>
              <w14:schemeClr w14:val="tx1"/>
            </w14:solidFill>
          </w14:textFill>
        </w:rPr>
        <w:t>。</w:t>
      </w:r>
    </w:p>
    <w:p w14:paraId="51F75AC9">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（6）项目实施进度：</w:t>
      </w:r>
    </w:p>
    <w:p w14:paraId="334997BA">
      <w:pPr>
        <w:pStyle w:val="11"/>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sz w:val="24"/>
          <w:szCs w:val="22"/>
          <w:lang w:val="en-US" w:eastAsia="zh-CN" w:bidi="ar-SA"/>
          <w14:textFill>
            <w14:solidFill>
              <w14:schemeClr w14:val="tx1"/>
            </w14:solidFill>
          </w14:textFill>
        </w:rPr>
        <w:t>项目于2026年5月开工建设，2026年9月完工，预计2025年10月投入运行，施工期共计5个月。</w:t>
      </w:r>
    </w:p>
    <w:p w14:paraId="76F3921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（7）项目投资：本</w:t>
      </w:r>
      <w:r>
        <w:rPr>
          <w:rFonts w:hint="eastAsia" w:ascii="Times New Roman" w:hAnsi="Times New Roman" w:cs="Times New Roman"/>
          <w:color w:val="000000" w:themeColor="text1"/>
          <w:lang w:val="en-US" w:eastAsia="zh-CN"/>
          <w14:textFill>
            <w14:solidFill>
              <w14:schemeClr w14:val="tx1"/>
            </w14:solidFill>
          </w14:textFill>
        </w:rPr>
        <w:t>期</w:t>
      </w:r>
      <w:r>
        <w:rPr>
          <w:rFonts w:ascii="Times New Roman" w:hAnsi="Times New Roman" w:cs="Times New Roman"/>
          <w:color w:val="000000" w:themeColor="text1"/>
          <w14:textFill>
            <w14:solidFill>
              <w14:schemeClr w14:val="tx1"/>
            </w14:solidFill>
          </w14:textFill>
        </w:rPr>
        <w:t>项目总投资为</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000</w:t>
      </w:r>
      <w:r>
        <w:rPr>
          <w:rFonts w:ascii="Times New Roman" w:hAnsi="Times New Roman" w:cs="Times New Roman"/>
          <w:color w:val="000000" w:themeColor="text1"/>
          <w14:textFill>
            <w14:solidFill>
              <w14:schemeClr w14:val="tx1"/>
            </w14:solidFill>
          </w14:textFill>
        </w:rPr>
        <w:t>万元，</w:t>
      </w:r>
      <w:r>
        <w:rPr>
          <w:rFonts w:hint="eastAsia" w:ascii="Times New Roman" w:hAnsi="Times New Roman" w:cs="Times New Roman"/>
          <w:color w:val="000000" w:themeColor="text1"/>
          <w:lang w:val="en-US" w:eastAsia="zh-CN"/>
          <w14:textFill>
            <w14:solidFill>
              <w14:schemeClr w14:val="tx1"/>
            </w14:solidFill>
          </w14:textFill>
        </w:rPr>
        <w:t>全部由</w:t>
      </w:r>
      <w:r>
        <w:rPr>
          <w:rFonts w:ascii="Times New Roman" w:hAnsi="Times New Roman" w:cs="Times New Roman"/>
          <w:color w:val="000000" w:themeColor="text1"/>
          <w14:textFill>
            <w14:solidFill>
              <w14:schemeClr w14:val="tx1"/>
            </w14:solidFill>
          </w14:textFill>
        </w:rPr>
        <w:t>建设单位自筹。</w:t>
      </w:r>
    </w:p>
    <w:p w14:paraId="18066A39">
      <w:pPr>
        <w:ind w:firstLine="480"/>
        <w:rPr>
          <w:rFonts w:ascii="Times New Roman" w:hAnsi="Times New Roman" w:cs="Times New Roman"/>
          <w:color w:val="000000" w:themeColor="text1"/>
          <w:vertAlign w:val="baseline"/>
          <w14:textFill>
            <w14:solidFill>
              <w14:schemeClr w14:val="tx1"/>
            </w14:solidFill>
          </w14:textFill>
        </w:rPr>
      </w:pPr>
      <w:r>
        <w:rPr>
          <w:rFonts w:ascii="Times New Roman" w:hAnsi="Times New Roman" w:cs="Times New Roman"/>
          <w:color w:val="000000" w:themeColor="text1"/>
          <w14:textFill>
            <w14:solidFill>
              <w14:schemeClr w14:val="tx1"/>
            </w14:solidFill>
          </w14:textFill>
        </w:rPr>
        <w:t>（8）工程占地：总占地面积</w:t>
      </w:r>
      <w:r>
        <w:rPr>
          <w:rFonts w:hint="eastAsia" w:cs="Times New Roman"/>
          <w:color w:val="000000" w:themeColor="text1"/>
          <w:lang w:val="en-US" w:eastAsia="zh-CN"/>
          <w14:textFill>
            <w14:solidFill>
              <w14:schemeClr w14:val="tx1"/>
            </w14:solidFill>
          </w14:textFill>
        </w:rPr>
        <w:t>13.38</w:t>
      </w:r>
      <w:r>
        <w:rPr>
          <w:rFonts w:hint="eastAsia" w:ascii="Times New Roman" w:hAnsi="Times New Roman" w:cs="Times New Roman"/>
          <w:color w:val="000000" w:themeColor="text1"/>
          <w:lang w:val="en-US" w:eastAsia="zh-CN"/>
          <w14:textFill>
            <w14:solidFill>
              <w14:schemeClr w14:val="tx1"/>
            </w14:solidFill>
          </w14:textFill>
        </w:rPr>
        <w:t>hm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vertAlign w:val="baseline"/>
          <w:lang w:val="en-US" w:eastAsia="zh-CN"/>
          <w14:textFill>
            <w14:solidFill>
              <w14:schemeClr w14:val="tx1"/>
            </w14:solidFill>
          </w14:textFill>
        </w:rPr>
        <w:t>。</w:t>
      </w:r>
    </w:p>
    <w:p w14:paraId="3BC6A40D">
      <w:pPr>
        <w:ind w:firstLine="48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（9）建设规模：本项目年存栏</w:t>
      </w:r>
      <w:r>
        <w:rPr>
          <w:rFonts w:hint="eastAsia" w:ascii="Times New Roman" w:hAnsi="Times New Roman" w:cs="Times New Roman"/>
          <w:color w:val="000000" w:themeColor="text1"/>
          <w:lang w:eastAsia="zh-CN"/>
          <w14:textFill>
            <w14:solidFill>
              <w14:schemeClr w14:val="tx1"/>
            </w14:solidFill>
          </w14:textFill>
        </w:rPr>
        <w:t>种鸭</w:t>
      </w:r>
      <w:r>
        <w:rPr>
          <w:rFonts w:hint="eastAsia" w:cs="Times New Roman"/>
          <w:color w:val="000000" w:themeColor="text1"/>
          <w:lang w:val="en-US" w:eastAsia="zh-CN"/>
          <w14:textFill>
            <w14:solidFill>
              <w14:schemeClr w14:val="tx1"/>
            </w14:solidFill>
          </w14:textFill>
        </w:rPr>
        <w:t>18</w:t>
      </w:r>
      <w:r>
        <w:rPr>
          <w:rFonts w:hint="eastAsia" w:ascii="Times New Roman" w:hAnsi="Times New Roman" w:cs="Times New Roman"/>
          <w:color w:val="000000" w:themeColor="text1"/>
          <w:lang w:val="en-US" w:eastAsia="zh-CN"/>
          <w14:textFill>
            <w14:solidFill>
              <w14:schemeClr w14:val="tx1"/>
            </w14:solidFill>
          </w14:textFill>
        </w:rPr>
        <w:t>万只</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2年一个养殖周期</w:t>
      </w:r>
      <w:r>
        <w:rPr>
          <w:rFonts w:hint="eastAsia" w:ascii="Times New Roman" w:hAnsi="Times New Roman" w:cs="Times New Roman"/>
          <w:color w:val="000000" w:themeColor="text1"/>
          <w:lang w:eastAsia="zh-CN"/>
          <w14:textFill>
            <w14:solidFill>
              <w14:schemeClr w14:val="tx1"/>
            </w14:solidFill>
          </w14:textFill>
        </w:rPr>
        <w:t>。</w:t>
      </w:r>
    </w:p>
    <w:p w14:paraId="58803AC7">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（10）工程建设内容</w:t>
      </w:r>
    </w:p>
    <w:p w14:paraId="78CB3AE5">
      <w:pPr>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工程主要建设内容包括</w:t>
      </w:r>
      <w:r>
        <w:rPr>
          <w:rFonts w:hint="eastAsia" w:cs="Times New Roman"/>
          <w:color w:val="000000" w:themeColor="text1"/>
          <w:lang w:val="en-US" w:eastAsia="zh-CN"/>
          <w14:textFill>
            <w14:solidFill>
              <w14:schemeClr w14:val="tx1"/>
            </w14:solidFill>
          </w14:textFill>
        </w:rPr>
        <w:t>鸭舍30</w:t>
      </w:r>
      <w:r>
        <w:rPr>
          <w:rFonts w:hint="eastAsia" w:ascii="Times New Roman" w:hAnsi="Times New Roman" w:cs="Times New Roman"/>
          <w:color w:val="000000" w:themeColor="text1"/>
          <w:lang w:val="en-US" w:eastAsia="zh-CN"/>
          <w14:textFill>
            <w14:solidFill>
              <w14:schemeClr w14:val="tx1"/>
            </w14:solidFill>
          </w14:textFill>
        </w:rPr>
        <w:t>个</w:t>
      </w:r>
      <w:r>
        <w:rPr>
          <w:rFonts w:ascii="Times New Roman" w:hAnsi="Times New Roman" w:cs="Times New Roman"/>
          <w:color w:val="000000" w:themeColor="text1"/>
          <w14:textFill>
            <w14:solidFill>
              <w14:schemeClr w14:val="tx1"/>
            </w14:solidFill>
          </w14:textFill>
        </w:rPr>
        <w:t>及</w:t>
      </w:r>
      <w:r>
        <w:rPr>
          <w:rFonts w:hint="eastAsia" w:ascii="Times New Roman" w:hAnsi="Times New Roman" w:cs="Times New Roman"/>
          <w:color w:val="000000" w:themeColor="text1"/>
          <w:lang w:val="en-US" w:eastAsia="zh-CN"/>
          <w14:textFill>
            <w14:solidFill>
              <w14:schemeClr w14:val="tx1"/>
            </w14:solidFill>
          </w14:textFill>
        </w:rPr>
        <w:t>种鸭</w:t>
      </w:r>
      <w:r>
        <w:rPr>
          <w:rFonts w:ascii="Times New Roman" w:hAnsi="Times New Roman" w:cs="Times New Roman"/>
          <w:color w:val="000000" w:themeColor="text1"/>
          <w14:textFill>
            <w14:solidFill>
              <w14:schemeClr w14:val="tx1"/>
            </w14:solidFill>
          </w14:textFill>
        </w:rPr>
        <w:t>运动场、</w:t>
      </w:r>
      <w:r>
        <w:rPr>
          <w:rFonts w:hint="eastAsia" w:ascii="Times New Roman" w:hAnsi="Times New Roman" w:cs="Times New Roman"/>
          <w:color w:val="000000" w:themeColor="text1"/>
          <w:lang w:val="en-US" w:eastAsia="zh-CN"/>
          <w14:textFill>
            <w14:solidFill>
              <w14:schemeClr w14:val="tx1"/>
            </w14:solidFill>
          </w14:textFill>
        </w:rPr>
        <w:t>新建项目区办公生活</w:t>
      </w:r>
      <w:r>
        <w:rPr>
          <w:rFonts w:hint="eastAsia" w:cs="Times New Roman"/>
          <w:color w:val="000000" w:themeColor="text1"/>
          <w:lang w:val="en-US" w:eastAsia="zh-CN"/>
          <w14:textFill>
            <w14:solidFill>
              <w14:schemeClr w14:val="tx1"/>
            </w14:solidFill>
          </w14:textFill>
        </w:rPr>
        <w:t>用房、蛋库、锅炉房、污水处理设施、回用水池、管理设施用房</w:t>
      </w:r>
      <w:r>
        <w:rPr>
          <w:rFonts w:hint="eastAsia" w:ascii="Times New Roman" w:hAnsi="Times New Roman" w:cs="Times New Roman"/>
          <w:color w:val="000000" w:themeColor="text1"/>
          <w:lang w:val="en-US" w:eastAsia="zh-CN"/>
          <w14:textFill>
            <w14:solidFill>
              <w14:schemeClr w14:val="tx1"/>
            </w14:solidFill>
          </w14:textFill>
        </w:rPr>
        <w:t>等</w:t>
      </w:r>
      <w:r>
        <w:rPr>
          <w:rFonts w:ascii="Times New Roman" w:hAnsi="Times New Roman" w:cs="Times New Roman"/>
          <w:color w:val="000000" w:themeColor="text1"/>
          <w14:textFill>
            <w14:solidFill>
              <w14:schemeClr w14:val="tx1"/>
            </w14:solidFill>
          </w14:textFill>
        </w:rPr>
        <w:t>。本项目组成主要包括：主体工程、辅助工程、储运工程、公用工程和环保工程。</w:t>
      </w:r>
    </w:p>
    <w:p w14:paraId="78A95E91">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76" w:name="_Toc23694"/>
      <w:bookmarkStart w:id="377" w:name="_Toc483492123"/>
      <w:bookmarkStart w:id="378" w:name="_Toc490417166"/>
      <w:r>
        <w:rPr>
          <w:rFonts w:ascii="Times New Roman" w:hAnsi="Times New Roman" w:cs="Times New Roman"/>
          <w:color w:val="000000" w:themeColor="text1"/>
          <w:lang w:val="en-GB"/>
          <w14:textFill>
            <w14:solidFill>
              <w14:schemeClr w14:val="tx1"/>
            </w14:solidFill>
          </w14:textFill>
        </w:rPr>
        <w:t>环境质量现状</w:t>
      </w:r>
      <w:bookmarkEnd w:id="376"/>
      <w:bookmarkEnd w:id="377"/>
      <w:bookmarkEnd w:id="378"/>
    </w:p>
    <w:p w14:paraId="591975B1">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（1）大气环境质量现状结论</w:t>
      </w:r>
    </w:p>
    <w:p w14:paraId="39B5DA24">
      <w:pPr>
        <w:autoSpaceDE w:val="0"/>
        <w:autoSpaceDN w:val="0"/>
        <w:adjustRightInd w:val="0"/>
        <w:ind w:firstLine="480"/>
        <w:rPr>
          <w:rFonts w:ascii="Times New Roman" w:hAnsi="Times New Roman" w:eastAsia="宋体" w:cs="Times New Roman"/>
          <w:color w:val="000000" w:themeColor="text1"/>
          <w:szCs w:val="20"/>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t>项目所在区域</w:t>
      </w:r>
      <w:r>
        <w:rPr>
          <w:rFonts w:hint="eastAsia" w:ascii="Times New Roman" w:hAnsi="Times New Roman" w:cs="Times New Roman"/>
          <w:color w:val="000000" w:themeColor="text1"/>
          <w:highlight w:val="none"/>
          <w:lang w:val="en-US" w:eastAsia="zh-CN"/>
          <w14:textFill>
            <w14:solidFill>
              <w14:schemeClr w14:val="tx1"/>
            </w14:solidFill>
          </w14:textFill>
        </w:rPr>
        <w:t>SO</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、NO</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2.5</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年平均</w:t>
      </w:r>
      <w:r>
        <w:rPr>
          <w:rFonts w:hint="eastAsia" w:ascii="Times New Roman" w:hAnsi="Times New Roman" w:cs="Times New Roman"/>
          <w:color w:val="000000" w:themeColor="text1"/>
          <w:highlight w:val="none"/>
          <w:lang w:val="en-US" w:eastAsia="zh-CN"/>
          <w14:textFill>
            <w14:solidFill>
              <w14:schemeClr w14:val="tx1"/>
            </w14:solidFill>
          </w14:textFill>
        </w:rPr>
        <w:t>，CO的95百分位24小时平均、O</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的90百分位8小时平均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浓度</w:t>
      </w:r>
      <w:r>
        <w:rPr>
          <w:rFonts w:hint="eastAsia" w:ascii="Times New Roman" w:hAnsi="Times New Roman" w:cs="Times New Roman"/>
          <w:color w:val="000000" w:themeColor="text1"/>
          <w:highlight w:val="none"/>
          <w:lang w:val="en-US" w:eastAsia="zh-CN"/>
          <w14:textFill>
            <w14:solidFill>
              <w14:schemeClr w14:val="tx1"/>
            </w14:solidFill>
          </w14:textFill>
        </w:rPr>
        <w:t>值</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均</w:t>
      </w:r>
      <w:r>
        <w:rPr>
          <w:rFonts w:hint="eastAsia" w:ascii="Times New Roman" w:hAnsi="Times New Roman" w:cs="Times New Roman"/>
          <w:color w:val="000000" w:themeColor="text1"/>
          <w:highlight w:val="none"/>
          <w:lang w:val="en-US" w:eastAsia="zh-CN"/>
          <w14:textFill>
            <w14:solidFill>
              <w14:schemeClr w14:val="tx1"/>
            </w14:solidFill>
          </w14:textFill>
        </w:rPr>
        <w:t>满足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《环境空气质量标准》（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GB3095-2012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）及其修改单中的二级标准要求，</w:t>
      </w:r>
      <w:r>
        <w:rPr>
          <w:rFonts w:hint="default" w:ascii="Times New Roman" w:hAnsi="Times New Roman"/>
          <w:color w:val="000000" w:themeColor="text1"/>
          <w14:textFill>
            <w14:solidFill>
              <w14:schemeClr w14:val="tx1"/>
            </w14:solidFill>
          </w14:textFill>
        </w:rPr>
        <w:t>因此区域为大气环境质量</w:t>
      </w:r>
      <w:r>
        <w:rPr>
          <w:rFonts w:hint="default" w:ascii="Times New Roman" w:hAnsi="Times New Roman" w:eastAsia="宋体" w:cs="Times New Roman"/>
          <w:color w:val="000000" w:themeColor="text1"/>
          <w14:textFill>
            <w14:solidFill>
              <w14:schemeClr w14:val="tx1"/>
            </w14:solidFill>
          </w14:textFill>
        </w:rPr>
        <w:t>达标区</w:t>
      </w:r>
      <w:r>
        <w:rPr>
          <w:rFonts w:ascii="Times New Roman" w:hAnsi="Times New Roman" w:eastAsia="宋体" w:cs="Times New Roman"/>
          <w:color w:val="000000" w:themeColor="text1"/>
          <w:szCs w:val="20"/>
          <w14:textFill>
            <w14:solidFill>
              <w14:schemeClr w14:val="tx1"/>
            </w14:solidFill>
          </w14:textFill>
        </w:rPr>
        <w:t>。</w:t>
      </w:r>
    </w:p>
    <w:p w14:paraId="4796B47C">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项目所在区域其他污染物NH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TSP、臭气浓度</w:t>
      </w:r>
      <w:r>
        <w:rPr>
          <w:rFonts w:ascii="Times New Roman" w:hAnsi="Times New Roman" w:cs="Times New Roman"/>
          <w:color w:val="000000" w:themeColor="text1"/>
          <w14:textFill>
            <w14:solidFill>
              <w14:schemeClr w14:val="tx1"/>
            </w14:solidFill>
          </w14:textFill>
        </w:rPr>
        <w:t>监测值满足《环境影响评价技术导则大气环境》（HJ2.2-2018）附录D 参考限值要求，臭气浓度满足《畜禽场环境质量标准》（NY/T388-1999）要求，项目区大气环境质量现状良好。</w:t>
      </w:r>
    </w:p>
    <w:p w14:paraId="71FC7C8D">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（2）地表水环境质量现状结论</w:t>
      </w:r>
    </w:p>
    <w:p w14:paraId="58C0CA60">
      <w:pPr>
        <w:ind w:firstLine="480"/>
        <w:rPr>
          <w:rFonts w:ascii="Times New Roman" w:hAnsi="Times New Roman" w:cs="Times New Roman"/>
          <w:bCs/>
          <w:color w:val="000000" w:themeColor="text1"/>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项目区属于</w:t>
      </w:r>
      <w:r>
        <w:rPr>
          <w:rFonts w:ascii="Times New Roman" w:hAnsi="Times New Roman" w:cs="Times New Roman"/>
          <w:bCs/>
          <w:color w:val="000000" w:themeColor="text1"/>
          <w14:textFill>
            <w14:solidFill>
              <w14:schemeClr w14:val="tx1"/>
            </w14:solidFill>
          </w14:textFill>
        </w:rPr>
        <w:t>《地表水环境质量标准》（GB3838-2002）中的Ⅲ类</w:t>
      </w:r>
      <w:r>
        <w:rPr>
          <w:rFonts w:hint="eastAsia" w:cs="Times New Roman"/>
          <w:bCs/>
          <w:color w:val="000000" w:themeColor="text1"/>
          <w:lang w:val="en-US" w:eastAsia="zh-CN"/>
          <w14:textFill>
            <w14:solidFill>
              <w14:schemeClr w14:val="tx1"/>
            </w14:solidFill>
          </w14:textFill>
        </w:rPr>
        <w:t>区域</w:t>
      </w:r>
      <w:r>
        <w:rPr>
          <w:rFonts w:ascii="Times New Roman" w:hAnsi="Times New Roman" w:cs="Times New Roman"/>
          <w:bCs/>
          <w:color w:val="000000" w:themeColor="text1"/>
          <w14:textFill>
            <w14:solidFill>
              <w14:schemeClr w14:val="tx1"/>
            </w14:solidFill>
          </w14:textFill>
        </w:rPr>
        <w:t>，</w:t>
      </w:r>
      <w:r>
        <w:rPr>
          <w:rFonts w:hint="eastAsia" w:cs="Times New Roman"/>
          <w:bCs/>
          <w:color w:val="000000" w:themeColor="text1"/>
          <w:lang w:eastAsia="zh-CN"/>
          <w14:textFill>
            <w14:solidFill>
              <w14:schemeClr w14:val="tx1"/>
            </w14:solidFill>
          </w14:textFill>
        </w:rPr>
        <w:t>但</w:t>
      </w:r>
      <w:r>
        <w:rPr>
          <w:rFonts w:hint="eastAsia" w:cs="Times New Roman"/>
          <w:bCs/>
          <w:color w:val="000000" w:themeColor="text1"/>
          <w:lang w:val="en-US" w:eastAsia="zh-CN"/>
          <w14:textFill>
            <w14:solidFill>
              <w14:schemeClr w14:val="tx1"/>
            </w14:solidFill>
          </w14:textFill>
        </w:rPr>
        <w:t>项目区附近无地表水体，项目不与地表水发生联系</w:t>
      </w:r>
      <w:r>
        <w:rPr>
          <w:rFonts w:ascii="Times New Roman" w:hAnsi="Times New Roman" w:cs="Times New Roman"/>
          <w:bCs/>
          <w:color w:val="000000" w:themeColor="text1"/>
          <w14:textFill>
            <w14:solidFill>
              <w14:schemeClr w14:val="tx1"/>
            </w14:solidFill>
          </w14:textFill>
        </w:rPr>
        <w:t>。</w:t>
      </w:r>
    </w:p>
    <w:p w14:paraId="33032256">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（3）地下水环境质量现状结论</w:t>
      </w:r>
    </w:p>
    <w:p w14:paraId="75CDAA5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项目区监测点地下水的水质监测因子单项标准指数均小于1，说明各项监测值均低于标准值，水质符合《地下水质量标准》（GB/T14848-2017）Ⅲ类标准，表明项目区地下水水质良好。</w:t>
      </w:r>
    </w:p>
    <w:p w14:paraId="5796C6C0">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（4）声环境质量现状结论</w:t>
      </w:r>
    </w:p>
    <w:p w14:paraId="2363A398">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建设项目所在地各类噪声源较少，厂界四周声环境质量符合《声环境质量标准》（GB3096-2008）</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类标准，区域声环境处于较好状态。</w:t>
      </w:r>
    </w:p>
    <w:p w14:paraId="10FECDCE">
      <w:pPr>
        <w:ind w:firstLine="48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lang w:val="en-GB"/>
          <w14:textFill>
            <w14:solidFill>
              <w14:schemeClr w14:val="tx1"/>
            </w14:solidFill>
          </w14:textFill>
        </w:rPr>
        <w:t>）生态环境现状评价结论</w:t>
      </w:r>
    </w:p>
    <w:p w14:paraId="50D3A36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根据《新疆生态功能区划》，</w:t>
      </w:r>
      <w:r>
        <w:rPr>
          <w:rFonts w:ascii="Times New Roman" w:hAnsi="Times New Roman" w:cs="Times New Roman"/>
          <w:color w:val="000000" w:themeColor="text1"/>
          <w14:textFill>
            <w14:solidFill>
              <w14:schemeClr w14:val="tx1"/>
            </w14:solidFill>
          </w14:textFill>
        </w:rPr>
        <w:t>项目区属于Ⅲ天山山地温性草原、森林生态区Ⅲ</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西部天山草原牧业、针叶林水源涵养及河谷绿洲农业生态亚区</w:t>
      </w:r>
      <w:r>
        <w:rPr>
          <w:rFonts w:hint="eastAsia" w:ascii="Times New Roman" w:hAnsi="Times New Roman" w:cs="Times New Roman"/>
          <w:color w:val="000000" w:themeColor="text1"/>
          <w:lang w:val="en-US" w:eastAsia="zh-CN"/>
          <w14:textFill>
            <w14:solidFill>
              <w14:schemeClr w14:val="tx1"/>
            </w14:solidFill>
          </w14:textFill>
        </w:rPr>
        <w:t>36</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伊犁河谷平原绿洲农业生态功能区</w:t>
      </w:r>
      <w:r>
        <w:rPr>
          <w:rFonts w:ascii="Times New Roman" w:hAnsi="Times New Roman" w:cs="Times New Roman"/>
          <w:color w:val="000000" w:themeColor="text1"/>
          <w:lang w:val="en-GB"/>
          <w14:textFill>
            <w14:solidFill>
              <w14:schemeClr w14:val="tx1"/>
            </w14:solidFill>
          </w14:textFill>
        </w:rPr>
        <w:t>。项目所处区域</w:t>
      </w:r>
      <w:r>
        <w:rPr>
          <w:rFonts w:hint="eastAsia" w:cs="Times New Roman"/>
          <w:color w:val="000000" w:themeColor="text1"/>
          <w:lang w:val="en-GB" w:eastAsia="zh-CN"/>
          <w14:textFill>
            <w14:solidFill>
              <w14:schemeClr w14:val="tx1"/>
            </w14:solidFill>
          </w14:textFill>
        </w:rPr>
        <w:t>为</w:t>
      </w:r>
      <w:r>
        <w:rPr>
          <w:rFonts w:ascii="Times New Roman" w:hAnsi="Times New Roman" w:cs="Times New Roman"/>
          <w:color w:val="000000" w:themeColor="text1"/>
          <w:lang w:val="en-GB"/>
          <w14:textFill>
            <w14:solidFill>
              <w14:schemeClr w14:val="tx1"/>
            </w14:solidFill>
          </w14:textFill>
        </w:rPr>
        <w:t>伊犁河冲积平原，</w:t>
      </w:r>
      <w:r>
        <w:rPr>
          <w:rFonts w:ascii="Times New Roman" w:hAnsi="Times New Roman" w:cs="Times New Roman"/>
          <w:color w:val="000000" w:themeColor="text1"/>
          <w14:textFill>
            <w14:solidFill>
              <w14:schemeClr w14:val="tx1"/>
            </w14:solidFill>
          </w14:textFill>
        </w:rPr>
        <w:t>项目区域地表自然植被主要是</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多年生蒿类、红柳</w:t>
      </w:r>
      <w:r>
        <w:rPr>
          <w:rFonts w:ascii="Times New Roman" w:hAnsi="Times New Roman" w:cs="Times New Roman"/>
          <w:color w:val="000000" w:themeColor="text1"/>
          <w14:textFill>
            <w14:solidFill>
              <w14:schemeClr w14:val="tx1"/>
            </w14:solidFill>
          </w14:textFill>
        </w:rPr>
        <w:t>等耐旱、耐盐植被</w:t>
      </w:r>
      <w:r>
        <w:rPr>
          <w:rFonts w:ascii="Times New Roman" w:hAnsi="Times New Roman" w:cs="Times New Roman"/>
          <w:color w:val="000000" w:themeColor="text1"/>
          <w:lang w:val="en-GB"/>
          <w14:textFill>
            <w14:solidFill>
              <w14:schemeClr w14:val="tx1"/>
            </w14:solidFill>
          </w14:textFill>
        </w:rPr>
        <w:t>。项目区现状生态环境良好。由于人为活动的干扰，项目区附近无大型野生动物，</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偶见的野生动物多为一些小的动物和飞禽，如鼠、麻雀等动物</w:t>
      </w:r>
      <w:r>
        <w:rPr>
          <w:rFonts w:ascii="Times New Roman" w:hAnsi="Times New Roman" w:cs="Times New Roman"/>
          <w:color w:val="000000" w:themeColor="text1"/>
          <w:lang w:val="en-GB"/>
          <w14:textFill>
            <w14:solidFill>
              <w14:schemeClr w14:val="tx1"/>
            </w14:solidFill>
          </w14:textFill>
        </w:rPr>
        <w:t>，动物种类和数量较少</w:t>
      </w:r>
      <w:r>
        <w:rPr>
          <w:rFonts w:ascii="Times New Roman" w:hAnsi="Times New Roman" w:cs="Times New Roman"/>
          <w:color w:val="000000" w:themeColor="text1"/>
          <w14:textFill>
            <w14:solidFill>
              <w14:schemeClr w14:val="tx1"/>
            </w14:solidFill>
          </w14:textFill>
        </w:rPr>
        <w:t>。主要保护目标为：保护</w:t>
      </w:r>
      <w:r>
        <w:rPr>
          <w:rFonts w:hint="eastAsia" w:cs="Times New Roman"/>
          <w:color w:val="000000" w:themeColor="text1"/>
          <w:lang w:val="en-US" w:eastAsia="zh-CN"/>
          <w14:textFill>
            <w14:solidFill>
              <w14:schemeClr w14:val="tx1"/>
            </w14:solidFill>
          </w14:textFill>
        </w:rPr>
        <w:t>沙地生态</w:t>
      </w:r>
      <w:r>
        <w:rPr>
          <w:rFonts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控制水土流失</w:t>
      </w:r>
      <w:r>
        <w:rPr>
          <w:rFonts w:ascii="Times New Roman" w:hAnsi="Times New Roman" w:cs="Times New Roman"/>
          <w:color w:val="000000" w:themeColor="text1"/>
          <w14:textFill>
            <w14:solidFill>
              <w14:schemeClr w14:val="tx1"/>
            </w14:solidFill>
          </w14:textFill>
        </w:rPr>
        <w:t>。</w:t>
      </w:r>
    </w:p>
    <w:p w14:paraId="60B95EEA">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79" w:name="_Toc10039"/>
      <w:r>
        <w:rPr>
          <w:rFonts w:ascii="Times New Roman" w:hAnsi="Times New Roman" w:cs="Times New Roman"/>
          <w:color w:val="000000" w:themeColor="text1"/>
          <w:lang w:val="en-GB"/>
          <w14:textFill>
            <w14:solidFill>
              <w14:schemeClr w14:val="tx1"/>
            </w14:solidFill>
          </w14:textFill>
        </w:rPr>
        <w:t>环境影响评价结论</w:t>
      </w:r>
      <w:bookmarkEnd w:id="379"/>
    </w:p>
    <w:p w14:paraId="72ECED93">
      <w:pPr>
        <w:ind w:firstLine="480"/>
        <w:rPr>
          <w:rFonts w:ascii="Times New Roman" w:hAnsi="Times New Roman" w:cs="Times New Roman"/>
          <w:color w:val="000000" w:themeColor="text1"/>
          <w:lang w:val="zh-CN"/>
          <w14:textFill>
            <w14:solidFill>
              <w14:schemeClr w14:val="tx1"/>
            </w14:solidFill>
          </w14:textFill>
        </w:rPr>
      </w:pPr>
      <w:bookmarkStart w:id="380" w:name="9.1.3.1环境空气影响分析"/>
      <w:bookmarkEnd w:id="380"/>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lang w:val="zh-CN"/>
          <w14:textFill>
            <w14:solidFill>
              <w14:schemeClr w14:val="tx1"/>
            </w14:solidFill>
          </w14:textFill>
        </w:rPr>
        <w:t>）环境空气影响分析</w:t>
      </w:r>
    </w:p>
    <w:p w14:paraId="2F14159D">
      <w:pPr>
        <w:ind w:firstLine="480"/>
        <w:rPr>
          <w:rFonts w:hint="default"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项目运营期产生的大气污染物NH</w:t>
      </w:r>
      <w:r>
        <w:rPr>
          <w:rFonts w:ascii="Times New Roman" w:hAnsi="Times New Roman" w:cs="Times New Roman"/>
          <w:color w:val="000000" w:themeColor="text1"/>
          <w:vertAlign w:val="subscript"/>
          <w:lang w:val="zh-CN" w:bidi="zh-CN"/>
          <w14:textFill>
            <w14:solidFill>
              <w14:schemeClr w14:val="tx1"/>
            </w14:solidFill>
          </w14:textFill>
        </w:rPr>
        <w:t>3</w:t>
      </w:r>
      <w:r>
        <w:rPr>
          <w:rFonts w:ascii="Times New Roman" w:hAnsi="Times New Roman" w:cs="Times New Roman"/>
          <w:color w:val="000000" w:themeColor="text1"/>
          <w:lang w:val="zh-CN" w:bidi="zh-CN"/>
          <w14:textFill>
            <w14:solidFill>
              <w14:schemeClr w14:val="tx1"/>
            </w14:solidFill>
          </w14:textFill>
        </w:rPr>
        <w:t>和H</w:t>
      </w:r>
      <w:r>
        <w:rPr>
          <w:rFonts w:ascii="Times New Roman" w:hAnsi="Times New Roman" w:cs="Times New Roman"/>
          <w:color w:val="000000" w:themeColor="text1"/>
          <w:vertAlign w:val="subscript"/>
          <w:lang w:val="zh-CN" w:bidi="zh-CN"/>
          <w14:textFill>
            <w14:solidFill>
              <w14:schemeClr w14:val="tx1"/>
            </w14:solidFill>
          </w14:textFill>
        </w:rPr>
        <w:t>2</w:t>
      </w:r>
      <w:r>
        <w:rPr>
          <w:rFonts w:ascii="Times New Roman" w:hAnsi="Times New Roman" w:cs="Times New Roman"/>
          <w:color w:val="000000" w:themeColor="text1"/>
          <w:lang w:val="zh-CN" w:bidi="zh-CN"/>
          <w14:textFill>
            <w14:solidFill>
              <w14:schemeClr w14:val="tx1"/>
            </w14:solidFill>
          </w14:textFill>
        </w:rPr>
        <w:t>S对周围环境空气</w:t>
      </w:r>
      <w:r>
        <w:rPr>
          <w:rFonts w:ascii="Times New Roman" w:hAnsi="Times New Roman" w:cs="Times New Roman"/>
          <w:color w:val="000000" w:themeColor="text1"/>
          <w:lang w:bidi="zh-CN"/>
          <w14:textFill>
            <w14:solidFill>
              <w14:schemeClr w14:val="tx1"/>
            </w14:solidFill>
          </w14:textFill>
        </w:rPr>
        <w:t>最大浓度占标率小于</w:t>
      </w:r>
      <w:r>
        <w:rPr>
          <w:rFonts w:ascii="Times New Roman" w:hAnsi="Times New Roman" w:cs="Times New Roman"/>
          <w:color w:val="000000" w:themeColor="text1"/>
          <w:lang w:val="zh-CN" w:bidi="zh-CN"/>
          <w14:textFill>
            <w14:solidFill>
              <w14:schemeClr w14:val="tx1"/>
            </w14:solidFill>
          </w14:textFill>
        </w:rPr>
        <w:t>10%，且最大落地浓度均低于《恶臭污染物排放标准》（GB14554-93）中表1中的厂界限值，因此，本项目无组织排放的NH</w:t>
      </w:r>
      <w:r>
        <w:rPr>
          <w:rFonts w:ascii="Times New Roman" w:hAnsi="Times New Roman" w:cs="Times New Roman"/>
          <w:color w:val="000000" w:themeColor="text1"/>
          <w:vertAlign w:val="subscript"/>
          <w:lang w:val="zh-CN" w:bidi="zh-CN"/>
          <w14:textFill>
            <w14:solidFill>
              <w14:schemeClr w14:val="tx1"/>
            </w14:solidFill>
          </w14:textFill>
        </w:rPr>
        <w:t>3</w:t>
      </w:r>
      <w:r>
        <w:rPr>
          <w:rFonts w:ascii="Times New Roman" w:hAnsi="Times New Roman" w:cs="Times New Roman"/>
          <w:color w:val="000000" w:themeColor="text1"/>
          <w:lang w:val="zh-CN" w:bidi="zh-CN"/>
          <w14:textFill>
            <w14:solidFill>
              <w14:schemeClr w14:val="tx1"/>
            </w14:solidFill>
          </w14:textFill>
        </w:rPr>
        <w:t>、H</w:t>
      </w:r>
      <w:r>
        <w:rPr>
          <w:rFonts w:ascii="Times New Roman" w:hAnsi="Times New Roman" w:cs="Times New Roman"/>
          <w:color w:val="000000" w:themeColor="text1"/>
          <w:vertAlign w:val="subscript"/>
          <w:lang w:val="zh-CN" w:bidi="zh-CN"/>
          <w14:textFill>
            <w14:solidFill>
              <w14:schemeClr w14:val="tx1"/>
            </w14:solidFill>
          </w14:textFill>
        </w:rPr>
        <w:t>2</w:t>
      </w:r>
      <w:r>
        <w:rPr>
          <w:rFonts w:ascii="Times New Roman" w:hAnsi="Times New Roman" w:cs="Times New Roman"/>
          <w:color w:val="000000" w:themeColor="text1"/>
          <w:lang w:val="zh-CN" w:bidi="zh-CN"/>
          <w14:textFill>
            <w14:solidFill>
              <w14:schemeClr w14:val="tx1"/>
            </w14:solidFill>
          </w14:textFill>
        </w:rPr>
        <w:t>S均能达标排放，对周边环境影响较小</w:t>
      </w:r>
      <w:r>
        <w:rPr>
          <w:rFonts w:hint="eastAsia" w:cs="Times New Roman"/>
          <w:color w:val="000000" w:themeColor="text1"/>
          <w:lang w:val="zh-CN" w:bidi="zh-CN"/>
          <w14:textFill>
            <w14:solidFill>
              <w14:schemeClr w14:val="tx1"/>
            </w14:solidFill>
          </w14:textFill>
        </w:rPr>
        <w:t>。</w:t>
      </w:r>
      <w:r>
        <w:rPr>
          <w:rFonts w:hint="eastAsia" w:cs="Times New Roman"/>
          <w:color w:val="000000" w:themeColor="text1"/>
          <w:lang w:val="en-US" w:bidi="zh-CN"/>
          <w14:textFill>
            <w14:solidFill>
              <w14:schemeClr w14:val="tx1"/>
            </w14:solidFill>
          </w14:textFill>
        </w:rPr>
        <w:t>本项目供热采用生物质燃料锅炉，经预测落地浓度均小于</w:t>
      </w:r>
      <w:r>
        <w:rPr>
          <w:rFonts w:hint="eastAsia" w:ascii="宋体" w:hAnsi="宋体" w:eastAsia="宋体" w:cs="宋体"/>
          <w:color w:val="auto"/>
          <w:kern w:val="0"/>
          <w:sz w:val="24"/>
          <w:lang w:val="en-US" w:eastAsia="zh-CN"/>
        </w:rPr>
        <w:t>《空气环境质量标准》（GB 3095—2026）过渡期二级标准限值；环境影响可以接受。</w:t>
      </w:r>
    </w:p>
    <w:p w14:paraId="2D1EAF6A">
      <w:pPr>
        <w:ind w:firstLine="480"/>
        <w:rPr>
          <w:rFonts w:ascii="Times New Roman" w:hAnsi="Times New Roman" w:cs="Times New Roman"/>
          <w:color w:val="000000" w:themeColor="text1"/>
          <w:lang w:val="zh-CN"/>
          <w14:textFill>
            <w14:solidFill>
              <w14:schemeClr w14:val="tx1"/>
            </w14:solidFill>
          </w14:textFill>
        </w:rPr>
      </w:pPr>
      <w:bookmarkStart w:id="381" w:name="9.1.3.2水环境影响分析"/>
      <w:bookmarkEnd w:id="381"/>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lang w:val="zh-CN"/>
          <w14:textFill>
            <w14:solidFill>
              <w14:schemeClr w14:val="tx1"/>
            </w14:solidFill>
          </w14:textFill>
        </w:rPr>
        <w:t>）水环境影响分析</w:t>
      </w:r>
    </w:p>
    <w:p w14:paraId="7B6A670F">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本项目与地表水体无直接水力联系，不会对周围地表水环境产生影响。</w:t>
      </w:r>
    </w:p>
    <w:p w14:paraId="66099321">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本项目圈</w:t>
      </w:r>
      <w:r>
        <w:rPr>
          <w:rFonts w:hint="eastAsia" w:cs="Times New Roman"/>
          <w:color w:val="000000" w:themeColor="text1"/>
          <w:lang w:val="en-US" w:bidi="zh-CN"/>
          <w14:textFill>
            <w14:solidFill>
              <w14:schemeClr w14:val="tx1"/>
            </w14:solidFill>
          </w14:textFill>
        </w:rPr>
        <w:t>生活污水化粪池处理后</w:t>
      </w:r>
      <w:r>
        <w:rPr>
          <w:rFonts w:ascii="Times New Roman" w:hAnsi="Times New Roman" w:cs="Times New Roman"/>
          <w:color w:val="000000" w:themeColor="text1"/>
          <w:lang w:val="zh-CN" w:bidi="zh-CN"/>
          <w14:textFill>
            <w14:solidFill>
              <w14:schemeClr w14:val="tx1"/>
            </w14:solidFill>
          </w14:textFill>
        </w:rPr>
        <w:t>，</w:t>
      </w:r>
      <w:r>
        <w:rPr>
          <w:rFonts w:hint="eastAsia" w:cs="Times New Roman"/>
          <w:color w:val="000000" w:themeColor="text1"/>
          <w:lang w:val="en-US" w:bidi="zh-CN"/>
          <w14:textFill>
            <w14:solidFill>
              <w14:schemeClr w14:val="tx1"/>
            </w14:solidFill>
          </w14:textFill>
        </w:rPr>
        <w:t>定期抽排到63团污水处理厂；养殖废水经鸭舍污水池收集，经场区污水处理设施处理后回用于场区绿化不外排。</w:t>
      </w:r>
      <w:r>
        <w:rPr>
          <w:rFonts w:ascii="Times New Roman" w:hAnsi="Times New Roman" w:cs="Times New Roman"/>
          <w:color w:val="000000" w:themeColor="text1"/>
          <w:lang w:val="zh-CN" w:bidi="zh-CN"/>
          <w14:textFill>
            <w14:solidFill>
              <w14:schemeClr w14:val="tx1"/>
            </w14:solidFill>
          </w14:textFill>
        </w:rPr>
        <w:t>进出场内的车辆消毒采用喷洒式消毒方式，自然蒸发无径流产生。因此，本项目在落实好防渗、防污措施后，本项目的废水可得到有效的处理，避免污染物下渗对区域地下水环境造成影响</w:t>
      </w:r>
      <w:r>
        <w:rPr>
          <w:rFonts w:hint="eastAsia" w:cs="Times New Roman"/>
          <w:color w:val="000000" w:themeColor="text1"/>
          <w:lang w:val="zh-CN" w:bidi="zh-CN"/>
          <w14:textFill>
            <w14:solidFill>
              <w14:schemeClr w14:val="tx1"/>
            </w14:solidFill>
          </w14:textFill>
        </w:rPr>
        <w:t>，</w:t>
      </w:r>
      <w:r>
        <w:rPr>
          <w:rFonts w:hint="eastAsia" w:cs="Times New Roman"/>
          <w:color w:val="000000" w:themeColor="text1"/>
          <w:lang w:val="en-US" w:bidi="zh-CN"/>
          <w14:textFill>
            <w14:solidFill>
              <w14:schemeClr w14:val="tx1"/>
            </w14:solidFill>
          </w14:textFill>
        </w:rPr>
        <w:t>环境影响可以接受</w:t>
      </w:r>
      <w:r>
        <w:rPr>
          <w:rFonts w:ascii="Times New Roman" w:hAnsi="Times New Roman" w:cs="Times New Roman"/>
          <w:color w:val="000000" w:themeColor="text1"/>
          <w:lang w:val="zh-CN" w:bidi="zh-CN"/>
          <w14:textFill>
            <w14:solidFill>
              <w14:schemeClr w14:val="tx1"/>
            </w14:solidFill>
          </w14:textFill>
        </w:rPr>
        <w:t>。</w:t>
      </w:r>
    </w:p>
    <w:p w14:paraId="776022E5">
      <w:pPr>
        <w:ind w:firstLine="480"/>
        <w:rPr>
          <w:rFonts w:ascii="Times New Roman" w:hAnsi="Times New Roman" w:cs="Times New Roman"/>
          <w:color w:val="000000" w:themeColor="text1"/>
          <w:lang w:val="zh-CN"/>
          <w14:textFill>
            <w14:solidFill>
              <w14:schemeClr w14:val="tx1"/>
            </w14:solidFill>
          </w14:textFill>
        </w:rPr>
      </w:pPr>
      <w:bookmarkStart w:id="382" w:name="9.1.3.3声环境影响分析"/>
      <w:bookmarkEnd w:id="382"/>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lang w:val="zh-CN"/>
          <w14:textFill>
            <w14:solidFill>
              <w14:schemeClr w14:val="tx1"/>
            </w14:solidFill>
          </w14:textFill>
        </w:rPr>
        <w:t>）声环境影响分析</w:t>
      </w:r>
    </w:p>
    <w:p w14:paraId="3ADB97DC">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本工程运营后，通过减震、隔声等措施，可保证厂界噪声达到《工业企业厂界环境噪声排放标准》（GB12348-2008）中</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lang w:val="zh-CN"/>
          <w14:textFill>
            <w14:solidFill>
              <w14:schemeClr w14:val="tx1"/>
            </w14:solidFill>
          </w14:textFill>
        </w:rPr>
        <w:t>类声功能区标准的要求。</w:t>
      </w:r>
    </w:p>
    <w:p w14:paraId="39CF41BF">
      <w:pPr>
        <w:ind w:firstLine="480"/>
        <w:rPr>
          <w:rFonts w:ascii="Times New Roman" w:hAnsi="Times New Roman" w:cs="Times New Roman"/>
          <w:color w:val="000000" w:themeColor="text1"/>
          <w:lang w:val="zh-CN"/>
          <w14:textFill>
            <w14:solidFill>
              <w14:schemeClr w14:val="tx1"/>
            </w14:solidFill>
          </w14:textFill>
        </w:rPr>
      </w:pPr>
      <w:bookmarkStart w:id="383" w:name="9.1.3.4固废环境影响评价"/>
      <w:bookmarkEnd w:id="383"/>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lang w:val="zh-CN"/>
          <w14:textFill>
            <w14:solidFill>
              <w14:schemeClr w14:val="tx1"/>
            </w14:solidFill>
          </w14:textFill>
        </w:rPr>
        <w:t>）固废环境影响评价</w:t>
      </w:r>
    </w:p>
    <w:p w14:paraId="708225DD">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本项目运营过程中，鸭只防疫产生的医疗废物属于危险废物，送至场区设置的危废暂存间暂存，委托有资质的危废处理单位处置；鸭粪</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垫料作为有机肥半成品外售；</w:t>
      </w:r>
      <w:r>
        <w:rPr>
          <w:rFonts w:hint="eastAsia" w:cs="Times New Roman"/>
          <w:color w:val="000000" w:themeColor="text1"/>
          <w:lang w:val="en-US" w:eastAsia="zh-CN"/>
          <w14:textFill>
            <w14:solidFill>
              <w14:schemeClr w14:val="tx1"/>
            </w14:solidFill>
          </w14:textFill>
        </w:rPr>
        <w:t>淘汰鸭</w:t>
      </w:r>
      <w:r>
        <w:rPr>
          <w:rFonts w:hint="eastAsia" w:ascii="Times New Roman" w:hAnsi="Times New Roman" w:cs="Times New Roman"/>
          <w:color w:val="000000" w:themeColor="text1"/>
          <w:lang w:val="en-US" w:eastAsia="zh-CN"/>
          <w14:textFill>
            <w14:solidFill>
              <w14:schemeClr w14:val="tx1"/>
            </w14:solidFill>
          </w14:textFill>
        </w:rPr>
        <w:t>、病死鸭委托有资质单位进行处置；生活垃圾集中收集定期由环卫部门统一清理。拟建项目产生的各类固废均得到合理有效处置，无固废外排，对周边环境影响不大</w:t>
      </w:r>
      <w:r>
        <w:rPr>
          <w:rFonts w:ascii="Times New Roman" w:hAnsi="Times New Roman" w:cs="Times New Roman"/>
          <w:color w:val="000000" w:themeColor="text1"/>
          <w:lang w:val="zh-CN" w:bidi="zh-CN"/>
          <w14:textFill>
            <w14:solidFill>
              <w14:schemeClr w14:val="tx1"/>
            </w14:solidFill>
          </w14:textFill>
        </w:rPr>
        <w:t>。</w:t>
      </w:r>
    </w:p>
    <w:p w14:paraId="230737DE">
      <w:pPr>
        <w:ind w:firstLine="480"/>
        <w:rPr>
          <w:rFonts w:ascii="Times New Roman" w:hAnsi="Times New Roman" w:cs="Times New Roman"/>
          <w:color w:val="000000" w:themeColor="text1"/>
          <w14:textFill>
            <w14:solidFill>
              <w14:schemeClr w14:val="tx1"/>
            </w14:solidFill>
          </w14:textFill>
        </w:rPr>
      </w:pPr>
      <w:bookmarkStart w:id="384" w:name="9.1.3.6环境风险分析"/>
      <w:bookmarkEnd w:id="384"/>
      <w:bookmarkStart w:id="385" w:name="9.1.3.5土壤环境影响评价"/>
      <w:bookmarkEnd w:id="385"/>
      <w:r>
        <w:rPr>
          <w:rFonts w:ascii="Times New Roman" w:hAnsi="Times New Roman"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lang w:val="zh-CN"/>
          <w14:textFill>
            <w14:solidFill>
              <w14:schemeClr w14:val="tx1"/>
            </w14:solidFill>
          </w14:textFill>
        </w:rPr>
        <w:t>）环境风险分析</w:t>
      </w:r>
    </w:p>
    <w:p w14:paraId="7C0BE02B">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拟建工程不涉及重大风险源且事故风险概率极低，</w:t>
      </w:r>
      <w:r>
        <w:rPr>
          <w:rFonts w:hint="eastAsia" w:cs="Times New Roman"/>
          <w:color w:val="000000" w:themeColor="text1"/>
          <w:lang w:val="en-US" w:eastAsia="zh-CN"/>
          <w14:textFill>
            <w14:solidFill>
              <w14:schemeClr w14:val="tx1"/>
            </w14:solidFill>
          </w14:textFill>
        </w:rPr>
        <w:t>主要风险为疫病传播风险，</w:t>
      </w:r>
      <w:r>
        <w:rPr>
          <w:rFonts w:hint="eastAsia" w:ascii="Times New Roman" w:hAnsi="Times New Roman" w:cs="Times New Roman"/>
          <w:color w:val="000000" w:themeColor="text1"/>
          <w:lang w:val="en-US" w:eastAsia="zh-CN"/>
          <w14:textFill>
            <w14:solidFill>
              <w14:schemeClr w14:val="tx1"/>
            </w14:solidFill>
          </w14:textFill>
        </w:rPr>
        <w:t>在采取严格有效的防范措施并</w:t>
      </w:r>
      <w:r>
        <w:rPr>
          <w:rFonts w:hint="eastAsia" w:cs="Times New Roman"/>
          <w:color w:val="000000" w:themeColor="text1"/>
          <w:lang w:val="en-US" w:eastAsia="zh-CN"/>
          <w14:textFill>
            <w14:solidFill>
              <w14:schemeClr w14:val="tx1"/>
            </w14:solidFill>
          </w14:textFill>
        </w:rPr>
        <w:t>实施</w:t>
      </w:r>
      <w:r>
        <w:rPr>
          <w:rFonts w:hint="eastAsia" w:ascii="Times New Roman" w:hAnsi="Times New Roman" w:cs="Times New Roman"/>
          <w:color w:val="000000" w:themeColor="text1"/>
          <w:lang w:val="en-US" w:eastAsia="zh-CN"/>
          <w14:textFill>
            <w14:solidFill>
              <w14:schemeClr w14:val="tx1"/>
            </w14:solidFill>
          </w14:textFill>
        </w:rPr>
        <w:t>相应的应急预案的基础上，可将项目的事故概率和事故情况的环境影响降至最低。针对本项目可能发生的各种环境风险，应落实环评提出的各项预防和应急措施，设置应急预案</w:t>
      </w:r>
      <w:r>
        <w:rPr>
          <w:rFonts w:hint="eastAsia" w:cs="Times New Roman"/>
          <w:color w:val="000000" w:themeColor="text1"/>
          <w:lang w:val="en-US" w:eastAsia="zh-CN"/>
          <w14:textFill>
            <w14:solidFill>
              <w14:schemeClr w14:val="tx1"/>
            </w14:solidFill>
          </w14:textFill>
        </w:rPr>
        <w:t>，在</w:t>
      </w:r>
      <w:r>
        <w:rPr>
          <w:rFonts w:hint="eastAsia" w:ascii="Times New Roman" w:hAnsi="Times New Roman" w:cs="Times New Roman"/>
          <w:color w:val="000000" w:themeColor="text1"/>
          <w:lang w:val="en-US" w:eastAsia="zh-CN"/>
          <w14:textFill>
            <w14:solidFill>
              <w14:schemeClr w14:val="tx1"/>
            </w14:solidFill>
          </w14:textFill>
        </w:rPr>
        <w:t>可能的情况下应定期进行演习。本项目风险防范措施落实到位的前提下，项目的风险事故水平是可以接受的</w:t>
      </w:r>
      <w:r>
        <w:rPr>
          <w:rFonts w:ascii="Times New Roman" w:hAnsi="Times New Roman" w:cs="Times New Roman"/>
          <w:color w:val="000000" w:themeColor="text1"/>
          <w:lang w:val="zh-CN"/>
          <w14:textFill>
            <w14:solidFill>
              <w14:schemeClr w14:val="tx1"/>
            </w14:solidFill>
          </w14:textFill>
        </w:rPr>
        <w:t>。</w:t>
      </w:r>
    </w:p>
    <w:p w14:paraId="5E68C728">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86" w:name="9.1.4污染防治措施评价"/>
      <w:bookmarkEnd w:id="386"/>
      <w:bookmarkStart w:id="387" w:name="_Toc1885"/>
      <w:r>
        <w:rPr>
          <w:rFonts w:ascii="Times New Roman" w:hAnsi="Times New Roman" w:cs="Times New Roman"/>
          <w:color w:val="000000" w:themeColor="text1"/>
          <w:lang w:val="en-GB"/>
          <w14:textFill>
            <w14:solidFill>
              <w14:schemeClr w14:val="tx1"/>
            </w14:solidFill>
          </w14:textFill>
        </w:rPr>
        <w:t>污染防治措施评价</w:t>
      </w:r>
      <w:bookmarkEnd w:id="387"/>
    </w:p>
    <w:p w14:paraId="42130C9B">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lang w:val="en-GB"/>
          <w14:textFill>
            <w14:solidFill>
              <w14:schemeClr w14:val="tx1"/>
            </w14:solidFill>
          </w14:textFill>
        </w:rPr>
        <w:t>）</w:t>
      </w:r>
      <w:r>
        <w:rPr>
          <w:rFonts w:ascii="Times New Roman" w:hAnsi="Times New Roman" w:cs="Times New Roman"/>
          <w:color w:val="000000" w:themeColor="text1"/>
          <w:lang w:val="zh-CN"/>
          <w14:textFill>
            <w14:solidFill>
              <w14:schemeClr w14:val="tx1"/>
            </w14:solidFill>
          </w14:textFill>
        </w:rPr>
        <w:t>地表水污染防治措施</w:t>
      </w:r>
    </w:p>
    <w:p w14:paraId="14358F1E">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本项目圈</w:t>
      </w:r>
      <w:r>
        <w:rPr>
          <w:rFonts w:hint="eastAsia" w:cs="Times New Roman"/>
          <w:color w:val="000000" w:themeColor="text1"/>
          <w:lang w:val="en-US" w:bidi="zh-CN"/>
          <w14:textFill>
            <w14:solidFill>
              <w14:schemeClr w14:val="tx1"/>
            </w14:solidFill>
          </w14:textFill>
        </w:rPr>
        <w:t>生活污水化粪池处理后</w:t>
      </w:r>
      <w:r>
        <w:rPr>
          <w:rFonts w:ascii="Times New Roman" w:hAnsi="Times New Roman" w:cs="Times New Roman"/>
          <w:color w:val="000000" w:themeColor="text1"/>
          <w:lang w:val="zh-CN" w:bidi="zh-CN"/>
          <w14:textFill>
            <w14:solidFill>
              <w14:schemeClr w14:val="tx1"/>
            </w14:solidFill>
          </w14:textFill>
        </w:rPr>
        <w:t>，</w:t>
      </w:r>
      <w:r>
        <w:rPr>
          <w:rFonts w:hint="eastAsia" w:cs="Times New Roman"/>
          <w:color w:val="000000" w:themeColor="text1"/>
          <w:lang w:val="en-US" w:bidi="zh-CN"/>
          <w14:textFill>
            <w14:solidFill>
              <w14:schemeClr w14:val="tx1"/>
            </w14:solidFill>
          </w14:textFill>
        </w:rPr>
        <w:t>定期抽排到63团污水处理厂，生活废水排放量很小，污染物特征与63团污水处理厂匹配，几乎不会影响63团污水处理厂负荷；养殖废水全部治理回用</w:t>
      </w:r>
      <w:r>
        <w:rPr>
          <w:rFonts w:ascii="Times New Roman" w:hAnsi="Times New Roman" w:cs="Times New Roman"/>
          <w:color w:val="000000" w:themeColor="text1"/>
          <w:lang w:val="zh-CN" w:bidi="zh-CN"/>
          <w14:textFill>
            <w14:solidFill>
              <w14:schemeClr w14:val="tx1"/>
            </w14:solidFill>
          </w14:textFill>
        </w:rPr>
        <w:t>。因此，本项目在落实好防渗、防污措施后，</w:t>
      </w:r>
      <w:r>
        <w:rPr>
          <w:rFonts w:hint="eastAsia" w:cs="Times New Roman"/>
          <w:color w:val="000000" w:themeColor="text1"/>
          <w:lang w:val="en-US" w:bidi="zh-CN"/>
          <w14:textFill>
            <w14:solidFill>
              <w14:schemeClr w14:val="tx1"/>
            </w14:solidFill>
          </w14:textFill>
        </w:rPr>
        <w:t>措施合理有效</w:t>
      </w:r>
      <w:r>
        <w:rPr>
          <w:rFonts w:ascii="Times New Roman" w:hAnsi="Times New Roman" w:cs="Times New Roman"/>
          <w:color w:val="000000" w:themeColor="text1"/>
          <w:lang w:val="zh-CN" w:bidi="zh-CN"/>
          <w14:textFill>
            <w14:solidFill>
              <w14:schemeClr w14:val="tx1"/>
            </w14:solidFill>
          </w14:textFill>
        </w:rPr>
        <w:t>。</w:t>
      </w:r>
    </w:p>
    <w:p w14:paraId="5117CD01">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lang w:val="zh-CN"/>
          <w14:textFill>
            <w14:solidFill>
              <w14:schemeClr w14:val="tx1"/>
            </w14:solidFill>
          </w14:textFill>
        </w:rPr>
        <w:t>）地下水污染防治措施</w:t>
      </w:r>
    </w:p>
    <w:p w14:paraId="178B91D1">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为了进一步保护地下水资源，本工程在设计上对圈舍、</w:t>
      </w:r>
      <w:r>
        <w:rPr>
          <w:rFonts w:hint="eastAsia" w:ascii="Times New Roman" w:hAnsi="Times New Roman" w:cs="Times New Roman"/>
          <w:color w:val="000000" w:themeColor="text1"/>
          <w:lang w:val="en-US" w:eastAsia="zh-CN"/>
          <w14:textFill>
            <w14:solidFill>
              <w14:schemeClr w14:val="tx1"/>
            </w14:solidFill>
          </w14:textFill>
        </w:rPr>
        <w:t>化粪池</w:t>
      </w:r>
      <w:r>
        <w:rPr>
          <w:rFonts w:ascii="Times New Roman" w:hAnsi="Times New Roman" w:cs="Times New Roman"/>
          <w:color w:val="000000" w:themeColor="text1"/>
          <w:lang w:val="zh-CN"/>
          <w14:textFill>
            <w14:solidFill>
              <w14:schemeClr w14:val="tx1"/>
            </w14:solidFill>
          </w14:textFill>
        </w:rPr>
        <w:t>等仍需考虑采取防渗处理措施。</w:t>
      </w:r>
    </w:p>
    <w:p w14:paraId="2959A79D">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①</w:t>
      </w:r>
      <w:r>
        <w:rPr>
          <w:rFonts w:hint="eastAsia" w:eastAsia="宋体" w:cs="宋体"/>
          <w:color w:val="000000" w:themeColor="text1"/>
          <w:lang w:val="en-US" w:eastAsia="zh-CN"/>
          <w14:textFill>
            <w14:solidFill>
              <w14:schemeClr w14:val="tx1"/>
            </w14:solidFill>
          </w14:textFill>
        </w:rPr>
        <w:t>生活污水化粪池，养殖</w:t>
      </w:r>
      <w:r>
        <w:rPr>
          <w:rFonts w:ascii="Times New Roman" w:hAnsi="Times New Roman" w:eastAsia="宋体" w:cs="Times New Roman"/>
          <w:color w:val="000000" w:themeColor="text1"/>
          <w14:textFill>
            <w14:solidFill>
              <w14:schemeClr w14:val="tx1"/>
            </w14:solidFill>
          </w14:textFill>
        </w:rPr>
        <w:t>圈舍</w:t>
      </w:r>
      <w:r>
        <w:rPr>
          <w:rFonts w:ascii="Times New Roman" w:hAnsi="Times New Roman"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污水收集池、污水处理设施、回用水池等</w:t>
      </w:r>
      <w:r>
        <w:rPr>
          <w:rFonts w:ascii="Times New Roman" w:hAnsi="Times New Roman"/>
          <w:color w:val="000000" w:themeColor="text1"/>
          <w:szCs w:val="21"/>
          <w:lang w:eastAsia="zh-CN"/>
          <w14:textFill>
            <w14:solidFill>
              <w14:schemeClr w14:val="tx1"/>
            </w14:solidFill>
          </w14:textFill>
        </w:rPr>
        <w:t>采用高密度聚乙烯土工膜（HDPE）进行防渗，再在上层铺设10</w:t>
      </w:r>
      <w:r>
        <w:rPr>
          <w:rFonts w:hint="eastAsia"/>
          <w:color w:val="000000" w:themeColor="text1"/>
          <w:szCs w:val="21"/>
          <w:lang w:eastAsia="zh-CN"/>
          <w14:textFill>
            <w14:solidFill>
              <w14:schemeClr w14:val="tx1"/>
            </w14:solidFill>
          </w14:textFill>
        </w:rPr>
        <w:t>～</w:t>
      </w:r>
      <w:r>
        <w:rPr>
          <w:rFonts w:ascii="Times New Roman" w:hAnsi="Times New Roman"/>
          <w:color w:val="000000" w:themeColor="text1"/>
          <w:szCs w:val="21"/>
          <w:lang w:eastAsia="zh-CN"/>
          <w14:textFill>
            <w14:solidFill>
              <w14:schemeClr w14:val="tx1"/>
            </w14:solidFill>
          </w14:textFill>
        </w:rPr>
        <w:t>15cm的水泥进行硬化</w:t>
      </w:r>
      <w:r>
        <w:rPr>
          <w:rFonts w:ascii="Times New Roman" w:hAnsi="Times New Roman" w:cs="Times New Roman"/>
          <w:color w:val="000000" w:themeColor="text1"/>
          <w:lang w:val="zh-CN"/>
          <w14:textFill>
            <w14:solidFill>
              <w14:schemeClr w14:val="tx1"/>
            </w14:solidFill>
          </w14:textFill>
        </w:rPr>
        <w:t>。</w:t>
      </w:r>
    </w:p>
    <w:p w14:paraId="6BFEB9D0">
      <w:pPr>
        <w:ind w:firstLine="480"/>
        <w:rPr>
          <w:rFonts w:ascii="Times New Roman" w:hAnsi="Times New Roman" w:cs="Times New Roman"/>
          <w:color w:val="000000" w:themeColor="text1"/>
          <w:lang w:val="zh-CN"/>
          <w14:textFill>
            <w14:solidFill>
              <w14:schemeClr w14:val="tx1"/>
            </w14:solidFill>
          </w14:textFill>
        </w:rPr>
      </w:pPr>
      <w:r>
        <w:rPr>
          <w:rFonts w:hint="eastAsia" w:ascii="Times New Roman" w:hAnsi="Times New Roman" w:eastAsia="宋体" w:cs="宋体"/>
          <w:color w:val="000000" w:themeColor="text1"/>
          <w:lang w:val="zh-CN"/>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入场消毒池</w:t>
      </w:r>
      <w:r>
        <w:rPr>
          <w:rFonts w:ascii="Times New Roman" w:hAnsi="Times New Roman"/>
          <w:color w:val="000000" w:themeColor="text1"/>
          <w:lang w:eastAsia="zh-CN"/>
          <w14:textFill>
            <w14:solidFill>
              <w14:schemeClr w14:val="tx1"/>
            </w14:solidFill>
          </w14:textFill>
        </w:rPr>
        <w:t>采用高密度聚乙烯土工膜（HDPE）进行防渗</w:t>
      </w:r>
      <w:r>
        <w:rPr>
          <w:rFonts w:ascii="Times New Roman" w:hAnsi="Times New Roman"/>
          <w:color w:val="000000" w:themeColor="text1"/>
          <w:szCs w:val="21"/>
          <w:lang w:eastAsia="zh-CN"/>
          <w14:textFill>
            <w14:solidFill>
              <w14:schemeClr w14:val="tx1"/>
            </w14:solidFill>
          </w14:textFill>
        </w:rPr>
        <w:t>，基础土分层夯实</w:t>
      </w:r>
      <w:r>
        <w:rPr>
          <w:rFonts w:ascii="Times New Roman" w:hAnsi="Times New Roman" w:cs="Times New Roman"/>
          <w:color w:val="000000" w:themeColor="text1"/>
          <w:lang w:val="zh-CN"/>
          <w14:textFill>
            <w14:solidFill>
              <w14:schemeClr w14:val="tx1"/>
            </w14:solidFill>
          </w14:textFill>
        </w:rPr>
        <w:t>。</w:t>
      </w:r>
    </w:p>
    <w:p w14:paraId="63453240">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lang w:val="zh-CN"/>
          <w14:textFill>
            <w14:solidFill>
              <w14:schemeClr w14:val="tx1"/>
            </w14:solidFill>
          </w14:textFill>
        </w:rPr>
        <w:t>）大气污染防治措施</w:t>
      </w:r>
    </w:p>
    <w:p w14:paraId="52362AEE">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本项目针对养殖区恶臭，采取的措施主要为选择优质饲料原料、改进饲料配方；及时清理圈舍、保持圈舍卫生；加强圈舍的通风、改善饲养管理（及时清除粪便），并定时喷洒除臭剂，合理控制圈舍的养殖密度等，以达到减少污染的效果。</w:t>
      </w:r>
    </w:p>
    <w:p w14:paraId="4C2A3948">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本项目针对</w:t>
      </w:r>
      <w:r>
        <w:rPr>
          <w:rFonts w:hint="eastAsia" w:ascii="Times New Roman" w:hAnsi="Times New Roman" w:cs="Times New Roman"/>
          <w:color w:val="000000" w:themeColor="text1"/>
          <w:lang w:val="en-US" w:eastAsia="zh-CN"/>
          <w14:textFill>
            <w14:solidFill>
              <w14:schemeClr w14:val="tx1"/>
            </w14:solidFill>
          </w14:textFill>
        </w:rPr>
        <w:t>化粪池</w:t>
      </w:r>
      <w:r>
        <w:rPr>
          <w:rFonts w:ascii="Times New Roman" w:hAnsi="Times New Roman" w:cs="Times New Roman"/>
          <w:color w:val="000000" w:themeColor="text1"/>
          <w14:textFill>
            <w14:solidFill>
              <w14:schemeClr w14:val="tx1"/>
            </w14:solidFill>
          </w14:textFill>
        </w:rPr>
        <w:t>恶臭，</w:t>
      </w:r>
      <w:r>
        <w:rPr>
          <w:rFonts w:ascii="Times New Roman" w:hAnsi="Times New Roman" w:cs="Times New Roman"/>
          <w:color w:val="000000" w:themeColor="text1"/>
          <w:lang w:val="zh-CN"/>
          <w14:textFill>
            <w14:solidFill>
              <w14:schemeClr w14:val="tx1"/>
            </w14:solidFill>
          </w14:textFill>
        </w:rPr>
        <w:t>定期喷洒除臭剂，可有效抑制恶臭的产生，按照协议必须做到</w:t>
      </w:r>
      <w:r>
        <w:rPr>
          <w:rFonts w:hint="eastAsia" w:ascii="Times New Roman" w:hAnsi="Times New Roman" w:cs="Times New Roman"/>
          <w:color w:val="000000" w:themeColor="text1"/>
          <w:lang w:val="en-US" w:eastAsia="zh-CN"/>
          <w14:textFill>
            <w14:solidFill>
              <w14:schemeClr w14:val="tx1"/>
            </w14:solidFill>
          </w14:textFill>
        </w:rPr>
        <w:t>定期</w:t>
      </w:r>
      <w:r>
        <w:rPr>
          <w:rFonts w:ascii="Times New Roman" w:hAnsi="Times New Roman" w:cs="Times New Roman"/>
          <w:color w:val="000000" w:themeColor="text1"/>
          <w:lang w:val="zh-CN"/>
          <w14:textFill>
            <w14:solidFill>
              <w14:schemeClr w14:val="tx1"/>
            </w14:solidFill>
          </w14:textFill>
        </w:rPr>
        <w:t>清运至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lang w:val="zh-CN"/>
          <w14:textFill>
            <w14:solidFill>
              <w14:schemeClr w14:val="tx1"/>
            </w14:solidFill>
          </w14:textFill>
        </w:rPr>
        <w:t>，减少污染。</w:t>
      </w:r>
    </w:p>
    <w:p w14:paraId="3A116B27">
      <w:pPr>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本项目供热锅炉采用碱式喷淋塔治理+15m烟囱有组织排放，治理效果可以保证各类污染因子达标排放，模型预测厂界环境质量满足《环境空气质量标准》要求，治理措施可行。</w:t>
      </w:r>
    </w:p>
    <w:p w14:paraId="643BD95C">
      <w:pPr>
        <w:ind w:firstLine="480"/>
        <w:rPr>
          <w:rFonts w:ascii="Times New Roman" w:hAnsi="Times New Roman" w:cs="Times New Roman"/>
          <w:color w:val="000000" w:themeColor="text1"/>
          <w:lang w:val="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因此</w:t>
      </w:r>
      <w:r>
        <w:rPr>
          <w:rFonts w:ascii="Times New Roman" w:hAnsi="Times New Roman" w:cs="Times New Roman"/>
          <w:color w:val="000000" w:themeColor="text1"/>
          <w:lang w:val="zh-CN"/>
          <w14:textFill>
            <w14:solidFill>
              <w14:schemeClr w14:val="tx1"/>
            </w14:solidFill>
          </w14:textFill>
        </w:rPr>
        <w:t>在采取污染防治措施后，本项目生产对所在区域环境空气影响较小。</w:t>
      </w:r>
    </w:p>
    <w:p w14:paraId="6DC09EA0">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噪声污染防治措施</w:t>
      </w:r>
    </w:p>
    <w:p w14:paraId="2183A7B3">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本项目的噪声污染源主要为</w:t>
      </w:r>
      <w:r>
        <w:rPr>
          <w:rFonts w:hint="eastAsia" w:ascii="Times New Roman" w:hAnsi="Times New Roman" w:cs="Times New Roman"/>
          <w:color w:val="000000" w:themeColor="text1"/>
          <w:lang w:eastAsia="zh-CN"/>
          <w14:textFill>
            <w14:solidFill>
              <w14:schemeClr w14:val="tx1"/>
            </w14:solidFill>
          </w14:textFill>
        </w:rPr>
        <w:t>鸭</w:t>
      </w:r>
      <w:r>
        <w:rPr>
          <w:rFonts w:ascii="Times New Roman" w:hAnsi="Times New Roman" w:cs="Times New Roman"/>
          <w:color w:val="000000" w:themeColor="text1"/>
          <w14:textFill>
            <w14:solidFill>
              <w14:schemeClr w14:val="tx1"/>
            </w14:solidFill>
          </w14:textFill>
        </w:rPr>
        <w:t>叫声、机械设备运行噪声和车辆噪声</w:t>
      </w:r>
      <w:r>
        <w:rPr>
          <w:rFonts w:hint="eastAsia" w:ascii="Times New Roman" w:hAnsi="Times New Roman" w:cs="Times New Roman"/>
          <w:color w:val="000000" w:themeColor="text1"/>
          <w:lang w:val="en-US" w:eastAsia="zh-CN"/>
          <w14:textFill>
            <w14:solidFill>
              <w14:schemeClr w14:val="tx1"/>
            </w14:solidFill>
          </w14:textFill>
        </w:rPr>
        <w:t>等</w:t>
      </w:r>
      <w:r>
        <w:rPr>
          <w:rFonts w:ascii="Times New Roman" w:hAnsi="Times New Roman" w:cs="Times New Roman"/>
          <w:color w:val="000000" w:themeColor="text1"/>
          <w:lang w:val="zh-CN" w:bidi="zh-CN"/>
          <w14:textFill>
            <w14:solidFill>
              <w14:schemeClr w14:val="tx1"/>
            </w14:solidFill>
          </w14:textFill>
        </w:rPr>
        <w:t>，通过采用低噪声设备，合理布局等措施来控制噪声影响。</w:t>
      </w:r>
    </w:p>
    <w:p w14:paraId="31249A45">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lang w:val="zh-CN"/>
          <w14:textFill>
            <w14:solidFill>
              <w14:schemeClr w14:val="tx1"/>
            </w14:solidFill>
          </w14:textFill>
        </w:rPr>
        <w:t>）固体废物污染防治措施</w:t>
      </w:r>
    </w:p>
    <w:p w14:paraId="027CC4AD">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本项目采用干清粪工艺，</w:t>
      </w:r>
      <w:r>
        <w:rPr>
          <w:rFonts w:hint="eastAsia" w:ascii="Times New Roman" w:hAnsi="Times New Roman" w:cs="Times New Roman"/>
          <w:color w:val="000000" w:themeColor="text1"/>
          <w:lang w:eastAsia="zh-CN"/>
          <w14:textFill>
            <w14:solidFill>
              <w14:schemeClr w14:val="tx1"/>
            </w14:solidFill>
          </w14:textFill>
        </w:rPr>
        <w:t>鸭粪</w:t>
      </w:r>
      <w:r>
        <w:rPr>
          <w:rFonts w:ascii="Times New Roman" w:hAnsi="Times New Roman" w:cs="Times New Roman"/>
          <w:color w:val="000000" w:themeColor="text1"/>
          <w14:textFill>
            <w14:solidFill>
              <w14:schemeClr w14:val="tx1"/>
            </w14:solidFill>
          </w14:textFill>
        </w:rPr>
        <w:t>及垫草料不在项目区贮存，直接拉运至</w:t>
      </w:r>
      <w:r>
        <w:rPr>
          <w:rFonts w:hint="eastAsia" w:ascii="Times New Roman" w:hAnsi="Times New Roman" w:cs="Times New Roman"/>
          <w:color w:val="000000" w:themeColor="text1"/>
          <w:lang w:val="en-US" w:eastAsia="zh-CN"/>
          <w14:textFill>
            <w14:solidFill>
              <w14:schemeClr w14:val="tx1"/>
            </w14:solidFill>
          </w14:textFill>
        </w:rPr>
        <w:t>63团3连粪污处理场</w:t>
      </w:r>
      <w:r>
        <w:rPr>
          <w:rFonts w:ascii="Times New Roman" w:hAnsi="Times New Roman" w:cs="Times New Roman"/>
          <w:color w:val="000000" w:themeColor="text1"/>
          <w14:textFill>
            <w14:solidFill>
              <w14:schemeClr w14:val="tx1"/>
            </w14:solidFill>
          </w14:textFill>
        </w:rPr>
        <w:t>外售</w:t>
      </w:r>
      <w:r>
        <w:rPr>
          <w:rFonts w:ascii="Times New Roman" w:hAnsi="Times New Roman" w:cs="Times New Roman"/>
          <w:color w:val="000000" w:themeColor="text1"/>
          <w:lang w:val="zh-CN" w:bidi="zh-CN"/>
          <w14:textFill>
            <w14:solidFill>
              <w14:schemeClr w14:val="tx1"/>
            </w14:solidFill>
          </w14:textFill>
        </w:rPr>
        <w:t>；病死</w:t>
      </w:r>
      <w:r>
        <w:rPr>
          <w:rFonts w:hint="eastAsia" w:ascii="Times New Roman" w:hAnsi="Times New Roman" w:cs="Times New Roman"/>
          <w:color w:val="000000" w:themeColor="text1"/>
          <w:lang w:val="zh-CN" w:bidi="zh-CN"/>
          <w14:textFill>
            <w14:solidFill>
              <w14:schemeClr w14:val="tx1"/>
            </w14:solidFill>
          </w14:textFill>
        </w:rPr>
        <w:t>鸭</w:t>
      </w:r>
      <w:r>
        <w:rPr>
          <w:rFonts w:ascii="Times New Roman" w:hAnsi="Times New Roman" w:cs="Times New Roman"/>
          <w:color w:val="000000" w:themeColor="text1"/>
          <w:lang w:val="zh-CN" w:bidi="zh-CN"/>
          <w14:textFill>
            <w14:solidFill>
              <w14:schemeClr w14:val="tx1"/>
            </w14:solidFill>
          </w14:textFill>
        </w:rPr>
        <w:t>尸体委托伊宁市病死畜禽无害化处理中心处理；</w:t>
      </w:r>
      <w:r>
        <w:rPr>
          <w:rFonts w:ascii="Times New Roman" w:hAnsi="Times New Roman" w:cs="Times New Roman"/>
          <w:color w:val="000000" w:themeColor="text1"/>
          <w14:textFill>
            <w14:solidFill>
              <w14:schemeClr w14:val="tx1"/>
            </w14:solidFill>
          </w14:textFill>
        </w:rPr>
        <w:t>兽用</w:t>
      </w:r>
      <w:r>
        <w:rPr>
          <w:rFonts w:ascii="Times New Roman" w:hAnsi="Times New Roman" w:eastAsia="宋体" w:cs="Times New Roman"/>
          <w:color w:val="000000" w:themeColor="text1"/>
          <w14:textFill>
            <w14:solidFill>
              <w14:schemeClr w14:val="tx1"/>
            </w14:solidFill>
          </w14:textFill>
        </w:rPr>
        <w:t>医疗废物暂存于危险废物暂存间，由有危险废物处理资质单位处理</w:t>
      </w:r>
      <w:r>
        <w:rPr>
          <w:rFonts w:hint="eastAsia" w:eastAsia="宋体" w:cs="Times New Roman"/>
          <w:color w:val="000000" w:themeColor="text1"/>
          <w:lang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供热锅炉灰渣及烟气治理污泥送63团粪污场用于生产肥料</w:t>
      </w:r>
      <w:r>
        <w:rPr>
          <w:rFonts w:ascii="Times New Roman" w:hAnsi="Times New Roman" w:cs="Times New Roman"/>
          <w:color w:val="000000" w:themeColor="text1"/>
          <w:lang w:val="zh-CN" w:bidi="zh-CN"/>
          <w14:textFill>
            <w14:solidFill>
              <w14:schemeClr w14:val="tx1"/>
            </w14:solidFill>
          </w14:textFill>
        </w:rPr>
        <w:t>。故本项目产生的固体废物对周边环境影响较小。</w:t>
      </w:r>
    </w:p>
    <w:p w14:paraId="233DA5C8">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88" w:name="9.1.5公众参与结果"/>
      <w:bookmarkEnd w:id="388"/>
      <w:bookmarkStart w:id="389" w:name="_Toc15925"/>
      <w:r>
        <w:rPr>
          <w:rFonts w:ascii="Times New Roman" w:hAnsi="Times New Roman" w:cs="Times New Roman"/>
          <w:color w:val="000000" w:themeColor="text1"/>
          <w:lang w:val="en-GB"/>
          <w14:textFill>
            <w14:solidFill>
              <w14:schemeClr w14:val="tx1"/>
            </w14:solidFill>
          </w14:textFill>
        </w:rPr>
        <w:t>公众参与结论</w:t>
      </w:r>
      <w:bookmarkEnd w:id="389"/>
    </w:p>
    <w:p w14:paraId="11FFF825">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《中华人民共和国环境影响评价法</w:t>
      </w:r>
      <w:r>
        <w:rPr>
          <w:rFonts w:hint="eastAsia" w:ascii="Times New Roman" w:hAnsi="Times New Roman" w:cs="Times New Roman"/>
          <w:color w:val="000000" w:themeColor="text1"/>
          <w:lang w:val="zh-CN" w:bidi="zh-CN"/>
          <w14:textFill>
            <w14:solidFill>
              <w14:schemeClr w14:val="tx1"/>
            </w14:solidFill>
          </w14:textFill>
        </w:rPr>
        <w:t>》《</w:t>
      </w:r>
      <w:r>
        <w:rPr>
          <w:rFonts w:ascii="Times New Roman" w:hAnsi="Times New Roman" w:cs="Times New Roman"/>
          <w:color w:val="000000" w:themeColor="text1"/>
          <w:lang w:val="zh-CN" w:bidi="zh-CN"/>
          <w14:textFill>
            <w14:solidFill>
              <w14:schemeClr w14:val="tx1"/>
            </w14:solidFill>
          </w14:textFill>
        </w:rPr>
        <w:t>环境影响评价公众参与办法》（生态环境部令第4号）等</w:t>
      </w:r>
      <w:r>
        <w:rPr>
          <w:rFonts w:hint="eastAsia" w:ascii="Times New Roman" w:hAnsi="Times New Roman" w:cs="Times New Roman"/>
          <w:color w:val="000000" w:themeColor="text1"/>
          <w:lang w:val="zh-CN" w:bidi="zh-CN"/>
          <w14:textFill>
            <w14:solidFill>
              <w14:schemeClr w14:val="tx1"/>
            </w14:solidFill>
          </w14:textFill>
        </w:rPr>
        <w:t>法律法规</w:t>
      </w:r>
      <w:r>
        <w:rPr>
          <w:rFonts w:ascii="Times New Roman" w:hAnsi="Times New Roman" w:cs="Times New Roman"/>
          <w:color w:val="000000" w:themeColor="text1"/>
          <w:lang w:val="zh-CN" w:bidi="zh-CN"/>
          <w14:textFill>
            <w14:solidFill>
              <w14:schemeClr w14:val="tx1"/>
            </w14:solidFill>
          </w14:textFill>
        </w:rPr>
        <w:t>及有关规定，公众参与调查工作由建设单位开展，并提交单独成册的公众参与说明。根据《环境影响评价公众参与办法》的要求，</w:t>
      </w:r>
      <w:r>
        <w:rPr>
          <w:rFonts w:ascii="Times New Roman" w:hAnsi="Times New Roman" w:cs="Times New Roman"/>
          <w:color w:val="FF0000"/>
          <w:lang w:val="zh-CN" w:bidi="zh-CN"/>
        </w:rPr>
        <w:t>建设单位分别于202</w:t>
      </w:r>
      <w:r>
        <w:rPr>
          <w:rFonts w:hint="eastAsia" w:cs="Times New Roman"/>
          <w:color w:val="FF0000"/>
          <w:lang w:val="en-US" w:eastAsia="zh-CN"/>
        </w:rPr>
        <w:t>6</w:t>
      </w:r>
      <w:r>
        <w:rPr>
          <w:rFonts w:ascii="Times New Roman" w:hAnsi="Times New Roman" w:cs="Times New Roman"/>
          <w:color w:val="FF0000"/>
          <w:lang w:val="zh-CN" w:bidi="zh-CN"/>
        </w:rPr>
        <w:t>年</w:t>
      </w:r>
      <w:r>
        <w:rPr>
          <w:rFonts w:hint="eastAsia" w:cs="Times New Roman"/>
          <w:color w:val="FF0000"/>
          <w:lang w:val="en-US" w:eastAsia="zh-CN"/>
        </w:rPr>
        <w:t>3</w:t>
      </w:r>
      <w:r>
        <w:rPr>
          <w:rFonts w:ascii="Times New Roman" w:hAnsi="Times New Roman" w:cs="Times New Roman"/>
          <w:color w:val="FF0000"/>
          <w:lang w:val="zh-CN" w:bidi="zh-CN"/>
        </w:rPr>
        <w:t>月</w:t>
      </w:r>
      <w:r>
        <w:rPr>
          <w:rFonts w:hint="eastAsia" w:cs="Times New Roman"/>
          <w:color w:val="FF0000"/>
          <w:lang w:val="en-US" w:bidi="zh-CN"/>
        </w:rPr>
        <w:t>15</w:t>
      </w:r>
      <w:r>
        <w:rPr>
          <w:rFonts w:ascii="Times New Roman" w:hAnsi="Times New Roman" w:cs="Times New Roman"/>
          <w:color w:val="FF0000"/>
          <w:lang w:val="zh-CN" w:bidi="zh-CN"/>
        </w:rPr>
        <w:t>日</w:t>
      </w:r>
      <w:r>
        <w:rPr>
          <w:rFonts w:hint="eastAsia" w:ascii="Times New Roman" w:hAnsi="Times New Roman" w:cs="Times New Roman"/>
          <w:color w:val="FF0000"/>
          <w:lang w:val="zh-CN" w:bidi="zh-CN"/>
        </w:rPr>
        <w:t>，</w:t>
      </w:r>
      <w:r>
        <w:rPr>
          <w:rFonts w:ascii="Times New Roman" w:hAnsi="Times New Roman" w:cs="Times New Roman"/>
          <w:color w:val="FF0000"/>
        </w:rPr>
        <w:t>202</w:t>
      </w:r>
      <w:r>
        <w:rPr>
          <w:rFonts w:hint="eastAsia" w:cs="Times New Roman"/>
          <w:color w:val="FF0000"/>
          <w:lang w:val="en-US" w:eastAsia="zh-CN"/>
        </w:rPr>
        <w:t>6</w:t>
      </w:r>
      <w:r>
        <w:rPr>
          <w:rFonts w:ascii="Times New Roman" w:hAnsi="Times New Roman" w:cs="Times New Roman"/>
          <w:color w:val="FF0000"/>
          <w:lang w:val="zh-CN" w:bidi="zh-CN"/>
        </w:rPr>
        <w:t>年</w:t>
      </w:r>
      <w:r>
        <w:rPr>
          <w:rFonts w:hint="eastAsia" w:cs="Times New Roman"/>
          <w:color w:val="FF0000"/>
          <w:lang w:val="en-US" w:eastAsia="zh-CN"/>
        </w:rPr>
        <w:t>4</w:t>
      </w:r>
      <w:r>
        <w:rPr>
          <w:rFonts w:ascii="Times New Roman" w:hAnsi="Times New Roman" w:cs="Times New Roman"/>
          <w:color w:val="FF0000"/>
          <w:lang w:val="zh-CN" w:bidi="zh-CN"/>
        </w:rPr>
        <w:t>月</w:t>
      </w:r>
      <w:r>
        <w:rPr>
          <w:rFonts w:hint="eastAsia" w:cs="Times New Roman"/>
          <w:color w:val="FF0000"/>
          <w:lang w:val="en-US" w:eastAsia="zh-CN"/>
        </w:rPr>
        <w:t>10</w:t>
      </w:r>
      <w:r>
        <w:rPr>
          <w:rFonts w:ascii="Times New Roman" w:hAnsi="Times New Roman" w:cs="Times New Roman"/>
          <w:color w:val="FF0000"/>
          <w:lang w:val="zh-CN" w:bidi="zh-CN"/>
        </w:rPr>
        <w:t>日在</w:t>
      </w:r>
      <w:r>
        <w:rPr>
          <w:rFonts w:hint="eastAsia" w:ascii="Times New Roman" w:hAnsi="Times New Roman" w:cs="Times New Roman"/>
          <w:color w:val="FF0000"/>
          <w:lang w:val="en-US" w:bidi="zh-CN"/>
        </w:rPr>
        <w:t>第四师政务</w:t>
      </w:r>
      <w:r>
        <w:rPr>
          <w:rFonts w:ascii="Times New Roman" w:hAnsi="Times New Roman" w:cs="Times New Roman"/>
          <w:color w:val="FF0000"/>
          <w:lang w:val="zh-CN" w:bidi="zh-CN"/>
        </w:rPr>
        <w:t>网站上进行了环境影响评价的网上公示。</w:t>
      </w:r>
      <w:r>
        <w:rPr>
          <w:rFonts w:ascii="Times New Roman" w:hAnsi="Times New Roman" w:cs="Times New Roman"/>
          <w:color w:val="FF0000"/>
        </w:rPr>
        <w:t>202</w:t>
      </w:r>
      <w:r>
        <w:rPr>
          <w:rFonts w:hint="eastAsia" w:cs="Times New Roman"/>
          <w:color w:val="FF0000"/>
          <w:lang w:val="en-US" w:eastAsia="zh-CN"/>
        </w:rPr>
        <w:t>6</w:t>
      </w:r>
      <w:r>
        <w:rPr>
          <w:rFonts w:ascii="Times New Roman" w:hAnsi="Times New Roman" w:cs="Times New Roman"/>
          <w:color w:val="FF0000"/>
          <w:lang w:val="zh-CN" w:bidi="zh-CN"/>
        </w:rPr>
        <w:t>年</w:t>
      </w:r>
      <w:r>
        <w:rPr>
          <w:rFonts w:hint="eastAsia" w:cs="Times New Roman"/>
          <w:color w:val="FF0000"/>
          <w:lang w:val="en-US" w:eastAsia="zh-CN"/>
        </w:rPr>
        <w:t>4</w:t>
      </w:r>
      <w:r>
        <w:rPr>
          <w:rFonts w:ascii="Times New Roman" w:hAnsi="Times New Roman" w:cs="Times New Roman"/>
          <w:color w:val="FF0000"/>
          <w:lang w:val="zh-CN" w:bidi="zh-CN"/>
        </w:rPr>
        <w:t>月</w:t>
      </w:r>
      <w:r>
        <w:rPr>
          <w:rFonts w:hint="eastAsia" w:cs="Times New Roman"/>
          <w:color w:val="FF0000"/>
          <w:lang w:val="en-US" w:eastAsia="zh-CN"/>
        </w:rPr>
        <w:t>10</w:t>
      </w:r>
      <w:r>
        <w:rPr>
          <w:rFonts w:ascii="Times New Roman" w:hAnsi="Times New Roman" w:cs="Times New Roman"/>
          <w:color w:val="FF0000"/>
          <w:lang w:val="zh-CN" w:bidi="zh-CN"/>
        </w:rPr>
        <w:t>日在</w:t>
      </w:r>
      <w:r>
        <w:rPr>
          <w:rFonts w:hint="eastAsia" w:ascii="Times New Roman" w:hAnsi="Times New Roman" w:cs="Times New Roman"/>
          <w:color w:val="FF0000"/>
          <w:lang w:val="en-US" w:eastAsia="zh-CN"/>
        </w:rPr>
        <w:t>项目区</w:t>
      </w:r>
      <w:r>
        <w:rPr>
          <w:rFonts w:hint="eastAsia" w:cs="Times New Roman"/>
          <w:color w:val="FF0000"/>
          <w:lang w:val="en-US" w:eastAsia="zh-CN"/>
        </w:rPr>
        <w:t>和63团6连</w:t>
      </w:r>
      <w:r>
        <w:rPr>
          <w:rFonts w:ascii="Times New Roman" w:hAnsi="Times New Roman" w:cs="Times New Roman"/>
          <w:color w:val="FF0000"/>
          <w:lang w:val="zh-CN" w:bidi="zh-CN"/>
        </w:rPr>
        <w:t>公告栏张贴一次公告，</w:t>
      </w:r>
      <w:r>
        <w:rPr>
          <w:rFonts w:ascii="Times New Roman" w:hAnsi="Times New Roman" w:cs="Times New Roman"/>
          <w:color w:val="FF0000"/>
        </w:rPr>
        <w:t>202</w:t>
      </w:r>
      <w:r>
        <w:rPr>
          <w:rFonts w:hint="eastAsia" w:cs="Times New Roman"/>
          <w:color w:val="FF0000"/>
          <w:lang w:val="en-US" w:eastAsia="zh-CN"/>
        </w:rPr>
        <w:t>6</w:t>
      </w:r>
      <w:r>
        <w:rPr>
          <w:rFonts w:ascii="Times New Roman" w:hAnsi="Times New Roman" w:cs="Times New Roman"/>
          <w:color w:val="FF0000"/>
          <w:lang w:val="zh-CN" w:bidi="zh-CN"/>
        </w:rPr>
        <w:t>年</w:t>
      </w:r>
      <w:r>
        <w:rPr>
          <w:rFonts w:hint="eastAsia" w:cs="Times New Roman"/>
          <w:color w:val="FF0000"/>
          <w:lang w:val="en-US" w:eastAsia="zh-CN"/>
        </w:rPr>
        <w:t>4</w:t>
      </w:r>
      <w:r>
        <w:rPr>
          <w:rFonts w:ascii="Times New Roman" w:hAnsi="Times New Roman" w:cs="Times New Roman"/>
          <w:color w:val="FF0000"/>
          <w:lang w:val="zh-CN" w:bidi="zh-CN"/>
        </w:rPr>
        <w:t>月</w:t>
      </w:r>
      <w:r>
        <w:rPr>
          <w:rFonts w:hint="eastAsia" w:cs="Times New Roman"/>
          <w:color w:val="FF0000"/>
          <w:lang w:val="en-US" w:eastAsia="zh-CN"/>
        </w:rPr>
        <w:t>10</w:t>
      </w:r>
      <w:r>
        <w:rPr>
          <w:rFonts w:ascii="Times New Roman" w:hAnsi="Times New Roman" w:cs="Times New Roman"/>
          <w:color w:val="FF0000"/>
          <w:lang w:val="zh-CN" w:bidi="zh-CN"/>
        </w:rPr>
        <w:t>日、</w:t>
      </w:r>
      <w:r>
        <w:rPr>
          <w:rFonts w:hint="eastAsia" w:cs="Times New Roman"/>
          <w:color w:val="FF0000"/>
          <w:lang w:val="en-US" w:eastAsia="zh-CN"/>
        </w:rPr>
        <w:t>4</w:t>
      </w:r>
      <w:r>
        <w:rPr>
          <w:rFonts w:ascii="Times New Roman" w:hAnsi="Times New Roman" w:cs="Times New Roman"/>
          <w:color w:val="FF0000"/>
          <w:lang w:val="zh-CN" w:bidi="zh-CN"/>
        </w:rPr>
        <w:t>月</w:t>
      </w:r>
      <w:r>
        <w:rPr>
          <w:rFonts w:hint="eastAsia" w:cs="Times New Roman"/>
          <w:color w:val="FF0000"/>
          <w:lang w:val="en-US" w:eastAsia="zh-CN"/>
        </w:rPr>
        <w:t>20</w:t>
      </w:r>
      <w:r>
        <w:rPr>
          <w:rFonts w:ascii="Times New Roman" w:hAnsi="Times New Roman" w:cs="Times New Roman"/>
          <w:color w:val="FF0000"/>
          <w:lang w:val="zh-CN" w:bidi="zh-CN"/>
        </w:rPr>
        <w:t>日在项目所在地的伊犁日报进行了二次报纸公示</w:t>
      </w:r>
      <w:r>
        <w:rPr>
          <w:rFonts w:hint="eastAsia" w:ascii="Times New Roman" w:hAnsi="Times New Roman" w:cs="Times New Roman"/>
          <w:color w:val="FF0000"/>
          <w:lang w:val="zh-CN" w:bidi="zh-CN"/>
        </w:rPr>
        <w:t>，</w:t>
      </w:r>
      <w:r>
        <w:rPr>
          <w:rFonts w:hint="eastAsia" w:ascii="Times New Roman" w:hAnsi="Times New Roman" w:cs="Times New Roman"/>
          <w:color w:val="000000" w:themeColor="text1"/>
          <w:lang w:val="en-US" w:bidi="zh-CN"/>
          <w14:textFill>
            <w14:solidFill>
              <w14:schemeClr w14:val="tx1"/>
            </w14:solidFill>
          </w14:textFill>
        </w:rPr>
        <w:t>通过以上方式</w:t>
      </w:r>
      <w:r>
        <w:rPr>
          <w:rFonts w:ascii="Times New Roman" w:hAnsi="Times New Roman" w:cs="Times New Roman"/>
          <w:color w:val="000000" w:themeColor="text1"/>
          <w:lang w:val="zh-CN" w:bidi="zh-CN"/>
          <w14:textFill>
            <w14:solidFill>
              <w14:schemeClr w14:val="tx1"/>
            </w14:solidFill>
          </w14:textFill>
        </w:rPr>
        <w:t>进行公众参与调查，信息公开期间未收到相关反馈意见。</w:t>
      </w:r>
    </w:p>
    <w:p w14:paraId="569EF789">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90" w:name="9.1.6环境保护对策与措施"/>
      <w:bookmarkEnd w:id="390"/>
      <w:bookmarkStart w:id="391" w:name="_Toc3265"/>
      <w:r>
        <w:rPr>
          <w:rFonts w:ascii="Times New Roman" w:hAnsi="Times New Roman" w:cs="Times New Roman"/>
          <w:color w:val="000000" w:themeColor="text1"/>
          <w:lang w:val="en-GB" w:bidi="zh-CN"/>
          <w14:textFill>
            <w14:solidFill>
              <w14:schemeClr w14:val="tx1"/>
            </w14:solidFill>
          </w14:textFill>
        </w:rPr>
        <w:t>环境影响经济损益分析</w:t>
      </w:r>
      <w:bookmarkEnd w:id="391"/>
    </w:p>
    <w:p w14:paraId="71E6BA7D">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本项目环境保护总投资</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83</w:t>
      </w:r>
      <w:r>
        <w:rPr>
          <w:rFonts w:ascii="Times New Roman" w:hAnsi="Times New Roman" w:cs="Times New Roman"/>
          <w:color w:val="000000" w:themeColor="text1"/>
          <w:lang w:val="en-GB"/>
          <w14:textFill>
            <w14:solidFill>
              <w14:schemeClr w14:val="tx1"/>
            </w14:solidFill>
          </w14:textFill>
        </w:rPr>
        <w:t>万元，占总投资</w:t>
      </w:r>
      <w:r>
        <w:rPr>
          <w:rFonts w:hint="eastAsia" w:cs="Times New Roman"/>
          <w:color w:val="000000" w:themeColor="text1"/>
          <w:lang w:val="en-US" w:eastAsia="zh-CN"/>
          <w14:textFill>
            <w14:solidFill>
              <w14:schemeClr w14:val="tx1"/>
            </w14:solidFill>
          </w14:textFill>
        </w:rPr>
        <w:t>3000</w:t>
      </w:r>
      <w:r>
        <w:rPr>
          <w:rFonts w:ascii="Times New Roman" w:hAnsi="Times New Roman" w:cs="Times New Roman"/>
          <w:color w:val="000000" w:themeColor="text1"/>
          <w14:textFill>
            <w14:solidFill>
              <w14:schemeClr w14:val="tx1"/>
            </w14:solidFill>
          </w14:textFill>
        </w:rPr>
        <w:t>元</w:t>
      </w:r>
      <w:r>
        <w:rPr>
          <w:rFonts w:ascii="Times New Roman" w:hAnsi="Times New Roman" w:cs="Times New Roman"/>
          <w:color w:val="000000" w:themeColor="text1"/>
          <w:lang w:val="en-GB"/>
          <w14:textFill>
            <w14:solidFill>
              <w14:schemeClr w14:val="tx1"/>
            </w14:solidFill>
          </w14:textFill>
        </w:rPr>
        <w:t>的</w:t>
      </w:r>
      <w:r>
        <w:rPr>
          <w:rFonts w:hint="eastAsia" w:cs="Times New Roman"/>
          <w:color w:val="000000" w:themeColor="text1"/>
          <w:lang w:val="en-US" w:eastAsia="zh-CN"/>
          <w14:textFill>
            <w14:solidFill>
              <w14:schemeClr w14:val="tx1"/>
            </w14:solidFill>
          </w14:textFill>
        </w:rPr>
        <w:t>9.34</w:t>
      </w:r>
      <w:r>
        <w:rPr>
          <w:rFonts w:ascii="Times New Roman" w:hAnsi="Times New Roman" w:cs="Times New Roman"/>
          <w:color w:val="000000" w:themeColor="text1"/>
          <w:lang w:val="en-GB"/>
          <w14:textFill>
            <w14:solidFill>
              <w14:schemeClr w14:val="tx1"/>
            </w14:solidFill>
          </w14:textFill>
        </w:rPr>
        <w:t>%。</w:t>
      </w:r>
      <w:r>
        <w:rPr>
          <w:rFonts w:ascii="Times New Roman" w:hAnsi="Times New Roman" w:cs="Times New Roman"/>
          <w:color w:val="000000" w:themeColor="text1"/>
          <w:lang w:val="zh-CN" w:bidi="zh-CN"/>
          <w14:textFill>
            <w14:solidFill>
              <w14:schemeClr w14:val="tx1"/>
            </w14:solidFill>
          </w14:textFill>
        </w:rPr>
        <w:t>本项目投产后各项财务指标均满足本行业要求，项目具有较好的盈利能力，具有较好的经济效益；环保投资合理，通过落实各项措施后可减少污染物的排放、保护环境，较好</w:t>
      </w:r>
      <w:r>
        <w:rPr>
          <w:rFonts w:hint="eastAsia" w:cs="Times New Roman"/>
          <w:color w:val="000000" w:themeColor="text1"/>
          <w:lang w:val="zh-CN" w:bidi="zh-CN"/>
          <w14:textFill>
            <w14:solidFill>
              <w14:schemeClr w14:val="tx1"/>
            </w14:solidFill>
          </w14:textFill>
        </w:rPr>
        <w:t>地</w:t>
      </w:r>
      <w:r>
        <w:rPr>
          <w:rFonts w:ascii="Times New Roman" w:hAnsi="Times New Roman" w:cs="Times New Roman"/>
          <w:color w:val="000000" w:themeColor="text1"/>
          <w:lang w:val="zh-CN" w:bidi="zh-CN"/>
          <w14:textFill>
            <w14:solidFill>
              <w14:schemeClr w14:val="tx1"/>
            </w14:solidFill>
          </w14:textFill>
        </w:rPr>
        <w:t>体现环保效益；同时从为社会创收、增加就业、拉动经济等角度分析，社会效益显著。因此，本项目建成后，可实现经济效益、环境效益和社会效益三方面的统一。</w:t>
      </w:r>
    </w:p>
    <w:p w14:paraId="42A38813">
      <w:pPr>
        <w:pStyle w:val="4"/>
        <w:numPr>
          <w:ilvl w:val="1"/>
          <w:numId w:val="1"/>
        </w:numPr>
        <w:ind w:left="120"/>
        <w:rPr>
          <w:rFonts w:ascii="Times New Roman" w:hAnsi="Times New Roman" w:cs="Times New Roman"/>
          <w:color w:val="000000" w:themeColor="text1"/>
          <w:lang w:val="en-GB" w:bidi="zh-CN"/>
          <w14:textFill>
            <w14:solidFill>
              <w14:schemeClr w14:val="tx1"/>
            </w14:solidFill>
          </w14:textFill>
        </w:rPr>
      </w:pPr>
      <w:bookmarkStart w:id="392" w:name="_Toc7442"/>
      <w:r>
        <w:rPr>
          <w:rFonts w:ascii="Times New Roman" w:hAnsi="Times New Roman" w:cs="Times New Roman"/>
          <w:color w:val="000000" w:themeColor="text1"/>
          <w:lang w:val="en-GB" w:bidi="zh-CN"/>
          <w14:textFill>
            <w14:solidFill>
              <w14:schemeClr w14:val="tx1"/>
            </w14:solidFill>
          </w14:textFill>
        </w:rPr>
        <w:t>总量控制</w:t>
      </w:r>
      <w:bookmarkEnd w:id="392"/>
    </w:p>
    <w:p w14:paraId="6BB711CE">
      <w:pPr>
        <w:ind w:firstLine="480"/>
        <w:rPr>
          <w:rFonts w:ascii="Times New Roman" w:hAnsi="Times New Roman" w:cs="Times New Roman"/>
          <w:color w:val="000000" w:themeColor="text1"/>
          <w:lang w:val="zh-CN" w:bidi="zh-CN"/>
          <w14:textFill>
            <w14:solidFill>
              <w14:schemeClr w14:val="tx1"/>
            </w14:solidFill>
          </w14:textFill>
        </w:rPr>
      </w:pPr>
      <w:r>
        <w:rPr>
          <w:rFonts w:ascii="Times New Roman" w:hAnsi="Times New Roman" w:cs="Times New Roman"/>
          <w:color w:val="000000" w:themeColor="text1"/>
          <w:lang w:val="zh-CN" w:bidi="zh-CN"/>
          <w14:textFill>
            <w14:solidFill>
              <w14:schemeClr w14:val="tx1"/>
            </w14:solidFill>
          </w14:textFill>
        </w:rPr>
        <w:t>根据国家环保部门对实施污染物排放总量控制的要求以及本项目的污染特点，本项目运营期</w:t>
      </w:r>
      <w:r>
        <w:rPr>
          <w:rFonts w:hint="eastAsia" w:cs="Times New Roman"/>
          <w:color w:val="000000" w:themeColor="text1"/>
          <w:lang w:val="en-US" w:bidi="zh-CN"/>
          <w14:textFill>
            <w14:solidFill>
              <w14:schemeClr w14:val="tx1"/>
            </w14:solidFill>
          </w14:textFill>
        </w:rPr>
        <w:t>使用生物质燃料锅炉供热，产生</w:t>
      </w:r>
      <w:r>
        <w:rPr>
          <w:rFonts w:hint="eastAsia" w:ascii="宋体" w:hAnsi="宋体" w:eastAsia="宋体" w:cs="宋体"/>
          <w:color w:val="auto"/>
          <w:kern w:val="0"/>
          <w:sz w:val="24"/>
          <w:lang w:val="en-US" w:eastAsia="zh-CN"/>
        </w:rPr>
        <w:t>NO</w:t>
      </w:r>
      <w:r>
        <w:rPr>
          <w:rFonts w:hint="eastAsia" w:ascii="宋体" w:hAnsi="宋体" w:eastAsia="宋体" w:cs="宋体"/>
          <w:color w:val="auto"/>
          <w:kern w:val="0"/>
          <w:sz w:val="24"/>
          <w:vertAlign w:val="subscript"/>
          <w:lang w:val="en-US" w:eastAsia="zh-CN"/>
        </w:rPr>
        <w:t>X</w:t>
      </w:r>
      <w:r>
        <w:rPr>
          <w:rFonts w:hint="eastAsia" w:ascii="Times New Roman" w:hAnsi="Times New Roman" w:cs="Times New Roman"/>
          <w:color w:val="000000" w:themeColor="text1"/>
          <w:lang w:val="en-US" w:eastAsia="zh-CN" w:bidi="zh-CN"/>
          <w14:textFill>
            <w14:solidFill>
              <w14:schemeClr w14:val="tx1"/>
            </w14:solidFill>
          </w14:textFill>
        </w:rPr>
        <w:t>，</w:t>
      </w:r>
      <w:r>
        <w:rPr>
          <w:rFonts w:hint="eastAsia" w:cs="Times New Roman"/>
          <w:color w:val="000000" w:themeColor="text1"/>
          <w:lang w:val="en-US" w:eastAsia="zh-CN" w:bidi="zh-CN"/>
          <w14:textFill>
            <w14:solidFill>
              <w14:schemeClr w14:val="tx1"/>
            </w14:solidFill>
          </w14:textFill>
        </w:rPr>
        <w:t>属于十四五环境保护规划</w:t>
      </w:r>
      <w:r>
        <w:rPr>
          <w:rFonts w:ascii="Times New Roman" w:hAnsi="Times New Roman" w:cs="Times New Roman"/>
          <w:color w:val="000000" w:themeColor="text1"/>
          <w:lang w:val="zh-CN" w:bidi="zh-CN"/>
          <w14:textFill>
            <w14:solidFill>
              <w14:schemeClr w14:val="tx1"/>
            </w14:solidFill>
          </w14:textFill>
        </w:rPr>
        <w:t>纳入总量控制的污染物，</w:t>
      </w:r>
      <w:r>
        <w:rPr>
          <w:rFonts w:hint="eastAsia" w:cs="Times New Roman"/>
          <w:color w:val="000000" w:themeColor="text1"/>
          <w:lang w:val="en-US" w:bidi="zh-CN"/>
          <w14:textFill>
            <w14:solidFill>
              <w14:schemeClr w14:val="tx1"/>
            </w14:solidFill>
          </w14:textFill>
        </w:rPr>
        <w:t>本项目需</w:t>
      </w:r>
      <w:r>
        <w:rPr>
          <w:rFonts w:ascii="Times New Roman" w:hAnsi="Times New Roman" w:cs="Times New Roman"/>
          <w:color w:val="000000" w:themeColor="text1"/>
          <w:lang w:val="zh-CN" w:bidi="zh-CN"/>
          <w14:textFill>
            <w14:solidFill>
              <w14:schemeClr w14:val="tx1"/>
            </w14:solidFill>
          </w14:textFill>
        </w:rPr>
        <w:t>申请污染物排放总量控制指标</w:t>
      </w:r>
      <w:r>
        <w:rPr>
          <w:rFonts w:hint="eastAsia" w:cs="Times New Roman"/>
          <w:color w:val="000000" w:themeColor="text1"/>
          <w:lang w:val="en-US" w:bidi="zh-CN"/>
          <w14:textFill>
            <w14:solidFill>
              <w14:schemeClr w14:val="tx1"/>
            </w14:solidFill>
          </w14:textFill>
        </w:rPr>
        <w:t>为</w:t>
      </w:r>
      <w:r>
        <w:rPr>
          <w:rFonts w:hint="eastAsia" w:ascii="宋体" w:hAnsi="宋体" w:eastAsia="宋体" w:cs="宋体"/>
          <w:color w:val="auto"/>
          <w:kern w:val="0"/>
          <w:sz w:val="24"/>
          <w:lang w:val="en-US" w:eastAsia="zh-CN"/>
        </w:rPr>
        <w:t>NO</w:t>
      </w:r>
      <w:r>
        <w:rPr>
          <w:rFonts w:hint="eastAsia" w:ascii="宋体" w:hAnsi="宋体" w:eastAsia="宋体" w:cs="宋体"/>
          <w:color w:val="auto"/>
          <w:kern w:val="0"/>
          <w:sz w:val="24"/>
          <w:vertAlign w:val="subscript"/>
          <w:lang w:val="en-US" w:eastAsia="zh-CN"/>
        </w:rPr>
        <w:t>X</w:t>
      </w:r>
      <w:r>
        <w:rPr>
          <w:rFonts w:hint="eastAsia" w:ascii="Times New Roman" w:hAnsi="Times New Roman" w:cs="Times New Roman"/>
          <w:color w:val="000000" w:themeColor="text1"/>
          <w:lang w:val="en-US" w:eastAsia="zh-CN" w:bidi="zh-CN"/>
          <w14:textFill>
            <w14:solidFill>
              <w14:schemeClr w14:val="tx1"/>
            </w14:solidFill>
          </w14:textFill>
        </w:rPr>
        <w:t>：</w:t>
      </w:r>
      <w:r>
        <w:rPr>
          <w:rFonts w:hint="eastAsia" w:cs="Times New Roman"/>
          <w:color w:val="000000" w:themeColor="text1"/>
          <w:lang w:val="en-US" w:eastAsia="zh-CN" w:bidi="zh-CN"/>
          <w14:textFill>
            <w14:solidFill>
              <w14:schemeClr w14:val="tx1"/>
            </w14:solidFill>
          </w14:textFill>
        </w:rPr>
        <w:t>0.306t/a</w:t>
      </w:r>
      <w:r>
        <w:rPr>
          <w:rFonts w:ascii="Times New Roman" w:hAnsi="Times New Roman" w:cs="Times New Roman"/>
          <w:color w:val="000000" w:themeColor="text1"/>
          <w:lang w:val="zh-CN" w:bidi="zh-CN"/>
          <w14:textFill>
            <w14:solidFill>
              <w14:schemeClr w14:val="tx1"/>
            </w14:solidFill>
          </w14:textFill>
        </w:rPr>
        <w:t>。</w:t>
      </w:r>
    </w:p>
    <w:p w14:paraId="30B883FF">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93" w:name="9.1.7评价总结论"/>
      <w:bookmarkEnd w:id="393"/>
      <w:bookmarkStart w:id="394" w:name="_Toc14513"/>
      <w:r>
        <w:rPr>
          <w:rFonts w:ascii="Times New Roman" w:hAnsi="Times New Roman" w:cs="Times New Roman"/>
          <w:color w:val="000000" w:themeColor="text1"/>
          <w:lang w:val="en-GB"/>
          <w14:textFill>
            <w14:solidFill>
              <w14:schemeClr w14:val="tx1"/>
            </w14:solidFill>
          </w14:textFill>
        </w:rPr>
        <w:t>评价总结论</w:t>
      </w:r>
      <w:bookmarkEnd w:id="394"/>
    </w:p>
    <w:p w14:paraId="396C7257">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本项目建设符合养殖业的相关政策，项目占地为设施农用地，选址不在</w:t>
      </w:r>
      <w:r>
        <w:rPr>
          <w:rFonts w:hint="eastAsia" w:ascii="Times New Roman" w:hAnsi="Times New Roman" w:cs="Times New Roman"/>
          <w:color w:val="000000" w:themeColor="text1"/>
          <w:lang w:val="en-US" w:eastAsia="zh-CN"/>
          <w14:textFill>
            <w14:solidFill>
              <w14:schemeClr w14:val="tx1"/>
            </w14:solidFill>
          </w14:textFill>
        </w:rPr>
        <w:t>第四师</w:t>
      </w:r>
      <w:r>
        <w:rPr>
          <w:rFonts w:ascii="Times New Roman" w:hAnsi="Times New Roman" w:cs="Times New Roman"/>
          <w:color w:val="000000" w:themeColor="text1"/>
          <w:lang w:val="zh-CN"/>
          <w14:textFill>
            <w14:solidFill>
              <w14:schemeClr w14:val="tx1"/>
            </w14:solidFill>
          </w14:textFill>
        </w:rPr>
        <w:t>人民政府划定的畜禽规模养殖禁养区、限养区范围内，选址符合相关规范要求；项目所在地环境质量现状良好</w:t>
      </w:r>
      <w:r>
        <w:rPr>
          <w:rFonts w:hint="eastAsia" w:cs="Times New Roman"/>
          <w:color w:val="000000" w:themeColor="text1"/>
          <w:lang w:val="zh-CN"/>
          <w14:textFill>
            <w14:solidFill>
              <w14:schemeClr w14:val="tx1"/>
            </w14:solidFill>
          </w14:textFill>
        </w:rPr>
        <w:t>，具</w:t>
      </w:r>
      <w:r>
        <w:rPr>
          <w:rFonts w:ascii="Times New Roman" w:hAnsi="Times New Roman" w:cs="Times New Roman"/>
          <w:color w:val="000000" w:themeColor="text1"/>
          <w:lang w:val="zh-CN"/>
          <w14:textFill>
            <w14:solidFill>
              <w14:schemeClr w14:val="tx1"/>
            </w14:solidFill>
          </w14:textFill>
        </w:rPr>
        <w:t>有一定的环境容量；所采用的废气、废水、固体废物处理工艺符合相关技术规范要求，污染防治措施经济可行，能保证各种污染物稳定达标排放；“三废”污染物排放基本不会改变区域环境功能现状；环境风险影响在可接受范围内；本项目的投产可取得良好的经济效益，同时可满足环境要求；加强环境管理后，可使项目建设符合国家要求；环评报告公示期间未收到公众意见反馈。综上，从满足环境质量目标角度分析，本项目具有环境可行性。</w:t>
      </w:r>
    </w:p>
    <w:p w14:paraId="67B54692">
      <w:pPr>
        <w:pStyle w:val="4"/>
        <w:numPr>
          <w:ilvl w:val="1"/>
          <w:numId w:val="1"/>
        </w:numPr>
        <w:ind w:left="120"/>
        <w:rPr>
          <w:rFonts w:ascii="Times New Roman" w:hAnsi="Times New Roman" w:cs="Times New Roman"/>
          <w:color w:val="000000" w:themeColor="text1"/>
          <w:lang w:val="en-GB"/>
          <w14:textFill>
            <w14:solidFill>
              <w14:schemeClr w14:val="tx1"/>
            </w14:solidFill>
          </w14:textFill>
        </w:rPr>
      </w:pPr>
      <w:bookmarkStart w:id="395" w:name="9.2建议"/>
      <w:bookmarkEnd w:id="395"/>
      <w:bookmarkStart w:id="396" w:name="_bookmark53"/>
      <w:bookmarkEnd w:id="396"/>
      <w:bookmarkStart w:id="397" w:name="_Toc32467"/>
      <w:r>
        <w:rPr>
          <w:rFonts w:ascii="Times New Roman" w:hAnsi="Times New Roman" w:cs="Times New Roman"/>
          <w:color w:val="000000" w:themeColor="text1"/>
          <w:lang w:val="en-GB"/>
          <w14:textFill>
            <w14:solidFill>
              <w14:schemeClr w14:val="tx1"/>
            </w14:solidFill>
          </w14:textFill>
        </w:rPr>
        <w:t>建议</w:t>
      </w:r>
      <w:bookmarkEnd w:id="397"/>
    </w:p>
    <w:p w14:paraId="654D03F1">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lang w:val="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建设单位</w:t>
      </w:r>
      <w:r>
        <w:rPr>
          <w:rFonts w:ascii="Times New Roman" w:hAnsi="Times New Roman" w:cs="Times New Roman"/>
          <w:color w:val="000000" w:themeColor="text1"/>
          <w:lang w:val="zh-CN"/>
          <w14:textFill>
            <w14:solidFill>
              <w14:schemeClr w14:val="tx1"/>
            </w14:solidFill>
          </w14:textFill>
        </w:rPr>
        <w:t>应落实各项环境污染治理措施，保证各项环保措施的有效实施，严格执行“三同时”制度，落实项目审批和验收，确保“三废”污染物减量化、无害化、资源化和达标排放以及养殖场厂界噪声达标，场区内生态环境保护，实现养殖场生态化运行与可持续发展。</w:t>
      </w:r>
    </w:p>
    <w:p w14:paraId="3CA9FE89">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lang w:val="zh-CN"/>
          <w14:textFill>
            <w14:solidFill>
              <w14:schemeClr w14:val="tx1"/>
            </w14:solidFill>
          </w14:textFill>
        </w:rPr>
        <w:t>）加强生产管理和日常维护工作，保证项目的安全运行，提高清洁生产的水平，不断改进各种节能、节水措施。</w:t>
      </w:r>
    </w:p>
    <w:p w14:paraId="49F1F8C1">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lang w:val="zh-CN"/>
          <w14:textFill>
            <w14:solidFill>
              <w14:schemeClr w14:val="tx1"/>
            </w14:solidFill>
          </w14:textFill>
        </w:rPr>
        <w:t>）落实固体废物的分类放置，处理</w:t>
      </w:r>
      <w:r>
        <w:rPr>
          <w:rFonts w:hint="eastAsia" w:cs="Times New Roman"/>
          <w:color w:val="000000" w:themeColor="text1"/>
          <w:lang w:val="zh-CN"/>
          <w14:textFill>
            <w14:solidFill>
              <w14:schemeClr w14:val="tx1"/>
            </w14:solidFill>
          </w14:textFill>
        </w:rPr>
        <w:t>后</w:t>
      </w:r>
      <w:r>
        <w:rPr>
          <w:rFonts w:ascii="Times New Roman" w:hAnsi="Times New Roman" w:cs="Times New Roman"/>
          <w:color w:val="000000" w:themeColor="text1"/>
          <w:lang w:val="zh-CN"/>
          <w14:textFill>
            <w14:solidFill>
              <w14:schemeClr w14:val="tx1"/>
            </w14:solidFill>
          </w14:textFill>
        </w:rPr>
        <w:t>及时清运，保证达到相应的卫生和环保要求。</w:t>
      </w:r>
    </w:p>
    <w:p w14:paraId="0D82BD0A">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lang w:val="zh-CN"/>
          <w14:textFill>
            <w14:solidFill>
              <w14:schemeClr w14:val="tx1"/>
            </w14:solidFill>
          </w14:textFill>
        </w:rPr>
        <w:t>）加强全场卫生管理，防止疫病传播与扩散；定期对场区进行消毒，防止蝇、蛆滋生，防止病原体的传播与扩散；场区应合理布局，实现安全生产和无害化管理。</w:t>
      </w:r>
    </w:p>
    <w:p w14:paraId="65D2000B">
      <w:pPr>
        <w:ind w:firstLine="480"/>
        <w:rPr>
          <w:rFonts w:ascii="Times New Roman" w:hAnsi="Times New Roman" w:cs="Times New Roman"/>
          <w:color w:val="000000" w:themeColor="text1"/>
          <w:lang w:val="zh-CN"/>
          <w14:textFill>
            <w14:solidFill>
              <w14:schemeClr w14:val="tx1"/>
            </w14:solidFill>
          </w14:textFill>
        </w:rPr>
      </w:pPr>
      <w:r>
        <w:rPr>
          <w:rFonts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lang w:val="zh-CN"/>
          <w14:textFill>
            <w14:solidFill>
              <w14:schemeClr w14:val="tx1"/>
            </w14:solidFill>
          </w14:textFill>
        </w:rPr>
        <w:t>）本项目如日后另行增加本报告未涉及的</w:t>
      </w:r>
      <w:r>
        <w:rPr>
          <w:rFonts w:hint="eastAsia" w:cs="Times New Roman"/>
          <w:color w:val="000000" w:themeColor="text1"/>
          <w:lang w:val="zh-CN"/>
          <w14:textFill>
            <w14:solidFill>
              <w14:schemeClr w14:val="tx1"/>
            </w14:solidFill>
          </w14:textFill>
        </w:rPr>
        <w:t>其他</w:t>
      </w:r>
      <w:r>
        <w:rPr>
          <w:rFonts w:ascii="Times New Roman" w:hAnsi="Times New Roman" w:cs="Times New Roman"/>
          <w:color w:val="000000" w:themeColor="text1"/>
          <w:lang w:val="zh-CN"/>
          <w14:textFill>
            <w14:solidFill>
              <w14:schemeClr w14:val="tx1"/>
            </w14:solidFill>
          </w14:textFill>
        </w:rPr>
        <w:t>污染源，须按规定进行申报。</w:t>
      </w:r>
    </w:p>
    <w:p w14:paraId="7217462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14:paraId="4B5F2218">
      <w:pPr>
        <w:ind w:firstLine="482"/>
        <w:rPr>
          <w:rFonts w:hint="eastAsia" w:ascii="Times New Roman" w:hAnsi="Times New Roman" w:cs="Times New Roman"/>
          <w:b/>
          <w:color w:val="000000" w:themeColor="text1"/>
          <w:lang w:val="en-US" w:eastAsia="zh-CN"/>
          <w14:textFill>
            <w14:solidFill>
              <w14:schemeClr w14:val="tx1"/>
            </w14:solidFill>
          </w14:textFill>
        </w:rPr>
      </w:pPr>
      <w:r>
        <w:rPr>
          <w:rFonts w:hint="eastAsia" w:ascii="Times New Roman" w:hAnsi="Times New Roman" w:cs="Times New Roman"/>
          <w:b/>
          <w:color w:val="000000" w:themeColor="text1"/>
          <w:lang w:val="en-US" w:eastAsia="zh-CN"/>
          <w14:textFill>
            <w14:solidFill>
              <w14:schemeClr w14:val="tx1"/>
            </w14:solidFill>
          </w14:textFill>
        </w:rPr>
        <w:t>附件附图</w:t>
      </w:r>
    </w:p>
    <w:p w14:paraId="02E11FED">
      <w:pPr>
        <w:ind w:firstLine="1080" w:firstLineChars="450"/>
        <w:rPr>
          <w:rFonts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建设项目委托书</w:t>
      </w:r>
    </w:p>
    <w:p w14:paraId="42991636">
      <w:pPr>
        <w:ind w:left="0" w:leftChars="0" w:firstLine="0" w:firstLineChars="0"/>
        <w:rPr>
          <w:rFonts w:ascii="Times New Roman" w:hAnsi="Times New Roman" w:cs="Times New Roman"/>
          <w:color w:val="000000" w:themeColor="text1"/>
          <w14:textFill>
            <w14:solidFill>
              <w14:schemeClr w14:val="tx1"/>
            </w14:solidFill>
          </w14:textFill>
        </w:rPr>
      </w:pPr>
    </w:p>
    <w:p w14:paraId="780B06B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14:paraId="7F9B4058">
      <w:pPr>
        <w:ind w:left="0" w:leftChars="0" w:firstLine="0" w:firstLineChars="0"/>
        <w:rPr>
          <w:rFonts w:ascii="Times New Roman" w:hAnsi="Times New Roman" w:cs="Times New Roman"/>
          <w:color w:val="000000" w:themeColor="text1"/>
          <w14:textFill>
            <w14:solidFill>
              <w14:schemeClr w14:val="tx1"/>
            </w14:solidFill>
          </w14:textFill>
        </w:rPr>
      </w:pPr>
    </w:p>
    <w:p w14:paraId="49D7EE14">
      <w:pPr>
        <w:numPr>
          <w:ilvl w:val="0"/>
          <w:numId w:val="3"/>
        </w:numPr>
        <w:ind w:firstLine="1080" w:firstLineChars="45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投资备案证</w:t>
      </w:r>
    </w:p>
    <w:p w14:paraId="1145C402">
      <w:pPr>
        <w:numPr>
          <w:ilvl w:val="0"/>
          <w:numId w:val="0"/>
        </w:numPr>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5607685" cy="3815715"/>
            <wp:effectExtent l="0" t="0" r="12065" b="13335"/>
            <wp:docPr id="1" name="图片 1" descr="6b8213ef-a988-48e4-9bbf-f388f2bb8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b8213ef-a988-48e4-9bbf-f388f2bb8ee1"/>
                    <pic:cNvPicPr>
                      <a:picLocks noChangeAspect="1"/>
                    </pic:cNvPicPr>
                  </pic:nvPicPr>
                  <pic:blipFill>
                    <a:blip r:embed="rId83"/>
                    <a:stretch>
                      <a:fillRect/>
                    </a:stretch>
                  </pic:blipFill>
                  <pic:spPr>
                    <a:xfrm>
                      <a:off x="0" y="0"/>
                      <a:ext cx="5607685" cy="3815715"/>
                    </a:xfrm>
                    <a:prstGeom prst="rect">
                      <a:avLst/>
                    </a:prstGeom>
                  </pic:spPr>
                </pic:pic>
              </a:graphicData>
            </a:graphic>
          </wp:inline>
        </w:drawing>
      </w:r>
    </w:p>
    <w:p w14:paraId="6222F89F">
      <w:pP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br w:type="page"/>
      </w:r>
    </w:p>
    <w:p w14:paraId="2A8A12A7">
      <w:pPr>
        <w:numPr>
          <w:ilvl w:val="0"/>
          <w:numId w:val="3"/>
        </w:numPr>
        <w:ind w:left="0" w:leftChars="0" w:firstLine="1080" w:firstLineChars="45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用地备案证明</w:t>
      </w:r>
    </w:p>
    <w:p w14:paraId="751188A4">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5622925" cy="8277225"/>
            <wp:effectExtent l="0" t="0" r="15875" b="9525"/>
            <wp:docPr id="5" name="图片 5" descr="4f69ed89-ae03-4b65-b8af-c51682fca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69ed89-ae03-4b65-b8af-c51682fca133"/>
                    <pic:cNvPicPr>
                      <a:picLocks noChangeAspect="1"/>
                    </pic:cNvPicPr>
                  </pic:nvPicPr>
                  <pic:blipFill>
                    <a:blip r:embed="rId84"/>
                    <a:stretch>
                      <a:fillRect/>
                    </a:stretch>
                  </pic:blipFill>
                  <pic:spPr>
                    <a:xfrm>
                      <a:off x="0" y="0"/>
                      <a:ext cx="5622925" cy="8277225"/>
                    </a:xfrm>
                    <a:prstGeom prst="rect">
                      <a:avLst/>
                    </a:prstGeom>
                  </pic:spPr>
                </pic:pic>
              </a:graphicData>
            </a:graphic>
          </wp:inline>
        </w:drawing>
      </w:r>
    </w:p>
    <w:p w14:paraId="25B3D1DE">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5517515" cy="8700770"/>
            <wp:effectExtent l="0" t="0" r="6985" b="5080"/>
            <wp:docPr id="21" name="图片 21" descr="abe3efca-9292-4496-8024-a58cd927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be3efca-9292-4496-8024-a58cd927e063"/>
                    <pic:cNvPicPr>
                      <a:picLocks noChangeAspect="1"/>
                    </pic:cNvPicPr>
                  </pic:nvPicPr>
                  <pic:blipFill>
                    <a:blip r:embed="rId85"/>
                    <a:stretch>
                      <a:fillRect/>
                    </a:stretch>
                  </pic:blipFill>
                  <pic:spPr>
                    <a:xfrm>
                      <a:off x="0" y="0"/>
                      <a:ext cx="5517515" cy="8700770"/>
                    </a:xfrm>
                    <a:prstGeom prst="rect">
                      <a:avLst/>
                    </a:prstGeom>
                  </pic:spPr>
                </pic:pic>
              </a:graphicData>
            </a:graphic>
          </wp:inline>
        </w:drawing>
      </w:r>
    </w:p>
    <w:p w14:paraId="157211C7">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5524500" cy="8529955"/>
            <wp:effectExtent l="0" t="0" r="0" b="4445"/>
            <wp:docPr id="34" name="图片 34" descr="5641dd5e-564a-4a84-ada2-2eb57dd8d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641dd5e-564a-4a84-ada2-2eb57dd8d2ff"/>
                    <pic:cNvPicPr>
                      <a:picLocks noChangeAspect="1"/>
                    </pic:cNvPicPr>
                  </pic:nvPicPr>
                  <pic:blipFill>
                    <a:blip r:embed="rId86"/>
                    <a:stretch>
                      <a:fillRect/>
                    </a:stretch>
                  </pic:blipFill>
                  <pic:spPr>
                    <a:xfrm>
                      <a:off x="0" y="0"/>
                      <a:ext cx="5524500" cy="8529955"/>
                    </a:xfrm>
                    <a:prstGeom prst="rect">
                      <a:avLst/>
                    </a:prstGeom>
                  </pic:spPr>
                </pic:pic>
              </a:graphicData>
            </a:graphic>
          </wp:inline>
        </w:drawing>
      </w:r>
    </w:p>
    <w:p w14:paraId="6C3F2833">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5730875" cy="4647565"/>
            <wp:effectExtent l="0" t="0" r="3175" b="635"/>
            <wp:docPr id="35" name="图片 35" descr="b9700c0f-3117-46b5-a819-8a09d8de1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9700c0f-3117-46b5-a819-8a09d8de1df5"/>
                    <pic:cNvPicPr>
                      <a:picLocks noChangeAspect="1"/>
                    </pic:cNvPicPr>
                  </pic:nvPicPr>
                  <pic:blipFill>
                    <a:blip r:embed="rId87"/>
                    <a:stretch>
                      <a:fillRect/>
                    </a:stretch>
                  </pic:blipFill>
                  <pic:spPr>
                    <a:xfrm>
                      <a:off x="0" y="0"/>
                      <a:ext cx="5730875" cy="4647565"/>
                    </a:xfrm>
                    <a:prstGeom prst="rect">
                      <a:avLst/>
                    </a:prstGeom>
                  </pic:spPr>
                </pic:pic>
              </a:graphicData>
            </a:graphic>
          </wp:inline>
        </w:drawing>
      </w:r>
    </w:p>
    <w:p w14:paraId="4841DE2D">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p>
    <w:p w14:paraId="094586AC">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p>
    <w:p w14:paraId="50E5B5AD">
      <w:pPr>
        <w:numPr>
          <w:ilvl w:val="0"/>
          <w:numId w:val="3"/>
        </w:numPr>
        <w:ind w:left="0" w:leftChars="0" w:firstLine="1080" w:firstLineChars="45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病死鸭无害化处理协议及动物防疫合格证</w:t>
      </w:r>
    </w:p>
    <w:p w14:paraId="2BF2B446">
      <w:pPr>
        <w:numPr>
          <w:ilvl w:val="0"/>
          <w:numId w:val="0"/>
        </w:numPr>
        <w:rPr>
          <w:rFonts w:hint="default" w:ascii="Times New Roman" w:hAnsi="Times New Roman" w:cs="Times New Roman"/>
          <w:color w:val="000000" w:themeColor="text1"/>
          <w:lang w:val="en-US" w:eastAsia="zh-CN"/>
          <w14:textFill>
            <w14:solidFill>
              <w14:schemeClr w14:val="tx1"/>
            </w14:solidFill>
          </w14:textFill>
        </w:rPr>
      </w:pPr>
    </w:p>
    <w:p w14:paraId="6775BF53">
      <w:pPr>
        <w:numPr>
          <w:ilvl w:val="0"/>
          <w:numId w:val="3"/>
        </w:numPr>
        <w:ind w:left="0" w:leftChars="0" w:firstLine="1080" w:firstLineChars="45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粪污处理协议及营业执照</w:t>
      </w:r>
    </w:p>
    <w:p w14:paraId="62B5690E">
      <w:pPr>
        <w:numPr>
          <w:ilvl w:val="0"/>
          <w:numId w:val="0"/>
        </w:numPr>
        <w:rPr>
          <w:rFonts w:hint="eastAsia" w:ascii="Times New Roman" w:hAnsi="Times New Roman" w:cs="Times New Roman"/>
          <w:color w:val="000000" w:themeColor="text1"/>
          <w:lang w:val="en-US" w:eastAsia="zh-CN"/>
          <w14:textFill>
            <w14:solidFill>
              <w14:schemeClr w14:val="tx1"/>
            </w14:solidFill>
          </w14:textFill>
        </w:rPr>
      </w:pPr>
    </w:p>
    <w:p w14:paraId="54DB956C">
      <w:pP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br w:type="page"/>
      </w:r>
    </w:p>
    <w:p w14:paraId="3A37DB3B">
      <w:pPr>
        <w:ind w:firstLine="1080" w:firstLineChars="45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6.监测报告</w:t>
      </w:r>
    </w:p>
    <w:p w14:paraId="7DD9E6CF">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689600" cy="7917815"/>
            <wp:effectExtent l="0" t="0" r="6350" b="6985"/>
            <wp:docPr id="36" name="图片 36" descr="371eeb46-2085-4ae2-8f62-e85b95400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71eeb46-2085-4ae2-8f62-e85b95400b43"/>
                    <pic:cNvPicPr>
                      <a:picLocks noChangeAspect="1"/>
                    </pic:cNvPicPr>
                  </pic:nvPicPr>
                  <pic:blipFill>
                    <a:blip r:embed="rId88"/>
                    <a:stretch>
                      <a:fillRect/>
                    </a:stretch>
                  </pic:blipFill>
                  <pic:spPr>
                    <a:xfrm>
                      <a:off x="0" y="0"/>
                      <a:ext cx="5689600" cy="7917815"/>
                    </a:xfrm>
                    <a:prstGeom prst="rect">
                      <a:avLst/>
                    </a:prstGeom>
                  </pic:spPr>
                </pic:pic>
              </a:graphicData>
            </a:graphic>
          </wp:inline>
        </w:drawing>
      </w:r>
    </w:p>
    <w:p w14:paraId="1817D05F">
      <w:pPr>
        <w:ind w:left="0" w:leftChars="0" w:firstLine="0" w:firstLineChars="0"/>
        <w:rPr>
          <w:rFonts w:ascii="Times New Roman" w:hAnsi="Times New Roman" w:cs="Times New Roman"/>
          <w:color w:val="000000" w:themeColor="text1"/>
          <w14:textFill>
            <w14:solidFill>
              <w14:schemeClr w14:val="tx1"/>
            </w14:solidFill>
          </w14:textFill>
        </w:rPr>
      </w:pPr>
    </w:p>
    <w:p w14:paraId="7DB9E881">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708015" cy="8013065"/>
            <wp:effectExtent l="0" t="0" r="6985" b="6985"/>
            <wp:docPr id="38" name="图片 38" descr="c80ac92f-4f37-4963-a1fe-3e986025b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80ac92f-4f37-4963-a1fe-3e986025ba6c"/>
                    <pic:cNvPicPr>
                      <a:picLocks noChangeAspect="1"/>
                    </pic:cNvPicPr>
                  </pic:nvPicPr>
                  <pic:blipFill>
                    <a:blip r:embed="rId89"/>
                    <a:stretch>
                      <a:fillRect/>
                    </a:stretch>
                  </pic:blipFill>
                  <pic:spPr>
                    <a:xfrm>
                      <a:off x="0" y="0"/>
                      <a:ext cx="5708015" cy="8013065"/>
                    </a:xfrm>
                    <a:prstGeom prst="rect">
                      <a:avLst/>
                    </a:prstGeom>
                  </pic:spPr>
                </pic:pic>
              </a:graphicData>
            </a:graphic>
          </wp:inline>
        </w:drawing>
      </w:r>
    </w:p>
    <w:p w14:paraId="2F8080D6">
      <w:pPr>
        <w:ind w:left="0" w:leftChars="0" w:firstLine="0" w:firstLineChars="0"/>
        <w:rPr>
          <w:rFonts w:ascii="Times New Roman" w:hAnsi="Times New Roman" w:cs="Times New Roman"/>
          <w:color w:val="000000" w:themeColor="text1"/>
          <w14:textFill>
            <w14:solidFill>
              <w14:schemeClr w14:val="tx1"/>
            </w14:solidFill>
          </w14:textFill>
        </w:rPr>
      </w:pPr>
    </w:p>
    <w:p w14:paraId="0173E499">
      <w:pPr>
        <w:ind w:left="0" w:leftChars="0" w:firstLine="0" w:firstLineChars="0"/>
        <w:rPr>
          <w:rFonts w:ascii="Times New Roman" w:hAnsi="Times New Roman" w:cs="Times New Roman"/>
          <w:color w:val="000000" w:themeColor="text1"/>
          <w14:textFill>
            <w14:solidFill>
              <w14:schemeClr w14:val="tx1"/>
            </w14:solidFill>
          </w14:textFill>
        </w:rPr>
      </w:pPr>
    </w:p>
    <w:p w14:paraId="57569D33">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733415" cy="7644765"/>
            <wp:effectExtent l="0" t="0" r="635" b="13335"/>
            <wp:docPr id="39" name="图片 39" descr="41516e96-e762-4521-a240-d5bd0db22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1516e96-e762-4521-a240-d5bd0db22a00"/>
                    <pic:cNvPicPr>
                      <a:picLocks noChangeAspect="1"/>
                    </pic:cNvPicPr>
                  </pic:nvPicPr>
                  <pic:blipFill>
                    <a:blip r:embed="rId90"/>
                    <a:stretch>
                      <a:fillRect/>
                    </a:stretch>
                  </pic:blipFill>
                  <pic:spPr>
                    <a:xfrm>
                      <a:off x="0" y="0"/>
                      <a:ext cx="5733415" cy="7644765"/>
                    </a:xfrm>
                    <a:prstGeom prst="rect">
                      <a:avLst/>
                    </a:prstGeom>
                  </pic:spPr>
                </pic:pic>
              </a:graphicData>
            </a:graphic>
          </wp:inline>
        </w:drawing>
      </w:r>
    </w:p>
    <w:p w14:paraId="70427604">
      <w:pPr>
        <w:ind w:left="0" w:leftChars="0" w:firstLine="0" w:firstLineChars="0"/>
        <w:rPr>
          <w:rFonts w:ascii="Times New Roman" w:hAnsi="Times New Roman" w:cs="Times New Roman"/>
          <w:color w:val="000000" w:themeColor="text1"/>
          <w14:textFill>
            <w14:solidFill>
              <w14:schemeClr w14:val="tx1"/>
            </w14:solidFill>
          </w14:textFill>
        </w:rPr>
      </w:pPr>
    </w:p>
    <w:p w14:paraId="7E36ED6B">
      <w:pPr>
        <w:ind w:left="0" w:leftChars="0" w:firstLine="0" w:firstLineChars="0"/>
        <w:rPr>
          <w:rFonts w:ascii="Times New Roman" w:hAnsi="Times New Roman" w:cs="Times New Roman"/>
          <w:color w:val="000000" w:themeColor="text1"/>
          <w14:textFill>
            <w14:solidFill>
              <w14:schemeClr w14:val="tx1"/>
            </w14:solidFill>
          </w14:textFill>
        </w:rPr>
      </w:pPr>
    </w:p>
    <w:p w14:paraId="00419348">
      <w:pPr>
        <w:ind w:left="0" w:leftChars="0" w:firstLine="0" w:firstLineChars="0"/>
        <w:rPr>
          <w:rFonts w:ascii="Times New Roman" w:hAnsi="Times New Roman" w:cs="Times New Roman"/>
          <w:color w:val="000000" w:themeColor="text1"/>
          <w14:textFill>
            <w14:solidFill>
              <w14:schemeClr w14:val="tx1"/>
            </w14:solidFill>
          </w14:textFill>
        </w:rPr>
      </w:pPr>
    </w:p>
    <w:p w14:paraId="54CFDD29">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454650" cy="8470900"/>
            <wp:effectExtent l="0" t="0" r="12700" b="6350"/>
            <wp:docPr id="40" name="图片 40" descr="bd640b6a-7fda-4963-8267-57a9bdbc7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d640b6a-7fda-4963-8267-57a9bdbc7bbf"/>
                    <pic:cNvPicPr>
                      <a:picLocks noChangeAspect="1"/>
                    </pic:cNvPicPr>
                  </pic:nvPicPr>
                  <pic:blipFill>
                    <a:blip r:embed="rId91"/>
                    <a:stretch>
                      <a:fillRect/>
                    </a:stretch>
                  </pic:blipFill>
                  <pic:spPr>
                    <a:xfrm>
                      <a:off x="0" y="0"/>
                      <a:ext cx="5454650" cy="8470900"/>
                    </a:xfrm>
                    <a:prstGeom prst="rect">
                      <a:avLst/>
                    </a:prstGeom>
                  </pic:spPr>
                </pic:pic>
              </a:graphicData>
            </a:graphic>
          </wp:inline>
        </w:drawing>
      </w:r>
    </w:p>
    <w:p w14:paraId="52C10E7B">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703570" cy="8324850"/>
            <wp:effectExtent l="0" t="0" r="11430" b="0"/>
            <wp:docPr id="43" name="图片 43" descr="4cd1447b-436e-4357-ba70-1e24b8acf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cd1447b-436e-4357-ba70-1e24b8acf31e"/>
                    <pic:cNvPicPr>
                      <a:picLocks noChangeAspect="1"/>
                    </pic:cNvPicPr>
                  </pic:nvPicPr>
                  <pic:blipFill>
                    <a:blip r:embed="rId92"/>
                    <a:stretch>
                      <a:fillRect/>
                    </a:stretch>
                  </pic:blipFill>
                  <pic:spPr>
                    <a:xfrm>
                      <a:off x="0" y="0"/>
                      <a:ext cx="5703570" cy="8324850"/>
                    </a:xfrm>
                    <a:prstGeom prst="rect">
                      <a:avLst/>
                    </a:prstGeom>
                  </pic:spPr>
                </pic:pic>
              </a:graphicData>
            </a:graphic>
          </wp:inline>
        </w:drawing>
      </w:r>
    </w:p>
    <w:p w14:paraId="0B487EF2">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520690" cy="8639175"/>
            <wp:effectExtent l="0" t="0" r="3810" b="9525"/>
            <wp:docPr id="47" name="图片 47" descr="c54ef2e9-8959-40ce-83cb-da668b7a2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54ef2e9-8959-40ce-83cb-da668b7a28cf"/>
                    <pic:cNvPicPr>
                      <a:picLocks noChangeAspect="1"/>
                    </pic:cNvPicPr>
                  </pic:nvPicPr>
                  <pic:blipFill>
                    <a:blip r:embed="rId93"/>
                    <a:stretch>
                      <a:fillRect/>
                    </a:stretch>
                  </pic:blipFill>
                  <pic:spPr>
                    <a:xfrm>
                      <a:off x="0" y="0"/>
                      <a:ext cx="5520690" cy="8639175"/>
                    </a:xfrm>
                    <a:prstGeom prst="rect">
                      <a:avLst/>
                    </a:prstGeom>
                  </pic:spPr>
                </pic:pic>
              </a:graphicData>
            </a:graphic>
          </wp:inline>
        </w:drawing>
      </w:r>
    </w:p>
    <w:p w14:paraId="13B3AAC8">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609590" cy="8530590"/>
            <wp:effectExtent l="0" t="0" r="10160" b="3810"/>
            <wp:docPr id="48" name="图片 48" descr="03e0d5b8-ad35-4b00-a7ef-d93b69343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3e0d5b8-ad35-4b00-a7ef-d93b69343c3c"/>
                    <pic:cNvPicPr>
                      <a:picLocks noChangeAspect="1"/>
                    </pic:cNvPicPr>
                  </pic:nvPicPr>
                  <pic:blipFill>
                    <a:blip r:embed="rId94"/>
                    <a:stretch>
                      <a:fillRect/>
                    </a:stretch>
                  </pic:blipFill>
                  <pic:spPr>
                    <a:xfrm>
                      <a:off x="0" y="0"/>
                      <a:ext cx="5609590" cy="8530590"/>
                    </a:xfrm>
                    <a:prstGeom prst="rect">
                      <a:avLst/>
                    </a:prstGeom>
                  </pic:spPr>
                </pic:pic>
              </a:graphicData>
            </a:graphic>
          </wp:inline>
        </w:drawing>
      </w:r>
    </w:p>
    <w:p w14:paraId="4DA99933">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666105" cy="8470265"/>
            <wp:effectExtent l="0" t="0" r="10795" b="6985"/>
            <wp:docPr id="49" name="图片 49" descr="bf1f47e0-4d0c-461e-a17a-5b0a72972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bf1f47e0-4d0c-461e-a17a-5b0a72972b3d"/>
                    <pic:cNvPicPr>
                      <a:picLocks noChangeAspect="1"/>
                    </pic:cNvPicPr>
                  </pic:nvPicPr>
                  <pic:blipFill>
                    <a:blip r:embed="rId95"/>
                    <a:stretch>
                      <a:fillRect/>
                    </a:stretch>
                  </pic:blipFill>
                  <pic:spPr>
                    <a:xfrm>
                      <a:off x="0" y="0"/>
                      <a:ext cx="5666105" cy="8470265"/>
                    </a:xfrm>
                    <a:prstGeom prst="rect">
                      <a:avLst/>
                    </a:prstGeom>
                  </pic:spPr>
                </pic:pic>
              </a:graphicData>
            </a:graphic>
          </wp:inline>
        </w:drawing>
      </w:r>
    </w:p>
    <w:p w14:paraId="3DD77071">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774055" cy="7918450"/>
            <wp:effectExtent l="0" t="0" r="17145" b="6350"/>
            <wp:docPr id="50" name="图片 50" descr="d7daa848-580a-4831-8081-74525924a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7daa848-580a-4831-8081-74525924a521"/>
                    <pic:cNvPicPr>
                      <a:picLocks noChangeAspect="1"/>
                    </pic:cNvPicPr>
                  </pic:nvPicPr>
                  <pic:blipFill>
                    <a:blip r:embed="rId96"/>
                    <a:stretch>
                      <a:fillRect/>
                    </a:stretch>
                  </pic:blipFill>
                  <pic:spPr>
                    <a:xfrm>
                      <a:off x="0" y="0"/>
                      <a:ext cx="5774055" cy="7918450"/>
                    </a:xfrm>
                    <a:prstGeom prst="rect">
                      <a:avLst/>
                    </a:prstGeom>
                  </pic:spPr>
                </pic:pic>
              </a:graphicData>
            </a:graphic>
          </wp:inline>
        </w:drawing>
      </w:r>
    </w:p>
    <w:p w14:paraId="0E9FB4DF">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695315" cy="8387715"/>
            <wp:effectExtent l="0" t="0" r="635" b="13335"/>
            <wp:docPr id="52" name="图片 52" descr="1d291f57-45e8-4566-9120-b63538f33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d291f57-45e8-4566-9120-b63538f331d9"/>
                    <pic:cNvPicPr>
                      <a:picLocks noChangeAspect="1"/>
                    </pic:cNvPicPr>
                  </pic:nvPicPr>
                  <pic:blipFill>
                    <a:blip r:embed="rId97"/>
                    <a:stretch>
                      <a:fillRect/>
                    </a:stretch>
                  </pic:blipFill>
                  <pic:spPr>
                    <a:xfrm>
                      <a:off x="0" y="0"/>
                      <a:ext cx="5695315" cy="8387715"/>
                    </a:xfrm>
                    <a:prstGeom prst="rect">
                      <a:avLst/>
                    </a:prstGeom>
                  </pic:spPr>
                </pic:pic>
              </a:graphicData>
            </a:graphic>
          </wp:inline>
        </w:drawing>
      </w:r>
    </w:p>
    <w:p w14:paraId="334BA059">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606415" cy="8674100"/>
            <wp:effectExtent l="0" t="0" r="13335" b="12700"/>
            <wp:docPr id="53" name="图片 53" descr="897670ba-05e0-4726-a20c-016bab3a0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97670ba-05e0-4726-a20c-016bab3a0b4f"/>
                    <pic:cNvPicPr>
                      <a:picLocks noChangeAspect="1"/>
                    </pic:cNvPicPr>
                  </pic:nvPicPr>
                  <pic:blipFill>
                    <a:blip r:embed="rId98"/>
                    <a:stretch>
                      <a:fillRect/>
                    </a:stretch>
                  </pic:blipFill>
                  <pic:spPr>
                    <a:xfrm>
                      <a:off x="0" y="0"/>
                      <a:ext cx="5606415" cy="8674100"/>
                    </a:xfrm>
                    <a:prstGeom prst="rect">
                      <a:avLst/>
                    </a:prstGeom>
                  </pic:spPr>
                </pic:pic>
              </a:graphicData>
            </a:graphic>
          </wp:inline>
        </w:drawing>
      </w:r>
    </w:p>
    <w:p w14:paraId="70482431">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613400" cy="8683625"/>
            <wp:effectExtent l="0" t="0" r="6350" b="3175"/>
            <wp:docPr id="54" name="图片 54" descr="a77f46e0-44a5-440e-bfb5-321b847da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77f46e0-44a5-440e-bfb5-321b847dae32"/>
                    <pic:cNvPicPr>
                      <a:picLocks noChangeAspect="1"/>
                    </pic:cNvPicPr>
                  </pic:nvPicPr>
                  <pic:blipFill>
                    <a:blip r:embed="rId99"/>
                    <a:stretch>
                      <a:fillRect/>
                    </a:stretch>
                  </pic:blipFill>
                  <pic:spPr>
                    <a:xfrm>
                      <a:off x="0" y="0"/>
                      <a:ext cx="5613400" cy="8683625"/>
                    </a:xfrm>
                    <a:prstGeom prst="rect">
                      <a:avLst/>
                    </a:prstGeom>
                  </pic:spPr>
                </pic:pic>
              </a:graphicData>
            </a:graphic>
          </wp:inline>
        </w:drawing>
      </w:r>
    </w:p>
    <w:p w14:paraId="0DDB7FBB">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543550" cy="8541385"/>
            <wp:effectExtent l="0" t="0" r="0" b="12065"/>
            <wp:docPr id="55" name="图片 55" descr="b0232b18-0060-4cf0-85d6-638cd0a46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b0232b18-0060-4cf0-85d6-638cd0a469dc"/>
                    <pic:cNvPicPr>
                      <a:picLocks noChangeAspect="1"/>
                    </pic:cNvPicPr>
                  </pic:nvPicPr>
                  <pic:blipFill>
                    <a:blip r:embed="rId100"/>
                    <a:stretch>
                      <a:fillRect/>
                    </a:stretch>
                  </pic:blipFill>
                  <pic:spPr>
                    <a:xfrm>
                      <a:off x="0" y="0"/>
                      <a:ext cx="5543550" cy="8541385"/>
                    </a:xfrm>
                    <a:prstGeom prst="rect">
                      <a:avLst/>
                    </a:prstGeom>
                  </pic:spPr>
                </pic:pic>
              </a:graphicData>
            </a:graphic>
          </wp:inline>
        </w:drawing>
      </w:r>
    </w:p>
    <w:p w14:paraId="296B1AE5">
      <w:pPr>
        <w:ind w:firstLine="1080" w:firstLineChars="450"/>
        <w:rPr>
          <w:rFonts w:ascii="Times New Roman" w:hAnsi="Times New Roman" w:cs="Times New Roman"/>
          <w:color w:val="000000" w:themeColor="text1"/>
          <w14:textFill>
            <w14:solidFill>
              <w14:schemeClr w14:val="tx1"/>
            </w14:solidFill>
          </w14:textFill>
        </w:rPr>
        <w:sectPr>
          <w:headerReference r:id="rId23" w:type="default"/>
          <w:footerReference r:id="rId24" w:type="even"/>
          <w:pgSz w:w="11906" w:h="16838"/>
          <w:pgMar w:top="1588" w:right="1474" w:bottom="1474" w:left="1588" w:header="851" w:footer="848" w:gutter="0"/>
          <w:pgBorders>
            <w:top w:val="none" w:sz="0" w:space="0"/>
            <w:left w:val="none" w:sz="0" w:space="0"/>
            <w:bottom w:val="none" w:sz="0" w:space="0"/>
            <w:right w:val="none" w:sz="0" w:space="0"/>
          </w:pgBorders>
          <w:cols w:space="720" w:num="1"/>
          <w:docGrid w:type="lines" w:linePitch="312" w:charSpace="0"/>
        </w:sectPr>
      </w:pPr>
    </w:p>
    <w:p w14:paraId="6E403819">
      <w:pPr>
        <w:ind w:firstLine="1080" w:firstLineChars="45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图1建设项目与</w:t>
      </w:r>
      <w:r>
        <w:rPr>
          <w:rFonts w:hint="eastAsia" w:ascii="Times New Roman" w:hAnsi="Times New Roman" w:cs="Times New Roman"/>
          <w:color w:val="000000" w:themeColor="text1"/>
          <w:lang w:val="en-US" w:eastAsia="zh-CN"/>
          <w14:textFill>
            <w14:solidFill>
              <w14:schemeClr w14:val="tx1"/>
            </w14:solidFill>
          </w14:textFill>
        </w:rPr>
        <w:t>第四师</w:t>
      </w:r>
      <w:r>
        <w:rPr>
          <w:rFonts w:ascii="Times New Roman" w:hAnsi="Times New Roman" w:cs="Times New Roman"/>
          <w:color w:val="000000" w:themeColor="text1"/>
          <w14:textFill>
            <w14:solidFill>
              <w14:schemeClr w14:val="tx1"/>
            </w14:solidFill>
          </w14:textFill>
        </w:rPr>
        <w:t>环境管控单元图</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地理位置图</w:t>
      </w:r>
      <w:r>
        <w:rPr>
          <w:rFonts w:hint="eastAsia" w:cs="Times New Roman"/>
          <w:color w:val="000000" w:themeColor="text1"/>
          <w:lang w:eastAsia="zh-CN"/>
          <w14:textFill>
            <w14:solidFill>
              <w14:schemeClr w14:val="tx1"/>
            </w14:solidFill>
          </w14:textFill>
        </w:rPr>
        <w:t>）</w:t>
      </w:r>
    </w:p>
    <w:p w14:paraId="4D47B4D2">
      <w:pPr>
        <w:ind w:left="0" w:leftChars="0" w:firstLine="0" w:firstLineChars="0"/>
        <w:rPr>
          <w:rFonts w:ascii="Times New Roman" w:hAnsi="Times New Roman" w:cs="Times New Roman"/>
          <w:color w:val="000000" w:themeColor="text1"/>
          <w14:textFill>
            <w14:solidFill>
              <w14:schemeClr w14:val="tx1"/>
            </w14:solidFill>
          </w14:textFill>
        </w:rPr>
      </w:pPr>
      <w:r>
        <w:rPr>
          <w:sz w:val="24"/>
        </w:rPr>
        <mc:AlternateContent>
          <mc:Choice Requires="wps">
            <w:drawing>
              <wp:anchor distT="0" distB="0" distL="114300" distR="114300" simplePos="0" relativeHeight="251679744" behindDoc="0" locked="0" layoutInCell="1" allowOverlap="1">
                <wp:simplePos x="0" y="0"/>
                <wp:positionH relativeFrom="column">
                  <wp:posOffset>1322070</wp:posOffset>
                </wp:positionH>
                <wp:positionV relativeFrom="paragraph">
                  <wp:posOffset>1930400</wp:posOffset>
                </wp:positionV>
                <wp:extent cx="981710" cy="324485"/>
                <wp:effectExtent l="574040" t="12700" r="25400" b="196215"/>
                <wp:wrapNone/>
                <wp:docPr id="57" name="矩形标注 57"/>
                <wp:cNvGraphicFramePr/>
                <a:graphic xmlns:a="http://schemas.openxmlformats.org/drawingml/2006/main">
                  <a:graphicData uri="http://schemas.microsoft.com/office/word/2010/wordprocessingShape">
                    <wps:wsp>
                      <wps:cNvSpPr/>
                      <wps:spPr>
                        <a:xfrm>
                          <a:off x="0" y="0"/>
                          <a:ext cx="981710" cy="324485"/>
                        </a:xfrm>
                        <a:prstGeom prst="wedgeRectCallout">
                          <a:avLst>
                            <a:gd name="adj1" fmla="val -107179"/>
                            <a:gd name="adj2" fmla="val 10362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4928E0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4.1pt;margin-top:152pt;height:25.55pt;width:77.3pt;z-index:251679744;v-text-anchor:middle;mso-width-relative:page;mso-height-relative:page;" filled="f" stroked="t" coordsize="21600,21600" o:gfxdata="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xA7hN2gAAAAsBAAAPAAAAAAAAAAEAIAAAACIAAABkcnMvZG93bnJldi54bWxQ&#10;SwECFAAUAAAACACHTuJAN9al6KACAAAmBQAADgAAAAAAAAABACAAAAApAQAAZHJzL2Uyb0RvYy54&#10;bWxQSwUGAAAAAAYABgBZAQAAOwYAAAAA&#10;" adj="-12351,33182">
                <v:fill on="f" focussize="0,0"/>
                <v:stroke weight="2pt" color="#FF0000 [2404]" joinstyle="round"/>
                <v:imagedata o:title=""/>
                <o:lock v:ext="edit" aspectratio="f"/>
                <v:textbox>
                  <w:txbxContent>
                    <w:p w14:paraId="34928E0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v:textbox>
              </v:shape>
            </w:pict>
          </mc:Fallback>
        </mc:AlternateContent>
      </w:r>
      <w:r>
        <w:rPr>
          <w:rFonts w:ascii="Times New Roman" w:hAnsi="Times New Roman"/>
        </w:rPr>
        <w:drawing>
          <wp:inline distT="0" distB="0" distL="114300" distR="114300">
            <wp:extent cx="7323455" cy="5210175"/>
            <wp:effectExtent l="0" t="0" r="10795" b="952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27"/>
                    <a:stretch>
                      <a:fillRect/>
                    </a:stretch>
                  </pic:blipFill>
                  <pic:spPr>
                    <a:xfrm>
                      <a:off x="0" y="0"/>
                      <a:ext cx="7323455" cy="5210175"/>
                    </a:xfrm>
                    <a:prstGeom prst="rect">
                      <a:avLst/>
                    </a:prstGeom>
                    <a:noFill/>
                    <a:ln>
                      <a:noFill/>
                    </a:ln>
                  </pic:spPr>
                </pic:pic>
              </a:graphicData>
            </a:graphic>
          </wp:inline>
        </w:drawing>
      </w:r>
    </w:p>
    <w:p w14:paraId="7B069234">
      <w:pPr>
        <w:ind w:firstLine="1080" w:firstLineChars="4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项目区生态功能区划图</w:t>
      </w:r>
    </w:p>
    <w:p w14:paraId="6BF0D45E">
      <w:pPr>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pPr>
      <w:r>
        <w:rPr>
          <w:sz w:val="24"/>
        </w:rPr>
        <mc:AlternateContent>
          <mc:Choice Requires="wps">
            <w:drawing>
              <wp:anchor distT="0" distB="0" distL="114300" distR="114300" simplePos="0" relativeHeight="251682816" behindDoc="0" locked="0" layoutInCell="1" allowOverlap="1">
                <wp:simplePos x="0" y="0"/>
                <wp:positionH relativeFrom="column">
                  <wp:posOffset>4009390</wp:posOffset>
                </wp:positionH>
                <wp:positionV relativeFrom="paragraph">
                  <wp:posOffset>1508760</wp:posOffset>
                </wp:positionV>
                <wp:extent cx="981710" cy="324485"/>
                <wp:effectExtent l="574040" t="12700" r="25400" b="196215"/>
                <wp:wrapNone/>
                <wp:docPr id="76" name="矩形标注 76"/>
                <wp:cNvGraphicFramePr/>
                <a:graphic xmlns:a="http://schemas.openxmlformats.org/drawingml/2006/main">
                  <a:graphicData uri="http://schemas.microsoft.com/office/word/2010/wordprocessingShape">
                    <wps:wsp>
                      <wps:cNvSpPr/>
                      <wps:spPr>
                        <a:xfrm>
                          <a:off x="0" y="0"/>
                          <a:ext cx="981710" cy="324485"/>
                        </a:xfrm>
                        <a:prstGeom prst="wedgeRectCallout">
                          <a:avLst>
                            <a:gd name="adj1" fmla="val -107179"/>
                            <a:gd name="adj2" fmla="val 10362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8FD662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5.7pt;margin-top:118.8pt;height:25.55pt;width:77.3pt;z-index:251682816;v-text-anchor:middle;mso-width-relative:page;mso-height-relative:page;" filled="f" stroked="t" coordsize="21600,21600" o:gfxdata="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Onl1doAAAALAQAADwAAAAAAAAABACAAAAAiAAAAZHJzL2Rvd25yZXYueG1s&#10;UEsBAhQAFAAAAAgAh07iQJd1zOShAgAAJgUAAA4AAAAAAAAAAQAgAAAAKQEAAGRycy9lMm9Eb2Mu&#10;eG1sUEsFBgAAAAAGAAYAWQEAADwGAAAAAA==&#10;" adj="-12351,33182">
                <v:fill on="f" focussize="0,0"/>
                <v:stroke weight="2pt" color="#FF0000 [2404]" joinstyle="round"/>
                <v:imagedata o:title=""/>
                <o:lock v:ext="edit" aspectratio="f"/>
                <v:textbox>
                  <w:txbxContent>
                    <w:p w14:paraId="68FD662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v:textbox>
              </v:shape>
            </w:pict>
          </mc:Fallback>
        </mc:AlternateContent>
      </w: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7700645" cy="5261610"/>
            <wp:effectExtent l="0" t="0" r="14605" b="15240"/>
            <wp:docPr id="75" name="图片 75" descr="项目与生态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项目与生态功能区划"/>
                    <pic:cNvPicPr>
                      <a:picLocks noChangeAspect="1"/>
                    </pic:cNvPicPr>
                  </pic:nvPicPr>
                  <pic:blipFill>
                    <a:blip r:embed="rId101"/>
                    <a:stretch>
                      <a:fillRect/>
                    </a:stretch>
                  </pic:blipFill>
                  <pic:spPr>
                    <a:xfrm>
                      <a:off x="0" y="0"/>
                      <a:ext cx="7700645" cy="5261610"/>
                    </a:xfrm>
                    <a:prstGeom prst="rect">
                      <a:avLst/>
                    </a:prstGeom>
                  </pic:spPr>
                </pic:pic>
              </a:graphicData>
            </a:graphic>
          </wp:inline>
        </w:drawing>
      </w:r>
    </w:p>
    <w:p w14:paraId="75E7B015">
      <w:pPr>
        <w:ind w:firstLine="1080" w:firstLineChars="450"/>
        <w:rPr>
          <w:rFonts w:ascii="Times New Roman" w:hAnsi="Times New Roman" w:cs="Times New Roman"/>
          <w:color w:val="000000" w:themeColor="text1"/>
          <w14:textFill>
            <w14:solidFill>
              <w14:schemeClr w14:val="tx1"/>
            </w14:solidFill>
          </w14:textFill>
        </w:rPr>
        <w:sectPr>
          <w:pgSz w:w="16838" w:h="11906" w:orient="landscape"/>
          <w:pgMar w:top="1588" w:right="1588" w:bottom="1474" w:left="1474" w:header="851" w:footer="848" w:gutter="0"/>
          <w:pgBorders>
            <w:top w:val="none" w:sz="0" w:space="0"/>
            <w:left w:val="none" w:sz="0" w:space="0"/>
            <w:bottom w:val="none" w:sz="0" w:space="0"/>
            <w:right w:val="none" w:sz="0" w:space="0"/>
          </w:pgBorders>
          <w:cols w:space="720" w:num="1"/>
          <w:docGrid w:type="lines" w:linePitch="312" w:charSpace="0"/>
        </w:sectPr>
      </w:pPr>
    </w:p>
    <w:p w14:paraId="65AA722B">
      <w:pPr>
        <w:ind w:firstLine="1080" w:firstLineChars="4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建设项目总平面布置图</w:t>
      </w:r>
    </w:p>
    <w:p w14:paraId="36B70538">
      <w:pPr>
        <w:ind w:left="0" w:leftChars="0" w:firstLine="0" w:firstLineChars="0"/>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drawing>
          <wp:inline distT="0" distB="0" distL="114300" distR="114300">
            <wp:extent cx="4472305" cy="8317230"/>
            <wp:effectExtent l="0" t="0" r="4445" b="7620"/>
            <wp:docPr id="59" name="图片 59" descr="0b99e898-cfe5-4b38-a670-a3a0486b0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b99e898-cfe5-4b38-a670-a3a0486b0def"/>
                    <pic:cNvPicPr>
                      <a:picLocks noChangeAspect="1"/>
                    </pic:cNvPicPr>
                  </pic:nvPicPr>
                  <pic:blipFill>
                    <a:blip r:embed="rId102"/>
                    <a:stretch>
                      <a:fillRect/>
                    </a:stretch>
                  </pic:blipFill>
                  <pic:spPr>
                    <a:xfrm>
                      <a:off x="0" y="0"/>
                      <a:ext cx="4472305" cy="8317230"/>
                    </a:xfrm>
                    <a:prstGeom prst="rect">
                      <a:avLst/>
                    </a:prstGeom>
                  </pic:spPr>
                </pic:pic>
              </a:graphicData>
            </a:graphic>
          </wp:inline>
        </w:drawing>
      </w:r>
    </w:p>
    <w:p w14:paraId="06159F71">
      <w:pPr>
        <w:ind w:firstLine="1080" w:firstLineChars="4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项目区保护目标</w:t>
      </w:r>
      <w:r>
        <w:rPr>
          <w:rFonts w:ascii="Times New Roman" w:hAnsi="Times New Roman" w:cs="Times New Roman"/>
          <w:color w:val="000000" w:themeColor="text1"/>
          <w14:textFill>
            <w14:solidFill>
              <w14:schemeClr w14:val="tx1"/>
            </w14:solidFill>
          </w14:textFill>
        </w:rPr>
        <w:t>分布图</w:t>
      </w:r>
    </w:p>
    <w:p w14:paraId="32DDEBB6">
      <w:pPr>
        <w:ind w:left="0" w:leftChars="0"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sz w:val="24"/>
        </w:rPr>
        <mc:AlternateContent>
          <mc:Choice Requires="wps">
            <w:drawing>
              <wp:anchor distT="0" distB="0" distL="114300" distR="114300" simplePos="0" relativeHeight="251685888" behindDoc="0" locked="0" layoutInCell="1" allowOverlap="1">
                <wp:simplePos x="0" y="0"/>
                <wp:positionH relativeFrom="column">
                  <wp:posOffset>3556000</wp:posOffset>
                </wp:positionH>
                <wp:positionV relativeFrom="paragraph">
                  <wp:posOffset>1323975</wp:posOffset>
                </wp:positionV>
                <wp:extent cx="734695" cy="374650"/>
                <wp:effectExtent l="5080" t="4445" r="22225" b="20955"/>
                <wp:wrapNone/>
                <wp:docPr id="81" name="文本框 81"/>
                <wp:cNvGraphicFramePr/>
                <a:graphic xmlns:a="http://schemas.openxmlformats.org/drawingml/2006/main">
                  <a:graphicData uri="http://schemas.microsoft.com/office/word/2010/wordprocessingShape">
                    <wps:wsp>
                      <wps:cNvSpPr txBox="1"/>
                      <wps:spPr>
                        <a:xfrm>
                          <a:off x="0" y="0"/>
                          <a:ext cx="734695" cy="3746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BD3C83">
                            <w:pPr>
                              <w:ind w:left="0" w:leftChars="0" w:firstLine="0" w:firstLineChars="0"/>
                              <w:rPr>
                                <w:rFonts w:hint="default" w:eastAsiaTheme="minorEastAsia"/>
                                <w:color w:val="FF0000"/>
                                <w:lang w:val="en-US" w:eastAsia="zh-CN"/>
                              </w:rPr>
                            </w:pPr>
                            <w:r>
                              <w:rPr>
                                <w:rFonts w:hint="eastAsia"/>
                                <w:color w:val="FF0000"/>
                                <w:lang w:val="en-US" w:eastAsia="zh-CN"/>
                              </w:rPr>
                              <w:t>农户1户</w:t>
                            </w:r>
                          </w:p>
                        </w:txbxContent>
                      </wps:txbx>
                      <wps:bodyPr rot="0" spcFirstLastPara="0" vertOverflow="overflow" horzOverflow="overflow" vert="horz" wrap="square" lIns="36000" tIns="45720" rIns="360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pt;margin-top:104.25pt;height:29.5pt;width:57.85pt;z-index:251685888;mso-width-relative:page;mso-height-relative:page;" filled="f" stroked="t" coordsize="21600,21600" o:gfxdata="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jkRW2wAAAAsB&#10;AAAPAAAAAAAAAAEAIAAAACIAAABkcnMvZG93bnJldi54bWxQSwECFAAUAAAACACHTuJA6wNroFEC&#10;AACPBAAADgAAAAAAAAABACAAAAAqAQAAZHJzL2Uyb0RvYy54bWxQSwUGAAAAAAYABgBZAQAA7QUA&#10;AAAA&#10;">
                <v:fill on="f" focussize="0,0"/>
                <v:stroke weight="0.5pt" color="#000000 [3204]" joinstyle="round"/>
                <v:imagedata o:title=""/>
                <o:lock v:ext="edit" aspectratio="f"/>
                <v:textbox inset="1mm,1.27mm,1mm,1.27mm">
                  <w:txbxContent>
                    <w:p w14:paraId="77BD3C83">
                      <w:pPr>
                        <w:ind w:left="0" w:leftChars="0" w:firstLine="0" w:firstLineChars="0"/>
                        <w:rPr>
                          <w:rFonts w:hint="default" w:eastAsiaTheme="minorEastAsia"/>
                          <w:color w:val="FF0000"/>
                          <w:lang w:val="en-US" w:eastAsia="zh-CN"/>
                        </w:rPr>
                      </w:pPr>
                      <w:r>
                        <w:rPr>
                          <w:rFonts w:hint="eastAsia"/>
                          <w:color w:val="FF0000"/>
                          <w:lang w:val="en-US" w:eastAsia="zh-CN"/>
                        </w:rPr>
                        <w:t>农户1户</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1280795</wp:posOffset>
                </wp:positionH>
                <wp:positionV relativeFrom="paragraph">
                  <wp:posOffset>1763395</wp:posOffset>
                </wp:positionV>
                <wp:extent cx="482600" cy="374650"/>
                <wp:effectExtent l="5080" t="4445" r="7620" b="20955"/>
                <wp:wrapNone/>
                <wp:docPr id="80" name="文本框 80"/>
                <wp:cNvGraphicFramePr/>
                <a:graphic xmlns:a="http://schemas.openxmlformats.org/drawingml/2006/main">
                  <a:graphicData uri="http://schemas.microsoft.com/office/word/2010/wordprocessingShape">
                    <wps:wsp>
                      <wps:cNvSpPr txBox="1"/>
                      <wps:spPr>
                        <a:xfrm>
                          <a:off x="0" y="0"/>
                          <a:ext cx="482600" cy="3746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EED711">
                            <w:pPr>
                              <w:ind w:left="0" w:leftChars="0" w:firstLine="0" w:firstLineChars="0"/>
                              <w:rPr>
                                <w:rFonts w:hint="default" w:eastAsiaTheme="minorEastAsia"/>
                                <w:color w:val="FF0000"/>
                                <w:lang w:val="en-US" w:eastAsia="zh-CN"/>
                              </w:rPr>
                            </w:pPr>
                            <w:r>
                              <w:rPr>
                                <w:rFonts w:hint="eastAsia"/>
                                <w:color w:val="FF0000"/>
                                <w:lang w:val="en-US" w:eastAsia="zh-CN"/>
                              </w:rPr>
                              <w:t>农田</w:t>
                            </w:r>
                          </w:p>
                        </w:txbxContent>
                      </wps:txbx>
                      <wps:bodyPr rot="0" spcFirstLastPara="0" vertOverflow="overflow" horzOverflow="overflow" vert="horz" wrap="none" lIns="36000" tIns="45720" rIns="360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85pt;margin-top:138.85pt;height:29.5pt;width:38pt;mso-wrap-style:none;z-index:251684864;mso-width-relative:page;mso-height-relative:page;" filled="f" stroked="t" coordsize="21600,21600" o:gfxdata="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eKX49UAAAALAQAADwAAAAAAAAAB&#10;ACAAAAAiAAAAZHJzL2Rvd25yZXYueG1sUEsBAhQAFAAAAAgAh07iQFj4BohMAgAAjQQAAA4AAAAA&#10;AAAAAQAgAAAAJAEAAGRycy9lMm9Eb2MueG1sUEsFBgAAAAAGAAYAWQEAAOIFAAAAAA==&#10;">
                <v:fill on="f" focussize="0,0"/>
                <v:stroke weight="0.5pt" color="#000000 [3204]" joinstyle="round"/>
                <v:imagedata o:title=""/>
                <o:lock v:ext="edit" aspectratio="f"/>
                <v:textbox inset="1mm,1.27mm,1mm,1.27mm">
                  <w:txbxContent>
                    <w:p w14:paraId="35EED711">
                      <w:pPr>
                        <w:ind w:left="0" w:leftChars="0" w:firstLine="0" w:firstLineChars="0"/>
                        <w:rPr>
                          <w:rFonts w:hint="default" w:eastAsiaTheme="minorEastAsia"/>
                          <w:color w:val="FF0000"/>
                          <w:lang w:val="en-US" w:eastAsia="zh-CN"/>
                        </w:rPr>
                      </w:pPr>
                      <w:r>
                        <w:rPr>
                          <w:rFonts w:hint="eastAsia"/>
                          <w:color w:val="FF0000"/>
                          <w:lang w:val="en-US" w:eastAsia="zh-CN"/>
                        </w:rPr>
                        <w:t>农田</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210185</wp:posOffset>
                </wp:positionH>
                <wp:positionV relativeFrom="paragraph">
                  <wp:posOffset>3434715</wp:posOffset>
                </wp:positionV>
                <wp:extent cx="482600" cy="374650"/>
                <wp:effectExtent l="5080" t="4445" r="7620" b="20955"/>
                <wp:wrapNone/>
                <wp:docPr id="79" name="文本框 79"/>
                <wp:cNvGraphicFramePr/>
                <a:graphic xmlns:a="http://schemas.openxmlformats.org/drawingml/2006/main">
                  <a:graphicData uri="http://schemas.microsoft.com/office/word/2010/wordprocessingShape">
                    <wps:wsp>
                      <wps:cNvSpPr txBox="1"/>
                      <wps:spPr>
                        <a:xfrm>
                          <a:off x="1218565" y="4772025"/>
                          <a:ext cx="482600" cy="3746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E75B2E">
                            <w:pPr>
                              <w:ind w:left="0" w:leftChars="0" w:firstLine="0" w:firstLineChars="0"/>
                              <w:rPr>
                                <w:rFonts w:hint="default" w:eastAsiaTheme="minorEastAsia"/>
                                <w:color w:val="FF0000"/>
                                <w:lang w:val="en-US" w:eastAsia="zh-CN"/>
                              </w:rPr>
                            </w:pPr>
                            <w:r>
                              <w:rPr>
                                <w:rFonts w:hint="eastAsia"/>
                                <w:color w:val="FF0000"/>
                                <w:lang w:val="en-US" w:eastAsia="zh-CN"/>
                              </w:rPr>
                              <w:t>此处已退耕</w:t>
                            </w:r>
                          </w:p>
                        </w:txbxContent>
                      </wps:txbx>
                      <wps:bodyPr rot="0" spcFirstLastPara="0" vertOverflow="overflow" horzOverflow="overflow" vert="horz" wrap="none" lIns="36000" tIns="45720" rIns="360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5pt;margin-top:270.45pt;height:29.5pt;width:38pt;mso-wrap-style:none;z-index:251683840;mso-width-relative:page;mso-height-relative:page;" filled="f" stroked="t" coordsize="21600,21600" o:gfxdata="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3P+hnW&#10;AAAACgEAAA8AAAAAAAAAAQAgAAAAIgAAAGRycy9kb3ducmV2LnhtbFBLAQIUABQAAAAIAIdO4kCa&#10;a9A2WwIAAJkEAAAOAAAAAAAAAAEAIAAAACUBAABkcnMvZTJvRG9jLnhtbFBLBQYAAAAABgAGAFkB&#10;AADyBQAAAAA=&#10;">
                <v:fill on="f" focussize="0,0"/>
                <v:stroke weight="0.5pt" color="#000000 [3204]" joinstyle="round"/>
                <v:imagedata o:title=""/>
                <o:lock v:ext="edit" aspectratio="f"/>
                <v:textbox inset="1mm,1.27mm,1mm,1.27mm">
                  <w:txbxContent>
                    <w:p w14:paraId="32E75B2E">
                      <w:pPr>
                        <w:ind w:left="0" w:leftChars="0" w:firstLine="0" w:firstLineChars="0"/>
                        <w:rPr>
                          <w:rFonts w:hint="default" w:eastAsiaTheme="minorEastAsia"/>
                          <w:color w:val="FF0000"/>
                          <w:lang w:val="en-US" w:eastAsia="zh-CN"/>
                        </w:rPr>
                      </w:pPr>
                      <w:r>
                        <w:rPr>
                          <w:rFonts w:hint="eastAsia"/>
                          <w:color w:val="FF0000"/>
                          <w:lang w:val="en-US" w:eastAsia="zh-CN"/>
                        </w:rPr>
                        <w:t>此处已退耕</w:t>
                      </w:r>
                    </w:p>
                  </w:txbxContent>
                </v:textbox>
              </v:shape>
            </w:pict>
          </mc:Fallback>
        </mc:AlternateContent>
      </w: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5614035" cy="5511800"/>
            <wp:effectExtent l="0" t="0" r="5715" b="12700"/>
            <wp:docPr id="78" name="图片 78" descr="42273661-9ff3-4b96-9797-47958d2af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42273661-9ff3-4b96-9797-47958d2aff4c"/>
                    <pic:cNvPicPr>
                      <a:picLocks noChangeAspect="1"/>
                    </pic:cNvPicPr>
                  </pic:nvPicPr>
                  <pic:blipFill>
                    <a:blip r:embed="rId103"/>
                    <a:stretch>
                      <a:fillRect/>
                    </a:stretch>
                  </pic:blipFill>
                  <pic:spPr>
                    <a:xfrm>
                      <a:off x="0" y="0"/>
                      <a:ext cx="5614035" cy="5511800"/>
                    </a:xfrm>
                    <a:prstGeom prst="rect">
                      <a:avLst/>
                    </a:prstGeom>
                  </pic:spPr>
                </pic:pic>
              </a:graphicData>
            </a:graphic>
          </wp:inline>
        </w:drawing>
      </w:r>
    </w:p>
    <w:p w14:paraId="08FC2704">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14:paraId="4820F1E2">
      <w:pPr>
        <w:ind w:firstLine="1080" w:firstLineChars="450"/>
        <w:rPr>
          <w:rFonts w:hint="eastAsia"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w:t>
      </w:r>
      <w:r>
        <w:rPr>
          <w:rFonts w:hint="eastAsia"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建设项目分区防渗图</w:t>
      </w:r>
    </w:p>
    <w:p w14:paraId="40EE5F66">
      <w:pPr>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sectPr>
          <w:pgSz w:w="11906" w:h="16838"/>
          <w:pgMar w:top="1588" w:right="1474" w:bottom="1474" w:left="1588" w:header="851" w:footer="848"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cs="Times New Roman"/>
          <w:color w:val="000000" w:themeColor="text1"/>
          <w:lang w:val="en-US" w:eastAsia="zh-CN"/>
          <w14:textFill>
            <w14:solidFill>
              <w14:schemeClr w14:val="tx1"/>
            </w14:solidFill>
          </w14:textFill>
        </w:rPr>
        <w:drawing>
          <wp:anchor distT="0" distB="0" distL="114300" distR="114300" simplePos="0" relativeHeight="251687936" behindDoc="0" locked="0" layoutInCell="1" allowOverlap="1">
            <wp:simplePos x="0" y="0"/>
            <wp:positionH relativeFrom="column">
              <wp:posOffset>3013710</wp:posOffset>
            </wp:positionH>
            <wp:positionV relativeFrom="paragraph">
              <wp:posOffset>7724775</wp:posOffset>
            </wp:positionV>
            <wp:extent cx="1355725" cy="579755"/>
            <wp:effectExtent l="0" t="0" r="15875" b="10795"/>
            <wp:wrapNone/>
            <wp:docPr id="85" name="图片 85" descr="6eb7f4a1-6a1f-4710-8a28-7c0c02699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6eb7f4a1-6a1f-4710-8a28-7c0c026997d4"/>
                    <pic:cNvPicPr>
                      <a:picLocks noChangeAspect="1"/>
                    </pic:cNvPicPr>
                  </pic:nvPicPr>
                  <pic:blipFill>
                    <a:blip r:embed="rId104"/>
                    <a:stretch>
                      <a:fillRect/>
                    </a:stretch>
                  </pic:blipFill>
                  <pic:spPr>
                    <a:xfrm>
                      <a:off x="0" y="0"/>
                      <a:ext cx="1355725" cy="579755"/>
                    </a:xfrm>
                    <a:prstGeom prst="rect">
                      <a:avLst/>
                    </a:prstGeom>
                  </pic:spPr>
                </pic:pic>
              </a:graphicData>
            </a:graphic>
          </wp:anchor>
        </w:drawing>
      </w:r>
      <w:r>
        <w:rPr>
          <w:sz w:val="21"/>
        </w:rPr>
        <mc:AlternateContent>
          <mc:Choice Requires="wpg">
            <w:drawing>
              <wp:anchor distT="0" distB="0" distL="114300" distR="114300" simplePos="0" relativeHeight="251692032" behindDoc="0" locked="0" layoutInCell="1" allowOverlap="1">
                <wp:simplePos x="0" y="0"/>
                <wp:positionH relativeFrom="column">
                  <wp:posOffset>738505</wp:posOffset>
                </wp:positionH>
                <wp:positionV relativeFrom="paragraph">
                  <wp:posOffset>1242060</wp:posOffset>
                </wp:positionV>
                <wp:extent cx="2489835" cy="6624955"/>
                <wp:effectExtent l="12700" t="12700" r="31115" b="29845"/>
                <wp:wrapNone/>
                <wp:docPr id="109" name="组合 109"/>
                <wp:cNvGraphicFramePr/>
                <a:graphic xmlns:a="http://schemas.openxmlformats.org/drawingml/2006/main">
                  <a:graphicData uri="http://schemas.microsoft.com/office/word/2010/wordprocessingGroup">
                    <wpg:wgp>
                      <wpg:cNvGrpSpPr/>
                      <wpg:grpSpPr>
                        <a:xfrm>
                          <a:off x="0" y="0"/>
                          <a:ext cx="2489835" cy="6624955"/>
                          <a:chOff x="3034" y="3660426"/>
                          <a:chExt cx="3921" cy="10433"/>
                        </a:xfrm>
                      </wpg:grpSpPr>
                      <wps:wsp>
                        <wps:cNvPr id="86" name="矩形 86"/>
                        <wps:cNvSpPr/>
                        <wps:spPr>
                          <a:xfrm>
                            <a:off x="6367" y="3669258"/>
                            <a:ext cx="434" cy="296"/>
                          </a:xfrm>
                          <a:prstGeom prst="rect">
                            <a:avLst/>
                          </a:prstGeom>
                          <a:solidFill>
                            <a:srgbClr val="FF00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3159" y="3669229"/>
                            <a:ext cx="426" cy="262"/>
                          </a:xfrm>
                          <a:prstGeom prst="rect">
                            <a:avLst/>
                          </a:prstGeom>
                          <a:solidFill>
                            <a:srgbClr val="FF00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 name="矩形 89"/>
                        <wps:cNvSpPr/>
                        <wps:spPr>
                          <a:xfrm flipH="1">
                            <a:off x="4289" y="3663942"/>
                            <a:ext cx="119" cy="109"/>
                          </a:xfrm>
                          <a:prstGeom prst="rect">
                            <a:avLst/>
                          </a:prstGeom>
                          <a:solidFill>
                            <a:srgbClr val="FF00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3226" y="3660426"/>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 name="矩形 126"/>
                        <wps:cNvSpPr/>
                        <wps:spPr>
                          <a:xfrm>
                            <a:off x="4931" y="3669802"/>
                            <a:ext cx="787" cy="326"/>
                          </a:xfrm>
                          <a:prstGeom prst="rect">
                            <a:avLst/>
                          </a:prstGeom>
                          <a:solidFill>
                            <a:srgbClr val="92D05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 name="矩形 106"/>
                        <wps:cNvSpPr/>
                        <wps:spPr>
                          <a:xfrm>
                            <a:off x="5197" y="3660451"/>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矩形 125"/>
                        <wps:cNvSpPr/>
                        <wps:spPr>
                          <a:xfrm>
                            <a:off x="4796" y="3670657"/>
                            <a:ext cx="159" cy="203"/>
                          </a:xfrm>
                          <a:prstGeom prst="rect">
                            <a:avLst/>
                          </a:prstGeom>
                          <a:solidFill>
                            <a:srgbClr val="92D05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a:off x="5102" y="3664554"/>
                            <a:ext cx="363" cy="261"/>
                          </a:xfrm>
                          <a:prstGeom prst="rect">
                            <a:avLst/>
                          </a:prstGeom>
                          <a:solidFill>
                            <a:srgbClr val="92D05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 name="矩形 123"/>
                        <wps:cNvSpPr/>
                        <wps:spPr>
                          <a:xfrm>
                            <a:off x="4070" y="3664153"/>
                            <a:ext cx="757" cy="183"/>
                          </a:xfrm>
                          <a:prstGeom prst="rect">
                            <a:avLst/>
                          </a:prstGeom>
                          <a:solidFill>
                            <a:srgbClr val="92D05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4581" y="3664451"/>
                            <a:ext cx="269" cy="1068"/>
                          </a:xfrm>
                          <a:prstGeom prst="rect">
                            <a:avLst/>
                          </a:prstGeom>
                          <a:solidFill>
                            <a:srgbClr val="92D05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矩形 62"/>
                        <wps:cNvSpPr/>
                        <wps:spPr>
                          <a:xfrm>
                            <a:off x="3186" y="3660978"/>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5157" y="3661003"/>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63"/>
                        <wps:cNvSpPr/>
                        <wps:spPr>
                          <a:xfrm>
                            <a:off x="3186" y="3661466"/>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矩形 64"/>
                        <wps:cNvSpPr/>
                        <wps:spPr>
                          <a:xfrm>
                            <a:off x="5157" y="3661491"/>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矩形 66"/>
                        <wps:cNvSpPr/>
                        <wps:spPr>
                          <a:xfrm>
                            <a:off x="3178" y="3662018"/>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5149" y="3662043"/>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矩形 68"/>
                        <wps:cNvSpPr/>
                        <wps:spPr>
                          <a:xfrm>
                            <a:off x="3154" y="3662506"/>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矩形 67"/>
                        <wps:cNvSpPr/>
                        <wps:spPr>
                          <a:xfrm>
                            <a:off x="5125" y="3662531"/>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矩形 69"/>
                        <wps:cNvSpPr/>
                        <wps:spPr>
                          <a:xfrm>
                            <a:off x="3138" y="3663026"/>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a:off x="5109" y="3663051"/>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84"/>
                        <wps:cNvSpPr/>
                        <wps:spPr>
                          <a:xfrm>
                            <a:off x="3138" y="3663546"/>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矩形 77"/>
                        <wps:cNvSpPr/>
                        <wps:spPr>
                          <a:xfrm>
                            <a:off x="5109" y="3663571"/>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矩形 92"/>
                        <wps:cNvSpPr/>
                        <wps:spPr>
                          <a:xfrm>
                            <a:off x="5109" y="3664083"/>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93"/>
                        <wps:cNvSpPr/>
                        <wps:spPr>
                          <a:xfrm>
                            <a:off x="3090" y="3665602"/>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矩形 94"/>
                        <wps:cNvSpPr/>
                        <wps:spPr>
                          <a:xfrm>
                            <a:off x="5061" y="3665627"/>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矩形 95"/>
                        <wps:cNvSpPr/>
                        <wps:spPr>
                          <a:xfrm>
                            <a:off x="5106" y="3665117"/>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96"/>
                        <wps:cNvSpPr/>
                        <wps:spPr>
                          <a:xfrm>
                            <a:off x="3082" y="3666098"/>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 name="矩形 97"/>
                        <wps:cNvSpPr/>
                        <wps:spPr>
                          <a:xfrm>
                            <a:off x="5053" y="3666123"/>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矩形 98"/>
                        <wps:cNvSpPr/>
                        <wps:spPr>
                          <a:xfrm>
                            <a:off x="3082" y="3666610"/>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99"/>
                        <wps:cNvSpPr/>
                        <wps:spPr>
                          <a:xfrm>
                            <a:off x="5053" y="3666635"/>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 name="矩形 101"/>
                        <wps:cNvSpPr/>
                        <wps:spPr>
                          <a:xfrm>
                            <a:off x="3066" y="3667146"/>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 name="矩形 100"/>
                        <wps:cNvSpPr/>
                        <wps:spPr>
                          <a:xfrm>
                            <a:off x="5037" y="3667171"/>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矩形 102"/>
                        <wps:cNvSpPr/>
                        <wps:spPr>
                          <a:xfrm>
                            <a:off x="3058" y="3667658"/>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 name="矩形 103"/>
                        <wps:cNvSpPr/>
                        <wps:spPr>
                          <a:xfrm>
                            <a:off x="5029" y="3667683"/>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矩形 105"/>
                        <wps:cNvSpPr/>
                        <wps:spPr>
                          <a:xfrm>
                            <a:off x="3050" y="3668170"/>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矩形 104"/>
                        <wps:cNvSpPr/>
                        <wps:spPr>
                          <a:xfrm>
                            <a:off x="5021" y="3668195"/>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矩形 107"/>
                        <wps:cNvSpPr/>
                        <wps:spPr>
                          <a:xfrm>
                            <a:off x="3034" y="3668690"/>
                            <a:ext cx="1770" cy="298"/>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矩形 108"/>
                        <wps:cNvSpPr/>
                        <wps:spPr>
                          <a:xfrm>
                            <a:off x="5005" y="3668715"/>
                            <a:ext cx="1758" cy="299"/>
                          </a:xfrm>
                          <a:prstGeom prst="rect">
                            <a:avLst/>
                          </a:prstGeom>
                          <a:solidFill>
                            <a:srgbClr val="FFFF00">
                              <a:alpha val="25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15pt;margin-top:97.8pt;height:521.65pt;width:196.05pt;z-index:251692032;mso-width-relative:page;mso-height-relative:page;" coordorigin="3034,3660426" coordsize="3921,10433" o:gfxdata="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">
                <o:lock v:ext="edit" aspectratio="f"/>
                <v:rect id="_x0000_s1026" o:spid="_x0000_s1026" o:spt="1" style="position:absolute;left:6367;top:3669258;height:296;width:434;v-text-anchor:middle;" fillcolor="#FF0000" filled="t" stroked="t" coordsize="21600,21600" o:gfxdata="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p/G+8AAAA&#10;2wAAAA8AAAAAAAAAAQAgAAAAIgAAAGRycy9kb3ducmV2LnhtbFBLAQIUABQAAAAIAIdO4kAzLwWe&#10;OwAAADkAAAAQAAAAAAAAAAEAIAAAAAsBAABkcnMvc2hhcGV4bWwueG1sUEsFBgAAAAAGAAYAWwEA&#10;ALUDAAAAAA==&#10;">
                  <v:fill on="t" opacity="16384f" focussize="0,0"/>
                  <v:stroke weight="2pt" color="#376092 [2404]" joinstyle="round"/>
                  <v:imagedata o:title=""/>
                  <o:lock v:ext="edit" aspectratio="f"/>
                </v:rect>
                <v:rect id="_x0000_s1026" o:spid="_x0000_s1026" o:spt="1" style="position:absolute;left:3159;top:3669229;height:262;width:426;v-text-anchor:middle;" fillcolor="#FF0000" filled="t" stroked="t" coordsize="21600,21600" o:gfxdata="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WfS8AAAA&#10;2wAAAA8AAAAAAAAAAQAgAAAAIgAAAGRycy9kb3ducmV2LnhtbFBLAQIUABQAAAAIAIdO4kAzLwWe&#10;OwAAADkAAAAQAAAAAAAAAAEAIAAAAAsBAABkcnMvc2hhcGV4bWwueG1sUEsFBgAAAAAGAAYAWwEA&#10;ALUDAAAAAA==&#10;">
                  <v:fill on="t" opacity="16384f" focussize="0,0"/>
                  <v:stroke weight="2pt" color="#376092 [2404]" joinstyle="round"/>
                  <v:imagedata o:title=""/>
                  <o:lock v:ext="edit" aspectratio="f"/>
                </v:rect>
                <v:rect id="_x0000_s1026" o:spid="_x0000_s1026" o:spt="1" style="position:absolute;left:4289;top:3663942;flip:x;height:109;width:119;v-text-anchor:middle;" fillcolor="#FF0000" filled="t" stroked="t" coordsize="21600,21600" o:gfxdata="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AzInvQAA&#10;ANsAAAAPAAAAAAAAAAEAIAAAACIAAABkcnMvZG93bnJldi54bWxQSwECFAAUAAAACACHTuJAMy8F&#10;njsAAAA5AAAAEAAAAAAAAAABACAAAAAMAQAAZHJzL3NoYXBleG1sLnhtbFBLBQYAAAAABgAGAFsB&#10;AAC2AwAAAAA=&#10;">
                  <v:fill on="t" opacity="16384f" focussize="0,0"/>
                  <v:stroke weight="2pt" color="#376092 [2404]" joinstyle="round"/>
                  <v:imagedata o:title=""/>
                  <o:lock v:ext="edit" aspectratio="f"/>
                </v:rect>
                <v:rect id="_x0000_s1026" o:spid="_x0000_s1026" o:spt="1" style="position:absolute;left:3226;top:3660426;height:298;width:1770;v-text-anchor:middle;" fillcolor="#FFFF00" filled="t" stroked="t" coordsize="21600,21600" o:gfxdata="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g0ze/&#10;AAAA2wAAAA8AAAAAAAAAAQAgAAAAIgAAAGRycy9kb3ducmV2LnhtbFBLAQIUABQAAAAIAIdO4kAz&#10;LwWeOwAAADkAAAAQAAAAAAAAAAEAIAAAAA4BAABkcnMvc2hhcGV4bWwueG1sUEsFBgAAAAAGAAYA&#10;WwEAALgDAAAAAA==&#10;">
                  <v:fill on="t" opacity="16384f" focussize="0,0"/>
                  <v:stroke weight="2pt" color="#376092 [2404]" joinstyle="round"/>
                  <v:imagedata o:title=""/>
                  <o:lock v:ext="edit" aspectratio="f"/>
                </v:rect>
                <v:rect id="_x0000_s1026" o:spid="_x0000_s1026" o:spt="1" style="position:absolute;left:4931;top:3669802;height:326;width:787;v-text-anchor:middle;" fillcolor="#92D050" filled="t" stroked="t" coordsize="21600,21600" o:gfxdata="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apArsAAADc&#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97;top:3660451;height:299;width:1758;v-text-anchor:middle;" fillcolor="#FFFF00" filled="t" stroked="t" coordsize="21600,21600" o:gfxdata="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vYEvQAA&#10;ANwAAAAPAAAAAAAAAAEAIAAAACIAAABkcnMvZG93bnJldi54bWxQSwECFAAUAAAACACHTuJAMy8F&#10;njsAAAA5AAAAEAAAAAAAAAABACAAAAAMAQAAZHJzL3NoYXBleG1sLnhtbFBLBQYAAAAABgAGAFsB&#10;AAC2AwAAAAA=&#10;">
                  <v:fill on="t" opacity="16384f" focussize="0,0"/>
                  <v:stroke weight="2pt" color="#376092 [2404]" joinstyle="round"/>
                  <v:imagedata o:title=""/>
                  <o:lock v:ext="edit" aspectratio="f"/>
                </v:rect>
                <v:rect id="_x0000_s1026" o:spid="_x0000_s1026" o:spt="1" style="position:absolute;left:4796;top:3670657;height:203;width:159;v-text-anchor:middle;" fillcolor="#92D050" filled="t" stroked="t" coordsize="21600,21600" o:gfxdata="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Q3dbsAAADc&#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02;top:3664554;height:261;width:363;v-text-anchor:middle;" fillcolor="#92D050" filled="t" stroked="t" coordsize="21600,21600" o:gfxdata="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iS7rsAAADc&#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4070;top:3664153;height:183;width:757;v-text-anchor:middle;" fillcolor="#92D050" filled="t" stroked="t" coordsize="21600,21600" o:gfxdata="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EKmrsAAADc&#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4581;top:3664451;height:1068;width:269;v-text-anchor:middle;" fillcolor="#92D050" filled="t" stroked="t" coordsize="21600,21600" o:gfxdata="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2vAbsAAADc&#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3186;top:3660978;height:298;width:1770;v-text-anchor:middle;" fillcolor="#FFFF00" filled="t" stroked="t" coordsize="21600,21600" o:gfxdata="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c9Z7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57;top:3661003;height:299;width:1758;v-text-anchor:middle;" fillcolor="#FFFF00" filled="t" stroked="t" coordsize="21600,21600" o:gfxdata="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WjEL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3186;top:3661466;height:298;width:1770;v-text-anchor:middle;" fillcolor="#FFFF00" filled="t" stroked="t" coordsize="21600,21600" o:gfxdata="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uY/L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57;top:3661491;height:299;width:1758;v-text-anchor:middle;" fillcolor="#FFFF00" filled="t" stroked="t" coordsize="21600,21600" o:gfxdata="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IAiL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3178;top:3662018;height:298;width:1770;v-text-anchor:middle;" fillcolor="#FFFF00" filled="t" stroked="t" coordsize="21600,21600" o:gfxdata="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w7ZL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49;top:3662043;height:299;width:1758;v-text-anchor:middle;" fillcolor="#FFFF00" filled="t" stroked="t" coordsize="21600,21600" o:gfxdata="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6lE7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3154;top:3662506;height:298;width:1770;v-text-anchor:middle;" fillcolor="#FFFF00" filled="t" stroked="t" coordsize="21600,21600" o:gfxdata="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DwqNtwAAANsAAAAP&#10;AAAAAAAAAAEAIAAAACIAAABkcnMvZG93bnJldi54bWxQSwECFAAUAAAACACHTuJAMy8FnjsAAAA5&#10;AAAAEAAAAAAAAAABACAAAAAGAQAAZHJzL3NoYXBleG1sLnhtbFBLBQYAAAAABgAGAFsBAACwAwAA&#10;AAA=&#10;">
                  <v:fill on="t" opacity="16384f" focussize="0,0"/>
                  <v:stroke weight="2pt" color="#376092 [2404]" joinstyle="round"/>
                  <v:imagedata o:title=""/>
                  <o:lock v:ext="edit" aspectratio="f"/>
                </v:rect>
                <v:rect id="_x0000_s1026" o:spid="_x0000_s1026" o:spt="1" style="position:absolute;left:5125;top:3662531;height:299;width:1758;v-text-anchor:middle;" fillcolor="#FFFF00" filled="t" stroked="t" coordsize="21600,21600" o:gfxdata="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Ce/7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3138;top:3663026;height:298;width:1770;v-text-anchor:middle;" fillcolor="#FFFF00" filled="t" stroked="t" coordsize="21600,21600" o:gfxdata="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OvFr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09;top:3663051;height:299;width:1758;v-text-anchor:middle;" fillcolor="#FFFF00" filled="t" stroked="t" coordsize="21600,21600" o:gfxdata="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qCQVrgAAADbAAAA&#10;DwAAAAAAAAABACAAAAAiAAAAZHJzL2Rvd25yZXYueG1sUEsBAhQAFAAAAAgAh07iQDMvBZ47AAAA&#10;OQAAABAAAAAAAAAAAQAgAAAABwEAAGRycy9zaGFwZXhtbC54bWxQSwUGAAAAAAYABgBbAQAAsQMA&#10;AAAA&#10;">
                  <v:fill on="t" opacity="16384f" focussize="0,0"/>
                  <v:stroke weight="2pt" color="#376092 [2404]" joinstyle="round"/>
                  <v:imagedata o:title=""/>
                  <o:lock v:ext="edit" aspectratio="f"/>
                </v:rect>
                <v:rect id="_x0000_s1026" o:spid="_x0000_s1026" o:spt="1" style="position:absolute;left:3138;top:3663546;height:298;width:1770;v-text-anchor:middle;" fillcolor="#FFFF00" filled="t" stroked="t" coordsize="21600,21600" o:gfxdata="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7mcr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09;top:3663571;height:299;width:1758;v-text-anchor:middle;" fillcolor="#FFFF00" filled="t" stroked="t" coordsize="21600,21600" o:gfxdata="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kIIr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09;top:3664083;height:299;width:1758;v-text-anchor:middle;" fillcolor="#FFFF00" filled="t" stroked="t" coordsize="21600,21600" o:gfxdata="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yTUC/&#10;AAAA2wAAAA8AAAAAAAAAAQAgAAAAIgAAAGRycy9kb3ducmV2LnhtbFBLAQIUABQAAAAIAIdO4kAz&#10;LwWeOwAAADkAAAAQAAAAAAAAAAEAIAAAAA4BAABkcnMvc2hhcGV4bWwueG1sUEsFBgAAAAAGAAYA&#10;WwEAALgDAAAAAA==&#10;">
                  <v:fill on="t" opacity="16384f" focussize="0,0"/>
                  <v:stroke weight="2pt" color="#376092 [2404]" joinstyle="round"/>
                  <v:imagedata o:title=""/>
                  <o:lock v:ext="edit" aspectratio="f"/>
                </v:rect>
                <v:rect id="_x0000_s1026" o:spid="_x0000_s1026" o:spt="1" style="position:absolute;left:3090;top:3665602;height:298;width:1770;v-text-anchor:middle;" fillcolor="#FFFF00" filled="t" stroked="t" coordsize="21600,21600" o:gfxdata="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7o274A&#10;AADbAAAADwAAAAAAAAABACAAAAAiAAAAZHJzL2Rvd25yZXYueG1sUEsBAhQAFAAAAAgAh07iQDMv&#10;BZ47AAAAOQAAABAAAAAAAAAAAQAgAAAADQEAAGRycy9zaGFwZXhtbC54bWxQSwUGAAAAAAYABgBb&#10;AQAAtwMAAAAA&#10;">
                  <v:fill on="t" opacity="16384f" focussize="0,0"/>
                  <v:stroke weight="2pt" color="#376092 [2404]" joinstyle="round"/>
                  <v:imagedata o:title=""/>
                  <o:lock v:ext="edit" aspectratio="f"/>
                </v:rect>
                <v:rect id="_x0000_s1026" o:spid="_x0000_s1026" o:spt="1" style="position:absolute;left:5061;top:3665627;height:299;width:1758;v-text-anchor:middle;" fillcolor="#FFFF00" filled="t" stroked="t" coordsize="21600,21600" o:gfxdata="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dwr7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106;top:3665117;height:299;width:1758;v-text-anchor:middle;" fillcolor="#FFFF00" filled="t" stroked="t" coordsize="21600,21600" o:gfxdata="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vVNL4A&#10;AADbAAAADwAAAAAAAAABACAAAAAiAAAAZHJzL2Rvd25yZXYueG1sUEsBAhQAFAAAAAgAh07iQDMv&#10;BZ47AAAAOQAAABAAAAAAAAAAAQAgAAAADQEAAGRycy9zaGFwZXhtbC54bWxQSwUGAAAAAAYABgBb&#10;AQAAtwMAAAAA&#10;">
                  <v:fill on="t" opacity="16384f" focussize="0,0"/>
                  <v:stroke weight="2pt" color="#376092 [2404]" joinstyle="round"/>
                  <v:imagedata o:title=""/>
                  <o:lock v:ext="edit" aspectratio="f"/>
                </v:rect>
                <v:rect id="_x0000_s1026" o:spid="_x0000_s1026" o:spt="1" style="position:absolute;left:3082;top:3666098;height:298;width:1770;v-text-anchor:middle;" fillcolor="#FFFF00" filled="t" stroked="t" coordsize="21600,21600" o:gfxdata="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lLQ7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053;top:3666123;height:299;width:1758;v-text-anchor:middle;" fillcolor="#FFFF00" filled="t" stroked="t" coordsize="21600,21600" o:gfxdata="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Xu2L4A&#10;AADbAAAADwAAAAAAAAABACAAAAAiAAAAZHJzL2Rvd25yZXYueG1sUEsBAhQAFAAAAAgAh07iQDMv&#10;BZ47AAAAOQAAABAAAAAAAAAAAQAgAAAADQEAAGRycy9zaGFwZXhtbC54bWxQSwUGAAAAAAYABgBb&#10;AQAAtwMAAAAA&#10;">
                  <v:fill on="t" opacity="16384f" focussize="0,0"/>
                  <v:stroke weight="2pt" color="#376092 [2404]" joinstyle="round"/>
                  <v:imagedata o:title=""/>
                  <o:lock v:ext="edit" aspectratio="f"/>
                </v:rect>
                <v:rect id="_x0000_s1026" o:spid="_x0000_s1026" o:spt="1" style="position:absolute;left:3082;top:3666610;height:298;width:1770;v-text-anchor:middle;" fillcolor="#FFFF00" filled="t" stroked="t" coordsize="21600,21600" o:gfxdata="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Np6qrgAAADbAAAA&#10;DwAAAAAAAAABACAAAAAiAAAAZHJzL2Rvd25yZXYueG1sUEsBAhQAFAAAAAgAh07iQDMvBZ47AAAA&#10;OQAAABAAAAAAAAAAAQAgAAAABwEAAGRycy9zaGFwZXhtbC54bWxQSwUGAAAAAAYABgBbAQAAsQMA&#10;AAAA&#10;">
                  <v:fill on="t" opacity="16384f" focussize="0,0"/>
                  <v:stroke weight="2pt" color="#376092 [2404]" joinstyle="round"/>
                  <v:imagedata o:title=""/>
                  <o:lock v:ext="edit" aspectratio="f"/>
                </v:rect>
                <v:rect id="_x0000_s1026" o:spid="_x0000_s1026" o:spt="1" style="position:absolute;left:5053;top:3666635;height:299;width:1758;v-text-anchor:middle;" fillcolor="#FFFF00" filled="t" stroked="t" coordsize="21600,21600" o:gfxdata="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bfMbsAAADb&#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3066;top:3667146;height:298;width:1770;v-text-anchor:middle;" fillcolor="#FFFF00" filled="t" stroked="t" coordsize="21600,21600" o:gfxdata="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NucLsAAADc&#10;AAAADwAAAAAAAAABACAAAAAiAAAAZHJzL2Rvd25yZXYueG1sUEsBAhQAFAAAAAgAh07iQDMvBZ47&#10;AAAAOQAAABAAAAAAAAAAAQAgAAAACgEAAGRycy9zaGFwZXhtbC54bWxQSwUGAAAAAAYABgBbAQAA&#10;tAMAAAAA&#10;">
                  <v:fill on="t" opacity="16384f" focussize="0,0"/>
                  <v:stroke weight="2pt" color="#376092 [2404]" joinstyle="round"/>
                  <v:imagedata o:title=""/>
                  <o:lock v:ext="edit" aspectratio="f"/>
                </v:rect>
                <v:rect id="_x0000_s1026" o:spid="_x0000_s1026" o:spt="1" style="position:absolute;left:5037;top:3667171;height:299;width:1758;v-text-anchor:middle;" fillcolor="#FFFF00" filled="t" stroked="t" coordsize="21600,21600" o:gfxdata="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L674A&#10;AADcAAAADwAAAAAAAAABACAAAAAiAAAAZHJzL2Rvd25yZXYueG1sUEsBAhQAFAAAAAgAh07iQDMv&#10;BZ47AAAAOQAAABAAAAAAAAAAAQAgAAAADQEAAGRycy9zaGFwZXhtbC54bWxQSwUGAAAAAAYABgBb&#10;AQAAtwMAAAAA&#10;">
                  <v:fill on="t" opacity="16384f" focussize="0,0"/>
                  <v:stroke weight="2pt" color="#376092 [2404]" joinstyle="round"/>
                  <v:imagedata o:title=""/>
                  <o:lock v:ext="edit" aspectratio="f"/>
                </v:rect>
                <v:rect id="_x0000_s1026" o:spid="_x0000_s1026" o:spt="1" style="position:absolute;left:3058;top:3667658;height:298;width:1770;v-text-anchor:middle;" fillcolor="#FFFF00" filled="t" stroked="t" coordsize="21600,21600" o:gfxdata="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fAHvQAA&#10;ANwAAAAPAAAAAAAAAAEAIAAAACIAAABkcnMvZG93bnJldi54bWxQSwECFAAUAAAACACHTuJAMy8F&#10;njsAAAA5AAAAEAAAAAAAAAABACAAAAAMAQAAZHJzL3NoYXBleG1sLnhtbFBLBQYAAAAABgAGAFsB&#10;AAC2AwAAAAA=&#10;">
                  <v:fill on="t" opacity="16384f" focussize="0,0"/>
                  <v:stroke weight="2pt" color="#376092 [2404]" joinstyle="round"/>
                  <v:imagedata o:title=""/>
                  <o:lock v:ext="edit" aspectratio="f"/>
                </v:rect>
                <v:rect id="_x0000_s1026" o:spid="_x0000_s1026" o:spt="1" style="position:absolute;left:5029;top:3667683;height:299;width:1758;v-text-anchor:middle;" fillcolor="#FFFF00" filled="t" stroked="t" coordsize="21600,21600" o:gfxdata="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9VZy8AAAA&#10;3AAAAA8AAAAAAAAAAQAgAAAAIgAAAGRycy9kb3ducmV2LnhtbFBLAQIUABQAAAAIAIdO4kAzLwWe&#10;OwAAADkAAAAQAAAAAAAAAAEAIAAAAAsBAABkcnMvc2hhcGV4bWwueG1sUEsFBgAAAAAGAAYAWwEA&#10;ALUDAAAAAA==&#10;">
                  <v:fill on="t" opacity="16384f" focussize="0,0"/>
                  <v:stroke weight="2pt" color="#376092 [2404]" joinstyle="round"/>
                  <v:imagedata o:title=""/>
                  <o:lock v:ext="edit" aspectratio="f"/>
                </v:rect>
                <v:rect id="_x0000_s1026" o:spid="_x0000_s1026" o:spt="1" style="position:absolute;left:3050;top:3668170;height:298;width:1770;v-text-anchor:middle;" fillcolor="#FFFF00" filled="t" stroked="t" coordsize="21600,21600" o:gfxdata="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YaHO8AAAA&#10;3AAAAA8AAAAAAAAAAQAgAAAAIgAAAGRycy9kb3ducmV2LnhtbFBLAQIUABQAAAAIAIdO4kAzLwWe&#10;OwAAADkAAAAQAAAAAAAAAAEAIAAAAAsBAABkcnMvc2hhcGV4bWwueG1sUEsFBgAAAAAGAAYAWwEA&#10;ALUDAAAAAA==&#10;">
                  <v:fill on="t" opacity="16384f" focussize="0,0"/>
                  <v:stroke weight="2pt" color="#376092 [2404]" joinstyle="round"/>
                  <v:imagedata o:title=""/>
                  <o:lock v:ext="edit" aspectratio="f"/>
                </v:rect>
                <v:rect id="_x0000_s1026" o:spid="_x0000_s1026" o:spt="1" style="position:absolute;left:5021;top:3668195;height:299;width:1758;v-text-anchor:middle;" fillcolor="#FFFF00" filled="t" stroked="t" coordsize="21600,21600" o:gfxdata="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M3ovQAA&#10;ANwAAAAPAAAAAAAAAAEAIAAAACIAAABkcnMvZG93bnJldi54bWxQSwECFAAUAAAACACHTuJAMy8F&#10;njsAAAA5AAAAEAAAAAAAAAABACAAAAAMAQAAZHJzL3NoYXBleG1sLnhtbFBLBQYAAAAABgAGAFsB&#10;AAC2AwAAAAA=&#10;">
                  <v:fill on="t" opacity="16384f" focussize="0,0"/>
                  <v:stroke weight="2pt" color="#376092 [2404]" joinstyle="round"/>
                  <v:imagedata o:title=""/>
                  <o:lock v:ext="edit" aspectratio="f"/>
                </v:rect>
                <v:rect id="_x0000_s1026" o:spid="_x0000_s1026" o:spt="1" style="position:absolute;left:3034;top:3668690;height:298;width:1770;v-text-anchor:middle;" fillcolor="#FFFF00" filled="t" stroked="t" coordsize="21600,21600" o:gfxdata="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GU5+8AAAA&#10;3AAAAA8AAAAAAAAAAQAgAAAAIgAAAGRycy9kb3ducmV2LnhtbFBLAQIUABQAAAAIAIdO4kAzLwWe&#10;OwAAADkAAAAQAAAAAAAAAAEAIAAAAAsBAABkcnMvc2hhcGV4bWwueG1sUEsFBgAAAAAGAAYAWwEA&#10;ALUDAAAAAA==&#10;">
                  <v:fill on="t" opacity="16384f" focussize="0,0"/>
                  <v:stroke weight="2pt" color="#376092 [2404]" joinstyle="round"/>
                  <v:imagedata o:title=""/>
                  <o:lock v:ext="edit" aspectratio="f"/>
                </v:rect>
                <v:rect id="_x0000_s1026" o:spid="_x0000_s1026" o:spt="1" style="position:absolute;left:5005;top:3668715;height:299;width:1758;v-text-anchor:middle;" fillcolor="#FFFF00" filled="t" stroked="t" coordsize="21600,21600" o:gfxdata="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nH7b4A&#10;AADcAAAADwAAAAAAAAABACAAAAAiAAAAZHJzL2Rvd25yZXYueG1sUEsBAhQAFAAAAAgAh07iQDMv&#10;BZ47AAAAOQAAABAAAAAAAAAAAQAgAAAADQEAAGRycy9zaGFwZXhtbC54bWxQSwUGAAAAAAYABgBb&#10;AQAAtwMAAAAA&#10;">
                  <v:fill on="t" opacity="16384f" focussize="0,0"/>
                  <v:stroke weight="2pt" color="#376092 [2404]" joinstyle="round"/>
                  <v:imagedata o:title=""/>
                  <o:lock v:ext="edit" aspectratio="f"/>
                </v:rect>
              </v:group>
            </w:pict>
          </mc:Fallback>
        </mc:AlternateContent>
      </w:r>
      <w:r>
        <w:rPr>
          <w:rFonts w:hint="eastAsia" w:ascii="Times New Roman" w:hAnsi="Times New Roman" w:cs="Times New Roman"/>
          <w:color w:val="000000" w:themeColor="text1"/>
          <w:lang w:eastAsia="zh-CN"/>
          <w14:textFill>
            <w14:solidFill>
              <w14:schemeClr w14:val="tx1"/>
            </w14:solidFill>
          </w14:textFill>
        </w:rPr>
        <w:drawing>
          <wp:inline distT="0" distB="0" distL="114300" distR="114300">
            <wp:extent cx="4472305" cy="8317230"/>
            <wp:effectExtent l="0" t="0" r="4445" b="7620"/>
            <wp:docPr id="60" name="图片 60" descr="0b99e898-cfe5-4b38-a670-a3a0486b0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b99e898-cfe5-4b38-a670-a3a0486b0def"/>
                    <pic:cNvPicPr>
                      <a:picLocks noChangeAspect="1"/>
                    </pic:cNvPicPr>
                  </pic:nvPicPr>
                  <pic:blipFill>
                    <a:blip r:embed="rId102"/>
                    <a:stretch>
                      <a:fillRect/>
                    </a:stretch>
                  </pic:blipFill>
                  <pic:spPr>
                    <a:xfrm>
                      <a:off x="0" y="0"/>
                      <a:ext cx="4472305" cy="8317230"/>
                    </a:xfrm>
                    <a:prstGeom prst="rect">
                      <a:avLst/>
                    </a:prstGeom>
                  </pic:spPr>
                </pic:pic>
              </a:graphicData>
            </a:graphic>
          </wp:inline>
        </w:drawing>
      </w:r>
      <w:bookmarkStart w:id="398" w:name="_GoBack"/>
      <w:bookmarkEnd w:id="398"/>
    </w:p>
    <w:p w14:paraId="3E615D67">
      <w:pPr>
        <w:ind w:firstLine="1080" w:firstLineChars="45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附图</w:t>
      </w:r>
      <w:r>
        <w:rPr>
          <w:rFonts w:hint="eastAsia"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lang w:val="en-US" w:eastAsia="zh-CN"/>
          <w14:textFill>
            <w14:solidFill>
              <w14:schemeClr w14:val="tx1"/>
            </w14:solidFill>
          </w14:textFill>
        </w:rPr>
        <w:t>建设项目土地利用类型图</w:t>
      </w:r>
    </w:p>
    <w:p w14:paraId="1F8B0BE5">
      <w:pPr>
        <w:ind w:left="0" w:leftChars="0" w:firstLine="0" w:firstLineChars="0"/>
        <w:rPr>
          <w:rFonts w:hint="eastAsia" w:ascii="Times New Roman" w:hAnsi="Times New Roman" w:cs="Times New Roman"/>
          <w:color w:val="000000" w:themeColor="text1"/>
          <w:lang w:val="en-US" w:eastAsia="zh-CN"/>
          <w14:textFill>
            <w14:solidFill>
              <w14:schemeClr w14:val="tx1"/>
            </w14:solidFill>
          </w14:textFill>
        </w:rPr>
        <w:sectPr>
          <w:pgSz w:w="16838" w:h="11906" w:orient="landscape"/>
          <w:pgMar w:top="1588" w:right="1588" w:bottom="1474" w:left="1474" w:header="851" w:footer="848" w:gutter="0"/>
          <w:pgBorders>
            <w:top w:val="none" w:sz="0" w:space="0"/>
            <w:left w:val="none" w:sz="0" w:space="0"/>
            <w:bottom w:val="none" w:sz="0" w:space="0"/>
            <w:right w:val="none" w:sz="0" w:space="0"/>
          </w:pgBorders>
          <w:cols w:space="720" w:num="1"/>
          <w:docGrid w:type="lines" w:linePitch="312" w:charSpace="0"/>
        </w:sectPr>
      </w:pPr>
      <w:r>
        <w:rPr>
          <w:sz w:val="24"/>
        </w:rPr>
        <mc:AlternateContent>
          <mc:Choice Requires="wps">
            <w:drawing>
              <wp:anchor distT="0" distB="0" distL="114300" distR="114300" simplePos="0" relativeHeight="251686912" behindDoc="0" locked="0" layoutInCell="1" allowOverlap="1">
                <wp:simplePos x="0" y="0"/>
                <wp:positionH relativeFrom="column">
                  <wp:posOffset>3444240</wp:posOffset>
                </wp:positionH>
                <wp:positionV relativeFrom="paragraph">
                  <wp:posOffset>2259330</wp:posOffset>
                </wp:positionV>
                <wp:extent cx="981710" cy="324485"/>
                <wp:effectExtent l="574040" t="12700" r="25400" b="196215"/>
                <wp:wrapNone/>
                <wp:docPr id="83" name="矩形标注 83"/>
                <wp:cNvGraphicFramePr/>
                <a:graphic xmlns:a="http://schemas.openxmlformats.org/drawingml/2006/main">
                  <a:graphicData uri="http://schemas.microsoft.com/office/word/2010/wordprocessingShape">
                    <wps:wsp>
                      <wps:cNvSpPr/>
                      <wps:spPr>
                        <a:xfrm>
                          <a:off x="0" y="0"/>
                          <a:ext cx="981710" cy="324485"/>
                        </a:xfrm>
                        <a:prstGeom prst="wedgeRectCallout">
                          <a:avLst>
                            <a:gd name="adj1" fmla="val -107179"/>
                            <a:gd name="adj2" fmla="val 10362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E5EE8F1">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1.2pt;margin-top:177.9pt;height:25.55pt;width:77.3pt;z-index:251686912;v-text-anchor:middle;mso-width-relative:page;mso-height-relative:page;" filled="f" stroked="t" coordsize="21600,21600" o:gfxdata="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lrjZNsAAAALAQAADwAAAAAAAAABACAAAAAiAAAAZHJzL2Rvd25yZXYueG1s&#10;UEsBAhQAFAAAAAgAh07iQHx3ePugAgAAJgUAAA4AAAAAAAAAAQAgAAAAKgEAAGRycy9lMm9Eb2Mu&#10;eG1sUEsFBgAAAAAGAAYAWQEAADwGAAAAAA==&#10;" adj="-12351,33182">
                <v:fill on="f" focussize="0,0"/>
                <v:stroke weight="2pt" color="#FF0000 [2404]" joinstyle="round"/>
                <v:imagedata o:title=""/>
                <o:lock v:ext="edit" aspectratio="f"/>
                <v:textbox>
                  <w:txbxContent>
                    <w:p w14:paraId="0E5EE8F1">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v:textbox>
              </v:shape>
            </w:pict>
          </mc:Fallback>
        </mc:AlternateContent>
      </w: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8740140" cy="4968240"/>
            <wp:effectExtent l="0" t="0" r="3810" b="3810"/>
            <wp:docPr id="82" name="图片 82" descr="3.附图，各团场专题图_可克达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3.附图，各团场专题图_可克达拉"/>
                    <pic:cNvPicPr>
                      <a:picLocks noChangeAspect="1"/>
                    </pic:cNvPicPr>
                  </pic:nvPicPr>
                  <pic:blipFill>
                    <a:blip r:embed="rId105"/>
                    <a:stretch>
                      <a:fillRect/>
                    </a:stretch>
                  </pic:blipFill>
                  <pic:spPr>
                    <a:xfrm>
                      <a:off x="0" y="0"/>
                      <a:ext cx="8740140" cy="4968240"/>
                    </a:xfrm>
                    <a:prstGeom prst="rect">
                      <a:avLst/>
                    </a:prstGeom>
                  </pic:spPr>
                </pic:pic>
              </a:graphicData>
            </a:graphic>
          </wp:inline>
        </w:drawing>
      </w:r>
    </w:p>
    <w:p w14:paraId="61F139D1">
      <w:pPr>
        <w:ind w:firstLine="1080" w:firstLineChars="45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附图</w:t>
      </w:r>
      <w:r>
        <w:rPr>
          <w:rFonts w:hint="eastAsia"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lang w:val="en-US" w:eastAsia="zh-CN"/>
          <w14:textFill>
            <w14:solidFill>
              <w14:schemeClr w14:val="tx1"/>
            </w14:solidFill>
          </w14:textFill>
        </w:rPr>
        <w:t>建设项目植被</w:t>
      </w:r>
      <w:r>
        <w:rPr>
          <w:rFonts w:hint="eastAsia" w:cs="Times New Roman"/>
          <w:color w:val="000000" w:themeColor="text1"/>
          <w:lang w:val="en-US" w:eastAsia="zh-CN"/>
          <w14:textFill>
            <w14:solidFill>
              <w14:schemeClr w14:val="tx1"/>
            </w14:solidFill>
          </w14:textFill>
        </w:rPr>
        <w:t>类型</w:t>
      </w:r>
      <w:r>
        <w:rPr>
          <w:rFonts w:hint="eastAsia" w:ascii="Times New Roman" w:hAnsi="Times New Roman" w:cs="Times New Roman"/>
          <w:color w:val="000000" w:themeColor="text1"/>
          <w:lang w:val="en-US" w:eastAsia="zh-CN"/>
          <w14:textFill>
            <w14:solidFill>
              <w14:schemeClr w14:val="tx1"/>
            </w14:solidFill>
          </w14:textFill>
        </w:rPr>
        <w:t>图</w:t>
      </w:r>
    </w:p>
    <w:p w14:paraId="4E46E612">
      <w:pPr>
        <w:ind w:left="0" w:leftChars="0" w:firstLine="0" w:firstLineChars="0"/>
        <w:rPr>
          <w:rFonts w:hint="default" w:ascii="Times New Roman" w:hAnsi="Times New Roman" w:eastAsia="宋体" w:cs="Times New Roman"/>
          <w:b/>
          <w:bCs/>
          <w:color w:val="auto"/>
          <w:sz w:val="28"/>
          <w:szCs w:val="28"/>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2489835</wp:posOffset>
                </wp:positionH>
                <wp:positionV relativeFrom="paragraph">
                  <wp:posOffset>3615690</wp:posOffset>
                </wp:positionV>
                <wp:extent cx="981710" cy="324485"/>
                <wp:effectExtent l="574040" t="12700" r="25400" b="196215"/>
                <wp:wrapNone/>
                <wp:docPr id="74" name="矩形标注 74"/>
                <wp:cNvGraphicFramePr/>
                <a:graphic xmlns:a="http://schemas.openxmlformats.org/drawingml/2006/main">
                  <a:graphicData uri="http://schemas.microsoft.com/office/word/2010/wordprocessingShape">
                    <wps:wsp>
                      <wps:cNvSpPr/>
                      <wps:spPr>
                        <a:xfrm>
                          <a:off x="0" y="0"/>
                          <a:ext cx="981710" cy="324485"/>
                        </a:xfrm>
                        <a:prstGeom prst="wedgeRectCallout">
                          <a:avLst>
                            <a:gd name="adj1" fmla="val -107179"/>
                            <a:gd name="adj2" fmla="val 10362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EC86A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6.05pt;margin-top:284.7pt;height:25.55pt;width:77.3pt;z-index:251681792;v-text-anchor:middle;mso-width-relative:page;mso-height-relative:page;" filled="f" stroked="t" coordsize="21600,21600" o:gfxdata="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FN7MoNsAAAALAQAADwAAAAAAAAABACAAAAAiAAAAZHJzL2Rvd25yZXYueG1s&#10;UEsBAhQAFAAAAAgAh07iQLQWrGKgAgAAJgUAAA4AAAAAAAAAAQAgAAAAKgEAAGRycy9lMm9Eb2Mu&#10;eG1sUEsFBgAAAAAGAAYAWQEAADwGAAAAAA==&#10;" adj="-12351,33182">
                <v:fill on="f" focussize="0,0"/>
                <v:stroke weight="2pt" color="#FF0000 [2404]" joinstyle="round"/>
                <v:imagedata o:title=""/>
                <o:lock v:ext="edit" aspectratio="f"/>
                <v:textbox>
                  <w:txbxContent>
                    <w:p w14:paraId="41EC86A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Theme="minorEastAsia"/>
                          <w:b/>
                          <w:bCs/>
                          <w:color w:val="FF0000"/>
                          <w:lang w:val="en-US" w:eastAsia="zh-CN"/>
                        </w:rPr>
                      </w:pPr>
                      <w:r>
                        <w:rPr>
                          <w:rFonts w:hint="eastAsia" w:ascii="Times New Roman" w:hAnsi="Times New Roman"/>
                          <w:b/>
                          <w:bCs/>
                          <w:color w:val="FF0000"/>
                          <w:lang w:val="en-US" w:eastAsia="zh-CN"/>
                        </w:rPr>
                        <w:t>本项目区</w:t>
                      </w:r>
                    </w:p>
                  </w:txbxContent>
                </v:textbox>
              </v:shape>
            </w:pict>
          </mc:Fallback>
        </mc:AlternateContent>
      </w:r>
      <w:r>
        <w:rPr>
          <w:sz w:val="28"/>
        </w:rPr>
        <mc:AlternateContent>
          <mc:Choice Requires="wpg">
            <w:drawing>
              <wp:anchor distT="0" distB="0" distL="114300" distR="114300" simplePos="0" relativeHeight="251680768" behindDoc="0" locked="0" layoutInCell="1" allowOverlap="1">
                <wp:simplePos x="0" y="0"/>
                <wp:positionH relativeFrom="column">
                  <wp:posOffset>6777990</wp:posOffset>
                </wp:positionH>
                <wp:positionV relativeFrom="paragraph">
                  <wp:posOffset>97790</wp:posOffset>
                </wp:positionV>
                <wp:extent cx="1958340" cy="2860675"/>
                <wp:effectExtent l="0" t="0" r="3810" b="15875"/>
                <wp:wrapNone/>
                <wp:docPr id="73" name="组合 73"/>
                <wp:cNvGraphicFramePr/>
                <a:graphic xmlns:a="http://schemas.openxmlformats.org/drawingml/2006/main">
                  <a:graphicData uri="http://schemas.microsoft.com/office/word/2010/wordprocessingGroup">
                    <wpg:wgp>
                      <wpg:cNvGrpSpPr/>
                      <wpg:grpSpPr>
                        <a:xfrm>
                          <a:off x="0" y="0"/>
                          <a:ext cx="1958340" cy="2860675"/>
                          <a:chOff x="13312" y="2076391"/>
                          <a:chExt cx="3084" cy="4505"/>
                        </a:xfrm>
                      </wpg:grpSpPr>
                      <pic:pic xmlns:pic="http://schemas.openxmlformats.org/drawingml/2006/picture">
                        <pic:nvPicPr>
                          <pic:cNvPr id="71" name="图片 255" descr="3a9de81e044deac7bb36ff23295fdd4"/>
                          <pic:cNvPicPr>
                            <a:picLocks noChangeAspect="1"/>
                          </pic:cNvPicPr>
                        </pic:nvPicPr>
                        <pic:blipFill>
                          <a:blip r:embed="rId106"/>
                          <a:stretch>
                            <a:fillRect/>
                          </a:stretch>
                        </pic:blipFill>
                        <pic:spPr>
                          <a:xfrm>
                            <a:off x="13876" y="2079462"/>
                            <a:ext cx="2517" cy="1435"/>
                          </a:xfrm>
                          <a:prstGeom prst="rect">
                            <a:avLst/>
                          </a:prstGeom>
                          <a:noFill/>
                          <a:ln>
                            <a:noFill/>
                          </a:ln>
                        </pic:spPr>
                      </pic:pic>
                      <pic:pic xmlns:pic="http://schemas.openxmlformats.org/drawingml/2006/picture">
                        <pic:nvPicPr>
                          <pic:cNvPr id="72" name="图片 259" descr="1758012504747(1)"/>
                          <pic:cNvPicPr>
                            <a:picLocks noChangeAspect="1"/>
                          </pic:cNvPicPr>
                        </pic:nvPicPr>
                        <pic:blipFill>
                          <a:blip r:embed="rId107"/>
                          <a:stretch>
                            <a:fillRect/>
                          </a:stretch>
                        </pic:blipFill>
                        <pic:spPr>
                          <a:xfrm>
                            <a:off x="13312" y="2076391"/>
                            <a:ext cx="3085" cy="3085"/>
                          </a:xfrm>
                          <a:prstGeom prst="rect">
                            <a:avLst/>
                          </a:prstGeom>
                          <a:noFill/>
                          <a:ln>
                            <a:noFill/>
                          </a:ln>
                        </pic:spPr>
                      </pic:pic>
                    </wpg:wgp>
                  </a:graphicData>
                </a:graphic>
              </wp:anchor>
            </w:drawing>
          </mc:Choice>
          <mc:Fallback>
            <w:pict>
              <v:group id="_x0000_s1026" o:spid="_x0000_s1026" o:spt="203" style="position:absolute;left:0pt;margin-left:533.7pt;margin-top:7.7pt;height:225.25pt;width:154.2pt;z-index:251680768;mso-width-relative:page;mso-height-relative:page;" coordorigin="13312,2076391" coordsize="3084,4505" o:gfxdata="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">
                <o:lock v:ext="edit" aspectratio="f"/>
                <v:shape id="图片 255" o:spid="_x0000_s1026" o:spt="75" alt="3a9de81e044deac7bb36ff23295fdd4" type="#_x0000_t75" style="position:absolute;left:13876;top:2079462;height:1435;width:2517;" filled="f" o:preferrelative="t" stroked="f" coordsize="21600,21600" o:gfxdata="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M9k6/&#10;AAAA2wAAAA8AAAAAAAAAAQAgAAAAIgAAAGRycy9kb3ducmV2LnhtbFBLAQIUABQAAAAIAIdO4kAz&#10;LwWeOwAAADkAAAAQAAAAAAAAAAEAIAAAAA4BAABkcnMvc2hhcGV4bWwueG1sUEsFBgAAAAAGAAYA&#10;WwEAALgDAAAAAA==&#10;">
                  <v:fill on="f" focussize="0,0"/>
                  <v:stroke on="f"/>
                  <v:imagedata r:id="rId106" o:title=""/>
                  <o:lock v:ext="edit" aspectratio="t"/>
                </v:shape>
                <v:shape id="图片 259" o:spid="_x0000_s1026" o:spt="75" alt="1758012504747(1)" type="#_x0000_t75" style="position:absolute;left:13312;top:2076391;height:3085;width:3085;" filled="f" o:preferrelative="t" stroked="f" coordsize="21600,21600" o:gfxdata="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7PcL4A&#10;AADbAAAADwAAAAAAAAABACAAAAAiAAAAZHJzL2Rvd25yZXYueG1sUEsBAhQAFAAAAAgAh07iQDMv&#10;BZ47AAAAOQAAABAAAAAAAAAAAQAgAAAADQEAAGRycy9zaGFwZXhtbC54bWxQSwUGAAAAAAYABgBb&#10;AQAAtwMAAAAA&#10;">
                  <v:fill on="f" focussize="0,0"/>
                  <v:stroke on="f"/>
                  <v:imagedata r:id="rId107" o:title=""/>
                  <o:lock v:ext="edit" aspectratio="t"/>
                </v:shape>
              </v:group>
            </w:pict>
          </mc:Fallback>
        </mc:AlternateContent>
      </w:r>
      <w:r>
        <w:rPr>
          <w:rFonts w:hint="default" w:ascii="Times New Roman" w:hAnsi="Times New Roman" w:eastAsia="宋体" w:cs="Times New Roman"/>
          <w:b/>
          <w:bCs/>
          <w:color w:val="auto"/>
          <w:sz w:val="28"/>
          <w:szCs w:val="28"/>
          <w:lang w:val="en-US" w:eastAsia="zh-CN"/>
        </w:rPr>
        <w:drawing>
          <wp:inline distT="0" distB="0" distL="114300" distR="114300">
            <wp:extent cx="8749665" cy="4584065"/>
            <wp:effectExtent l="0" t="0" r="13335" b="6985"/>
            <wp:docPr id="58" name="图片 18" descr="175801227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descr="1758012278913"/>
                    <pic:cNvPicPr>
                      <a:picLocks noChangeAspect="1"/>
                    </pic:cNvPicPr>
                  </pic:nvPicPr>
                  <pic:blipFill>
                    <a:blip r:embed="rId108"/>
                    <a:stretch>
                      <a:fillRect/>
                    </a:stretch>
                  </pic:blipFill>
                  <pic:spPr>
                    <a:xfrm>
                      <a:off x="0" y="0"/>
                      <a:ext cx="8749665" cy="4584065"/>
                    </a:xfrm>
                    <a:prstGeom prst="rect">
                      <a:avLst/>
                    </a:prstGeom>
                    <a:noFill/>
                    <a:ln>
                      <a:noFill/>
                    </a:ln>
                  </pic:spPr>
                </pic:pic>
              </a:graphicData>
            </a:graphic>
          </wp:inline>
        </w:drawing>
      </w:r>
    </w:p>
    <w:p w14:paraId="59F1D412">
      <w:pPr>
        <w:ind w:left="0" w:leftChars="0" w:firstLine="0" w:firstLineChars="0"/>
        <w:rPr>
          <w:rFonts w:hint="default" w:ascii="Times New Roman" w:hAnsi="Times New Roman" w:eastAsia="宋体" w:cs="Times New Roman"/>
          <w:b/>
          <w:bCs/>
          <w:color w:val="auto"/>
          <w:sz w:val="28"/>
          <w:szCs w:val="28"/>
          <w:lang w:val="en-US" w:eastAsia="zh-CN"/>
        </w:rPr>
      </w:pPr>
    </w:p>
    <w:sectPr>
      <w:pgSz w:w="16838" w:h="11906" w:orient="landscape"/>
      <w:pgMar w:top="1588" w:right="1588" w:bottom="1474" w:left="1474" w:header="851" w:footer="848" w:gutter="0"/>
      <w:pgBorders>
        <w:top w:val="none" w:sz="0" w:space="0"/>
        <w:left w:val="none" w:sz="0" w:space="0"/>
        <w:bottom w:val="none" w:sz="0" w:space="0"/>
        <w:right w:val="none" w:sz="0" w:space="0"/>
      </w:pgBorders>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42">
      <wne:acd wne:acdName="acd3"/>
    </wne:keymap>
    <wne:keymap wne:kcmPrimary="0245">
      <wne:acd wne:acdName="acd4"/>
    </wne:keymap>
    <wne:keymap wne:kcmPrimary="024B">
      <wne:acd wne:acdName="acd5"/>
    </wne:keymap>
    <wne:keymap wne:kcmPrimary="0254">
      <wne:acd wne:acdName="acd6"/>
    </wne:keymap>
    <wne:keymap wne:kcmPrimary="0257">
      <wne:acd wne:acdName="acd7"/>
    </wne:keymap>
  </wne:keymaps>
  <wne:acds>
    <wne:acd wne:argValue="AQAAAAEA" wne:acdName="acd0" wne:fciIndexBasedOn="0065"/>
    <wne:acd wne:argValue="AQAAAAIA" wne:acdName="acd1" wne:fciIndexBasedOn="0065"/>
    <wne:acd wne:argValue="AQAAAAMA" wne:acdName="acd2" wne:fciIndexBasedOn="0065"/>
    <wne:acd wne:argValue="AgBoiIVRh2VXWw==" wne:acdName="acd3" wne:fciIndexBasedOn="0065"/>
    <wne:acd wne:argValue="AgAPXJRO5l35W1Cf4GUpf9uP" wne:acdName="acd4" wne:fciIndexBasedOn="0065"/>
    <wne:acd wne:argValue="AgBoiA5Ueno8aA==" wne:acdName="acd5" wne:fciIndexBasedOn="0065"/>
    <wne:acd wne:argValue="AgBoiDRZATD+VvdT" wne:acdName="acd6" wne:fciIndexBasedOn="0065"/>
    <wne:acd wne:argValue="AQAAAAA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黑体简体">
    <w:altName w:val="微软雅黑"/>
    <w:panose1 w:val="02000000000000000000"/>
    <w:charset w:val="86"/>
    <w:family w:val="script"/>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FZFS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Romantic">
    <w:altName w:val="Segoe Print"/>
    <w:panose1 w:val="00000400000000000000"/>
    <w:charset w:val="02"/>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隶书">
    <w:panose1 w:val="02010509060101010101"/>
    <w:charset w:val="86"/>
    <w:family w:val="auto"/>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5D2EF">
    <w:pPr>
      <w:pStyle w:val="21"/>
      <w:ind w:firstLine="36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8AE4D">
    <w:pPr>
      <w:pStyle w:val="21"/>
      <w:ind w:firstLine="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9DCB4">
    <w:pPr>
      <w:pStyle w:val="21"/>
      <w:ind w:firstLine="360"/>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FA353">
    <w:pPr>
      <w:pStyle w:val="21"/>
      <w:ind w:firstLine="360"/>
      <w:rPr>
        <w:rFonts w:ascii="Times New Roman" w:hAnsi="Times New Roman"/>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2F92B">
                          <w:pPr>
                            <w:pStyle w:val="21"/>
                            <w:ind w:firstLine="360"/>
                            <w:rPr>
                              <w:rFonts w:ascii="Times New Roman" w:hAnsi="Times New Roman"/>
                            </w:rPr>
                          </w:pPr>
                          <w:r>
                            <w:rPr>
                              <w:rFonts w:ascii="Times New Roman" w:hAnsi="Times New Roman"/>
                            </w:rPr>
                            <w:t xml:space="preserve">— </w:t>
                          </w:r>
                          <w:r>
                            <w:rPr>
                              <w:rFonts w:ascii="Times New Roman" w:hAnsi="Times New Roman"/>
                            </w:rPr>
                            <w:fldChar w:fldCharType="begin"/>
                          </w:r>
                          <w:r>
                            <w:instrText xml:space="preserve"> PAGE  \* MERGEFORMAT </w:instrText>
                          </w:r>
                          <w:r>
                            <w:rPr>
                              <w:rFonts w:ascii="Times New Roman" w:hAnsi="Times New Roman"/>
                            </w:rPr>
                            <w:fldChar w:fldCharType="separate"/>
                          </w:r>
                          <w:r>
                            <w:t>1</w:t>
                          </w:r>
                          <w:r>
                            <w:rPr>
                              <w:rFonts w:ascii="Times New Roman" w:hAnsi="Times New Roman"/>
                            </w:rPr>
                            <w:fldChar w:fldCharType="end"/>
                          </w:r>
                          <w:r>
                            <w:rPr>
                              <w:rFonts w:ascii="Times New Roman" w:hAnsi="Times New Roma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7C2F92B">
                    <w:pPr>
                      <w:pStyle w:val="21"/>
                      <w:ind w:firstLine="360"/>
                      <w:rPr>
                        <w:rFonts w:ascii="Times New Roman" w:hAnsi="Times New Roman"/>
                      </w:rPr>
                    </w:pPr>
                    <w:r>
                      <w:rPr>
                        <w:rFonts w:ascii="Times New Roman" w:hAnsi="Times New Roman"/>
                      </w:rPr>
                      <w:t xml:space="preserve">— </w:t>
                    </w:r>
                    <w:r>
                      <w:rPr>
                        <w:rFonts w:ascii="Times New Roman" w:hAnsi="Times New Roman"/>
                      </w:rPr>
                      <w:fldChar w:fldCharType="begin"/>
                    </w:r>
                    <w:r>
                      <w:instrText xml:space="preserve"> PAGE  \* MERGEFORMAT </w:instrText>
                    </w:r>
                    <w:r>
                      <w:rPr>
                        <w:rFonts w:ascii="Times New Roman" w:hAnsi="Times New Roman"/>
                      </w:rPr>
                      <w:fldChar w:fldCharType="separate"/>
                    </w:r>
                    <w:r>
                      <w:t>1</w:t>
                    </w:r>
                    <w:r>
                      <w:rPr>
                        <w:rFonts w:ascii="Times New Roman" w:hAnsi="Times New Roman"/>
                      </w:rPr>
                      <w:fldChar w:fldCharType="end"/>
                    </w:r>
                    <w:r>
                      <w:rPr>
                        <w:rFonts w:ascii="Times New Roman" w:hAnsi="Times New Roma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8531E">
    <w:pPr>
      <w:pStyle w:val="21"/>
      <w:pBdr>
        <w:top w:val="single" w:color="auto" w:sz="4" w:space="5"/>
      </w:pBdr>
      <w:spacing w:line="240" w:lineRule="auto"/>
      <w:ind w:firstLine="0" w:firstLineChars="0"/>
      <w:rPr>
        <w:rFonts w:hint="eastAsia" w:ascii="Times New Roman" w:hAnsi="Times New Roman" w:eastAsiaTheme="minorEastAsia"/>
        <w:lang w:eastAsia="zh-CN"/>
      </w:rPr>
    </w:pPr>
    <w:r>
      <w:rPr>
        <w:sz w:val="20"/>
      </w:rPr>
      <mc:AlternateContent>
        <mc:Choice Requires="wps">
          <w:drawing>
            <wp:anchor distT="0" distB="0" distL="114300" distR="114300" simplePos="0" relativeHeight="251662336" behindDoc="0" locked="0" layoutInCell="1" allowOverlap="1">
              <wp:simplePos x="0" y="0"/>
              <wp:positionH relativeFrom="margin">
                <wp:posOffset>2513965</wp:posOffset>
              </wp:positionH>
              <wp:positionV relativeFrom="paragraph">
                <wp:posOffset>40005</wp:posOffset>
              </wp:positionV>
              <wp:extent cx="607695" cy="1828800"/>
              <wp:effectExtent l="0" t="0" r="2540" b="6350"/>
              <wp:wrapNone/>
              <wp:docPr id="16" name="文本框 16"/>
              <wp:cNvGraphicFramePr/>
              <a:graphic xmlns:a="http://schemas.openxmlformats.org/drawingml/2006/main">
                <a:graphicData uri="http://schemas.microsoft.com/office/word/2010/wordprocessingShape">
                  <wps:wsp>
                    <wps:cNvSpPr txBox="1"/>
                    <wps:spPr>
                      <a:xfrm>
                        <a:off x="0" y="0"/>
                        <a:ext cx="60758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06184">
                          <w:pPr>
                            <w:pStyle w:val="21"/>
                            <w:ind w:firstLine="90" w:firstLineChars="50"/>
                            <w:rPr>
                              <w:rFonts w:ascii="Times New Roman" w:hAnsi="Times New Roman"/>
                            </w:rPr>
                          </w:pPr>
                          <w:r>
                            <w:rPr>
                              <w:rFonts w:ascii="Times New Roman" w:hAnsi="Times New Roman"/>
                            </w:rPr>
                            <w:t xml:space="preserve">— </w:t>
                          </w:r>
                          <w:r>
                            <w:rPr>
                              <w:rFonts w:ascii="Times New Roman" w:hAnsi="Times New Roman"/>
                            </w:rPr>
                            <w:fldChar w:fldCharType="begin"/>
                          </w:r>
                          <w:r>
                            <w:instrText xml:space="preserve"> PAGE  \* MERGEFORMAT </w:instrText>
                          </w:r>
                          <w:r>
                            <w:rPr>
                              <w:rFonts w:ascii="Times New Roman" w:hAnsi="Times New Roman"/>
                            </w:rPr>
                            <w:fldChar w:fldCharType="separate"/>
                          </w:r>
                          <w:r>
                            <w:t>1</w:t>
                          </w:r>
                          <w:r>
                            <w:rPr>
                              <w:rFonts w:ascii="Times New Roman" w:hAnsi="Times New Roman"/>
                            </w:rPr>
                            <w:fldChar w:fldCharType="end"/>
                          </w:r>
                          <w:r>
                            <w:rPr>
                              <w:rFonts w:ascii="Times New Roman" w:hAnsi="Times New Roman"/>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7.95pt;margin-top:3.15pt;height:144pt;width:47.85pt;mso-position-horizontal-relative:margin;z-index:251662336;mso-width-relative:page;mso-height-relative:page;" filled="f" stroked="f" coordsize="21600,21600" o:gfxdata="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QUaIzZAAAACQEAAA8AAAAAAAAAAQAgAAAAIgAAAGRycy9kb3ducmV2Lnht&#10;bFBLAQIUABQAAAAIAIdO4kAVXiXHMQIAAFgEAAAOAAAAAAAAAAEAIAAAACgBAABkcnMvZTJvRG9j&#10;LnhtbFBLBQYAAAAABgAGAFkBAADLBQAAAAA=&#10;">
              <v:fill on="f" focussize="0,0"/>
              <v:stroke on="f" weight="0.5pt"/>
              <v:imagedata o:title=""/>
              <o:lock v:ext="edit" aspectratio="f"/>
              <v:textbox inset="0mm,0mm,0mm,0mm" style="mso-fit-shape-to-text:t;">
                <w:txbxContent>
                  <w:p w14:paraId="78106184">
                    <w:pPr>
                      <w:pStyle w:val="21"/>
                      <w:ind w:firstLine="90" w:firstLineChars="50"/>
                      <w:rPr>
                        <w:rFonts w:ascii="Times New Roman" w:hAnsi="Times New Roman"/>
                      </w:rPr>
                    </w:pPr>
                    <w:r>
                      <w:rPr>
                        <w:rFonts w:ascii="Times New Roman" w:hAnsi="Times New Roman"/>
                      </w:rPr>
                      <w:t xml:space="preserve">— </w:t>
                    </w:r>
                    <w:r>
                      <w:rPr>
                        <w:rFonts w:ascii="Times New Roman" w:hAnsi="Times New Roman"/>
                      </w:rPr>
                      <w:fldChar w:fldCharType="begin"/>
                    </w:r>
                    <w:r>
                      <w:instrText xml:space="preserve"> PAGE  \* MERGEFORMAT </w:instrText>
                    </w:r>
                    <w:r>
                      <w:rPr>
                        <w:rFonts w:ascii="Times New Roman" w:hAnsi="Times New Roman"/>
                      </w:rPr>
                      <w:fldChar w:fldCharType="separate"/>
                    </w:r>
                    <w:r>
                      <w:t>1</w:t>
                    </w:r>
                    <w:r>
                      <w:rPr>
                        <w:rFonts w:ascii="Times New Roman" w:hAnsi="Times New Roman"/>
                      </w:rPr>
                      <w:fldChar w:fldCharType="end"/>
                    </w:r>
                    <w:r>
                      <w:rPr>
                        <w:rFonts w:ascii="Times New Roman" w:hAnsi="Times New Roman"/>
                      </w:rPr>
                      <w:t xml:space="preserve"> —</w:t>
                    </w:r>
                  </w:p>
                </w:txbxContent>
              </v:textbox>
            </v:shape>
          </w:pict>
        </mc:Fallback>
      </mc:AlternateContent>
    </w:r>
    <w:r>
      <w:rPr>
        <w:rFonts w:hint="eastAsia" w:ascii="Times New Roman" w:hAnsi="Times New Roman"/>
        <w:lang w:eastAsia="zh-CN"/>
      </w:rPr>
      <w:t>新疆花城勘测设计研究有限责任公司</w:t>
    </w:r>
  </w:p>
  <w:p w14:paraId="7561ACE6">
    <w:pPr>
      <w:pStyle w:val="13"/>
      <w:spacing w:line="14" w:lineRule="auto"/>
      <w:ind w:firstLine="400"/>
      <w:rPr>
        <w:rFonts w:ascii="Times New Roman" w:hAnsi="Times New Roman"/>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07137">
    <w:pPr>
      <w:pStyle w:val="21"/>
      <w:pBdr>
        <w:top w:val="single" w:color="auto" w:sz="4" w:space="1"/>
      </w:pBdr>
      <w:spacing w:line="240" w:lineRule="auto"/>
      <w:ind w:firstLine="0" w:firstLineChars="0"/>
      <w:rPr>
        <w:rFonts w:hint="eastAsia" w:ascii="Times New Roman" w:hAnsi="Times New Roman" w:eastAsiaTheme="minorEastAsia"/>
        <w:lang w:eastAsia="zh-CN"/>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12065" b="635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A13E5">
                          <w:pPr>
                            <w:pStyle w:val="21"/>
                            <w:ind w:firstLine="360"/>
                            <w:rPr>
                              <w:rFonts w:ascii="Times New Roman" w:hAnsi="Times New Roman"/>
                            </w:rPr>
                          </w:pPr>
                          <w:r>
                            <w:rPr>
                              <w:rFonts w:ascii="Times New Roman" w:hAnsi="Times New Roman"/>
                            </w:rPr>
                            <w:t xml:space="preserve">— </w:t>
                          </w:r>
                          <w:r>
                            <w:rPr>
                              <w:rFonts w:ascii="Times New Roman" w:hAnsi="Times New Roman"/>
                            </w:rPr>
                            <w:fldChar w:fldCharType="begin"/>
                          </w:r>
                          <w:r>
                            <w:instrText xml:space="preserve"> PAGE  \* MERGEFORMAT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081A13E5">
                    <w:pPr>
                      <w:pStyle w:val="21"/>
                      <w:ind w:firstLine="360"/>
                      <w:rPr>
                        <w:rFonts w:ascii="Times New Roman" w:hAnsi="Times New Roman"/>
                      </w:rPr>
                    </w:pPr>
                    <w:r>
                      <w:rPr>
                        <w:rFonts w:ascii="Times New Roman" w:hAnsi="Times New Roman"/>
                      </w:rPr>
                      <w:t xml:space="preserve">— </w:t>
                    </w:r>
                    <w:r>
                      <w:rPr>
                        <w:rFonts w:ascii="Times New Roman" w:hAnsi="Times New Roman"/>
                      </w:rPr>
                      <w:fldChar w:fldCharType="begin"/>
                    </w:r>
                    <w:r>
                      <w:instrText xml:space="preserve"> PAGE  \* MERGEFORMAT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t xml:space="preserve"> —</w:t>
                    </w:r>
                  </w:p>
                </w:txbxContent>
              </v:textbox>
            </v:shape>
          </w:pict>
        </mc:Fallback>
      </mc:AlternateContent>
    </w:r>
    <w:r>
      <w:rPr>
        <w:rFonts w:hint="eastAsia" w:ascii="Times New Roman" w:hAnsi="Times New Roman"/>
        <w:lang w:eastAsia="zh-CN"/>
      </w:rPr>
      <w:t>新疆花城勘测设计研究有限责任公司</w:t>
    </w:r>
  </w:p>
  <w:p w14:paraId="29A9CADF">
    <w:pPr>
      <w:pStyle w:val="13"/>
      <w:spacing w:line="14" w:lineRule="auto"/>
      <w:ind w:firstLine="400"/>
      <w:rPr>
        <w:rFonts w:ascii="Times New Roman" w:hAnsi="Times New Roman"/>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F3FED">
    <w:pPr>
      <w:pStyle w:val="21"/>
      <w:framePr w:wrap="around" w:vAnchor="text" w:hAnchor="margin" w:xAlign="center" w:y="1"/>
      <w:ind w:firstLine="360"/>
      <w:rPr>
        <w:rStyle w:val="39"/>
        <w:rFonts w:ascii="Times New Roman" w:hAnsi="Times New Roman"/>
      </w:rPr>
    </w:pPr>
    <w:r>
      <w:rPr>
        <w:rStyle w:val="39"/>
        <w:rFonts w:ascii="Times New Roman" w:hAnsi="Times New Roman"/>
      </w:rPr>
      <w:fldChar w:fldCharType="begin"/>
    </w:r>
    <w:r>
      <w:rPr>
        <w:rStyle w:val="39"/>
      </w:rPr>
      <w:instrText xml:space="preserve">PAGE  </w:instrText>
    </w:r>
    <w:r>
      <w:rPr>
        <w:rStyle w:val="39"/>
        <w:rFonts w:ascii="Times New Roman" w:hAnsi="Times New Roman"/>
      </w:rPr>
      <w:fldChar w:fldCharType="end"/>
    </w:r>
  </w:p>
  <w:p w14:paraId="64294A0E">
    <w:pPr>
      <w:pStyle w:val="21"/>
      <w:ind w:firstLine="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CDC4D">
    <w:pPr>
      <w:ind w:left="480" w:firstLine="0" w:firstLineChars="0"/>
      <w:rPr>
        <w:rFonts w:ascii="Times New Roman" w:hAnsi="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CEB93">
    <w:pPr>
      <w:pStyle w:val="13"/>
      <w:spacing w:line="14" w:lineRule="auto"/>
      <w:ind w:firstLine="480"/>
      <w:rPr>
        <w:rFonts w:ascii="Times New Roman" w:hAnsi="Times New Roman"/>
        <w:sz w:val="20"/>
      </w:rPr>
    </w:pPr>
    <w:r>
      <mc:AlternateContent>
        <mc:Choice Requires="wps">
          <w:drawing>
            <wp:anchor distT="0" distB="0" distL="114300" distR="114300" simplePos="0" relativeHeight="251675648" behindDoc="1" locked="0" layoutInCell="1" allowOverlap="1">
              <wp:simplePos x="0" y="0"/>
              <wp:positionH relativeFrom="page">
                <wp:posOffset>1022350</wp:posOffset>
              </wp:positionH>
              <wp:positionV relativeFrom="page">
                <wp:posOffset>744855</wp:posOffset>
              </wp:positionV>
              <wp:extent cx="8533130" cy="40513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533130" cy="405130"/>
                      </a:xfrm>
                      <a:prstGeom prst="rect">
                        <a:avLst/>
                      </a:prstGeom>
                      <a:noFill/>
                      <a:ln>
                        <a:noFill/>
                      </a:ln>
                    </wps:spPr>
                    <wps:txbx>
                      <w:txbxContent>
                        <w:p w14:paraId="55449BA3">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671.9pt;mso-position-horizontal-relative:page;mso-position-vertical-relative:page;z-index:-251640832;mso-width-relative:page;mso-height-relative:page;" filled="f" stroked="f" coordsize="21600,21600" o:gfxdata="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uFGEtgAAAAMAQAADwAAAAAAAAABACAAAAAiAAAA&#10;ZHJzL2Rvd25yZXYueG1sUEsBAhQAFAAAAAgAh07iQFuwVSTOAQAAmgMAAA4AAAAAAAAAAQAgAAAA&#10;JwEAAGRycy9lMm9Eb2MueG1sUEsFBgAAAAAGAAYAWQEAAGcFAAAAAA==&#10;">
              <v:fill on="f" focussize="0,0"/>
              <v:stroke on="f"/>
              <v:imagedata o:title=""/>
              <o:lock v:ext="edit" aspectratio="f"/>
              <v:textbox inset="0mm,0mm,0mm,0mm">
                <w:txbxContent>
                  <w:p w14:paraId="55449BA3">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09B0A">
    <w:pPr>
      <w:pStyle w:val="13"/>
      <w:spacing w:line="14" w:lineRule="auto"/>
      <w:ind w:firstLine="480"/>
      <w:rPr>
        <w:rFonts w:ascii="Times New Roman" w:hAnsi="Times New Roman"/>
        <w:sz w:val="20"/>
      </w:rPr>
    </w:pPr>
    <w:r>
      <mc:AlternateContent>
        <mc:Choice Requires="wps">
          <w:drawing>
            <wp:anchor distT="0" distB="0" distL="114300" distR="114300" simplePos="0" relativeHeight="251676672" behindDoc="1" locked="0" layoutInCell="1" allowOverlap="1">
              <wp:simplePos x="0" y="0"/>
              <wp:positionH relativeFrom="page">
                <wp:posOffset>1022350</wp:posOffset>
              </wp:positionH>
              <wp:positionV relativeFrom="page">
                <wp:posOffset>744855</wp:posOffset>
              </wp:positionV>
              <wp:extent cx="5608955" cy="4051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608955" cy="405130"/>
                      </a:xfrm>
                      <a:prstGeom prst="rect">
                        <a:avLst/>
                      </a:prstGeom>
                      <a:noFill/>
                      <a:ln>
                        <a:noFill/>
                      </a:ln>
                    </wps:spPr>
                    <wps:txbx>
                      <w:txbxContent>
                        <w:p w14:paraId="77D3BC6F">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441.65pt;mso-position-horizontal-relative:page;mso-position-vertical-relative:page;z-index:-251639808;mso-width-relative:page;mso-height-relative:page;" filled="f" stroked="f" coordsize="21600,21600" o:gfxdata="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TJzNnYAAAADAEAAA8AAAAAAAAAAQAgAAAA&#10;IgAAAGRycy9kb3ducmV2LnhtbFBLAQIUABQAAAAIAIdO4kC1pyag0gEAAJoDAAAOAAAAAAAAAAEA&#10;IAAAACcBAABkcnMvZTJvRG9jLnhtbFBLBQYAAAAABgAGAFkBAABrBQAAAAA=&#10;">
              <v:fill on="f" focussize="0,0"/>
              <v:stroke on="f"/>
              <v:imagedata o:title=""/>
              <o:lock v:ext="edit" aspectratio="f"/>
              <v:textbox inset="0mm,0mm,0mm,0mm">
                <w:txbxContent>
                  <w:p w14:paraId="77D3BC6F">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A20F3">
    <w:pPr>
      <w:pStyle w:val="13"/>
      <w:spacing w:line="14" w:lineRule="auto"/>
      <w:ind w:firstLine="480"/>
      <w:rPr>
        <w:rFonts w:ascii="Times New Roman" w:hAnsi="Times New Roman"/>
        <w:sz w:val="20"/>
      </w:rPr>
    </w:pPr>
    <w:r>
      <mc:AlternateContent>
        <mc:Choice Requires="wps">
          <w:drawing>
            <wp:anchor distT="0" distB="0" distL="114300" distR="114300" simplePos="0" relativeHeight="251673600" behindDoc="1" locked="0" layoutInCell="1" allowOverlap="1">
              <wp:simplePos x="0" y="0"/>
              <wp:positionH relativeFrom="page">
                <wp:posOffset>1022350</wp:posOffset>
              </wp:positionH>
              <wp:positionV relativeFrom="page">
                <wp:posOffset>744855</wp:posOffset>
              </wp:positionV>
              <wp:extent cx="8645525" cy="4051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8645525" cy="405130"/>
                      </a:xfrm>
                      <a:prstGeom prst="rect">
                        <a:avLst/>
                      </a:prstGeom>
                      <a:noFill/>
                      <a:ln>
                        <a:noFill/>
                      </a:ln>
                    </wps:spPr>
                    <wps:txbx>
                      <w:txbxContent>
                        <w:p w14:paraId="55AFAEEB">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680.75pt;mso-position-horizontal-relative:page;mso-position-vertical-relative:page;z-index:-251642880;mso-width-relative:page;mso-height-relative:page;" filled="f" stroked="f" coordsize="21600,21600" o:gfxdata="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Fivx2QAAAAwBAAAPAAAAAAAAAAEAIAAA&#10;ACIAAABkcnMvZG93bnJldi54bWxQSwECFAAUAAAACACHTuJAuDJl5NIBAACaAwAADgAAAAAAAAAB&#10;ACAAAAAoAQAAZHJzL2Uyb0RvYy54bWxQSwUGAAAAAAYABgBZAQAAbAUAAAAA&#10;">
              <v:fill on="f" focussize="0,0"/>
              <v:stroke on="f"/>
              <v:imagedata o:title=""/>
              <o:lock v:ext="edit" aspectratio="f"/>
              <v:textbox inset="0mm,0mm,0mm,0mm">
                <w:txbxContent>
                  <w:p w14:paraId="55AFAEEB">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6F4D9">
    <w:pPr>
      <w:pStyle w:val="13"/>
      <w:spacing w:line="14" w:lineRule="auto"/>
      <w:ind w:firstLine="480"/>
      <w:rPr>
        <w:rFonts w:ascii="Times New Roman" w:hAnsi="Times New Roman"/>
        <w:sz w:val="20"/>
      </w:rPr>
    </w:pPr>
    <w:r>
      <mc:AlternateContent>
        <mc:Choice Requires="wps">
          <w:drawing>
            <wp:anchor distT="0" distB="0" distL="114300" distR="114300" simplePos="0" relativeHeight="251674624" behindDoc="1" locked="0" layoutInCell="1" allowOverlap="1">
              <wp:simplePos x="0" y="0"/>
              <wp:positionH relativeFrom="page">
                <wp:posOffset>1022350</wp:posOffset>
              </wp:positionH>
              <wp:positionV relativeFrom="page">
                <wp:posOffset>744855</wp:posOffset>
              </wp:positionV>
              <wp:extent cx="5608955" cy="40513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608955" cy="405130"/>
                      </a:xfrm>
                      <a:prstGeom prst="rect">
                        <a:avLst/>
                      </a:prstGeom>
                      <a:noFill/>
                      <a:ln>
                        <a:noFill/>
                      </a:ln>
                    </wps:spPr>
                    <wps:txbx>
                      <w:txbxContent>
                        <w:p w14:paraId="7E5BB698">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441.65pt;mso-position-horizontal-relative:page;mso-position-vertical-relative:page;z-index:-251641856;mso-width-relative:page;mso-height-relative:page;" filled="f" stroked="f" coordsize="21600,21600" o:gfxdata="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TJzNnYAAAADAEAAA8AAAAAAAAAAQAgAAAA&#10;IgAAAGRycy9kb3ducmV2LnhtbFBLAQIUABQAAAAIAIdO4kA8DPx30gEAAJoDAAAOAAAAAAAAAAEA&#10;IAAAACcBAABkcnMvZTJvRG9jLnhtbFBLBQYAAAAABgAGAFkBAABrBQAAAAA=&#10;">
              <v:fill on="f" focussize="0,0"/>
              <v:stroke on="f"/>
              <v:imagedata o:title=""/>
              <o:lock v:ext="edit" aspectratio="f"/>
              <v:textbox inset="0mm,0mm,0mm,0mm">
                <w:txbxContent>
                  <w:p w14:paraId="7E5BB698">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07E62">
    <w:pPr>
      <w:pStyle w:val="22"/>
      <w:ind w:firstLine="360"/>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4FE72">
    <w:pPr>
      <w:pStyle w:val="22"/>
      <w:ind w:firstLine="360"/>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D1F3B">
    <w:pPr>
      <w:pBdr>
        <w:bottom w:val="single" w:color="auto" w:sz="4" w:space="0"/>
      </w:pBdr>
      <w:spacing w:line="240" w:lineRule="auto"/>
      <w:ind w:firstLine="0" w:firstLineChars="0"/>
      <w:jc w:val="center"/>
      <w:rPr>
        <w:rFonts w:ascii="Times New Roman" w:hAnsi="Times New Roman"/>
        <w:sz w:val="21"/>
        <w:szCs w:val="21"/>
      </w:rPr>
    </w:pPr>
    <w:r>
      <w:rPr>
        <w:rFonts w:hint="eastAsia"/>
        <w:sz w:val="21"/>
        <w:szCs w:val="21"/>
        <w:lang w:eastAsia="zh-CN"/>
      </w:rPr>
      <w:t>第四师63团种禽养殖基地建设项目</w:t>
    </w:r>
    <w:r>
      <w:rPr>
        <w:rFonts w:hint="eastAsia" w:ascii="Times New Roman" w:hAnsi="Times New Roman"/>
        <w:sz w:val="21"/>
        <w:szCs w:val="21"/>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2167">
    <w:pPr>
      <w:pStyle w:val="13"/>
      <w:spacing w:line="14" w:lineRule="auto"/>
      <w:ind w:firstLine="480"/>
      <w:rPr>
        <w:rFonts w:ascii="Times New Roman" w:hAnsi="Times New Roman"/>
        <w:sz w:val="20"/>
      </w:rPr>
    </w:pPr>
    <w:r>
      <mc:AlternateContent>
        <mc:Choice Requires="wps">
          <w:drawing>
            <wp:anchor distT="0" distB="0" distL="114300" distR="114300" simplePos="0" relativeHeight="251661312" behindDoc="1" locked="0" layoutInCell="1" allowOverlap="1">
              <wp:simplePos x="0" y="0"/>
              <wp:positionH relativeFrom="page">
                <wp:posOffset>832485</wp:posOffset>
              </wp:positionH>
              <wp:positionV relativeFrom="page">
                <wp:posOffset>502285</wp:posOffset>
              </wp:positionV>
              <wp:extent cx="5916295" cy="246380"/>
              <wp:effectExtent l="0" t="0" r="8255" b="1270"/>
              <wp:wrapNone/>
              <wp:docPr id="51" name="文本框 51"/>
              <wp:cNvGraphicFramePr/>
              <a:graphic xmlns:a="http://schemas.openxmlformats.org/drawingml/2006/main">
                <a:graphicData uri="http://schemas.microsoft.com/office/word/2010/wordprocessingShape">
                  <wps:wsp>
                    <wps:cNvSpPr txBox="1"/>
                    <wps:spPr>
                      <a:xfrm>
                        <a:off x="0" y="0"/>
                        <a:ext cx="5916439" cy="246491"/>
                      </a:xfrm>
                      <a:prstGeom prst="rect">
                        <a:avLst/>
                      </a:prstGeom>
                      <a:noFill/>
                      <a:ln>
                        <a:noFill/>
                      </a:ln>
                    </wps:spPr>
                    <wps:txbx>
                      <w:txbxContent>
                        <w:p w14:paraId="4DBC1691">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65.55pt;margin-top:39.55pt;height:19.4pt;width:465.85pt;mso-position-horizontal-relative:page;mso-position-vertical-relative:page;z-index:-251655168;mso-width-relative:page;mso-height-relative:page;" filled="f" stroked="f" coordsize="21600,21600" o:gfxdata="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zm/O2AAAAAsBAAAPAAAAAAAAAAEAIAAA&#10;ACIAAABkcnMvZG93bnJldi54bWxQSwECFAAUAAAACACHTuJABGJV3dMBAACcAwAADgAAAAAAAAAB&#10;ACAAAAAnAQAAZHJzL2Uyb0RvYy54bWxQSwUGAAAAAAYABgBZAQAAbAUAAAAA&#10;">
              <v:fill on="f" focussize="0,0"/>
              <v:stroke on="f"/>
              <v:imagedata o:title=""/>
              <o:lock v:ext="edit" aspectratio="f"/>
              <v:textbox inset="0mm,0mm,0mm,0mm">
                <w:txbxContent>
                  <w:p w14:paraId="4DBC1691">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8673">
    <w:pPr>
      <w:pStyle w:val="13"/>
      <w:spacing w:line="14" w:lineRule="auto"/>
      <w:ind w:firstLine="480"/>
      <w:rPr>
        <w:rFonts w:ascii="Times New Roman" w:hAnsi="Times New Roman"/>
        <w:sz w:val="20"/>
      </w:rPr>
    </w:pPr>
    <w:r>
      <mc:AlternateContent>
        <mc:Choice Requires="wps">
          <w:drawing>
            <wp:anchor distT="0" distB="0" distL="114300" distR="114300" simplePos="0" relativeHeight="251667456" behindDoc="1" locked="0" layoutInCell="1" allowOverlap="1">
              <wp:simplePos x="0" y="0"/>
              <wp:positionH relativeFrom="page">
                <wp:posOffset>832485</wp:posOffset>
              </wp:positionH>
              <wp:positionV relativeFrom="page">
                <wp:posOffset>502285</wp:posOffset>
              </wp:positionV>
              <wp:extent cx="5916295" cy="24638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916439" cy="246491"/>
                      </a:xfrm>
                      <a:prstGeom prst="rect">
                        <a:avLst/>
                      </a:prstGeom>
                      <a:noFill/>
                      <a:ln>
                        <a:noFill/>
                      </a:ln>
                    </wps:spPr>
                    <wps:txbx>
                      <w:txbxContent>
                        <w:p w14:paraId="6AB9D8FE">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65.55pt;margin-top:39.55pt;height:19.4pt;width:465.85pt;mso-position-horizontal-relative:page;mso-position-vertical-relative:page;z-index:-251649024;mso-width-relative:page;mso-height-relative:page;" filled="f" stroked="f" coordsize="21600,21600" o:gfxdata="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zm/O2AAAAAsBAAAPAAAAAAAAAAEAIAAA&#10;ACIAAABkcnMvZG93bnJldi54bWxQSwECFAAUAAAACACHTuJAIUUjrNMBAACcAwAADgAAAAAAAAAB&#10;ACAAAAAnAQAAZHJzL2Uyb0RvYy54bWxQSwUGAAAAAAYABgBZAQAAbAUAAAAA&#10;">
              <v:fill on="f" focussize="0,0"/>
              <v:stroke on="f"/>
              <v:imagedata o:title=""/>
              <o:lock v:ext="edit" aspectratio="f"/>
              <v:textbox inset="0mm,0mm,0mm,0mm">
                <w:txbxContent>
                  <w:p w14:paraId="6AB9D8FE">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68A2E">
    <w:pPr>
      <w:pStyle w:val="13"/>
      <w:spacing w:line="14" w:lineRule="auto"/>
      <w:ind w:firstLine="480"/>
      <w:rPr>
        <w:rFonts w:ascii="Times New Roman" w:hAnsi="Times New Roman"/>
        <w:sz w:val="20"/>
      </w:rPr>
    </w:pPr>
    <w:r>
      <mc:AlternateContent>
        <mc:Choice Requires="wps">
          <w:drawing>
            <wp:anchor distT="0" distB="0" distL="114300" distR="114300" simplePos="0" relativeHeight="251659264" behindDoc="1" locked="0" layoutInCell="1" allowOverlap="1">
              <wp:simplePos x="0" y="0"/>
              <wp:positionH relativeFrom="page">
                <wp:posOffset>1012825</wp:posOffset>
              </wp:positionH>
              <wp:positionV relativeFrom="page">
                <wp:posOffset>706120</wp:posOffset>
              </wp:positionV>
              <wp:extent cx="5609590" cy="18859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609590" cy="188595"/>
                      </a:xfrm>
                      <a:prstGeom prst="rect">
                        <a:avLst/>
                      </a:prstGeom>
                      <a:noFill/>
                      <a:ln>
                        <a:noFill/>
                      </a:ln>
                    </wps:spPr>
                    <wps:txbx>
                      <w:txbxContent>
                        <w:p w14:paraId="597FA02C">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79.75pt;margin-top:55.6pt;height:14.85pt;width:441.7pt;mso-position-horizontal-relative:page;mso-position-vertical-relative:page;z-index:-251657216;mso-width-relative:page;mso-height-relative:page;" filled="f" stroked="f" coordsize="21600,21600" o:gfxdata="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1eCH2QAAAAwBAAAPAAAAAAAAAAEAIAAA&#10;ACIAAABkcnMvZG93bnJldi54bWxQSwECFAAUAAAACACHTuJAa+V7kNIBAACcAwAADgAAAAAAAAAB&#10;ACAAAAAoAQAAZHJzL2Uyb0RvYy54bWxQSwUGAAAAAAYABgBZAQAAbAUAAAAA&#10;">
              <v:fill on="f" focussize="0,0"/>
              <v:stroke on="f"/>
              <v:imagedata o:title=""/>
              <o:lock v:ext="edit" aspectratio="f"/>
              <v:textbox inset="0mm,0mm,0mm,0mm">
                <w:txbxContent>
                  <w:p w14:paraId="597FA02C">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AC5A0">
    <w:pPr>
      <w:pStyle w:val="13"/>
      <w:spacing w:line="14" w:lineRule="auto"/>
      <w:ind w:firstLine="480"/>
      <w:rPr>
        <w:rFonts w:ascii="Times New Roman" w:hAnsi="Times New Roman"/>
        <w:sz w:val="20"/>
      </w:rPr>
    </w:pPr>
    <w:r>
      <mc:AlternateContent>
        <mc:Choice Requires="wps">
          <w:drawing>
            <wp:anchor distT="0" distB="0" distL="114300" distR="114300" simplePos="0" relativeHeight="251671552" behindDoc="1" locked="0" layoutInCell="1" allowOverlap="1">
              <wp:simplePos x="0" y="0"/>
              <wp:positionH relativeFrom="page">
                <wp:posOffset>1012825</wp:posOffset>
              </wp:positionH>
              <wp:positionV relativeFrom="page">
                <wp:posOffset>706120</wp:posOffset>
              </wp:positionV>
              <wp:extent cx="8676640" cy="29273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676640" cy="292735"/>
                      </a:xfrm>
                      <a:prstGeom prst="rect">
                        <a:avLst/>
                      </a:prstGeom>
                      <a:noFill/>
                      <a:ln>
                        <a:noFill/>
                      </a:ln>
                    </wps:spPr>
                    <wps:txbx>
                      <w:txbxContent>
                        <w:p w14:paraId="29DB8475">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79.75pt;margin-top:55.6pt;height:23.05pt;width:683.2pt;mso-position-horizontal-relative:page;mso-position-vertical-relative:page;z-index:-251644928;mso-width-relative:page;mso-height-relative:page;" filled="f" stroked="f" coordsize="21600,21600" o:gfxdata="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DjN8rZAAAADAEAAA8AAAAAAAAAAQAgAAAA&#10;IgAAAGRycy9kb3ducmV2LnhtbFBLAQIUABQAAAAIAIdO4kAqNw7I0QEAAJwDAAAOAAAAAAAAAAEA&#10;IAAAACgBAABkcnMvZTJvRG9jLnhtbFBLBQYAAAAABgAGAFkBAABrBQAAAAA=&#10;">
              <v:fill on="f" focussize="0,0"/>
              <v:stroke on="f"/>
              <v:imagedata o:title=""/>
              <o:lock v:ext="edit" aspectratio="f"/>
              <v:textbox inset="0mm,0mm,0mm,0mm">
                <w:txbxContent>
                  <w:p w14:paraId="29DB8475">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A87BC">
    <w:pPr>
      <w:pStyle w:val="13"/>
      <w:spacing w:line="14" w:lineRule="auto"/>
      <w:ind w:firstLine="480"/>
      <w:rPr>
        <w:rFonts w:ascii="Times New Roman" w:hAnsi="Times New Roman"/>
        <w:sz w:val="20"/>
      </w:rPr>
    </w:pPr>
    <w:r>
      <mc:AlternateContent>
        <mc:Choice Requires="wps">
          <w:drawing>
            <wp:anchor distT="0" distB="0" distL="114300" distR="114300" simplePos="0" relativeHeight="251672576" behindDoc="1" locked="0" layoutInCell="1" allowOverlap="1">
              <wp:simplePos x="0" y="0"/>
              <wp:positionH relativeFrom="page">
                <wp:posOffset>1022350</wp:posOffset>
              </wp:positionH>
              <wp:positionV relativeFrom="page">
                <wp:posOffset>744855</wp:posOffset>
              </wp:positionV>
              <wp:extent cx="5608955" cy="40513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608955" cy="405130"/>
                      </a:xfrm>
                      <a:prstGeom prst="rect">
                        <a:avLst/>
                      </a:prstGeom>
                      <a:noFill/>
                      <a:ln>
                        <a:noFill/>
                      </a:ln>
                    </wps:spPr>
                    <wps:txbx>
                      <w:txbxContent>
                        <w:p w14:paraId="4AF54F18">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80.5pt;margin-top:58.65pt;height:31.9pt;width:441.65pt;mso-position-horizontal-relative:page;mso-position-vertical-relative:page;z-index:-251643904;mso-width-relative:page;mso-height-relative:page;" filled="f" stroked="f" coordsize="21600,21600" o:gfxdata="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MnM2dgAAAAMAQAADwAAAAAAAAABACAAAAAi&#10;AAAAZHJzL2Rvd25yZXYueG1sUEsBAhQAFAAAAAgAh07iQMpYrA/RAQAAnAMAAA4AAAAAAAAAAQAg&#10;AAAAJwEAAGRycy9lMm9Eb2MueG1sUEsFBgAAAAAGAAYAWQEAAGoFAAAAAA==&#10;">
              <v:fill on="f" focussize="0,0"/>
              <v:stroke on="f"/>
              <v:imagedata o:title=""/>
              <o:lock v:ext="edit" aspectratio="f"/>
              <v:textbox inset="0mm,0mm,0mm,0mm">
                <w:txbxContent>
                  <w:p w14:paraId="4AF54F18">
                    <w:pPr>
                      <w:pBdr>
                        <w:bottom w:val="single" w:color="auto" w:sz="4" w:space="0"/>
                      </w:pBdr>
                      <w:spacing w:line="240" w:lineRule="auto"/>
                      <w:ind w:firstLine="0" w:firstLineChars="0"/>
                      <w:jc w:val="center"/>
                      <w:rPr>
                        <w:rFonts w:ascii="Times New Roman" w:hAnsi="Times New Roman"/>
                        <w:sz w:val="18"/>
                      </w:rPr>
                    </w:pPr>
                    <w:r>
                      <w:rPr>
                        <w:rFonts w:hint="eastAsia"/>
                        <w:sz w:val="21"/>
                        <w:szCs w:val="21"/>
                        <w:lang w:eastAsia="zh-CN"/>
                      </w:rPr>
                      <w:t>第四师63团种禽养殖基地建设项目</w:t>
                    </w:r>
                    <w:r>
                      <w:rPr>
                        <w:rFonts w:hint="eastAsia" w:ascii="Times New Roman" w:hAnsi="Times New Roman"/>
                        <w:sz w:val="21"/>
                        <w:szCs w:val="21"/>
                      </w:rPr>
                      <w:t>环境影响报告书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9E146F"/>
    <w:multiLevelType w:val="multilevel"/>
    <w:tmpl w:val="099E146F"/>
    <w:lvl w:ilvl="0" w:tentative="0">
      <w:start w:val="1"/>
      <w:numFmt w:val="decimal"/>
      <w:pStyle w:val="3"/>
      <w:lvlText w:val="%1"/>
      <w:lvlJc w:val="left"/>
      <w:pPr>
        <w:ind w:left="100" w:hanging="100"/>
      </w:pPr>
      <w:rPr>
        <w:rFonts w:hint="eastAsia"/>
      </w:rPr>
    </w:lvl>
    <w:lvl w:ilvl="1" w:tentative="0">
      <w:start w:val="1"/>
      <w:numFmt w:val="decimal"/>
      <w:pStyle w:val="4"/>
      <w:lvlText w:val="%1.%2"/>
      <w:lvlJc w:val="left"/>
      <w:pPr>
        <w:ind w:left="2227" w:hanging="100"/>
      </w:pPr>
      <w:rPr>
        <w:rFonts w:hint="eastAsia"/>
      </w:rPr>
    </w:lvl>
    <w:lvl w:ilvl="2" w:tentative="0">
      <w:start w:val="1"/>
      <w:numFmt w:val="decimal"/>
      <w:pStyle w:val="5"/>
      <w:lvlText w:val="%1.%2.%3"/>
      <w:lvlJc w:val="left"/>
      <w:pPr>
        <w:ind w:left="3077" w:hanging="100"/>
      </w:pPr>
    </w:lvl>
    <w:lvl w:ilvl="3" w:tentative="0">
      <w:start w:val="1"/>
      <w:numFmt w:val="decimal"/>
      <w:lvlText w:val="%1.%2.%3.%4"/>
      <w:lvlJc w:val="left"/>
      <w:pPr>
        <w:ind w:left="340" w:hanging="100"/>
      </w:pPr>
      <w:rPr>
        <w:rFonts w:hint="eastAsia"/>
      </w:rPr>
    </w:lvl>
    <w:lvl w:ilvl="4" w:tentative="0">
      <w:start w:val="1"/>
      <w:numFmt w:val="decimal"/>
      <w:lvlText w:val="%1.%2.%3.%4.%5"/>
      <w:lvlJc w:val="left"/>
      <w:pPr>
        <w:ind w:left="564" w:hanging="100"/>
      </w:pPr>
      <w:rPr>
        <w:rFonts w:hint="eastAsia"/>
      </w:rPr>
    </w:lvl>
    <w:lvl w:ilvl="5" w:tentative="0">
      <w:start w:val="1"/>
      <w:numFmt w:val="decimal"/>
      <w:lvlText w:val="%1.%2.%3.%4.%5.%6"/>
      <w:lvlJc w:val="left"/>
      <w:pPr>
        <w:ind w:left="680" w:hanging="100"/>
      </w:pPr>
      <w:rPr>
        <w:rFonts w:hint="eastAsia"/>
      </w:rPr>
    </w:lvl>
    <w:lvl w:ilvl="6" w:tentative="0">
      <w:start w:val="1"/>
      <w:numFmt w:val="decimal"/>
      <w:lvlText w:val="%1.%2.%3.%4.%5.%6.%7"/>
      <w:lvlJc w:val="left"/>
      <w:pPr>
        <w:ind w:left="796" w:hanging="100"/>
      </w:pPr>
      <w:rPr>
        <w:rFonts w:hint="eastAsia"/>
      </w:rPr>
    </w:lvl>
    <w:lvl w:ilvl="7" w:tentative="0">
      <w:start w:val="1"/>
      <w:numFmt w:val="decimal"/>
      <w:lvlText w:val="%1.%2.%3.%4.%5.%6.%7.%8"/>
      <w:lvlJc w:val="left"/>
      <w:pPr>
        <w:ind w:left="912" w:hanging="100"/>
      </w:pPr>
      <w:rPr>
        <w:rFonts w:hint="eastAsia"/>
      </w:rPr>
    </w:lvl>
    <w:lvl w:ilvl="8" w:tentative="0">
      <w:start w:val="1"/>
      <w:numFmt w:val="decimal"/>
      <w:lvlText w:val="%1.%2.%3.%4.%5.%6.%7.%8.%9"/>
      <w:lvlJc w:val="left"/>
      <w:pPr>
        <w:ind w:left="1028" w:hanging="100"/>
      </w:pPr>
      <w:rPr>
        <w:rFonts w:hint="eastAsia"/>
      </w:rPr>
    </w:lvl>
  </w:abstractNum>
  <w:abstractNum w:abstractNumId="1">
    <w:nsid w:val="19664E2B"/>
    <w:multiLevelType w:val="singleLevel"/>
    <w:tmpl w:val="19664E2B"/>
    <w:lvl w:ilvl="0" w:tentative="0">
      <w:start w:val="5"/>
      <w:numFmt w:val="decimal"/>
      <w:suff w:val="nothing"/>
      <w:lvlText w:val="%1、"/>
      <w:lvlJc w:val="left"/>
    </w:lvl>
  </w:abstractNum>
  <w:abstractNum w:abstractNumId="2">
    <w:nsid w:val="796E40D2"/>
    <w:multiLevelType w:val="singleLevel"/>
    <w:tmpl w:val="796E40D2"/>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hYTM2NDNmZjFkNDRjNjdhZjc4MWVlMTdmZDM4M2MifQ=="/>
    <w:docVar w:name="KSO_WPS_MARK_KEY" w:val="be3095ba-3740-4f40-b2b1-237a7fd8d9b2"/>
  </w:docVars>
  <w:rsids>
    <w:rsidRoot w:val="00425CC4"/>
    <w:rsid w:val="000005EF"/>
    <w:rsid w:val="00000753"/>
    <w:rsid w:val="000014B6"/>
    <w:rsid w:val="00001788"/>
    <w:rsid w:val="000018A3"/>
    <w:rsid w:val="000018D0"/>
    <w:rsid w:val="00001AC8"/>
    <w:rsid w:val="00001E4E"/>
    <w:rsid w:val="00002546"/>
    <w:rsid w:val="0000385D"/>
    <w:rsid w:val="00003FD1"/>
    <w:rsid w:val="000045A7"/>
    <w:rsid w:val="00004C79"/>
    <w:rsid w:val="00004D6D"/>
    <w:rsid w:val="00005D0C"/>
    <w:rsid w:val="00006FCD"/>
    <w:rsid w:val="000079F9"/>
    <w:rsid w:val="000108FE"/>
    <w:rsid w:val="00010B3D"/>
    <w:rsid w:val="0001205C"/>
    <w:rsid w:val="000123C0"/>
    <w:rsid w:val="000126A7"/>
    <w:rsid w:val="00012708"/>
    <w:rsid w:val="00013397"/>
    <w:rsid w:val="00013DD5"/>
    <w:rsid w:val="000140F5"/>
    <w:rsid w:val="0001430F"/>
    <w:rsid w:val="000147A6"/>
    <w:rsid w:val="000147F3"/>
    <w:rsid w:val="00014A50"/>
    <w:rsid w:val="00014FAC"/>
    <w:rsid w:val="00015E96"/>
    <w:rsid w:val="00015F26"/>
    <w:rsid w:val="0001625E"/>
    <w:rsid w:val="000170E9"/>
    <w:rsid w:val="00017684"/>
    <w:rsid w:val="00017B16"/>
    <w:rsid w:val="00017E14"/>
    <w:rsid w:val="00020B66"/>
    <w:rsid w:val="0002117A"/>
    <w:rsid w:val="0002148A"/>
    <w:rsid w:val="000223C9"/>
    <w:rsid w:val="00022517"/>
    <w:rsid w:val="00022A3B"/>
    <w:rsid w:val="00022E0C"/>
    <w:rsid w:val="00023779"/>
    <w:rsid w:val="00024813"/>
    <w:rsid w:val="00024F33"/>
    <w:rsid w:val="000251A1"/>
    <w:rsid w:val="0002578A"/>
    <w:rsid w:val="00025D18"/>
    <w:rsid w:val="00025EE7"/>
    <w:rsid w:val="0002608A"/>
    <w:rsid w:val="00027525"/>
    <w:rsid w:val="000300D2"/>
    <w:rsid w:val="00030C62"/>
    <w:rsid w:val="00031C15"/>
    <w:rsid w:val="00032401"/>
    <w:rsid w:val="00032F1E"/>
    <w:rsid w:val="0003343D"/>
    <w:rsid w:val="00033E98"/>
    <w:rsid w:val="000347D0"/>
    <w:rsid w:val="000348D6"/>
    <w:rsid w:val="000367B1"/>
    <w:rsid w:val="00036B27"/>
    <w:rsid w:val="00037ABC"/>
    <w:rsid w:val="00037AF0"/>
    <w:rsid w:val="00040C5E"/>
    <w:rsid w:val="000415BA"/>
    <w:rsid w:val="00041699"/>
    <w:rsid w:val="00041774"/>
    <w:rsid w:val="000417D0"/>
    <w:rsid w:val="000419AC"/>
    <w:rsid w:val="0004242E"/>
    <w:rsid w:val="00043144"/>
    <w:rsid w:val="000431D1"/>
    <w:rsid w:val="00043855"/>
    <w:rsid w:val="00043857"/>
    <w:rsid w:val="000443EA"/>
    <w:rsid w:val="0004539C"/>
    <w:rsid w:val="00046847"/>
    <w:rsid w:val="00047D44"/>
    <w:rsid w:val="00050FE0"/>
    <w:rsid w:val="000529B7"/>
    <w:rsid w:val="00053CA2"/>
    <w:rsid w:val="000541F9"/>
    <w:rsid w:val="0005458B"/>
    <w:rsid w:val="00055CFC"/>
    <w:rsid w:val="00055E0B"/>
    <w:rsid w:val="0005638F"/>
    <w:rsid w:val="000572ED"/>
    <w:rsid w:val="0005770B"/>
    <w:rsid w:val="0005792B"/>
    <w:rsid w:val="000601FE"/>
    <w:rsid w:val="00060736"/>
    <w:rsid w:val="000607C3"/>
    <w:rsid w:val="0006098E"/>
    <w:rsid w:val="000612FE"/>
    <w:rsid w:val="000614F4"/>
    <w:rsid w:val="000615ED"/>
    <w:rsid w:val="00061741"/>
    <w:rsid w:val="000618A5"/>
    <w:rsid w:val="00061DE8"/>
    <w:rsid w:val="00061EDA"/>
    <w:rsid w:val="000630E8"/>
    <w:rsid w:val="0006321E"/>
    <w:rsid w:val="00064DF8"/>
    <w:rsid w:val="000658AE"/>
    <w:rsid w:val="000666FC"/>
    <w:rsid w:val="00066F7E"/>
    <w:rsid w:val="000671D5"/>
    <w:rsid w:val="000679C3"/>
    <w:rsid w:val="00067DCF"/>
    <w:rsid w:val="000704A9"/>
    <w:rsid w:val="00071562"/>
    <w:rsid w:val="00071AE5"/>
    <w:rsid w:val="000720DB"/>
    <w:rsid w:val="0007212F"/>
    <w:rsid w:val="00072E31"/>
    <w:rsid w:val="00073D1E"/>
    <w:rsid w:val="00073F5A"/>
    <w:rsid w:val="000742CD"/>
    <w:rsid w:val="000748D5"/>
    <w:rsid w:val="00074E2C"/>
    <w:rsid w:val="00075B30"/>
    <w:rsid w:val="00075DDD"/>
    <w:rsid w:val="00076504"/>
    <w:rsid w:val="00076791"/>
    <w:rsid w:val="000769E1"/>
    <w:rsid w:val="00076E59"/>
    <w:rsid w:val="0007741B"/>
    <w:rsid w:val="00077585"/>
    <w:rsid w:val="00077B5D"/>
    <w:rsid w:val="00080277"/>
    <w:rsid w:val="0008078A"/>
    <w:rsid w:val="00080BCD"/>
    <w:rsid w:val="00081336"/>
    <w:rsid w:val="000815D7"/>
    <w:rsid w:val="00081F6B"/>
    <w:rsid w:val="00083EC6"/>
    <w:rsid w:val="000843ED"/>
    <w:rsid w:val="00084E00"/>
    <w:rsid w:val="0008594B"/>
    <w:rsid w:val="00085F56"/>
    <w:rsid w:val="0008604D"/>
    <w:rsid w:val="0008647D"/>
    <w:rsid w:val="00087275"/>
    <w:rsid w:val="0008753C"/>
    <w:rsid w:val="00087A53"/>
    <w:rsid w:val="00087A98"/>
    <w:rsid w:val="0009051B"/>
    <w:rsid w:val="0009152D"/>
    <w:rsid w:val="00091984"/>
    <w:rsid w:val="000919CC"/>
    <w:rsid w:val="00092349"/>
    <w:rsid w:val="00092794"/>
    <w:rsid w:val="00092A15"/>
    <w:rsid w:val="00092A26"/>
    <w:rsid w:val="00093596"/>
    <w:rsid w:val="00093706"/>
    <w:rsid w:val="00093B27"/>
    <w:rsid w:val="00093EB1"/>
    <w:rsid w:val="00093F0C"/>
    <w:rsid w:val="000958FD"/>
    <w:rsid w:val="00095D3F"/>
    <w:rsid w:val="0009602E"/>
    <w:rsid w:val="00096310"/>
    <w:rsid w:val="0009657F"/>
    <w:rsid w:val="0009738F"/>
    <w:rsid w:val="0009799C"/>
    <w:rsid w:val="000A02E6"/>
    <w:rsid w:val="000A04AE"/>
    <w:rsid w:val="000A0C3A"/>
    <w:rsid w:val="000A1A50"/>
    <w:rsid w:val="000A1EC3"/>
    <w:rsid w:val="000A28BA"/>
    <w:rsid w:val="000A322E"/>
    <w:rsid w:val="000A3988"/>
    <w:rsid w:val="000A5378"/>
    <w:rsid w:val="000A54C3"/>
    <w:rsid w:val="000A5678"/>
    <w:rsid w:val="000A59CB"/>
    <w:rsid w:val="000A6B0E"/>
    <w:rsid w:val="000A6EB3"/>
    <w:rsid w:val="000A7615"/>
    <w:rsid w:val="000A7A43"/>
    <w:rsid w:val="000A7B27"/>
    <w:rsid w:val="000A7DC8"/>
    <w:rsid w:val="000B0973"/>
    <w:rsid w:val="000B120E"/>
    <w:rsid w:val="000B22C2"/>
    <w:rsid w:val="000B2F04"/>
    <w:rsid w:val="000B35B7"/>
    <w:rsid w:val="000B3F7C"/>
    <w:rsid w:val="000B62A4"/>
    <w:rsid w:val="000B6C92"/>
    <w:rsid w:val="000B75C4"/>
    <w:rsid w:val="000C00FF"/>
    <w:rsid w:val="000C046A"/>
    <w:rsid w:val="000C0755"/>
    <w:rsid w:val="000C088D"/>
    <w:rsid w:val="000C0CBD"/>
    <w:rsid w:val="000C14A7"/>
    <w:rsid w:val="000C1D76"/>
    <w:rsid w:val="000C3920"/>
    <w:rsid w:val="000C3CAC"/>
    <w:rsid w:val="000C3EEA"/>
    <w:rsid w:val="000C4974"/>
    <w:rsid w:val="000C4F59"/>
    <w:rsid w:val="000C527D"/>
    <w:rsid w:val="000C5365"/>
    <w:rsid w:val="000C55EB"/>
    <w:rsid w:val="000C62AA"/>
    <w:rsid w:val="000C6835"/>
    <w:rsid w:val="000C691C"/>
    <w:rsid w:val="000C6A08"/>
    <w:rsid w:val="000C6EA3"/>
    <w:rsid w:val="000C7434"/>
    <w:rsid w:val="000C7FFD"/>
    <w:rsid w:val="000D04EB"/>
    <w:rsid w:val="000D052E"/>
    <w:rsid w:val="000D07A2"/>
    <w:rsid w:val="000D089E"/>
    <w:rsid w:val="000D0FD9"/>
    <w:rsid w:val="000D1AA6"/>
    <w:rsid w:val="000D1E3E"/>
    <w:rsid w:val="000D2378"/>
    <w:rsid w:val="000D25AA"/>
    <w:rsid w:val="000D2A9A"/>
    <w:rsid w:val="000D2AC2"/>
    <w:rsid w:val="000D2D75"/>
    <w:rsid w:val="000D2F3E"/>
    <w:rsid w:val="000D352C"/>
    <w:rsid w:val="000D3B69"/>
    <w:rsid w:val="000D3ECC"/>
    <w:rsid w:val="000D3FC5"/>
    <w:rsid w:val="000D43DD"/>
    <w:rsid w:val="000D4793"/>
    <w:rsid w:val="000D5993"/>
    <w:rsid w:val="000D5C91"/>
    <w:rsid w:val="000D6120"/>
    <w:rsid w:val="000D657A"/>
    <w:rsid w:val="000D7DAA"/>
    <w:rsid w:val="000E0985"/>
    <w:rsid w:val="000E0A83"/>
    <w:rsid w:val="000E109C"/>
    <w:rsid w:val="000E11D2"/>
    <w:rsid w:val="000E126E"/>
    <w:rsid w:val="000E16CE"/>
    <w:rsid w:val="000E1ADB"/>
    <w:rsid w:val="000E1EFB"/>
    <w:rsid w:val="000E207F"/>
    <w:rsid w:val="000E22D3"/>
    <w:rsid w:val="000E38AE"/>
    <w:rsid w:val="000E3E0E"/>
    <w:rsid w:val="000E3ED0"/>
    <w:rsid w:val="000E50C2"/>
    <w:rsid w:val="000E57FE"/>
    <w:rsid w:val="000E5F77"/>
    <w:rsid w:val="000E66E6"/>
    <w:rsid w:val="000E678C"/>
    <w:rsid w:val="000E67D9"/>
    <w:rsid w:val="000E73CB"/>
    <w:rsid w:val="000E7893"/>
    <w:rsid w:val="000E7A35"/>
    <w:rsid w:val="000E7B1F"/>
    <w:rsid w:val="000F048F"/>
    <w:rsid w:val="000F0659"/>
    <w:rsid w:val="000F0EFF"/>
    <w:rsid w:val="000F1509"/>
    <w:rsid w:val="000F1952"/>
    <w:rsid w:val="000F2246"/>
    <w:rsid w:val="000F23CB"/>
    <w:rsid w:val="000F2848"/>
    <w:rsid w:val="000F28AD"/>
    <w:rsid w:val="000F3044"/>
    <w:rsid w:val="000F3386"/>
    <w:rsid w:val="000F3839"/>
    <w:rsid w:val="000F3DE0"/>
    <w:rsid w:val="000F469B"/>
    <w:rsid w:val="000F4740"/>
    <w:rsid w:val="000F4F61"/>
    <w:rsid w:val="000F5F1B"/>
    <w:rsid w:val="000F702D"/>
    <w:rsid w:val="000F7056"/>
    <w:rsid w:val="000F7225"/>
    <w:rsid w:val="001001C0"/>
    <w:rsid w:val="001002E2"/>
    <w:rsid w:val="0010085C"/>
    <w:rsid w:val="0010090A"/>
    <w:rsid w:val="00100BF3"/>
    <w:rsid w:val="00100C73"/>
    <w:rsid w:val="001014AE"/>
    <w:rsid w:val="0010250E"/>
    <w:rsid w:val="00102AB8"/>
    <w:rsid w:val="00102CEC"/>
    <w:rsid w:val="00103D66"/>
    <w:rsid w:val="001042D2"/>
    <w:rsid w:val="001045DE"/>
    <w:rsid w:val="00104628"/>
    <w:rsid w:val="00104CD4"/>
    <w:rsid w:val="00105627"/>
    <w:rsid w:val="0010643E"/>
    <w:rsid w:val="001073AF"/>
    <w:rsid w:val="00110540"/>
    <w:rsid w:val="001108F7"/>
    <w:rsid w:val="0011097E"/>
    <w:rsid w:val="00113823"/>
    <w:rsid w:val="0011384F"/>
    <w:rsid w:val="00115445"/>
    <w:rsid w:val="00115781"/>
    <w:rsid w:val="001159A4"/>
    <w:rsid w:val="00115C11"/>
    <w:rsid w:val="00115C9C"/>
    <w:rsid w:val="001161E2"/>
    <w:rsid w:val="0011679E"/>
    <w:rsid w:val="00116985"/>
    <w:rsid w:val="00116F47"/>
    <w:rsid w:val="0011783D"/>
    <w:rsid w:val="00117895"/>
    <w:rsid w:val="00117A46"/>
    <w:rsid w:val="00117D69"/>
    <w:rsid w:val="0012031D"/>
    <w:rsid w:val="0012164B"/>
    <w:rsid w:val="001217DF"/>
    <w:rsid w:val="00121FAC"/>
    <w:rsid w:val="0012293B"/>
    <w:rsid w:val="00122C2D"/>
    <w:rsid w:val="00123C7F"/>
    <w:rsid w:val="00124ECA"/>
    <w:rsid w:val="00125EB4"/>
    <w:rsid w:val="00126B5F"/>
    <w:rsid w:val="001275B6"/>
    <w:rsid w:val="0012790E"/>
    <w:rsid w:val="0013026A"/>
    <w:rsid w:val="001315D9"/>
    <w:rsid w:val="00132DC8"/>
    <w:rsid w:val="00133220"/>
    <w:rsid w:val="00133283"/>
    <w:rsid w:val="001333A9"/>
    <w:rsid w:val="001333D9"/>
    <w:rsid w:val="00133E49"/>
    <w:rsid w:val="00134120"/>
    <w:rsid w:val="00134378"/>
    <w:rsid w:val="00134446"/>
    <w:rsid w:val="00134742"/>
    <w:rsid w:val="00134F6B"/>
    <w:rsid w:val="0013583A"/>
    <w:rsid w:val="00135DB1"/>
    <w:rsid w:val="00135E18"/>
    <w:rsid w:val="00136348"/>
    <w:rsid w:val="00136C43"/>
    <w:rsid w:val="00136C70"/>
    <w:rsid w:val="00137DFA"/>
    <w:rsid w:val="00137E10"/>
    <w:rsid w:val="00137E43"/>
    <w:rsid w:val="00137ECB"/>
    <w:rsid w:val="001406C4"/>
    <w:rsid w:val="0014090E"/>
    <w:rsid w:val="00140B0A"/>
    <w:rsid w:val="001413BF"/>
    <w:rsid w:val="00142128"/>
    <w:rsid w:val="00142329"/>
    <w:rsid w:val="001427EC"/>
    <w:rsid w:val="00143246"/>
    <w:rsid w:val="00143259"/>
    <w:rsid w:val="001433CE"/>
    <w:rsid w:val="00144294"/>
    <w:rsid w:val="001449B6"/>
    <w:rsid w:val="00145633"/>
    <w:rsid w:val="0014592F"/>
    <w:rsid w:val="00147880"/>
    <w:rsid w:val="001478A2"/>
    <w:rsid w:val="00147AC0"/>
    <w:rsid w:val="00147EEE"/>
    <w:rsid w:val="00150158"/>
    <w:rsid w:val="00150EAD"/>
    <w:rsid w:val="001512C9"/>
    <w:rsid w:val="001513A4"/>
    <w:rsid w:val="00151C5A"/>
    <w:rsid w:val="00152BA7"/>
    <w:rsid w:val="00153580"/>
    <w:rsid w:val="00154094"/>
    <w:rsid w:val="0015467B"/>
    <w:rsid w:val="001553DF"/>
    <w:rsid w:val="00156071"/>
    <w:rsid w:val="001560BE"/>
    <w:rsid w:val="001564DE"/>
    <w:rsid w:val="00157BF3"/>
    <w:rsid w:val="00157F79"/>
    <w:rsid w:val="00160C63"/>
    <w:rsid w:val="0016146B"/>
    <w:rsid w:val="00161523"/>
    <w:rsid w:val="00161F9F"/>
    <w:rsid w:val="0016202A"/>
    <w:rsid w:val="001625D5"/>
    <w:rsid w:val="00162C03"/>
    <w:rsid w:val="001636DA"/>
    <w:rsid w:val="0016400F"/>
    <w:rsid w:val="00164968"/>
    <w:rsid w:val="00164BD8"/>
    <w:rsid w:val="0016516C"/>
    <w:rsid w:val="00165979"/>
    <w:rsid w:val="00165BF2"/>
    <w:rsid w:val="001676C8"/>
    <w:rsid w:val="00170292"/>
    <w:rsid w:val="0017037A"/>
    <w:rsid w:val="00171022"/>
    <w:rsid w:val="00171C84"/>
    <w:rsid w:val="00171ED5"/>
    <w:rsid w:val="00171FF1"/>
    <w:rsid w:val="00172B0B"/>
    <w:rsid w:val="00173DE8"/>
    <w:rsid w:val="001747E6"/>
    <w:rsid w:val="00174EB4"/>
    <w:rsid w:val="00175587"/>
    <w:rsid w:val="0017582C"/>
    <w:rsid w:val="00176BEB"/>
    <w:rsid w:val="00176E1E"/>
    <w:rsid w:val="00177471"/>
    <w:rsid w:val="001779EB"/>
    <w:rsid w:val="00180645"/>
    <w:rsid w:val="0018099E"/>
    <w:rsid w:val="00180B5E"/>
    <w:rsid w:val="00180FA3"/>
    <w:rsid w:val="00181570"/>
    <w:rsid w:val="00182787"/>
    <w:rsid w:val="001834D1"/>
    <w:rsid w:val="001838DD"/>
    <w:rsid w:val="00183CE6"/>
    <w:rsid w:val="0018497C"/>
    <w:rsid w:val="00185BE2"/>
    <w:rsid w:val="00185FB7"/>
    <w:rsid w:val="00186305"/>
    <w:rsid w:val="0018758C"/>
    <w:rsid w:val="001876AB"/>
    <w:rsid w:val="00187BF0"/>
    <w:rsid w:val="00187F99"/>
    <w:rsid w:val="0019039A"/>
    <w:rsid w:val="001903AE"/>
    <w:rsid w:val="00190728"/>
    <w:rsid w:val="00191A27"/>
    <w:rsid w:val="00191F93"/>
    <w:rsid w:val="00192554"/>
    <w:rsid w:val="00194581"/>
    <w:rsid w:val="00194695"/>
    <w:rsid w:val="00194FAF"/>
    <w:rsid w:val="001955D7"/>
    <w:rsid w:val="00196EA5"/>
    <w:rsid w:val="00197092"/>
    <w:rsid w:val="00197363"/>
    <w:rsid w:val="001977F7"/>
    <w:rsid w:val="00197FCB"/>
    <w:rsid w:val="001A1636"/>
    <w:rsid w:val="001A163E"/>
    <w:rsid w:val="001A1CA0"/>
    <w:rsid w:val="001A1D4B"/>
    <w:rsid w:val="001A1F34"/>
    <w:rsid w:val="001A27C6"/>
    <w:rsid w:val="001A2BD3"/>
    <w:rsid w:val="001A404F"/>
    <w:rsid w:val="001A494C"/>
    <w:rsid w:val="001A5BB3"/>
    <w:rsid w:val="001A65BB"/>
    <w:rsid w:val="001A6B3F"/>
    <w:rsid w:val="001A7546"/>
    <w:rsid w:val="001A76DA"/>
    <w:rsid w:val="001B0636"/>
    <w:rsid w:val="001B1173"/>
    <w:rsid w:val="001B117A"/>
    <w:rsid w:val="001B1437"/>
    <w:rsid w:val="001B1618"/>
    <w:rsid w:val="001B1872"/>
    <w:rsid w:val="001B1F61"/>
    <w:rsid w:val="001B36B7"/>
    <w:rsid w:val="001B3BD9"/>
    <w:rsid w:val="001B546D"/>
    <w:rsid w:val="001B58AA"/>
    <w:rsid w:val="001B66A2"/>
    <w:rsid w:val="001B66C6"/>
    <w:rsid w:val="001B684F"/>
    <w:rsid w:val="001B71B1"/>
    <w:rsid w:val="001B7CCF"/>
    <w:rsid w:val="001B7E91"/>
    <w:rsid w:val="001C048E"/>
    <w:rsid w:val="001C197A"/>
    <w:rsid w:val="001C1B7D"/>
    <w:rsid w:val="001C1FB1"/>
    <w:rsid w:val="001C2013"/>
    <w:rsid w:val="001C2A2F"/>
    <w:rsid w:val="001C314F"/>
    <w:rsid w:val="001C4609"/>
    <w:rsid w:val="001C4BA7"/>
    <w:rsid w:val="001C696C"/>
    <w:rsid w:val="001C6A20"/>
    <w:rsid w:val="001C6AC8"/>
    <w:rsid w:val="001D0900"/>
    <w:rsid w:val="001D0D07"/>
    <w:rsid w:val="001D108D"/>
    <w:rsid w:val="001D1426"/>
    <w:rsid w:val="001D1765"/>
    <w:rsid w:val="001D19A7"/>
    <w:rsid w:val="001D28D6"/>
    <w:rsid w:val="001D29FF"/>
    <w:rsid w:val="001D3140"/>
    <w:rsid w:val="001D3B3B"/>
    <w:rsid w:val="001D4A80"/>
    <w:rsid w:val="001D4D6B"/>
    <w:rsid w:val="001D56A5"/>
    <w:rsid w:val="001D5F06"/>
    <w:rsid w:val="001D67C5"/>
    <w:rsid w:val="001D6809"/>
    <w:rsid w:val="001D6ABC"/>
    <w:rsid w:val="001D73E8"/>
    <w:rsid w:val="001D7A90"/>
    <w:rsid w:val="001E0660"/>
    <w:rsid w:val="001E07D9"/>
    <w:rsid w:val="001E0EB9"/>
    <w:rsid w:val="001E2444"/>
    <w:rsid w:val="001E2CFF"/>
    <w:rsid w:val="001E336C"/>
    <w:rsid w:val="001E34AF"/>
    <w:rsid w:val="001E3729"/>
    <w:rsid w:val="001E38E9"/>
    <w:rsid w:val="001E47F1"/>
    <w:rsid w:val="001E531C"/>
    <w:rsid w:val="001E564C"/>
    <w:rsid w:val="001E5C96"/>
    <w:rsid w:val="001E5F75"/>
    <w:rsid w:val="001E66FC"/>
    <w:rsid w:val="001E728E"/>
    <w:rsid w:val="001E7491"/>
    <w:rsid w:val="001E77C0"/>
    <w:rsid w:val="001F00EC"/>
    <w:rsid w:val="001F0FCA"/>
    <w:rsid w:val="001F1315"/>
    <w:rsid w:val="001F134B"/>
    <w:rsid w:val="001F1B9E"/>
    <w:rsid w:val="001F1E4F"/>
    <w:rsid w:val="001F2709"/>
    <w:rsid w:val="001F2D33"/>
    <w:rsid w:val="001F34F4"/>
    <w:rsid w:val="001F35E9"/>
    <w:rsid w:val="001F3D37"/>
    <w:rsid w:val="001F49C0"/>
    <w:rsid w:val="001F4F71"/>
    <w:rsid w:val="001F5370"/>
    <w:rsid w:val="001F584D"/>
    <w:rsid w:val="001F5D41"/>
    <w:rsid w:val="001F5D48"/>
    <w:rsid w:val="001F5EA6"/>
    <w:rsid w:val="001F61FD"/>
    <w:rsid w:val="001F668D"/>
    <w:rsid w:val="001F714F"/>
    <w:rsid w:val="00201C4B"/>
    <w:rsid w:val="00202184"/>
    <w:rsid w:val="0020298A"/>
    <w:rsid w:val="00202E70"/>
    <w:rsid w:val="00202FC2"/>
    <w:rsid w:val="002036DD"/>
    <w:rsid w:val="002043E0"/>
    <w:rsid w:val="00205565"/>
    <w:rsid w:val="0020603D"/>
    <w:rsid w:val="00206068"/>
    <w:rsid w:val="002061B2"/>
    <w:rsid w:val="002065B0"/>
    <w:rsid w:val="00207136"/>
    <w:rsid w:val="00207CC9"/>
    <w:rsid w:val="00210CA4"/>
    <w:rsid w:val="00210D97"/>
    <w:rsid w:val="002113B1"/>
    <w:rsid w:val="002125E2"/>
    <w:rsid w:val="00212FC3"/>
    <w:rsid w:val="00213543"/>
    <w:rsid w:val="0021363A"/>
    <w:rsid w:val="002137BF"/>
    <w:rsid w:val="0021436A"/>
    <w:rsid w:val="00214788"/>
    <w:rsid w:val="00214DC8"/>
    <w:rsid w:val="002160BF"/>
    <w:rsid w:val="00216145"/>
    <w:rsid w:val="00216162"/>
    <w:rsid w:val="002166B3"/>
    <w:rsid w:val="002168E9"/>
    <w:rsid w:val="0021776A"/>
    <w:rsid w:val="00217987"/>
    <w:rsid w:val="00217B09"/>
    <w:rsid w:val="00217BA1"/>
    <w:rsid w:val="002206AA"/>
    <w:rsid w:val="00220739"/>
    <w:rsid w:val="00220BE2"/>
    <w:rsid w:val="00221036"/>
    <w:rsid w:val="00222AF3"/>
    <w:rsid w:val="00222D57"/>
    <w:rsid w:val="002230DB"/>
    <w:rsid w:val="00223479"/>
    <w:rsid w:val="0022354A"/>
    <w:rsid w:val="00223B60"/>
    <w:rsid w:val="00223D8A"/>
    <w:rsid w:val="00223E69"/>
    <w:rsid w:val="0022461F"/>
    <w:rsid w:val="002256A5"/>
    <w:rsid w:val="00225CC4"/>
    <w:rsid w:val="00226D3E"/>
    <w:rsid w:val="00226FED"/>
    <w:rsid w:val="002271EE"/>
    <w:rsid w:val="00227C42"/>
    <w:rsid w:val="002301EC"/>
    <w:rsid w:val="0023044F"/>
    <w:rsid w:val="00230FDA"/>
    <w:rsid w:val="00231161"/>
    <w:rsid w:val="0023210E"/>
    <w:rsid w:val="00232BF5"/>
    <w:rsid w:val="00232F1E"/>
    <w:rsid w:val="00233080"/>
    <w:rsid w:val="002331D4"/>
    <w:rsid w:val="00233D9D"/>
    <w:rsid w:val="00234593"/>
    <w:rsid w:val="002352D6"/>
    <w:rsid w:val="002356A2"/>
    <w:rsid w:val="00236FB3"/>
    <w:rsid w:val="002377F1"/>
    <w:rsid w:val="00237E77"/>
    <w:rsid w:val="00240550"/>
    <w:rsid w:val="00240695"/>
    <w:rsid w:val="0024074A"/>
    <w:rsid w:val="002417DA"/>
    <w:rsid w:val="00241A07"/>
    <w:rsid w:val="00241ADC"/>
    <w:rsid w:val="00241BA7"/>
    <w:rsid w:val="00241E1E"/>
    <w:rsid w:val="00242055"/>
    <w:rsid w:val="002439D8"/>
    <w:rsid w:val="00243A75"/>
    <w:rsid w:val="00243C27"/>
    <w:rsid w:val="00243C7B"/>
    <w:rsid w:val="0024544A"/>
    <w:rsid w:val="00245500"/>
    <w:rsid w:val="0024700A"/>
    <w:rsid w:val="00247145"/>
    <w:rsid w:val="00247444"/>
    <w:rsid w:val="00247B5B"/>
    <w:rsid w:val="002506AB"/>
    <w:rsid w:val="00250BE6"/>
    <w:rsid w:val="002511CB"/>
    <w:rsid w:val="002515A5"/>
    <w:rsid w:val="00251D5A"/>
    <w:rsid w:val="0025290A"/>
    <w:rsid w:val="0025391E"/>
    <w:rsid w:val="0025416F"/>
    <w:rsid w:val="00254677"/>
    <w:rsid w:val="00254A6B"/>
    <w:rsid w:val="0025512A"/>
    <w:rsid w:val="00256499"/>
    <w:rsid w:val="00256675"/>
    <w:rsid w:val="00257833"/>
    <w:rsid w:val="00260397"/>
    <w:rsid w:val="00260968"/>
    <w:rsid w:val="00260DA4"/>
    <w:rsid w:val="00261E7B"/>
    <w:rsid w:val="002621D0"/>
    <w:rsid w:val="00262BD2"/>
    <w:rsid w:val="00263483"/>
    <w:rsid w:val="0026423D"/>
    <w:rsid w:val="002642E6"/>
    <w:rsid w:val="00264850"/>
    <w:rsid w:val="00264C20"/>
    <w:rsid w:val="00264DC1"/>
    <w:rsid w:val="00265826"/>
    <w:rsid w:val="00265FFD"/>
    <w:rsid w:val="00266BD3"/>
    <w:rsid w:val="00266DBC"/>
    <w:rsid w:val="00267595"/>
    <w:rsid w:val="002678EC"/>
    <w:rsid w:val="0026790D"/>
    <w:rsid w:val="00270330"/>
    <w:rsid w:val="00270523"/>
    <w:rsid w:val="00272901"/>
    <w:rsid w:val="00272A76"/>
    <w:rsid w:val="00272D0D"/>
    <w:rsid w:val="00273DD5"/>
    <w:rsid w:val="00273DDD"/>
    <w:rsid w:val="00274102"/>
    <w:rsid w:val="002759DA"/>
    <w:rsid w:val="002764C9"/>
    <w:rsid w:val="00276681"/>
    <w:rsid w:val="00276790"/>
    <w:rsid w:val="00277573"/>
    <w:rsid w:val="00277894"/>
    <w:rsid w:val="0028024E"/>
    <w:rsid w:val="00281347"/>
    <w:rsid w:val="00281456"/>
    <w:rsid w:val="002819D8"/>
    <w:rsid w:val="00281E36"/>
    <w:rsid w:val="0028245A"/>
    <w:rsid w:val="002834E1"/>
    <w:rsid w:val="002838B3"/>
    <w:rsid w:val="00284066"/>
    <w:rsid w:val="0028430A"/>
    <w:rsid w:val="00284C01"/>
    <w:rsid w:val="00284EAE"/>
    <w:rsid w:val="0028507F"/>
    <w:rsid w:val="002850CF"/>
    <w:rsid w:val="00285667"/>
    <w:rsid w:val="00285BF3"/>
    <w:rsid w:val="00285EC6"/>
    <w:rsid w:val="002860C6"/>
    <w:rsid w:val="0028613E"/>
    <w:rsid w:val="0029010C"/>
    <w:rsid w:val="002904B4"/>
    <w:rsid w:val="00290A4C"/>
    <w:rsid w:val="00290BE6"/>
    <w:rsid w:val="0029142F"/>
    <w:rsid w:val="002915D3"/>
    <w:rsid w:val="00291BDA"/>
    <w:rsid w:val="00292399"/>
    <w:rsid w:val="002924F3"/>
    <w:rsid w:val="00292504"/>
    <w:rsid w:val="002925FB"/>
    <w:rsid w:val="00293537"/>
    <w:rsid w:val="0029414D"/>
    <w:rsid w:val="00296252"/>
    <w:rsid w:val="002965C9"/>
    <w:rsid w:val="00296684"/>
    <w:rsid w:val="0029689B"/>
    <w:rsid w:val="0029781A"/>
    <w:rsid w:val="00297E36"/>
    <w:rsid w:val="002A03D7"/>
    <w:rsid w:val="002A069D"/>
    <w:rsid w:val="002A0B0E"/>
    <w:rsid w:val="002A1598"/>
    <w:rsid w:val="002A1878"/>
    <w:rsid w:val="002A1AA0"/>
    <w:rsid w:val="002A21D5"/>
    <w:rsid w:val="002A3078"/>
    <w:rsid w:val="002A38F9"/>
    <w:rsid w:val="002A42D9"/>
    <w:rsid w:val="002A4A9A"/>
    <w:rsid w:val="002A5234"/>
    <w:rsid w:val="002A5A21"/>
    <w:rsid w:val="002A5AD0"/>
    <w:rsid w:val="002A5CBD"/>
    <w:rsid w:val="002A5E2A"/>
    <w:rsid w:val="002A5F56"/>
    <w:rsid w:val="002A6CBE"/>
    <w:rsid w:val="002A7104"/>
    <w:rsid w:val="002A7AE8"/>
    <w:rsid w:val="002B02E8"/>
    <w:rsid w:val="002B0978"/>
    <w:rsid w:val="002B0A31"/>
    <w:rsid w:val="002B0B43"/>
    <w:rsid w:val="002B0BB7"/>
    <w:rsid w:val="002B13AD"/>
    <w:rsid w:val="002B15DE"/>
    <w:rsid w:val="002B1CFC"/>
    <w:rsid w:val="002B2486"/>
    <w:rsid w:val="002B2561"/>
    <w:rsid w:val="002B349C"/>
    <w:rsid w:val="002B40B2"/>
    <w:rsid w:val="002B4CED"/>
    <w:rsid w:val="002B51E4"/>
    <w:rsid w:val="002B5C7C"/>
    <w:rsid w:val="002B6029"/>
    <w:rsid w:val="002B62B3"/>
    <w:rsid w:val="002B6D92"/>
    <w:rsid w:val="002B72C7"/>
    <w:rsid w:val="002B75F6"/>
    <w:rsid w:val="002C028F"/>
    <w:rsid w:val="002C05F9"/>
    <w:rsid w:val="002C0901"/>
    <w:rsid w:val="002C1E70"/>
    <w:rsid w:val="002C1F93"/>
    <w:rsid w:val="002C222A"/>
    <w:rsid w:val="002C2260"/>
    <w:rsid w:val="002C2D59"/>
    <w:rsid w:val="002C34E6"/>
    <w:rsid w:val="002C3811"/>
    <w:rsid w:val="002C40A0"/>
    <w:rsid w:val="002C436D"/>
    <w:rsid w:val="002C5470"/>
    <w:rsid w:val="002C585B"/>
    <w:rsid w:val="002C78BA"/>
    <w:rsid w:val="002D0469"/>
    <w:rsid w:val="002D0922"/>
    <w:rsid w:val="002D0D8B"/>
    <w:rsid w:val="002D1410"/>
    <w:rsid w:val="002D16FA"/>
    <w:rsid w:val="002D1796"/>
    <w:rsid w:val="002D191F"/>
    <w:rsid w:val="002D23EB"/>
    <w:rsid w:val="002D2403"/>
    <w:rsid w:val="002D2C22"/>
    <w:rsid w:val="002D325E"/>
    <w:rsid w:val="002D4D74"/>
    <w:rsid w:val="002D4F87"/>
    <w:rsid w:val="002D51E9"/>
    <w:rsid w:val="002D5256"/>
    <w:rsid w:val="002D5707"/>
    <w:rsid w:val="002D5D1E"/>
    <w:rsid w:val="002D757E"/>
    <w:rsid w:val="002D7944"/>
    <w:rsid w:val="002D7B2D"/>
    <w:rsid w:val="002E0CD3"/>
    <w:rsid w:val="002E130A"/>
    <w:rsid w:val="002E15DB"/>
    <w:rsid w:val="002E2521"/>
    <w:rsid w:val="002E259D"/>
    <w:rsid w:val="002E2892"/>
    <w:rsid w:val="002E304F"/>
    <w:rsid w:val="002E3860"/>
    <w:rsid w:val="002E4878"/>
    <w:rsid w:val="002E5977"/>
    <w:rsid w:val="002E7178"/>
    <w:rsid w:val="002E7678"/>
    <w:rsid w:val="002F0210"/>
    <w:rsid w:val="002F1758"/>
    <w:rsid w:val="002F18E4"/>
    <w:rsid w:val="002F224E"/>
    <w:rsid w:val="002F22FE"/>
    <w:rsid w:val="002F24FA"/>
    <w:rsid w:val="002F30BD"/>
    <w:rsid w:val="002F3F4E"/>
    <w:rsid w:val="002F400B"/>
    <w:rsid w:val="002F4366"/>
    <w:rsid w:val="002F5103"/>
    <w:rsid w:val="002F6D14"/>
    <w:rsid w:val="002F7F24"/>
    <w:rsid w:val="003011DA"/>
    <w:rsid w:val="00301656"/>
    <w:rsid w:val="003034C7"/>
    <w:rsid w:val="003034D8"/>
    <w:rsid w:val="00304C30"/>
    <w:rsid w:val="00304D41"/>
    <w:rsid w:val="00305071"/>
    <w:rsid w:val="003053B3"/>
    <w:rsid w:val="00305941"/>
    <w:rsid w:val="00305E0F"/>
    <w:rsid w:val="0030611E"/>
    <w:rsid w:val="003067F6"/>
    <w:rsid w:val="00307938"/>
    <w:rsid w:val="00307BE4"/>
    <w:rsid w:val="00310879"/>
    <w:rsid w:val="00310AB3"/>
    <w:rsid w:val="00310F04"/>
    <w:rsid w:val="00311395"/>
    <w:rsid w:val="003129BF"/>
    <w:rsid w:val="00312EE4"/>
    <w:rsid w:val="00314106"/>
    <w:rsid w:val="003160EB"/>
    <w:rsid w:val="00316F35"/>
    <w:rsid w:val="003201CE"/>
    <w:rsid w:val="003203D1"/>
    <w:rsid w:val="003209EC"/>
    <w:rsid w:val="00322805"/>
    <w:rsid w:val="0032360A"/>
    <w:rsid w:val="00324503"/>
    <w:rsid w:val="00325F29"/>
    <w:rsid w:val="0032669E"/>
    <w:rsid w:val="00326927"/>
    <w:rsid w:val="003273CF"/>
    <w:rsid w:val="00327F4E"/>
    <w:rsid w:val="00330AE4"/>
    <w:rsid w:val="00330FA3"/>
    <w:rsid w:val="00331A60"/>
    <w:rsid w:val="003324E2"/>
    <w:rsid w:val="00332847"/>
    <w:rsid w:val="00333166"/>
    <w:rsid w:val="003350E9"/>
    <w:rsid w:val="0033540B"/>
    <w:rsid w:val="00335BBF"/>
    <w:rsid w:val="0033603C"/>
    <w:rsid w:val="003365C2"/>
    <w:rsid w:val="00336876"/>
    <w:rsid w:val="00337549"/>
    <w:rsid w:val="00337C53"/>
    <w:rsid w:val="00337F6D"/>
    <w:rsid w:val="0034049C"/>
    <w:rsid w:val="00340591"/>
    <w:rsid w:val="003406DF"/>
    <w:rsid w:val="00340951"/>
    <w:rsid w:val="00341263"/>
    <w:rsid w:val="003426C6"/>
    <w:rsid w:val="00342B81"/>
    <w:rsid w:val="0034364A"/>
    <w:rsid w:val="00343B82"/>
    <w:rsid w:val="00343FB7"/>
    <w:rsid w:val="0034506E"/>
    <w:rsid w:val="00345668"/>
    <w:rsid w:val="0034680D"/>
    <w:rsid w:val="0035086C"/>
    <w:rsid w:val="00350E8C"/>
    <w:rsid w:val="00351B74"/>
    <w:rsid w:val="00351C43"/>
    <w:rsid w:val="0035293F"/>
    <w:rsid w:val="003534A1"/>
    <w:rsid w:val="00353520"/>
    <w:rsid w:val="0035476F"/>
    <w:rsid w:val="00355968"/>
    <w:rsid w:val="00355B68"/>
    <w:rsid w:val="00356522"/>
    <w:rsid w:val="0035667C"/>
    <w:rsid w:val="00357176"/>
    <w:rsid w:val="003601FB"/>
    <w:rsid w:val="00362258"/>
    <w:rsid w:val="00362876"/>
    <w:rsid w:val="0036486C"/>
    <w:rsid w:val="00364C26"/>
    <w:rsid w:val="00364F50"/>
    <w:rsid w:val="0036519B"/>
    <w:rsid w:val="00365F87"/>
    <w:rsid w:val="00366253"/>
    <w:rsid w:val="00366701"/>
    <w:rsid w:val="00366880"/>
    <w:rsid w:val="00367792"/>
    <w:rsid w:val="00367A23"/>
    <w:rsid w:val="00367CA9"/>
    <w:rsid w:val="00370150"/>
    <w:rsid w:val="00370176"/>
    <w:rsid w:val="00370CED"/>
    <w:rsid w:val="00370EC5"/>
    <w:rsid w:val="00371690"/>
    <w:rsid w:val="0037345C"/>
    <w:rsid w:val="003743CC"/>
    <w:rsid w:val="0037453A"/>
    <w:rsid w:val="00375098"/>
    <w:rsid w:val="00376A55"/>
    <w:rsid w:val="00377076"/>
    <w:rsid w:val="003771F2"/>
    <w:rsid w:val="003775E8"/>
    <w:rsid w:val="003776D4"/>
    <w:rsid w:val="00377817"/>
    <w:rsid w:val="00377E7F"/>
    <w:rsid w:val="003824E4"/>
    <w:rsid w:val="0038343D"/>
    <w:rsid w:val="00383748"/>
    <w:rsid w:val="003847F3"/>
    <w:rsid w:val="0038551B"/>
    <w:rsid w:val="00386166"/>
    <w:rsid w:val="00386507"/>
    <w:rsid w:val="00387392"/>
    <w:rsid w:val="0038789E"/>
    <w:rsid w:val="0038795A"/>
    <w:rsid w:val="00387A82"/>
    <w:rsid w:val="00387C0D"/>
    <w:rsid w:val="00387D79"/>
    <w:rsid w:val="00387E37"/>
    <w:rsid w:val="00387E87"/>
    <w:rsid w:val="00390240"/>
    <w:rsid w:val="003902BE"/>
    <w:rsid w:val="00390545"/>
    <w:rsid w:val="00390635"/>
    <w:rsid w:val="003906AB"/>
    <w:rsid w:val="0039075D"/>
    <w:rsid w:val="00390B21"/>
    <w:rsid w:val="00391784"/>
    <w:rsid w:val="00392299"/>
    <w:rsid w:val="003923B2"/>
    <w:rsid w:val="00392CCF"/>
    <w:rsid w:val="003938BD"/>
    <w:rsid w:val="00393A76"/>
    <w:rsid w:val="0039410F"/>
    <w:rsid w:val="003945B6"/>
    <w:rsid w:val="003946ED"/>
    <w:rsid w:val="00395ADF"/>
    <w:rsid w:val="00395AF4"/>
    <w:rsid w:val="00395DD0"/>
    <w:rsid w:val="0039689C"/>
    <w:rsid w:val="00397C79"/>
    <w:rsid w:val="00397E2C"/>
    <w:rsid w:val="003A0885"/>
    <w:rsid w:val="003A179B"/>
    <w:rsid w:val="003A297F"/>
    <w:rsid w:val="003A29EE"/>
    <w:rsid w:val="003A2C25"/>
    <w:rsid w:val="003A300F"/>
    <w:rsid w:val="003A3332"/>
    <w:rsid w:val="003A33CB"/>
    <w:rsid w:val="003A371F"/>
    <w:rsid w:val="003A38DF"/>
    <w:rsid w:val="003A4267"/>
    <w:rsid w:val="003A42CE"/>
    <w:rsid w:val="003A4DB8"/>
    <w:rsid w:val="003A51FD"/>
    <w:rsid w:val="003A63ED"/>
    <w:rsid w:val="003A6B66"/>
    <w:rsid w:val="003A710B"/>
    <w:rsid w:val="003B0851"/>
    <w:rsid w:val="003B0B8E"/>
    <w:rsid w:val="003B25C0"/>
    <w:rsid w:val="003B2C11"/>
    <w:rsid w:val="003B38B4"/>
    <w:rsid w:val="003B549E"/>
    <w:rsid w:val="003B6155"/>
    <w:rsid w:val="003B7D41"/>
    <w:rsid w:val="003C10F2"/>
    <w:rsid w:val="003C12D1"/>
    <w:rsid w:val="003C12D5"/>
    <w:rsid w:val="003C31B1"/>
    <w:rsid w:val="003C32B1"/>
    <w:rsid w:val="003C3F49"/>
    <w:rsid w:val="003C40E9"/>
    <w:rsid w:val="003C4B01"/>
    <w:rsid w:val="003C4F08"/>
    <w:rsid w:val="003C557C"/>
    <w:rsid w:val="003C6AB9"/>
    <w:rsid w:val="003C6ACF"/>
    <w:rsid w:val="003C6E19"/>
    <w:rsid w:val="003C7292"/>
    <w:rsid w:val="003C7E3A"/>
    <w:rsid w:val="003C7FF8"/>
    <w:rsid w:val="003D0ED5"/>
    <w:rsid w:val="003D122A"/>
    <w:rsid w:val="003D17CC"/>
    <w:rsid w:val="003D1DFF"/>
    <w:rsid w:val="003D2AB4"/>
    <w:rsid w:val="003D2AEF"/>
    <w:rsid w:val="003D37F5"/>
    <w:rsid w:val="003D486C"/>
    <w:rsid w:val="003D4D16"/>
    <w:rsid w:val="003D50DD"/>
    <w:rsid w:val="003E1438"/>
    <w:rsid w:val="003E1E46"/>
    <w:rsid w:val="003E27E6"/>
    <w:rsid w:val="003E3444"/>
    <w:rsid w:val="003E3906"/>
    <w:rsid w:val="003E39A6"/>
    <w:rsid w:val="003E3FEE"/>
    <w:rsid w:val="003E4D3A"/>
    <w:rsid w:val="003E591B"/>
    <w:rsid w:val="003E5CFD"/>
    <w:rsid w:val="003E5DB6"/>
    <w:rsid w:val="003E63CE"/>
    <w:rsid w:val="003E668A"/>
    <w:rsid w:val="003E7A34"/>
    <w:rsid w:val="003E7A61"/>
    <w:rsid w:val="003E7F5F"/>
    <w:rsid w:val="003F0054"/>
    <w:rsid w:val="003F03CA"/>
    <w:rsid w:val="003F0604"/>
    <w:rsid w:val="003F104C"/>
    <w:rsid w:val="003F15CE"/>
    <w:rsid w:val="003F22DD"/>
    <w:rsid w:val="003F2B74"/>
    <w:rsid w:val="003F352A"/>
    <w:rsid w:val="003F39DE"/>
    <w:rsid w:val="003F3D87"/>
    <w:rsid w:val="003F4091"/>
    <w:rsid w:val="003F4950"/>
    <w:rsid w:val="003F4CCF"/>
    <w:rsid w:val="003F4FAB"/>
    <w:rsid w:val="003F4FCA"/>
    <w:rsid w:val="003F687C"/>
    <w:rsid w:val="003F6A4C"/>
    <w:rsid w:val="003F6A5E"/>
    <w:rsid w:val="003F6B71"/>
    <w:rsid w:val="003F71EE"/>
    <w:rsid w:val="003F7A45"/>
    <w:rsid w:val="003F7F70"/>
    <w:rsid w:val="004003FD"/>
    <w:rsid w:val="00400B23"/>
    <w:rsid w:val="00400F26"/>
    <w:rsid w:val="00401A7A"/>
    <w:rsid w:val="0040245C"/>
    <w:rsid w:val="004028F9"/>
    <w:rsid w:val="00402F08"/>
    <w:rsid w:val="0040319B"/>
    <w:rsid w:val="004034B7"/>
    <w:rsid w:val="004046D2"/>
    <w:rsid w:val="0040480F"/>
    <w:rsid w:val="00405600"/>
    <w:rsid w:val="00405711"/>
    <w:rsid w:val="00405F94"/>
    <w:rsid w:val="00406614"/>
    <w:rsid w:val="00406D77"/>
    <w:rsid w:val="00406F9E"/>
    <w:rsid w:val="00407041"/>
    <w:rsid w:val="00407CAE"/>
    <w:rsid w:val="00410EB0"/>
    <w:rsid w:val="00411CA3"/>
    <w:rsid w:val="0041233D"/>
    <w:rsid w:val="00412C91"/>
    <w:rsid w:val="00412D95"/>
    <w:rsid w:val="00413D4E"/>
    <w:rsid w:val="00413DD7"/>
    <w:rsid w:val="00414335"/>
    <w:rsid w:val="0041525F"/>
    <w:rsid w:val="004154B7"/>
    <w:rsid w:val="00415851"/>
    <w:rsid w:val="0041658B"/>
    <w:rsid w:val="004166B8"/>
    <w:rsid w:val="00416BD6"/>
    <w:rsid w:val="00416FCB"/>
    <w:rsid w:val="004175F0"/>
    <w:rsid w:val="00420211"/>
    <w:rsid w:val="004203D1"/>
    <w:rsid w:val="004204C6"/>
    <w:rsid w:val="00420519"/>
    <w:rsid w:val="0042056A"/>
    <w:rsid w:val="004213BC"/>
    <w:rsid w:val="00421F41"/>
    <w:rsid w:val="004220DD"/>
    <w:rsid w:val="0042324C"/>
    <w:rsid w:val="00423668"/>
    <w:rsid w:val="00423795"/>
    <w:rsid w:val="0042384F"/>
    <w:rsid w:val="0042397E"/>
    <w:rsid w:val="0042583C"/>
    <w:rsid w:val="00425BA2"/>
    <w:rsid w:val="00425BC4"/>
    <w:rsid w:val="00425CC4"/>
    <w:rsid w:val="00425F92"/>
    <w:rsid w:val="00427AFC"/>
    <w:rsid w:val="00430640"/>
    <w:rsid w:val="004316A9"/>
    <w:rsid w:val="0043340F"/>
    <w:rsid w:val="00433C71"/>
    <w:rsid w:val="00434265"/>
    <w:rsid w:val="00434C24"/>
    <w:rsid w:val="00434E3A"/>
    <w:rsid w:val="004352E3"/>
    <w:rsid w:val="0043531D"/>
    <w:rsid w:val="004353DA"/>
    <w:rsid w:val="00435B23"/>
    <w:rsid w:val="0043682A"/>
    <w:rsid w:val="00436A89"/>
    <w:rsid w:val="00436ED4"/>
    <w:rsid w:val="00437717"/>
    <w:rsid w:val="004378DA"/>
    <w:rsid w:val="00441098"/>
    <w:rsid w:val="004417FD"/>
    <w:rsid w:val="004419CF"/>
    <w:rsid w:val="00441C07"/>
    <w:rsid w:val="004426B7"/>
    <w:rsid w:val="00442FE0"/>
    <w:rsid w:val="00443A54"/>
    <w:rsid w:val="00444F16"/>
    <w:rsid w:val="00444FA7"/>
    <w:rsid w:val="0045012B"/>
    <w:rsid w:val="0045019F"/>
    <w:rsid w:val="00452BA2"/>
    <w:rsid w:val="00453614"/>
    <w:rsid w:val="00453ED3"/>
    <w:rsid w:val="0045488F"/>
    <w:rsid w:val="00454945"/>
    <w:rsid w:val="00454D06"/>
    <w:rsid w:val="00454E67"/>
    <w:rsid w:val="00454F40"/>
    <w:rsid w:val="00455676"/>
    <w:rsid w:val="004557DA"/>
    <w:rsid w:val="00455824"/>
    <w:rsid w:val="00455CC0"/>
    <w:rsid w:val="00456039"/>
    <w:rsid w:val="004577F8"/>
    <w:rsid w:val="00457949"/>
    <w:rsid w:val="00461076"/>
    <w:rsid w:val="004622FC"/>
    <w:rsid w:val="004623C9"/>
    <w:rsid w:val="00462970"/>
    <w:rsid w:val="00462A84"/>
    <w:rsid w:val="00462F81"/>
    <w:rsid w:val="0046375D"/>
    <w:rsid w:val="0046556F"/>
    <w:rsid w:val="0046650A"/>
    <w:rsid w:val="00467278"/>
    <w:rsid w:val="00470143"/>
    <w:rsid w:val="004702A8"/>
    <w:rsid w:val="0047055F"/>
    <w:rsid w:val="00472471"/>
    <w:rsid w:val="00472A09"/>
    <w:rsid w:val="00472DB6"/>
    <w:rsid w:val="004732D3"/>
    <w:rsid w:val="004748C0"/>
    <w:rsid w:val="00474DCF"/>
    <w:rsid w:val="004754CD"/>
    <w:rsid w:val="0047587B"/>
    <w:rsid w:val="004762EC"/>
    <w:rsid w:val="00477807"/>
    <w:rsid w:val="00477F1E"/>
    <w:rsid w:val="004803EF"/>
    <w:rsid w:val="00480A2B"/>
    <w:rsid w:val="00480F85"/>
    <w:rsid w:val="00481035"/>
    <w:rsid w:val="00482869"/>
    <w:rsid w:val="004841C0"/>
    <w:rsid w:val="00486001"/>
    <w:rsid w:val="00487F08"/>
    <w:rsid w:val="00491967"/>
    <w:rsid w:val="00491A0C"/>
    <w:rsid w:val="00491D6C"/>
    <w:rsid w:val="00493053"/>
    <w:rsid w:val="004931C0"/>
    <w:rsid w:val="00494C06"/>
    <w:rsid w:val="00494DEE"/>
    <w:rsid w:val="00496DA9"/>
    <w:rsid w:val="004972C2"/>
    <w:rsid w:val="00497DD7"/>
    <w:rsid w:val="004A0796"/>
    <w:rsid w:val="004A0BC6"/>
    <w:rsid w:val="004A0CC0"/>
    <w:rsid w:val="004A0CDB"/>
    <w:rsid w:val="004A0ED8"/>
    <w:rsid w:val="004A1117"/>
    <w:rsid w:val="004A1A18"/>
    <w:rsid w:val="004A1D4B"/>
    <w:rsid w:val="004A2085"/>
    <w:rsid w:val="004A24B1"/>
    <w:rsid w:val="004A24C4"/>
    <w:rsid w:val="004A268A"/>
    <w:rsid w:val="004A3621"/>
    <w:rsid w:val="004A494F"/>
    <w:rsid w:val="004A5134"/>
    <w:rsid w:val="004A5AFD"/>
    <w:rsid w:val="004B0A18"/>
    <w:rsid w:val="004B0E3E"/>
    <w:rsid w:val="004B1D85"/>
    <w:rsid w:val="004B1F41"/>
    <w:rsid w:val="004B20DA"/>
    <w:rsid w:val="004B259D"/>
    <w:rsid w:val="004B309E"/>
    <w:rsid w:val="004B3FF0"/>
    <w:rsid w:val="004B4243"/>
    <w:rsid w:val="004B4DCD"/>
    <w:rsid w:val="004B5611"/>
    <w:rsid w:val="004B5A0C"/>
    <w:rsid w:val="004B5C53"/>
    <w:rsid w:val="004B61AA"/>
    <w:rsid w:val="004B6460"/>
    <w:rsid w:val="004B65B5"/>
    <w:rsid w:val="004B6609"/>
    <w:rsid w:val="004B6E2F"/>
    <w:rsid w:val="004B7645"/>
    <w:rsid w:val="004B77DE"/>
    <w:rsid w:val="004C042F"/>
    <w:rsid w:val="004C09A0"/>
    <w:rsid w:val="004C0AD0"/>
    <w:rsid w:val="004C0DE4"/>
    <w:rsid w:val="004C0F86"/>
    <w:rsid w:val="004C1342"/>
    <w:rsid w:val="004C2737"/>
    <w:rsid w:val="004C278C"/>
    <w:rsid w:val="004C2D3D"/>
    <w:rsid w:val="004C30A0"/>
    <w:rsid w:val="004C39D6"/>
    <w:rsid w:val="004C3D27"/>
    <w:rsid w:val="004C475D"/>
    <w:rsid w:val="004C4870"/>
    <w:rsid w:val="004C49DD"/>
    <w:rsid w:val="004C5DE7"/>
    <w:rsid w:val="004C6143"/>
    <w:rsid w:val="004C64FD"/>
    <w:rsid w:val="004C74C0"/>
    <w:rsid w:val="004C7824"/>
    <w:rsid w:val="004C7B4F"/>
    <w:rsid w:val="004C7D65"/>
    <w:rsid w:val="004C7E31"/>
    <w:rsid w:val="004D1CB0"/>
    <w:rsid w:val="004D2548"/>
    <w:rsid w:val="004D37DA"/>
    <w:rsid w:val="004D3ABD"/>
    <w:rsid w:val="004D3F1D"/>
    <w:rsid w:val="004D4D54"/>
    <w:rsid w:val="004D542B"/>
    <w:rsid w:val="004D5D6B"/>
    <w:rsid w:val="004D6574"/>
    <w:rsid w:val="004D7376"/>
    <w:rsid w:val="004D7570"/>
    <w:rsid w:val="004E0390"/>
    <w:rsid w:val="004E17CE"/>
    <w:rsid w:val="004E1A4B"/>
    <w:rsid w:val="004E27C7"/>
    <w:rsid w:val="004E31CC"/>
    <w:rsid w:val="004E3319"/>
    <w:rsid w:val="004E3A2E"/>
    <w:rsid w:val="004E3C7E"/>
    <w:rsid w:val="004E4025"/>
    <w:rsid w:val="004E4512"/>
    <w:rsid w:val="004E471D"/>
    <w:rsid w:val="004E4B32"/>
    <w:rsid w:val="004E4DFD"/>
    <w:rsid w:val="004E53BF"/>
    <w:rsid w:val="004E5424"/>
    <w:rsid w:val="004E5575"/>
    <w:rsid w:val="004E5BC1"/>
    <w:rsid w:val="004E5DEF"/>
    <w:rsid w:val="004E5F99"/>
    <w:rsid w:val="004E689D"/>
    <w:rsid w:val="004F003D"/>
    <w:rsid w:val="004F0535"/>
    <w:rsid w:val="004F0A7B"/>
    <w:rsid w:val="004F13E4"/>
    <w:rsid w:val="004F1EED"/>
    <w:rsid w:val="004F1F78"/>
    <w:rsid w:val="004F20BD"/>
    <w:rsid w:val="004F2B4B"/>
    <w:rsid w:val="004F2EDC"/>
    <w:rsid w:val="004F38C5"/>
    <w:rsid w:val="004F3C09"/>
    <w:rsid w:val="004F40F2"/>
    <w:rsid w:val="004F41C1"/>
    <w:rsid w:val="004F503C"/>
    <w:rsid w:val="004F56B6"/>
    <w:rsid w:val="004F58F4"/>
    <w:rsid w:val="004F5902"/>
    <w:rsid w:val="004F6048"/>
    <w:rsid w:val="004F6438"/>
    <w:rsid w:val="004F6531"/>
    <w:rsid w:val="005009F2"/>
    <w:rsid w:val="00500B5B"/>
    <w:rsid w:val="00502E5E"/>
    <w:rsid w:val="00503273"/>
    <w:rsid w:val="005035D2"/>
    <w:rsid w:val="00503C35"/>
    <w:rsid w:val="0050442F"/>
    <w:rsid w:val="00504921"/>
    <w:rsid w:val="00504AAF"/>
    <w:rsid w:val="005062C4"/>
    <w:rsid w:val="00506AD3"/>
    <w:rsid w:val="00506F34"/>
    <w:rsid w:val="00507B74"/>
    <w:rsid w:val="00507C04"/>
    <w:rsid w:val="00507CBD"/>
    <w:rsid w:val="00510299"/>
    <w:rsid w:val="00510683"/>
    <w:rsid w:val="00510737"/>
    <w:rsid w:val="00510DF5"/>
    <w:rsid w:val="00511802"/>
    <w:rsid w:val="00511A9F"/>
    <w:rsid w:val="00512373"/>
    <w:rsid w:val="00512C36"/>
    <w:rsid w:val="00513EB0"/>
    <w:rsid w:val="00515737"/>
    <w:rsid w:val="00516208"/>
    <w:rsid w:val="0051725B"/>
    <w:rsid w:val="0051760E"/>
    <w:rsid w:val="00520BAE"/>
    <w:rsid w:val="00521825"/>
    <w:rsid w:val="00521A4F"/>
    <w:rsid w:val="00522102"/>
    <w:rsid w:val="00522AA7"/>
    <w:rsid w:val="00523268"/>
    <w:rsid w:val="00523C28"/>
    <w:rsid w:val="00523E5F"/>
    <w:rsid w:val="00524407"/>
    <w:rsid w:val="0052468D"/>
    <w:rsid w:val="005250F5"/>
    <w:rsid w:val="005259FC"/>
    <w:rsid w:val="005261A4"/>
    <w:rsid w:val="0053070B"/>
    <w:rsid w:val="005308A8"/>
    <w:rsid w:val="00530C98"/>
    <w:rsid w:val="00530CEB"/>
    <w:rsid w:val="00530CFA"/>
    <w:rsid w:val="00531D2B"/>
    <w:rsid w:val="00532F65"/>
    <w:rsid w:val="0053313E"/>
    <w:rsid w:val="00533374"/>
    <w:rsid w:val="00534205"/>
    <w:rsid w:val="0053446E"/>
    <w:rsid w:val="005347FE"/>
    <w:rsid w:val="00534884"/>
    <w:rsid w:val="00535279"/>
    <w:rsid w:val="0053552B"/>
    <w:rsid w:val="005361C3"/>
    <w:rsid w:val="00536662"/>
    <w:rsid w:val="005366BD"/>
    <w:rsid w:val="00536A99"/>
    <w:rsid w:val="00537386"/>
    <w:rsid w:val="00537862"/>
    <w:rsid w:val="00537A76"/>
    <w:rsid w:val="00537F1F"/>
    <w:rsid w:val="00540095"/>
    <w:rsid w:val="005402A1"/>
    <w:rsid w:val="005403C5"/>
    <w:rsid w:val="00540715"/>
    <w:rsid w:val="0054121B"/>
    <w:rsid w:val="00541305"/>
    <w:rsid w:val="00541697"/>
    <w:rsid w:val="005418C2"/>
    <w:rsid w:val="005428D2"/>
    <w:rsid w:val="00542A80"/>
    <w:rsid w:val="00542BD3"/>
    <w:rsid w:val="00542CAA"/>
    <w:rsid w:val="00542F1E"/>
    <w:rsid w:val="005435DF"/>
    <w:rsid w:val="00543ECF"/>
    <w:rsid w:val="00544311"/>
    <w:rsid w:val="00544721"/>
    <w:rsid w:val="00544A03"/>
    <w:rsid w:val="005451FD"/>
    <w:rsid w:val="00545520"/>
    <w:rsid w:val="00546297"/>
    <w:rsid w:val="0054681A"/>
    <w:rsid w:val="005472D0"/>
    <w:rsid w:val="0054763D"/>
    <w:rsid w:val="00547E6E"/>
    <w:rsid w:val="0055009E"/>
    <w:rsid w:val="00550745"/>
    <w:rsid w:val="00550F56"/>
    <w:rsid w:val="0055136C"/>
    <w:rsid w:val="005513D0"/>
    <w:rsid w:val="00551548"/>
    <w:rsid w:val="00551D85"/>
    <w:rsid w:val="00552318"/>
    <w:rsid w:val="005539A0"/>
    <w:rsid w:val="00553C97"/>
    <w:rsid w:val="005541B5"/>
    <w:rsid w:val="0055427B"/>
    <w:rsid w:val="00555630"/>
    <w:rsid w:val="005559BF"/>
    <w:rsid w:val="00556578"/>
    <w:rsid w:val="00556702"/>
    <w:rsid w:val="00557669"/>
    <w:rsid w:val="00557817"/>
    <w:rsid w:val="005606F9"/>
    <w:rsid w:val="00560F41"/>
    <w:rsid w:val="005611FE"/>
    <w:rsid w:val="005616FA"/>
    <w:rsid w:val="0056181E"/>
    <w:rsid w:val="00561C8A"/>
    <w:rsid w:val="00561DBE"/>
    <w:rsid w:val="0056367D"/>
    <w:rsid w:val="005641FE"/>
    <w:rsid w:val="005642A4"/>
    <w:rsid w:val="005645F4"/>
    <w:rsid w:val="00565815"/>
    <w:rsid w:val="00565F2B"/>
    <w:rsid w:val="00566522"/>
    <w:rsid w:val="005705C7"/>
    <w:rsid w:val="00570B1E"/>
    <w:rsid w:val="00570CB4"/>
    <w:rsid w:val="00570F37"/>
    <w:rsid w:val="00570FD4"/>
    <w:rsid w:val="00571E84"/>
    <w:rsid w:val="00573179"/>
    <w:rsid w:val="005733D3"/>
    <w:rsid w:val="0057358E"/>
    <w:rsid w:val="00574221"/>
    <w:rsid w:val="0057422E"/>
    <w:rsid w:val="0057453E"/>
    <w:rsid w:val="00575273"/>
    <w:rsid w:val="00575FA4"/>
    <w:rsid w:val="005769C0"/>
    <w:rsid w:val="00576B80"/>
    <w:rsid w:val="00577707"/>
    <w:rsid w:val="00580613"/>
    <w:rsid w:val="00580ACB"/>
    <w:rsid w:val="00580CD6"/>
    <w:rsid w:val="00580DB6"/>
    <w:rsid w:val="005833E5"/>
    <w:rsid w:val="005839CA"/>
    <w:rsid w:val="00583BCB"/>
    <w:rsid w:val="005848C6"/>
    <w:rsid w:val="005857D0"/>
    <w:rsid w:val="005865EE"/>
    <w:rsid w:val="00586BC3"/>
    <w:rsid w:val="00586E54"/>
    <w:rsid w:val="005876D9"/>
    <w:rsid w:val="00590055"/>
    <w:rsid w:val="005900D9"/>
    <w:rsid w:val="00590290"/>
    <w:rsid w:val="005904BE"/>
    <w:rsid w:val="005909F5"/>
    <w:rsid w:val="00591A43"/>
    <w:rsid w:val="00591B28"/>
    <w:rsid w:val="00592360"/>
    <w:rsid w:val="00592802"/>
    <w:rsid w:val="00592DF5"/>
    <w:rsid w:val="005933A6"/>
    <w:rsid w:val="00593490"/>
    <w:rsid w:val="005936F7"/>
    <w:rsid w:val="00593F6A"/>
    <w:rsid w:val="00595FA3"/>
    <w:rsid w:val="00596ABA"/>
    <w:rsid w:val="005970A8"/>
    <w:rsid w:val="00597962"/>
    <w:rsid w:val="005A0216"/>
    <w:rsid w:val="005A1CAA"/>
    <w:rsid w:val="005A1D46"/>
    <w:rsid w:val="005A3DCB"/>
    <w:rsid w:val="005A5466"/>
    <w:rsid w:val="005A5D17"/>
    <w:rsid w:val="005A5D58"/>
    <w:rsid w:val="005A6114"/>
    <w:rsid w:val="005A6CBB"/>
    <w:rsid w:val="005A7E01"/>
    <w:rsid w:val="005A7F54"/>
    <w:rsid w:val="005B0401"/>
    <w:rsid w:val="005B1020"/>
    <w:rsid w:val="005B16E7"/>
    <w:rsid w:val="005B198C"/>
    <w:rsid w:val="005B1A8A"/>
    <w:rsid w:val="005B1F55"/>
    <w:rsid w:val="005B2CB4"/>
    <w:rsid w:val="005B30E2"/>
    <w:rsid w:val="005B3C6D"/>
    <w:rsid w:val="005B40A5"/>
    <w:rsid w:val="005B4801"/>
    <w:rsid w:val="005B56C5"/>
    <w:rsid w:val="005B5A88"/>
    <w:rsid w:val="005B6EB4"/>
    <w:rsid w:val="005B6FEC"/>
    <w:rsid w:val="005B755E"/>
    <w:rsid w:val="005B7C79"/>
    <w:rsid w:val="005C0A1C"/>
    <w:rsid w:val="005C1327"/>
    <w:rsid w:val="005C18B9"/>
    <w:rsid w:val="005C24E4"/>
    <w:rsid w:val="005C261C"/>
    <w:rsid w:val="005C26FF"/>
    <w:rsid w:val="005C3348"/>
    <w:rsid w:val="005C33EC"/>
    <w:rsid w:val="005C39B4"/>
    <w:rsid w:val="005C3E3B"/>
    <w:rsid w:val="005C51BF"/>
    <w:rsid w:val="005C5960"/>
    <w:rsid w:val="005C5C15"/>
    <w:rsid w:val="005C6F98"/>
    <w:rsid w:val="005C77BE"/>
    <w:rsid w:val="005D05A0"/>
    <w:rsid w:val="005D0805"/>
    <w:rsid w:val="005D0FCE"/>
    <w:rsid w:val="005D1079"/>
    <w:rsid w:val="005D10CD"/>
    <w:rsid w:val="005D133A"/>
    <w:rsid w:val="005D150B"/>
    <w:rsid w:val="005D18E4"/>
    <w:rsid w:val="005D1E92"/>
    <w:rsid w:val="005D246C"/>
    <w:rsid w:val="005D2925"/>
    <w:rsid w:val="005D2F85"/>
    <w:rsid w:val="005D343E"/>
    <w:rsid w:val="005D47F0"/>
    <w:rsid w:val="005D5457"/>
    <w:rsid w:val="005D5880"/>
    <w:rsid w:val="005D5921"/>
    <w:rsid w:val="005D610D"/>
    <w:rsid w:val="005D7623"/>
    <w:rsid w:val="005D763A"/>
    <w:rsid w:val="005D775A"/>
    <w:rsid w:val="005E03A3"/>
    <w:rsid w:val="005E0AA6"/>
    <w:rsid w:val="005E0C5A"/>
    <w:rsid w:val="005E145B"/>
    <w:rsid w:val="005E2221"/>
    <w:rsid w:val="005E3F27"/>
    <w:rsid w:val="005E4F73"/>
    <w:rsid w:val="005E52B6"/>
    <w:rsid w:val="005E5C9C"/>
    <w:rsid w:val="005E5CB8"/>
    <w:rsid w:val="005E6856"/>
    <w:rsid w:val="005E6AED"/>
    <w:rsid w:val="005E6DA6"/>
    <w:rsid w:val="005F0963"/>
    <w:rsid w:val="005F2664"/>
    <w:rsid w:val="005F2E36"/>
    <w:rsid w:val="005F2E51"/>
    <w:rsid w:val="005F34C3"/>
    <w:rsid w:val="005F3927"/>
    <w:rsid w:val="005F3FB2"/>
    <w:rsid w:val="005F4112"/>
    <w:rsid w:val="005F4DDA"/>
    <w:rsid w:val="005F5D55"/>
    <w:rsid w:val="005F6D61"/>
    <w:rsid w:val="005F6EAB"/>
    <w:rsid w:val="005F7194"/>
    <w:rsid w:val="005F7AFA"/>
    <w:rsid w:val="005F7DB5"/>
    <w:rsid w:val="00601078"/>
    <w:rsid w:val="006019A5"/>
    <w:rsid w:val="00601D5A"/>
    <w:rsid w:val="00602F6C"/>
    <w:rsid w:val="00603085"/>
    <w:rsid w:val="00603E26"/>
    <w:rsid w:val="00604CBB"/>
    <w:rsid w:val="00604E02"/>
    <w:rsid w:val="0060534F"/>
    <w:rsid w:val="0060596F"/>
    <w:rsid w:val="00605F68"/>
    <w:rsid w:val="0060629E"/>
    <w:rsid w:val="00606A43"/>
    <w:rsid w:val="00607828"/>
    <w:rsid w:val="00610597"/>
    <w:rsid w:val="00611075"/>
    <w:rsid w:val="0061129D"/>
    <w:rsid w:val="006114A6"/>
    <w:rsid w:val="00612345"/>
    <w:rsid w:val="0061258F"/>
    <w:rsid w:val="006125CC"/>
    <w:rsid w:val="00612C86"/>
    <w:rsid w:val="0061541E"/>
    <w:rsid w:val="006157B2"/>
    <w:rsid w:val="006157B4"/>
    <w:rsid w:val="00616132"/>
    <w:rsid w:val="006162B3"/>
    <w:rsid w:val="00616986"/>
    <w:rsid w:val="00616F7E"/>
    <w:rsid w:val="006170BC"/>
    <w:rsid w:val="0062034C"/>
    <w:rsid w:val="00620B37"/>
    <w:rsid w:val="006230AA"/>
    <w:rsid w:val="00623126"/>
    <w:rsid w:val="00623569"/>
    <w:rsid w:val="006241E3"/>
    <w:rsid w:val="006250DF"/>
    <w:rsid w:val="00625F07"/>
    <w:rsid w:val="00625F37"/>
    <w:rsid w:val="00627D78"/>
    <w:rsid w:val="00630031"/>
    <w:rsid w:val="006307E5"/>
    <w:rsid w:val="00630DC8"/>
    <w:rsid w:val="00631018"/>
    <w:rsid w:val="0063107E"/>
    <w:rsid w:val="006314F4"/>
    <w:rsid w:val="00631546"/>
    <w:rsid w:val="006321D7"/>
    <w:rsid w:val="00632541"/>
    <w:rsid w:val="00632BF5"/>
    <w:rsid w:val="00633298"/>
    <w:rsid w:val="0063340D"/>
    <w:rsid w:val="0063370A"/>
    <w:rsid w:val="00633C77"/>
    <w:rsid w:val="00633D5D"/>
    <w:rsid w:val="00633E68"/>
    <w:rsid w:val="006340A5"/>
    <w:rsid w:val="00634F5D"/>
    <w:rsid w:val="00635089"/>
    <w:rsid w:val="006351BD"/>
    <w:rsid w:val="00635D1F"/>
    <w:rsid w:val="0063630C"/>
    <w:rsid w:val="00637540"/>
    <w:rsid w:val="0064051E"/>
    <w:rsid w:val="00640666"/>
    <w:rsid w:val="00640BA3"/>
    <w:rsid w:val="0064368C"/>
    <w:rsid w:val="006436E7"/>
    <w:rsid w:val="00644922"/>
    <w:rsid w:val="00644BFB"/>
    <w:rsid w:val="00644CFD"/>
    <w:rsid w:val="00645205"/>
    <w:rsid w:val="006452D1"/>
    <w:rsid w:val="0064571F"/>
    <w:rsid w:val="006458D9"/>
    <w:rsid w:val="00645991"/>
    <w:rsid w:val="006459F9"/>
    <w:rsid w:val="00645CC2"/>
    <w:rsid w:val="00646277"/>
    <w:rsid w:val="00646551"/>
    <w:rsid w:val="00646698"/>
    <w:rsid w:val="00646B26"/>
    <w:rsid w:val="00646BBA"/>
    <w:rsid w:val="00647B1F"/>
    <w:rsid w:val="00647C8F"/>
    <w:rsid w:val="006505CF"/>
    <w:rsid w:val="00650669"/>
    <w:rsid w:val="00651BAB"/>
    <w:rsid w:val="00652107"/>
    <w:rsid w:val="00652C1B"/>
    <w:rsid w:val="00653140"/>
    <w:rsid w:val="00653260"/>
    <w:rsid w:val="006532D8"/>
    <w:rsid w:val="006533BD"/>
    <w:rsid w:val="006543AC"/>
    <w:rsid w:val="006545C5"/>
    <w:rsid w:val="0065465B"/>
    <w:rsid w:val="006548DC"/>
    <w:rsid w:val="006549CB"/>
    <w:rsid w:val="00654D14"/>
    <w:rsid w:val="00654F8B"/>
    <w:rsid w:val="00655A95"/>
    <w:rsid w:val="00655CEC"/>
    <w:rsid w:val="00656157"/>
    <w:rsid w:val="006568EF"/>
    <w:rsid w:val="00657724"/>
    <w:rsid w:val="006579FD"/>
    <w:rsid w:val="00657BFE"/>
    <w:rsid w:val="00660E5D"/>
    <w:rsid w:val="006617E0"/>
    <w:rsid w:val="00661D09"/>
    <w:rsid w:val="00662352"/>
    <w:rsid w:val="00662878"/>
    <w:rsid w:val="00663585"/>
    <w:rsid w:val="006636BE"/>
    <w:rsid w:val="006645B2"/>
    <w:rsid w:val="00664CF3"/>
    <w:rsid w:val="006652DE"/>
    <w:rsid w:val="0066582F"/>
    <w:rsid w:val="00666354"/>
    <w:rsid w:val="006666F8"/>
    <w:rsid w:val="00666788"/>
    <w:rsid w:val="00667372"/>
    <w:rsid w:val="00670948"/>
    <w:rsid w:val="00670954"/>
    <w:rsid w:val="00671520"/>
    <w:rsid w:val="006715F9"/>
    <w:rsid w:val="0067181D"/>
    <w:rsid w:val="00671DB8"/>
    <w:rsid w:val="0067205A"/>
    <w:rsid w:val="006724EF"/>
    <w:rsid w:val="00672D15"/>
    <w:rsid w:val="0067494D"/>
    <w:rsid w:val="00674A36"/>
    <w:rsid w:val="00674E08"/>
    <w:rsid w:val="0067542B"/>
    <w:rsid w:val="00676A8D"/>
    <w:rsid w:val="0067783A"/>
    <w:rsid w:val="00680505"/>
    <w:rsid w:val="0068237E"/>
    <w:rsid w:val="00682510"/>
    <w:rsid w:val="00682E4E"/>
    <w:rsid w:val="00682F82"/>
    <w:rsid w:val="0068350B"/>
    <w:rsid w:val="00683ACC"/>
    <w:rsid w:val="00684ABB"/>
    <w:rsid w:val="00684CE3"/>
    <w:rsid w:val="00684E33"/>
    <w:rsid w:val="006860D2"/>
    <w:rsid w:val="00686CC2"/>
    <w:rsid w:val="006870FD"/>
    <w:rsid w:val="0068732F"/>
    <w:rsid w:val="00687E66"/>
    <w:rsid w:val="006914A7"/>
    <w:rsid w:val="00691C74"/>
    <w:rsid w:val="00692989"/>
    <w:rsid w:val="00692E9A"/>
    <w:rsid w:val="00693B64"/>
    <w:rsid w:val="00693D11"/>
    <w:rsid w:val="00694B31"/>
    <w:rsid w:val="00694CED"/>
    <w:rsid w:val="00695076"/>
    <w:rsid w:val="006969CD"/>
    <w:rsid w:val="006A020B"/>
    <w:rsid w:val="006A1582"/>
    <w:rsid w:val="006A182E"/>
    <w:rsid w:val="006A23AB"/>
    <w:rsid w:val="006A25FA"/>
    <w:rsid w:val="006A2C2D"/>
    <w:rsid w:val="006A2E59"/>
    <w:rsid w:val="006A2E6A"/>
    <w:rsid w:val="006A447E"/>
    <w:rsid w:val="006A4AD4"/>
    <w:rsid w:val="006A5792"/>
    <w:rsid w:val="006A5D95"/>
    <w:rsid w:val="006A608D"/>
    <w:rsid w:val="006A683A"/>
    <w:rsid w:val="006A76A7"/>
    <w:rsid w:val="006A7C8A"/>
    <w:rsid w:val="006B01A3"/>
    <w:rsid w:val="006B09A4"/>
    <w:rsid w:val="006B0BB4"/>
    <w:rsid w:val="006B0EB6"/>
    <w:rsid w:val="006B2DF4"/>
    <w:rsid w:val="006B2E0D"/>
    <w:rsid w:val="006B4625"/>
    <w:rsid w:val="006B47EF"/>
    <w:rsid w:val="006B4E97"/>
    <w:rsid w:val="006B51A1"/>
    <w:rsid w:val="006B593C"/>
    <w:rsid w:val="006B5D45"/>
    <w:rsid w:val="006B68DC"/>
    <w:rsid w:val="006B6E5B"/>
    <w:rsid w:val="006B6E8F"/>
    <w:rsid w:val="006B7C95"/>
    <w:rsid w:val="006C14CB"/>
    <w:rsid w:val="006C18BD"/>
    <w:rsid w:val="006C1AC6"/>
    <w:rsid w:val="006C2E16"/>
    <w:rsid w:val="006C2F16"/>
    <w:rsid w:val="006C3158"/>
    <w:rsid w:val="006C3DC7"/>
    <w:rsid w:val="006C4941"/>
    <w:rsid w:val="006C4DB1"/>
    <w:rsid w:val="006C520F"/>
    <w:rsid w:val="006C5DDC"/>
    <w:rsid w:val="006C623D"/>
    <w:rsid w:val="006C682D"/>
    <w:rsid w:val="006C6BE8"/>
    <w:rsid w:val="006C73C0"/>
    <w:rsid w:val="006C7A79"/>
    <w:rsid w:val="006D0105"/>
    <w:rsid w:val="006D0C44"/>
    <w:rsid w:val="006D0CC3"/>
    <w:rsid w:val="006D169E"/>
    <w:rsid w:val="006D2EAE"/>
    <w:rsid w:val="006D2F80"/>
    <w:rsid w:val="006D3376"/>
    <w:rsid w:val="006D390C"/>
    <w:rsid w:val="006D3910"/>
    <w:rsid w:val="006D4567"/>
    <w:rsid w:val="006D510F"/>
    <w:rsid w:val="006D5AF9"/>
    <w:rsid w:val="006D636D"/>
    <w:rsid w:val="006D65B6"/>
    <w:rsid w:val="006E0172"/>
    <w:rsid w:val="006E0622"/>
    <w:rsid w:val="006E0A58"/>
    <w:rsid w:val="006E14A4"/>
    <w:rsid w:val="006E1870"/>
    <w:rsid w:val="006E1C2A"/>
    <w:rsid w:val="006E2361"/>
    <w:rsid w:val="006E3162"/>
    <w:rsid w:val="006E3A08"/>
    <w:rsid w:val="006E3CDA"/>
    <w:rsid w:val="006E45B0"/>
    <w:rsid w:val="006E4F9A"/>
    <w:rsid w:val="006E5011"/>
    <w:rsid w:val="006E5B14"/>
    <w:rsid w:val="006E65F6"/>
    <w:rsid w:val="006E6670"/>
    <w:rsid w:val="006F02BA"/>
    <w:rsid w:val="006F0478"/>
    <w:rsid w:val="006F0F69"/>
    <w:rsid w:val="006F2CA5"/>
    <w:rsid w:val="006F319C"/>
    <w:rsid w:val="006F3226"/>
    <w:rsid w:val="006F45CC"/>
    <w:rsid w:val="006F5105"/>
    <w:rsid w:val="006F555F"/>
    <w:rsid w:val="006F6395"/>
    <w:rsid w:val="006F65D7"/>
    <w:rsid w:val="006F6ECA"/>
    <w:rsid w:val="006F7197"/>
    <w:rsid w:val="0070088B"/>
    <w:rsid w:val="00701DEB"/>
    <w:rsid w:val="00702FDA"/>
    <w:rsid w:val="00703740"/>
    <w:rsid w:val="00703865"/>
    <w:rsid w:val="00704856"/>
    <w:rsid w:val="0070569A"/>
    <w:rsid w:val="00706908"/>
    <w:rsid w:val="00706CB9"/>
    <w:rsid w:val="00710751"/>
    <w:rsid w:val="00711428"/>
    <w:rsid w:val="007117A3"/>
    <w:rsid w:val="00711CB6"/>
    <w:rsid w:val="00712DA8"/>
    <w:rsid w:val="0071321E"/>
    <w:rsid w:val="007134B7"/>
    <w:rsid w:val="00713902"/>
    <w:rsid w:val="00713D13"/>
    <w:rsid w:val="00714352"/>
    <w:rsid w:val="00714CBE"/>
    <w:rsid w:val="0071551A"/>
    <w:rsid w:val="00716076"/>
    <w:rsid w:val="00716A54"/>
    <w:rsid w:val="00716AE6"/>
    <w:rsid w:val="00716BE2"/>
    <w:rsid w:val="00716E8B"/>
    <w:rsid w:val="00717D06"/>
    <w:rsid w:val="00721B8B"/>
    <w:rsid w:val="007222BA"/>
    <w:rsid w:val="00722B2C"/>
    <w:rsid w:val="00723378"/>
    <w:rsid w:val="00723396"/>
    <w:rsid w:val="00723C77"/>
    <w:rsid w:val="0072420D"/>
    <w:rsid w:val="00724D20"/>
    <w:rsid w:val="00724F70"/>
    <w:rsid w:val="00725002"/>
    <w:rsid w:val="00725635"/>
    <w:rsid w:val="0072660B"/>
    <w:rsid w:val="00726B44"/>
    <w:rsid w:val="007276CC"/>
    <w:rsid w:val="007279CE"/>
    <w:rsid w:val="00727AEC"/>
    <w:rsid w:val="00730226"/>
    <w:rsid w:val="00730E7F"/>
    <w:rsid w:val="00731AA8"/>
    <w:rsid w:val="00731B59"/>
    <w:rsid w:val="00732B99"/>
    <w:rsid w:val="00732C8D"/>
    <w:rsid w:val="00733393"/>
    <w:rsid w:val="007341E2"/>
    <w:rsid w:val="00735A66"/>
    <w:rsid w:val="0073626A"/>
    <w:rsid w:val="0073676F"/>
    <w:rsid w:val="007373A9"/>
    <w:rsid w:val="00740312"/>
    <w:rsid w:val="0074055E"/>
    <w:rsid w:val="007409FF"/>
    <w:rsid w:val="00741156"/>
    <w:rsid w:val="00741903"/>
    <w:rsid w:val="00741E71"/>
    <w:rsid w:val="007420F5"/>
    <w:rsid w:val="00742D16"/>
    <w:rsid w:val="00743EB9"/>
    <w:rsid w:val="00744DC4"/>
    <w:rsid w:val="00744E0E"/>
    <w:rsid w:val="00745240"/>
    <w:rsid w:val="007458D2"/>
    <w:rsid w:val="007462D2"/>
    <w:rsid w:val="00746BD4"/>
    <w:rsid w:val="00746DDC"/>
    <w:rsid w:val="00747510"/>
    <w:rsid w:val="00747688"/>
    <w:rsid w:val="00747B33"/>
    <w:rsid w:val="00747F7F"/>
    <w:rsid w:val="00750D00"/>
    <w:rsid w:val="007512A4"/>
    <w:rsid w:val="00751798"/>
    <w:rsid w:val="00751E7C"/>
    <w:rsid w:val="00753C16"/>
    <w:rsid w:val="0075409B"/>
    <w:rsid w:val="007552C3"/>
    <w:rsid w:val="00755BDD"/>
    <w:rsid w:val="00755C52"/>
    <w:rsid w:val="00755E9C"/>
    <w:rsid w:val="00756374"/>
    <w:rsid w:val="00757216"/>
    <w:rsid w:val="00757B9E"/>
    <w:rsid w:val="0076020D"/>
    <w:rsid w:val="007606F6"/>
    <w:rsid w:val="00761B05"/>
    <w:rsid w:val="00761F11"/>
    <w:rsid w:val="007628AF"/>
    <w:rsid w:val="00762921"/>
    <w:rsid w:val="00762FFE"/>
    <w:rsid w:val="0076478B"/>
    <w:rsid w:val="00764B7C"/>
    <w:rsid w:val="00764C40"/>
    <w:rsid w:val="00764F7A"/>
    <w:rsid w:val="0076598E"/>
    <w:rsid w:val="0076641F"/>
    <w:rsid w:val="00766634"/>
    <w:rsid w:val="00766767"/>
    <w:rsid w:val="007679EB"/>
    <w:rsid w:val="00770521"/>
    <w:rsid w:val="007709A5"/>
    <w:rsid w:val="00770DBA"/>
    <w:rsid w:val="00770F5C"/>
    <w:rsid w:val="00771675"/>
    <w:rsid w:val="00771B57"/>
    <w:rsid w:val="00771B6B"/>
    <w:rsid w:val="007725A6"/>
    <w:rsid w:val="007738EC"/>
    <w:rsid w:val="00773DB5"/>
    <w:rsid w:val="00774528"/>
    <w:rsid w:val="0077468B"/>
    <w:rsid w:val="00774ED8"/>
    <w:rsid w:val="00775367"/>
    <w:rsid w:val="0077677F"/>
    <w:rsid w:val="00776BEB"/>
    <w:rsid w:val="007770EF"/>
    <w:rsid w:val="00777238"/>
    <w:rsid w:val="0077745F"/>
    <w:rsid w:val="00777D44"/>
    <w:rsid w:val="00780287"/>
    <w:rsid w:val="007806C7"/>
    <w:rsid w:val="007808C0"/>
    <w:rsid w:val="00781590"/>
    <w:rsid w:val="00782C3A"/>
    <w:rsid w:val="007830B5"/>
    <w:rsid w:val="00783460"/>
    <w:rsid w:val="00784A3C"/>
    <w:rsid w:val="007857A2"/>
    <w:rsid w:val="007860E6"/>
    <w:rsid w:val="007868C9"/>
    <w:rsid w:val="00786994"/>
    <w:rsid w:val="00786F5D"/>
    <w:rsid w:val="007871AD"/>
    <w:rsid w:val="0078774C"/>
    <w:rsid w:val="00790408"/>
    <w:rsid w:val="007918AA"/>
    <w:rsid w:val="00791F15"/>
    <w:rsid w:val="0079388B"/>
    <w:rsid w:val="00793B37"/>
    <w:rsid w:val="0079505D"/>
    <w:rsid w:val="00795785"/>
    <w:rsid w:val="007968B3"/>
    <w:rsid w:val="00796B27"/>
    <w:rsid w:val="00796DFA"/>
    <w:rsid w:val="00797404"/>
    <w:rsid w:val="00797B60"/>
    <w:rsid w:val="007A0B51"/>
    <w:rsid w:val="007A0F8A"/>
    <w:rsid w:val="007A1538"/>
    <w:rsid w:val="007A15F6"/>
    <w:rsid w:val="007A1A45"/>
    <w:rsid w:val="007A1E43"/>
    <w:rsid w:val="007A1FA9"/>
    <w:rsid w:val="007A269C"/>
    <w:rsid w:val="007A309E"/>
    <w:rsid w:val="007A3B73"/>
    <w:rsid w:val="007A468C"/>
    <w:rsid w:val="007A4847"/>
    <w:rsid w:val="007A4DB9"/>
    <w:rsid w:val="007A502E"/>
    <w:rsid w:val="007A53B0"/>
    <w:rsid w:val="007A6062"/>
    <w:rsid w:val="007A63AC"/>
    <w:rsid w:val="007A6F45"/>
    <w:rsid w:val="007A747C"/>
    <w:rsid w:val="007A7A33"/>
    <w:rsid w:val="007A7DD7"/>
    <w:rsid w:val="007A7F9B"/>
    <w:rsid w:val="007B0D85"/>
    <w:rsid w:val="007B0F99"/>
    <w:rsid w:val="007B1AA8"/>
    <w:rsid w:val="007B2164"/>
    <w:rsid w:val="007B3F9F"/>
    <w:rsid w:val="007B3FC4"/>
    <w:rsid w:val="007B45CE"/>
    <w:rsid w:val="007B47C1"/>
    <w:rsid w:val="007B48AA"/>
    <w:rsid w:val="007B5FDE"/>
    <w:rsid w:val="007B604C"/>
    <w:rsid w:val="007B7AA9"/>
    <w:rsid w:val="007B7C51"/>
    <w:rsid w:val="007C02E4"/>
    <w:rsid w:val="007C05E7"/>
    <w:rsid w:val="007C0985"/>
    <w:rsid w:val="007C0B36"/>
    <w:rsid w:val="007C0C83"/>
    <w:rsid w:val="007C0FFB"/>
    <w:rsid w:val="007C0FFF"/>
    <w:rsid w:val="007C180C"/>
    <w:rsid w:val="007C1FCE"/>
    <w:rsid w:val="007C20A2"/>
    <w:rsid w:val="007C29EF"/>
    <w:rsid w:val="007C2D09"/>
    <w:rsid w:val="007C3650"/>
    <w:rsid w:val="007C4940"/>
    <w:rsid w:val="007C520C"/>
    <w:rsid w:val="007C589E"/>
    <w:rsid w:val="007C68AB"/>
    <w:rsid w:val="007C68F7"/>
    <w:rsid w:val="007C6DEC"/>
    <w:rsid w:val="007C7E80"/>
    <w:rsid w:val="007D0053"/>
    <w:rsid w:val="007D00F2"/>
    <w:rsid w:val="007D062D"/>
    <w:rsid w:val="007D088A"/>
    <w:rsid w:val="007D0FBF"/>
    <w:rsid w:val="007D1011"/>
    <w:rsid w:val="007D1269"/>
    <w:rsid w:val="007D1460"/>
    <w:rsid w:val="007D205E"/>
    <w:rsid w:val="007D32B4"/>
    <w:rsid w:val="007D4075"/>
    <w:rsid w:val="007D416E"/>
    <w:rsid w:val="007D435A"/>
    <w:rsid w:val="007D4882"/>
    <w:rsid w:val="007D5969"/>
    <w:rsid w:val="007D6D95"/>
    <w:rsid w:val="007D6EC6"/>
    <w:rsid w:val="007D76C7"/>
    <w:rsid w:val="007E0A3F"/>
    <w:rsid w:val="007E16B0"/>
    <w:rsid w:val="007E1EFE"/>
    <w:rsid w:val="007E251F"/>
    <w:rsid w:val="007E2852"/>
    <w:rsid w:val="007E2EF7"/>
    <w:rsid w:val="007E3E08"/>
    <w:rsid w:val="007E40FF"/>
    <w:rsid w:val="007E415E"/>
    <w:rsid w:val="007E42E4"/>
    <w:rsid w:val="007E479A"/>
    <w:rsid w:val="007E47F4"/>
    <w:rsid w:val="007E520E"/>
    <w:rsid w:val="007E568C"/>
    <w:rsid w:val="007E5FC7"/>
    <w:rsid w:val="007E6427"/>
    <w:rsid w:val="007E69E6"/>
    <w:rsid w:val="007E6A27"/>
    <w:rsid w:val="007F0832"/>
    <w:rsid w:val="007F0A13"/>
    <w:rsid w:val="007F0A1D"/>
    <w:rsid w:val="007F0D61"/>
    <w:rsid w:val="007F1060"/>
    <w:rsid w:val="007F1345"/>
    <w:rsid w:val="007F1490"/>
    <w:rsid w:val="007F1BCF"/>
    <w:rsid w:val="007F1F08"/>
    <w:rsid w:val="007F2680"/>
    <w:rsid w:val="007F32BA"/>
    <w:rsid w:val="007F4360"/>
    <w:rsid w:val="007F4EB7"/>
    <w:rsid w:val="007F59D7"/>
    <w:rsid w:val="007F5D2C"/>
    <w:rsid w:val="007F72FA"/>
    <w:rsid w:val="007F7420"/>
    <w:rsid w:val="007F7596"/>
    <w:rsid w:val="00800554"/>
    <w:rsid w:val="00800CCF"/>
    <w:rsid w:val="00801E6A"/>
    <w:rsid w:val="008021B1"/>
    <w:rsid w:val="0080293E"/>
    <w:rsid w:val="0080379A"/>
    <w:rsid w:val="008043D4"/>
    <w:rsid w:val="008044EC"/>
    <w:rsid w:val="00804732"/>
    <w:rsid w:val="00804ED0"/>
    <w:rsid w:val="0080527D"/>
    <w:rsid w:val="00805584"/>
    <w:rsid w:val="008055BD"/>
    <w:rsid w:val="008058E3"/>
    <w:rsid w:val="0080643B"/>
    <w:rsid w:val="00806CD6"/>
    <w:rsid w:val="00807764"/>
    <w:rsid w:val="00807975"/>
    <w:rsid w:val="00807AA9"/>
    <w:rsid w:val="008101B7"/>
    <w:rsid w:val="008101E1"/>
    <w:rsid w:val="008102DE"/>
    <w:rsid w:val="00810941"/>
    <w:rsid w:val="00811896"/>
    <w:rsid w:val="00811B2B"/>
    <w:rsid w:val="00811E59"/>
    <w:rsid w:val="008129B4"/>
    <w:rsid w:val="00812DF3"/>
    <w:rsid w:val="00813212"/>
    <w:rsid w:val="0081387D"/>
    <w:rsid w:val="008144AD"/>
    <w:rsid w:val="0081463F"/>
    <w:rsid w:val="008146A5"/>
    <w:rsid w:val="00814F66"/>
    <w:rsid w:val="00815E58"/>
    <w:rsid w:val="00816056"/>
    <w:rsid w:val="008160B4"/>
    <w:rsid w:val="008166EC"/>
    <w:rsid w:val="00816B13"/>
    <w:rsid w:val="00816C31"/>
    <w:rsid w:val="00816C3E"/>
    <w:rsid w:val="00820460"/>
    <w:rsid w:val="00821B19"/>
    <w:rsid w:val="00821BFB"/>
    <w:rsid w:val="00821CE2"/>
    <w:rsid w:val="00822385"/>
    <w:rsid w:val="00822456"/>
    <w:rsid w:val="00822587"/>
    <w:rsid w:val="008233CA"/>
    <w:rsid w:val="008242C8"/>
    <w:rsid w:val="00824404"/>
    <w:rsid w:val="00824781"/>
    <w:rsid w:val="00824D67"/>
    <w:rsid w:val="008253CE"/>
    <w:rsid w:val="008265AB"/>
    <w:rsid w:val="00826EBF"/>
    <w:rsid w:val="00827264"/>
    <w:rsid w:val="00827B48"/>
    <w:rsid w:val="00827B7E"/>
    <w:rsid w:val="00830385"/>
    <w:rsid w:val="00830608"/>
    <w:rsid w:val="008307BC"/>
    <w:rsid w:val="00831444"/>
    <w:rsid w:val="00833096"/>
    <w:rsid w:val="00833D35"/>
    <w:rsid w:val="00833E2C"/>
    <w:rsid w:val="00833F6B"/>
    <w:rsid w:val="008348BF"/>
    <w:rsid w:val="00834AD8"/>
    <w:rsid w:val="00834D6D"/>
    <w:rsid w:val="00835A67"/>
    <w:rsid w:val="008362A3"/>
    <w:rsid w:val="00836B7A"/>
    <w:rsid w:val="008409C6"/>
    <w:rsid w:val="00840DDB"/>
    <w:rsid w:val="008417FA"/>
    <w:rsid w:val="00841A7B"/>
    <w:rsid w:val="00841D9A"/>
    <w:rsid w:val="008442EA"/>
    <w:rsid w:val="00844AEB"/>
    <w:rsid w:val="00847518"/>
    <w:rsid w:val="008501D4"/>
    <w:rsid w:val="00850648"/>
    <w:rsid w:val="008527DE"/>
    <w:rsid w:val="00852DE6"/>
    <w:rsid w:val="00852FDB"/>
    <w:rsid w:val="00853187"/>
    <w:rsid w:val="00853591"/>
    <w:rsid w:val="00853F93"/>
    <w:rsid w:val="00854C09"/>
    <w:rsid w:val="00855122"/>
    <w:rsid w:val="00855FA2"/>
    <w:rsid w:val="008566D6"/>
    <w:rsid w:val="0085675D"/>
    <w:rsid w:val="008569AD"/>
    <w:rsid w:val="00856D9E"/>
    <w:rsid w:val="008570A7"/>
    <w:rsid w:val="0085723E"/>
    <w:rsid w:val="00857799"/>
    <w:rsid w:val="00860584"/>
    <w:rsid w:val="00861A4F"/>
    <w:rsid w:val="00862CFE"/>
    <w:rsid w:val="00862E90"/>
    <w:rsid w:val="00863097"/>
    <w:rsid w:val="00863558"/>
    <w:rsid w:val="0086449E"/>
    <w:rsid w:val="00865B51"/>
    <w:rsid w:val="0086604B"/>
    <w:rsid w:val="00866084"/>
    <w:rsid w:val="00866976"/>
    <w:rsid w:val="00866CDC"/>
    <w:rsid w:val="00867410"/>
    <w:rsid w:val="00867816"/>
    <w:rsid w:val="00867A2F"/>
    <w:rsid w:val="0087071A"/>
    <w:rsid w:val="008709F2"/>
    <w:rsid w:val="00870AC1"/>
    <w:rsid w:val="008711A7"/>
    <w:rsid w:val="008712DF"/>
    <w:rsid w:val="00871741"/>
    <w:rsid w:val="00871788"/>
    <w:rsid w:val="00871D4F"/>
    <w:rsid w:val="008721A7"/>
    <w:rsid w:val="00872313"/>
    <w:rsid w:val="00872B6C"/>
    <w:rsid w:val="00872EF5"/>
    <w:rsid w:val="00873065"/>
    <w:rsid w:val="00873396"/>
    <w:rsid w:val="00873630"/>
    <w:rsid w:val="00873750"/>
    <w:rsid w:val="00873AB9"/>
    <w:rsid w:val="008745D7"/>
    <w:rsid w:val="00876438"/>
    <w:rsid w:val="008765F4"/>
    <w:rsid w:val="00877C9D"/>
    <w:rsid w:val="00877FE2"/>
    <w:rsid w:val="00880C84"/>
    <w:rsid w:val="00881812"/>
    <w:rsid w:val="008828A9"/>
    <w:rsid w:val="00882D8C"/>
    <w:rsid w:val="008833CD"/>
    <w:rsid w:val="00883DC4"/>
    <w:rsid w:val="008852F9"/>
    <w:rsid w:val="008857EF"/>
    <w:rsid w:val="00885DF1"/>
    <w:rsid w:val="00886071"/>
    <w:rsid w:val="008868B9"/>
    <w:rsid w:val="00886CC5"/>
    <w:rsid w:val="00886DC1"/>
    <w:rsid w:val="00887084"/>
    <w:rsid w:val="00887312"/>
    <w:rsid w:val="008879EE"/>
    <w:rsid w:val="00887E61"/>
    <w:rsid w:val="00891755"/>
    <w:rsid w:val="0089189B"/>
    <w:rsid w:val="00892211"/>
    <w:rsid w:val="00893A20"/>
    <w:rsid w:val="00894571"/>
    <w:rsid w:val="008953F8"/>
    <w:rsid w:val="00895A3F"/>
    <w:rsid w:val="0089625E"/>
    <w:rsid w:val="0089636C"/>
    <w:rsid w:val="008966B5"/>
    <w:rsid w:val="008967D5"/>
    <w:rsid w:val="008968C5"/>
    <w:rsid w:val="00897215"/>
    <w:rsid w:val="00897DE3"/>
    <w:rsid w:val="008A0D89"/>
    <w:rsid w:val="008A145B"/>
    <w:rsid w:val="008A14A2"/>
    <w:rsid w:val="008A281F"/>
    <w:rsid w:val="008A289D"/>
    <w:rsid w:val="008A2EAD"/>
    <w:rsid w:val="008A5397"/>
    <w:rsid w:val="008A5BC8"/>
    <w:rsid w:val="008A66FD"/>
    <w:rsid w:val="008A6705"/>
    <w:rsid w:val="008A78DF"/>
    <w:rsid w:val="008A7F08"/>
    <w:rsid w:val="008A7F0B"/>
    <w:rsid w:val="008B008F"/>
    <w:rsid w:val="008B0EBD"/>
    <w:rsid w:val="008B1734"/>
    <w:rsid w:val="008B298B"/>
    <w:rsid w:val="008B2EA0"/>
    <w:rsid w:val="008B2F8E"/>
    <w:rsid w:val="008B3C39"/>
    <w:rsid w:val="008B4B63"/>
    <w:rsid w:val="008B4DE0"/>
    <w:rsid w:val="008B533F"/>
    <w:rsid w:val="008B58CF"/>
    <w:rsid w:val="008B5FAE"/>
    <w:rsid w:val="008B676C"/>
    <w:rsid w:val="008B7075"/>
    <w:rsid w:val="008B75F3"/>
    <w:rsid w:val="008B76A5"/>
    <w:rsid w:val="008B79EC"/>
    <w:rsid w:val="008C03AE"/>
    <w:rsid w:val="008C0B35"/>
    <w:rsid w:val="008C15DE"/>
    <w:rsid w:val="008C18D7"/>
    <w:rsid w:val="008C2831"/>
    <w:rsid w:val="008C37F0"/>
    <w:rsid w:val="008C4214"/>
    <w:rsid w:val="008C4827"/>
    <w:rsid w:val="008C49DB"/>
    <w:rsid w:val="008C588E"/>
    <w:rsid w:val="008C5A3D"/>
    <w:rsid w:val="008C5A56"/>
    <w:rsid w:val="008C6C54"/>
    <w:rsid w:val="008C7504"/>
    <w:rsid w:val="008C7925"/>
    <w:rsid w:val="008D0004"/>
    <w:rsid w:val="008D0424"/>
    <w:rsid w:val="008D0902"/>
    <w:rsid w:val="008D0B37"/>
    <w:rsid w:val="008D0E5A"/>
    <w:rsid w:val="008D1E21"/>
    <w:rsid w:val="008D2246"/>
    <w:rsid w:val="008D282A"/>
    <w:rsid w:val="008D2DEF"/>
    <w:rsid w:val="008D3011"/>
    <w:rsid w:val="008D313A"/>
    <w:rsid w:val="008D352E"/>
    <w:rsid w:val="008D46F1"/>
    <w:rsid w:val="008D4E39"/>
    <w:rsid w:val="008D4F96"/>
    <w:rsid w:val="008D5833"/>
    <w:rsid w:val="008D592C"/>
    <w:rsid w:val="008D5AFB"/>
    <w:rsid w:val="008D5CC9"/>
    <w:rsid w:val="008D5E73"/>
    <w:rsid w:val="008D6FC8"/>
    <w:rsid w:val="008D759E"/>
    <w:rsid w:val="008E1905"/>
    <w:rsid w:val="008E1C95"/>
    <w:rsid w:val="008E2765"/>
    <w:rsid w:val="008E27DD"/>
    <w:rsid w:val="008E29EB"/>
    <w:rsid w:val="008E4E63"/>
    <w:rsid w:val="008E648D"/>
    <w:rsid w:val="008E6F35"/>
    <w:rsid w:val="008E6FF3"/>
    <w:rsid w:val="008E73F1"/>
    <w:rsid w:val="008E789D"/>
    <w:rsid w:val="008E7C86"/>
    <w:rsid w:val="008F05B5"/>
    <w:rsid w:val="008F1BF0"/>
    <w:rsid w:val="008F1C1C"/>
    <w:rsid w:val="008F2123"/>
    <w:rsid w:val="008F222C"/>
    <w:rsid w:val="008F4339"/>
    <w:rsid w:val="008F47C0"/>
    <w:rsid w:val="008F4DC0"/>
    <w:rsid w:val="008F57C7"/>
    <w:rsid w:val="008F5945"/>
    <w:rsid w:val="008F5B08"/>
    <w:rsid w:val="008F5DE1"/>
    <w:rsid w:val="008F61D1"/>
    <w:rsid w:val="008F6A4C"/>
    <w:rsid w:val="008F6B97"/>
    <w:rsid w:val="008F6C7F"/>
    <w:rsid w:val="008F6CE3"/>
    <w:rsid w:val="008F6E97"/>
    <w:rsid w:val="00900187"/>
    <w:rsid w:val="00900336"/>
    <w:rsid w:val="00900850"/>
    <w:rsid w:val="00901EFD"/>
    <w:rsid w:val="009029E2"/>
    <w:rsid w:val="00902CE3"/>
    <w:rsid w:val="009030EF"/>
    <w:rsid w:val="00903858"/>
    <w:rsid w:val="00903C4B"/>
    <w:rsid w:val="00903D1C"/>
    <w:rsid w:val="0090429E"/>
    <w:rsid w:val="00904309"/>
    <w:rsid w:val="009057CF"/>
    <w:rsid w:val="0090779D"/>
    <w:rsid w:val="0090799A"/>
    <w:rsid w:val="00907BD7"/>
    <w:rsid w:val="00907DD9"/>
    <w:rsid w:val="0091042A"/>
    <w:rsid w:val="00910A19"/>
    <w:rsid w:val="00910CAE"/>
    <w:rsid w:val="00911382"/>
    <w:rsid w:val="009113B8"/>
    <w:rsid w:val="00912D98"/>
    <w:rsid w:val="009139C7"/>
    <w:rsid w:val="00913B5B"/>
    <w:rsid w:val="00913CF0"/>
    <w:rsid w:val="00913F2D"/>
    <w:rsid w:val="00913F53"/>
    <w:rsid w:val="00914B20"/>
    <w:rsid w:val="00914BDD"/>
    <w:rsid w:val="00915683"/>
    <w:rsid w:val="00915738"/>
    <w:rsid w:val="00916CAB"/>
    <w:rsid w:val="00916E22"/>
    <w:rsid w:val="009201CA"/>
    <w:rsid w:val="00920750"/>
    <w:rsid w:val="00921452"/>
    <w:rsid w:val="00921BE5"/>
    <w:rsid w:val="00921DD3"/>
    <w:rsid w:val="00922134"/>
    <w:rsid w:val="00923522"/>
    <w:rsid w:val="009242F1"/>
    <w:rsid w:val="009245ED"/>
    <w:rsid w:val="009258A6"/>
    <w:rsid w:val="00925C33"/>
    <w:rsid w:val="0092609E"/>
    <w:rsid w:val="00926F9A"/>
    <w:rsid w:val="0092723E"/>
    <w:rsid w:val="0092754C"/>
    <w:rsid w:val="00930828"/>
    <w:rsid w:val="0093117F"/>
    <w:rsid w:val="009323AF"/>
    <w:rsid w:val="0093274D"/>
    <w:rsid w:val="00932B13"/>
    <w:rsid w:val="00933813"/>
    <w:rsid w:val="00933851"/>
    <w:rsid w:val="00934DAC"/>
    <w:rsid w:val="009358E7"/>
    <w:rsid w:val="0093624F"/>
    <w:rsid w:val="009364B0"/>
    <w:rsid w:val="0093728C"/>
    <w:rsid w:val="009407C9"/>
    <w:rsid w:val="009417A0"/>
    <w:rsid w:val="00941C78"/>
    <w:rsid w:val="00941DFE"/>
    <w:rsid w:val="009423FC"/>
    <w:rsid w:val="00942A53"/>
    <w:rsid w:val="009445A4"/>
    <w:rsid w:val="00945E60"/>
    <w:rsid w:val="009474B6"/>
    <w:rsid w:val="00947885"/>
    <w:rsid w:val="009507BA"/>
    <w:rsid w:val="0095122B"/>
    <w:rsid w:val="00951765"/>
    <w:rsid w:val="00953801"/>
    <w:rsid w:val="009542CF"/>
    <w:rsid w:val="009547A3"/>
    <w:rsid w:val="0095500A"/>
    <w:rsid w:val="0095602B"/>
    <w:rsid w:val="00956A6A"/>
    <w:rsid w:val="00956CE9"/>
    <w:rsid w:val="0095773E"/>
    <w:rsid w:val="00957830"/>
    <w:rsid w:val="009604F9"/>
    <w:rsid w:val="00960705"/>
    <w:rsid w:val="0096074F"/>
    <w:rsid w:val="009608DE"/>
    <w:rsid w:val="00960F4A"/>
    <w:rsid w:val="00960FE1"/>
    <w:rsid w:val="009624F0"/>
    <w:rsid w:val="00963F20"/>
    <w:rsid w:val="00964189"/>
    <w:rsid w:val="00964C27"/>
    <w:rsid w:val="00965084"/>
    <w:rsid w:val="00965E60"/>
    <w:rsid w:val="00965EA1"/>
    <w:rsid w:val="00966C00"/>
    <w:rsid w:val="00966E47"/>
    <w:rsid w:val="009671B9"/>
    <w:rsid w:val="00967333"/>
    <w:rsid w:val="00967380"/>
    <w:rsid w:val="009706AF"/>
    <w:rsid w:val="0097140B"/>
    <w:rsid w:val="0097181F"/>
    <w:rsid w:val="00971FB0"/>
    <w:rsid w:val="009728C4"/>
    <w:rsid w:val="00972CDA"/>
    <w:rsid w:val="009734E9"/>
    <w:rsid w:val="00973DD0"/>
    <w:rsid w:val="00973FB8"/>
    <w:rsid w:val="0097447F"/>
    <w:rsid w:val="00974DC8"/>
    <w:rsid w:val="00975563"/>
    <w:rsid w:val="00975745"/>
    <w:rsid w:val="00975990"/>
    <w:rsid w:val="009760EC"/>
    <w:rsid w:val="009764B0"/>
    <w:rsid w:val="00976720"/>
    <w:rsid w:val="00976983"/>
    <w:rsid w:val="00977125"/>
    <w:rsid w:val="00977492"/>
    <w:rsid w:val="00977B14"/>
    <w:rsid w:val="0098106D"/>
    <w:rsid w:val="009811BF"/>
    <w:rsid w:val="009817D9"/>
    <w:rsid w:val="0098384C"/>
    <w:rsid w:val="00984075"/>
    <w:rsid w:val="0098457A"/>
    <w:rsid w:val="009846A5"/>
    <w:rsid w:val="00984FD3"/>
    <w:rsid w:val="0098591F"/>
    <w:rsid w:val="00985B7E"/>
    <w:rsid w:val="00985DE0"/>
    <w:rsid w:val="009860D5"/>
    <w:rsid w:val="00986142"/>
    <w:rsid w:val="0098632C"/>
    <w:rsid w:val="00986618"/>
    <w:rsid w:val="00986816"/>
    <w:rsid w:val="0098696E"/>
    <w:rsid w:val="00987311"/>
    <w:rsid w:val="00987D84"/>
    <w:rsid w:val="009901EF"/>
    <w:rsid w:val="009908F8"/>
    <w:rsid w:val="0099113C"/>
    <w:rsid w:val="009918F2"/>
    <w:rsid w:val="00991BAC"/>
    <w:rsid w:val="009927E9"/>
    <w:rsid w:val="00992F55"/>
    <w:rsid w:val="00993153"/>
    <w:rsid w:val="00993904"/>
    <w:rsid w:val="00993A56"/>
    <w:rsid w:val="0099538D"/>
    <w:rsid w:val="00995767"/>
    <w:rsid w:val="00995E33"/>
    <w:rsid w:val="00995F3C"/>
    <w:rsid w:val="009967C6"/>
    <w:rsid w:val="009976EB"/>
    <w:rsid w:val="009A06E0"/>
    <w:rsid w:val="009A0A4D"/>
    <w:rsid w:val="009A11A4"/>
    <w:rsid w:val="009A14E6"/>
    <w:rsid w:val="009A1BAA"/>
    <w:rsid w:val="009A1DD4"/>
    <w:rsid w:val="009A385F"/>
    <w:rsid w:val="009A413E"/>
    <w:rsid w:val="009A421E"/>
    <w:rsid w:val="009A443E"/>
    <w:rsid w:val="009A4677"/>
    <w:rsid w:val="009A4767"/>
    <w:rsid w:val="009A627D"/>
    <w:rsid w:val="009A7847"/>
    <w:rsid w:val="009B01C2"/>
    <w:rsid w:val="009B1B0C"/>
    <w:rsid w:val="009B220B"/>
    <w:rsid w:val="009B25DF"/>
    <w:rsid w:val="009B26D3"/>
    <w:rsid w:val="009B2D89"/>
    <w:rsid w:val="009B3481"/>
    <w:rsid w:val="009B38D1"/>
    <w:rsid w:val="009B3B50"/>
    <w:rsid w:val="009B3E09"/>
    <w:rsid w:val="009B40FC"/>
    <w:rsid w:val="009B46EC"/>
    <w:rsid w:val="009B4AB4"/>
    <w:rsid w:val="009B538F"/>
    <w:rsid w:val="009B554A"/>
    <w:rsid w:val="009B6476"/>
    <w:rsid w:val="009B6652"/>
    <w:rsid w:val="009B7195"/>
    <w:rsid w:val="009B7451"/>
    <w:rsid w:val="009B77ED"/>
    <w:rsid w:val="009B7891"/>
    <w:rsid w:val="009B7A55"/>
    <w:rsid w:val="009C1938"/>
    <w:rsid w:val="009C1B18"/>
    <w:rsid w:val="009C1CE4"/>
    <w:rsid w:val="009C2724"/>
    <w:rsid w:val="009C2E06"/>
    <w:rsid w:val="009C3109"/>
    <w:rsid w:val="009C36CB"/>
    <w:rsid w:val="009C40D5"/>
    <w:rsid w:val="009C500A"/>
    <w:rsid w:val="009C5273"/>
    <w:rsid w:val="009C7380"/>
    <w:rsid w:val="009C7661"/>
    <w:rsid w:val="009C7858"/>
    <w:rsid w:val="009D06B7"/>
    <w:rsid w:val="009D1237"/>
    <w:rsid w:val="009D1E85"/>
    <w:rsid w:val="009D2751"/>
    <w:rsid w:val="009D2A96"/>
    <w:rsid w:val="009D408D"/>
    <w:rsid w:val="009D4C08"/>
    <w:rsid w:val="009D4DDF"/>
    <w:rsid w:val="009D6214"/>
    <w:rsid w:val="009D6483"/>
    <w:rsid w:val="009D68B1"/>
    <w:rsid w:val="009D6BF4"/>
    <w:rsid w:val="009D6C94"/>
    <w:rsid w:val="009D6D07"/>
    <w:rsid w:val="009D7981"/>
    <w:rsid w:val="009E021C"/>
    <w:rsid w:val="009E11E7"/>
    <w:rsid w:val="009E1416"/>
    <w:rsid w:val="009E1BCA"/>
    <w:rsid w:val="009E21F6"/>
    <w:rsid w:val="009E2AEC"/>
    <w:rsid w:val="009E2BD8"/>
    <w:rsid w:val="009E2C3D"/>
    <w:rsid w:val="009E2D09"/>
    <w:rsid w:val="009E3C34"/>
    <w:rsid w:val="009E5512"/>
    <w:rsid w:val="009E5EA1"/>
    <w:rsid w:val="009E633F"/>
    <w:rsid w:val="009E78C3"/>
    <w:rsid w:val="009F0E4B"/>
    <w:rsid w:val="009F14A7"/>
    <w:rsid w:val="009F1B21"/>
    <w:rsid w:val="009F2117"/>
    <w:rsid w:val="009F2456"/>
    <w:rsid w:val="009F2E6D"/>
    <w:rsid w:val="009F3671"/>
    <w:rsid w:val="009F36CF"/>
    <w:rsid w:val="009F4528"/>
    <w:rsid w:val="009F503A"/>
    <w:rsid w:val="009F68F7"/>
    <w:rsid w:val="009F7B17"/>
    <w:rsid w:val="00A00890"/>
    <w:rsid w:val="00A00AF6"/>
    <w:rsid w:val="00A00B75"/>
    <w:rsid w:val="00A01053"/>
    <w:rsid w:val="00A02C5A"/>
    <w:rsid w:val="00A02DA9"/>
    <w:rsid w:val="00A0394A"/>
    <w:rsid w:val="00A039BE"/>
    <w:rsid w:val="00A04077"/>
    <w:rsid w:val="00A04160"/>
    <w:rsid w:val="00A05113"/>
    <w:rsid w:val="00A054F4"/>
    <w:rsid w:val="00A057B7"/>
    <w:rsid w:val="00A0614A"/>
    <w:rsid w:val="00A0614C"/>
    <w:rsid w:val="00A063BF"/>
    <w:rsid w:val="00A06EE3"/>
    <w:rsid w:val="00A07A2B"/>
    <w:rsid w:val="00A07FA0"/>
    <w:rsid w:val="00A10EF2"/>
    <w:rsid w:val="00A11445"/>
    <w:rsid w:val="00A11830"/>
    <w:rsid w:val="00A11EA7"/>
    <w:rsid w:val="00A12576"/>
    <w:rsid w:val="00A127B9"/>
    <w:rsid w:val="00A132F6"/>
    <w:rsid w:val="00A14979"/>
    <w:rsid w:val="00A14C32"/>
    <w:rsid w:val="00A1539C"/>
    <w:rsid w:val="00A16E23"/>
    <w:rsid w:val="00A17710"/>
    <w:rsid w:val="00A1783A"/>
    <w:rsid w:val="00A20389"/>
    <w:rsid w:val="00A207FC"/>
    <w:rsid w:val="00A20B99"/>
    <w:rsid w:val="00A214E8"/>
    <w:rsid w:val="00A221DE"/>
    <w:rsid w:val="00A22C9B"/>
    <w:rsid w:val="00A22E65"/>
    <w:rsid w:val="00A2322B"/>
    <w:rsid w:val="00A23DC4"/>
    <w:rsid w:val="00A24133"/>
    <w:rsid w:val="00A248FD"/>
    <w:rsid w:val="00A250B1"/>
    <w:rsid w:val="00A26DEB"/>
    <w:rsid w:val="00A27507"/>
    <w:rsid w:val="00A275AF"/>
    <w:rsid w:val="00A2771E"/>
    <w:rsid w:val="00A27742"/>
    <w:rsid w:val="00A27C7A"/>
    <w:rsid w:val="00A27DF5"/>
    <w:rsid w:val="00A302CA"/>
    <w:rsid w:val="00A309EE"/>
    <w:rsid w:val="00A3102C"/>
    <w:rsid w:val="00A31056"/>
    <w:rsid w:val="00A3242E"/>
    <w:rsid w:val="00A324EB"/>
    <w:rsid w:val="00A32E5B"/>
    <w:rsid w:val="00A33B75"/>
    <w:rsid w:val="00A353FA"/>
    <w:rsid w:val="00A35FF3"/>
    <w:rsid w:val="00A36700"/>
    <w:rsid w:val="00A36E47"/>
    <w:rsid w:val="00A36E8B"/>
    <w:rsid w:val="00A4091C"/>
    <w:rsid w:val="00A41A61"/>
    <w:rsid w:val="00A41E15"/>
    <w:rsid w:val="00A427CB"/>
    <w:rsid w:val="00A42AD8"/>
    <w:rsid w:val="00A43808"/>
    <w:rsid w:val="00A43F51"/>
    <w:rsid w:val="00A44294"/>
    <w:rsid w:val="00A4484B"/>
    <w:rsid w:val="00A448DE"/>
    <w:rsid w:val="00A4552D"/>
    <w:rsid w:val="00A467A7"/>
    <w:rsid w:val="00A46D50"/>
    <w:rsid w:val="00A46F1D"/>
    <w:rsid w:val="00A47133"/>
    <w:rsid w:val="00A50895"/>
    <w:rsid w:val="00A510B5"/>
    <w:rsid w:val="00A511A4"/>
    <w:rsid w:val="00A5140B"/>
    <w:rsid w:val="00A51435"/>
    <w:rsid w:val="00A52506"/>
    <w:rsid w:val="00A5252C"/>
    <w:rsid w:val="00A52802"/>
    <w:rsid w:val="00A52BFC"/>
    <w:rsid w:val="00A535F8"/>
    <w:rsid w:val="00A54DA8"/>
    <w:rsid w:val="00A5528F"/>
    <w:rsid w:val="00A55607"/>
    <w:rsid w:val="00A55A3D"/>
    <w:rsid w:val="00A55B67"/>
    <w:rsid w:val="00A55E35"/>
    <w:rsid w:val="00A565A2"/>
    <w:rsid w:val="00A607E7"/>
    <w:rsid w:val="00A60E6F"/>
    <w:rsid w:val="00A622D7"/>
    <w:rsid w:val="00A628EE"/>
    <w:rsid w:val="00A63794"/>
    <w:rsid w:val="00A637E4"/>
    <w:rsid w:val="00A63BB3"/>
    <w:rsid w:val="00A63EAD"/>
    <w:rsid w:val="00A64039"/>
    <w:rsid w:val="00A641FB"/>
    <w:rsid w:val="00A646DB"/>
    <w:rsid w:val="00A64C1D"/>
    <w:rsid w:val="00A65046"/>
    <w:rsid w:val="00A65510"/>
    <w:rsid w:val="00A65E8A"/>
    <w:rsid w:val="00A663AE"/>
    <w:rsid w:val="00A6671B"/>
    <w:rsid w:val="00A66D8B"/>
    <w:rsid w:val="00A66E07"/>
    <w:rsid w:val="00A67490"/>
    <w:rsid w:val="00A67597"/>
    <w:rsid w:val="00A6768A"/>
    <w:rsid w:val="00A677B1"/>
    <w:rsid w:val="00A67C03"/>
    <w:rsid w:val="00A67D58"/>
    <w:rsid w:val="00A67DF2"/>
    <w:rsid w:val="00A67E43"/>
    <w:rsid w:val="00A70B62"/>
    <w:rsid w:val="00A70FDB"/>
    <w:rsid w:val="00A715A8"/>
    <w:rsid w:val="00A718E4"/>
    <w:rsid w:val="00A71D8C"/>
    <w:rsid w:val="00A71F02"/>
    <w:rsid w:val="00A7294D"/>
    <w:rsid w:val="00A72960"/>
    <w:rsid w:val="00A72AAF"/>
    <w:rsid w:val="00A72B41"/>
    <w:rsid w:val="00A7336A"/>
    <w:rsid w:val="00A73694"/>
    <w:rsid w:val="00A736E4"/>
    <w:rsid w:val="00A742A0"/>
    <w:rsid w:val="00A7454A"/>
    <w:rsid w:val="00A74DC1"/>
    <w:rsid w:val="00A75613"/>
    <w:rsid w:val="00A760F2"/>
    <w:rsid w:val="00A7665E"/>
    <w:rsid w:val="00A76F59"/>
    <w:rsid w:val="00A81BB5"/>
    <w:rsid w:val="00A8265E"/>
    <w:rsid w:val="00A82EEA"/>
    <w:rsid w:val="00A837E2"/>
    <w:rsid w:val="00A839AA"/>
    <w:rsid w:val="00A83DA6"/>
    <w:rsid w:val="00A85287"/>
    <w:rsid w:val="00A85349"/>
    <w:rsid w:val="00A86318"/>
    <w:rsid w:val="00A8638D"/>
    <w:rsid w:val="00A86B5B"/>
    <w:rsid w:val="00A87635"/>
    <w:rsid w:val="00A87CBE"/>
    <w:rsid w:val="00A87F74"/>
    <w:rsid w:val="00A9019A"/>
    <w:rsid w:val="00A911B8"/>
    <w:rsid w:val="00A9296B"/>
    <w:rsid w:val="00A92F37"/>
    <w:rsid w:val="00A930B0"/>
    <w:rsid w:val="00A93594"/>
    <w:rsid w:val="00A9366F"/>
    <w:rsid w:val="00A93A50"/>
    <w:rsid w:val="00A9403C"/>
    <w:rsid w:val="00A948F5"/>
    <w:rsid w:val="00A94D38"/>
    <w:rsid w:val="00A965E2"/>
    <w:rsid w:val="00A96649"/>
    <w:rsid w:val="00A966FB"/>
    <w:rsid w:val="00A9692C"/>
    <w:rsid w:val="00A96BED"/>
    <w:rsid w:val="00A96DA8"/>
    <w:rsid w:val="00A979E1"/>
    <w:rsid w:val="00AA1111"/>
    <w:rsid w:val="00AA1C71"/>
    <w:rsid w:val="00AA21B8"/>
    <w:rsid w:val="00AA21E1"/>
    <w:rsid w:val="00AA2D12"/>
    <w:rsid w:val="00AA2DB9"/>
    <w:rsid w:val="00AA454C"/>
    <w:rsid w:val="00AA50F3"/>
    <w:rsid w:val="00AA51D9"/>
    <w:rsid w:val="00AA5F4F"/>
    <w:rsid w:val="00AA5F82"/>
    <w:rsid w:val="00AA6378"/>
    <w:rsid w:val="00AA6E54"/>
    <w:rsid w:val="00AA6EBF"/>
    <w:rsid w:val="00AA7BE0"/>
    <w:rsid w:val="00AB03E2"/>
    <w:rsid w:val="00AB0BD9"/>
    <w:rsid w:val="00AB16FB"/>
    <w:rsid w:val="00AB263C"/>
    <w:rsid w:val="00AB3DD3"/>
    <w:rsid w:val="00AB438F"/>
    <w:rsid w:val="00AB43EF"/>
    <w:rsid w:val="00AB557F"/>
    <w:rsid w:val="00AB5D9C"/>
    <w:rsid w:val="00AB603E"/>
    <w:rsid w:val="00AB6D96"/>
    <w:rsid w:val="00AB74BD"/>
    <w:rsid w:val="00AB7F40"/>
    <w:rsid w:val="00AC13F9"/>
    <w:rsid w:val="00AC1925"/>
    <w:rsid w:val="00AC1A52"/>
    <w:rsid w:val="00AC21C9"/>
    <w:rsid w:val="00AC301D"/>
    <w:rsid w:val="00AC3575"/>
    <w:rsid w:val="00AC36B6"/>
    <w:rsid w:val="00AC3A47"/>
    <w:rsid w:val="00AC3E3D"/>
    <w:rsid w:val="00AC4D60"/>
    <w:rsid w:val="00AC507E"/>
    <w:rsid w:val="00AC61AA"/>
    <w:rsid w:val="00AC645B"/>
    <w:rsid w:val="00AC6AF7"/>
    <w:rsid w:val="00AC73EF"/>
    <w:rsid w:val="00AC76BE"/>
    <w:rsid w:val="00AC786A"/>
    <w:rsid w:val="00AC7FED"/>
    <w:rsid w:val="00AD039F"/>
    <w:rsid w:val="00AD079C"/>
    <w:rsid w:val="00AD0EEC"/>
    <w:rsid w:val="00AD1134"/>
    <w:rsid w:val="00AD12B9"/>
    <w:rsid w:val="00AD1714"/>
    <w:rsid w:val="00AD23B3"/>
    <w:rsid w:val="00AD29CC"/>
    <w:rsid w:val="00AD2E6D"/>
    <w:rsid w:val="00AD3BA0"/>
    <w:rsid w:val="00AD4844"/>
    <w:rsid w:val="00AD6E89"/>
    <w:rsid w:val="00AE0F21"/>
    <w:rsid w:val="00AE127A"/>
    <w:rsid w:val="00AE18F8"/>
    <w:rsid w:val="00AE1D88"/>
    <w:rsid w:val="00AE256F"/>
    <w:rsid w:val="00AE2F6E"/>
    <w:rsid w:val="00AE30B0"/>
    <w:rsid w:val="00AE31B2"/>
    <w:rsid w:val="00AE32C0"/>
    <w:rsid w:val="00AE4311"/>
    <w:rsid w:val="00AE58DE"/>
    <w:rsid w:val="00AE5970"/>
    <w:rsid w:val="00AE66F7"/>
    <w:rsid w:val="00AE6C1D"/>
    <w:rsid w:val="00AE724D"/>
    <w:rsid w:val="00AE750C"/>
    <w:rsid w:val="00AE7B82"/>
    <w:rsid w:val="00AE7EA3"/>
    <w:rsid w:val="00AF08C6"/>
    <w:rsid w:val="00AF23DD"/>
    <w:rsid w:val="00AF274C"/>
    <w:rsid w:val="00AF2A23"/>
    <w:rsid w:val="00AF2A3B"/>
    <w:rsid w:val="00AF33DF"/>
    <w:rsid w:val="00AF3611"/>
    <w:rsid w:val="00AF4BC0"/>
    <w:rsid w:val="00AF4F32"/>
    <w:rsid w:val="00AF5E32"/>
    <w:rsid w:val="00AF5ED6"/>
    <w:rsid w:val="00AF60F2"/>
    <w:rsid w:val="00AF68F7"/>
    <w:rsid w:val="00AF6951"/>
    <w:rsid w:val="00AF7923"/>
    <w:rsid w:val="00AF7D41"/>
    <w:rsid w:val="00B0082F"/>
    <w:rsid w:val="00B00DDC"/>
    <w:rsid w:val="00B0158F"/>
    <w:rsid w:val="00B015E5"/>
    <w:rsid w:val="00B01A6C"/>
    <w:rsid w:val="00B02025"/>
    <w:rsid w:val="00B0224E"/>
    <w:rsid w:val="00B025A7"/>
    <w:rsid w:val="00B0269A"/>
    <w:rsid w:val="00B02A65"/>
    <w:rsid w:val="00B03880"/>
    <w:rsid w:val="00B04040"/>
    <w:rsid w:val="00B043C1"/>
    <w:rsid w:val="00B046AB"/>
    <w:rsid w:val="00B046C1"/>
    <w:rsid w:val="00B0507A"/>
    <w:rsid w:val="00B05F26"/>
    <w:rsid w:val="00B063D0"/>
    <w:rsid w:val="00B069BF"/>
    <w:rsid w:val="00B0700D"/>
    <w:rsid w:val="00B075DF"/>
    <w:rsid w:val="00B11988"/>
    <w:rsid w:val="00B135AC"/>
    <w:rsid w:val="00B1362E"/>
    <w:rsid w:val="00B14083"/>
    <w:rsid w:val="00B15AFC"/>
    <w:rsid w:val="00B15B45"/>
    <w:rsid w:val="00B15F95"/>
    <w:rsid w:val="00B16120"/>
    <w:rsid w:val="00B16969"/>
    <w:rsid w:val="00B16D60"/>
    <w:rsid w:val="00B16DCD"/>
    <w:rsid w:val="00B16F32"/>
    <w:rsid w:val="00B17801"/>
    <w:rsid w:val="00B17969"/>
    <w:rsid w:val="00B2005C"/>
    <w:rsid w:val="00B2027B"/>
    <w:rsid w:val="00B20BCD"/>
    <w:rsid w:val="00B20C87"/>
    <w:rsid w:val="00B20DF2"/>
    <w:rsid w:val="00B20EA7"/>
    <w:rsid w:val="00B20EFE"/>
    <w:rsid w:val="00B21073"/>
    <w:rsid w:val="00B2184B"/>
    <w:rsid w:val="00B2193E"/>
    <w:rsid w:val="00B22BD8"/>
    <w:rsid w:val="00B23E72"/>
    <w:rsid w:val="00B2410C"/>
    <w:rsid w:val="00B24726"/>
    <w:rsid w:val="00B24EC6"/>
    <w:rsid w:val="00B24F84"/>
    <w:rsid w:val="00B25F53"/>
    <w:rsid w:val="00B27608"/>
    <w:rsid w:val="00B305AD"/>
    <w:rsid w:val="00B309D3"/>
    <w:rsid w:val="00B30ED0"/>
    <w:rsid w:val="00B31CBE"/>
    <w:rsid w:val="00B32696"/>
    <w:rsid w:val="00B32DE7"/>
    <w:rsid w:val="00B34E9F"/>
    <w:rsid w:val="00B35A90"/>
    <w:rsid w:val="00B362A1"/>
    <w:rsid w:val="00B36BFF"/>
    <w:rsid w:val="00B37C1D"/>
    <w:rsid w:val="00B4017E"/>
    <w:rsid w:val="00B41EE1"/>
    <w:rsid w:val="00B44076"/>
    <w:rsid w:val="00B440B1"/>
    <w:rsid w:val="00B46C45"/>
    <w:rsid w:val="00B46D9E"/>
    <w:rsid w:val="00B4707E"/>
    <w:rsid w:val="00B47723"/>
    <w:rsid w:val="00B47BB0"/>
    <w:rsid w:val="00B5011C"/>
    <w:rsid w:val="00B50165"/>
    <w:rsid w:val="00B50720"/>
    <w:rsid w:val="00B518A4"/>
    <w:rsid w:val="00B51DD3"/>
    <w:rsid w:val="00B522C2"/>
    <w:rsid w:val="00B526C7"/>
    <w:rsid w:val="00B5361A"/>
    <w:rsid w:val="00B53949"/>
    <w:rsid w:val="00B5396D"/>
    <w:rsid w:val="00B53ACA"/>
    <w:rsid w:val="00B5458B"/>
    <w:rsid w:val="00B54D5A"/>
    <w:rsid w:val="00B56764"/>
    <w:rsid w:val="00B60788"/>
    <w:rsid w:val="00B6100C"/>
    <w:rsid w:val="00B61040"/>
    <w:rsid w:val="00B613ED"/>
    <w:rsid w:val="00B62253"/>
    <w:rsid w:val="00B623AB"/>
    <w:rsid w:val="00B623EB"/>
    <w:rsid w:val="00B62494"/>
    <w:rsid w:val="00B62755"/>
    <w:rsid w:val="00B629E9"/>
    <w:rsid w:val="00B62B20"/>
    <w:rsid w:val="00B6324E"/>
    <w:rsid w:val="00B63F2A"/>
    <w:rsid w:val="00B643D1"/>
    <w:rsid w:val="00B64869"/>
    <w:rsid w:val="00B65077"/>
    <w:rsid w:val="00B65EFE"/>
    <w:rsid w:val="00B66947"/>
    <w:rsid w:val="00B6699D"/>
    <w:rsid w:val="00B66B58"/>
    <w:rsid w:val="00B66CD6"/>
    <w:rsid w:val="00B66E14"/>
    <w:rsid w:val="00B66F79"/>
    <w:rsid w:val="00B6715F"/>
    <w:rsid w:val="00B6763A"/>
    <w:rsid w:val="00B70BC2"/>
    <w:rsid w:val="00B70F34"/>
    <w:rsid w:val="00B719D3"/>
    <w:rsid w:val="00B723E1"/>
    <w:rsid w:val="00B72E10"/>
    <w:rsid w:val="00B74A75"/>
    <w:rsid w:val="00B75342"/>
    <w:rsid w:val="00B75554"/>
    <w:rsid w:val="00B756A1"/>
    <w:rsid w:val="00B75876"/>
    <w:rsid w:val="00B75A59"/>
    <w:rsid w:val="00B75B9A"/>
    <w:rsid w:val="00B75F81"/>
    <w:rsid w:val="00B76261"/>
    <w:rsid w:val="00B7667C"/>
    <w:rsid w:val="00B76796"/>
    <w:rsid w:val="00B76865"/>
    <w:rsid w:val="00B76DB6"/>
    <w:rsid w:val="00B76FA0"/>
    <w:rsid w:val="00B8003B"/>
    <w:rsid w:val="00B80293"/>
    <w:rsid w:val="00B817E5"/>
    <w:rsid w:val="00B81822"/>
    <w:rsid w:val="00B81DE7"/>
    <w:rsid w:val="00B83493"/>
    <w:rsid w:val="00B84184"/>
    <w:rsid w:val="00B84C1C"/>
    <w:rsid w:val="00B85EF9"/>
    <w:rsid w:val="00B87304"/>
    <w:rsid w:val="00B8765F"/>
    <w:rsid w:val="00B87AD3"/>
    <w:rsid w:val="00B87DEA"/>
    <w:rsid w:val="00B90084"/>
    <w:rsid w:val="00B90F20"/>
    <w:rsid w:val="00B91136"/>
    <w:rsid w:val="00B92EBA"/>
    <w:rsid w:val="00B9360F"/>
    <w:rsid w:val="00B93B5B"/>
    <w:rsid w:val="00B94457"/>
    <w:rsid w:val="00B94FB3"/>
    <w:rsid w:val="00B95226"/>
    <w:rsid w:val="00B9616C"/>
    <w:rsid w:val="00B97018"/>
    <w:rsid w:val="00B974D6"/>
    <w:rsid w:val="00B97946"/>
    <w:rsid w:val="00BA0645"/>
    <w:rsid w:val="00BA1194"/>
    <w:rsid w:val="00BA194E"/>
    <w:rsid w:val="00BA25F3"/>
    <w:rsid w:val="00BA2D5A"/>
    <w:rsid w:val="00BA3414"/>
    <w:rsid w:val="00BA3E73"/>
    <w:rsid w:val="00BA3EFA"/>
    <w:rsid w:val="00BA637C"/>
    <w:rsid w:val="00BA6E9F"/>
    <w:rsid w:val="00BA7A2C"/>
    <w:rsid w:val="00BB145C"/>
    <w:rsid w:val="00BB18F9"/>
    <w:rsid w:val="00BB1A4B"/>
    <w:rsid w:val="00BB206E"/>
    <w:rsid w:val="00BB271B"/>
    <w:rsid w:val="00BB2A00"/>
    <w:rsid w:val="00BB3007"/>
    <w:rsid w:val="00BB31C9"/>
    <w:rsid w:val="00BB3DCD"/>
    <w:rsid w:val="00BB4759"/>
    <w:rsid w:val="00BB4CE9"/>
    <w:rsid w:val="00BB50D3"/>
    <w:rsid w:val="00BB6FCF"/>
    <w:rsid w:val="00BB75D3"/>
    <w:rsid w:val="00BB7911"/>
    <w:rsid w:val="00BB79A8"/>
    <w:rsid w:val="00BB7EFB"/>
    <w:rsid w:val="00BB7F2E"/>
    <w:rsid w:val="00BC0702"/>
    <w:rsid w:val="00BC0712"/>
    <w:rsid w:val="00BC09FD"/>
    <w:rsid w:val="00BC11D9"/>
    <w:rsid w:val="00BC1991"/>
    <w:rsid w:val="00BC28E7"/>
    <w:rsid w:val="00BC2EB7"/>
    <w:rsid w:val="00BC3848"/>
    <w:rsid w:val="00BC3AAD"/>
    <w:rsid w:val="00BC3E36"/>
    <w:rsid w:val="00BC40FD"/>
    <w:rsid w:val="00BC549A"/>
    <w:rsid w:val="00BC55A4"/>
    <w:rsid w:val="00BC5B2F"/>
    <w:rsid w:val="00BC5BB7"/>
    <w:rsid w:val="00BC6417"/>
    <w:rsid w:val="00BC69E1"/>
    <w:rsid w:val="00BC715E"/>
    <w:rsid w:val="00BC7C0D"/>
    <w:rsid w:val="00BD0BE1"/>
    <w:rsid w:val="00BD1D98"/>
    <w:rsid w:val="00BD3EA4"/>
    <w:rsid w:val="00BD4478"/>
    <w:rsid w:val="00BD4516"/>
    <w:rsid w:val="00BD51A0"/>
    <w:rsid w:val="00BD565F"/>
    <w:rsid w:val="00BD6797"/>
    <w:rsid w:val="00BD68DC"/>
    <w:rsid w:val="00BD6B9C"/>
    <w:rsid w:val="00BD7177"/>
    <w:rsid w:val="00BD7A23"/>
    <w:rsid w:val="00BD7C15"/>
    <w:rsid w:val="00BD7E70"/>
    <w:rsid w:val="00BD7EDE"/>
    <w:rsid w:val="00BE0D56"/>
    <w:rsid w:val="00BE0DA2"/>
    <w:rsid w:val="00BE1974"/>
    <w:rsid w:val="00BE1A6E"/>
    <w:rsid w:val="00BE1F85"/>
    <w:rsid w:val="00BE2F81"/>
    <w:rsid w:val="00BE4063"/>
    <w:rsid w:val="00BE4144"/>
    <w:rsid w:val="00BE4EB0"/>
    <w:rsid w:val="00BE5544"/>
    <w:rsid w:val="00BE58F1"/>
    <w:rsid w:val="00BE5AFA"/>
    <w:rsid w:val="00BE61BE"/>
    <w:rsid w:val="00BE744D"/>
    <w:rsid w:val="00BE7D2B"/>
    <w:rsid w:val="00BF099A"/>
    <w:rsid w:val="00BF1341"/>
    <w:rsid w:val="00BF18D6"/>
    <w:rsid w:val="00BF23DC"/>
    <w:rsid w:val="00BF26B8"/>
    <w:rsid w:val="00BF27E9"/>
    <w:rsid w:val="00BF2ED0"/>
    <w:rsid w:val="00BF31B3"/>
    <w:rsid w:val="00BF32CF"/>
    <w:rsid w:val="00BF341A"/>
    <w:rsid w:val="00BF3D30"/>
    <w:rsid w:val="00BF4815"/>
    <w:rsid w:val="00BF516B"/>
    <w:rsid w:val="00BF6DAA"/>
    <w:rsid w:val="00BF77F7"/>
    <w:rsid w:val="00C00F8F"/>
    <w:rsid w:val="00C027FD"/>
    <w:rsid w:val="00C02A13"/>
    <w:rsid w:val="00C02C2C"/>
    <w:rsid w:val="00C02E9B"/>
    <w:rsid w:val="00C042FC"/>
    <w:rsid w:val="00C042FE"/>
    <w:rsid w:val="00C04B55"/>
    <w:rsid w:val="00C04B84"/>
    <w:rsid w:val="00C05A9C"/>
    <w:rsid w:val="00C0617B"/>
    <w:rsid w:val="00C070CC"/>
    <w:rsid w:val="00C07D84"/>
    <w:rsid w:val="00C07EFA"/>
    <w:rsid w:val="00C10943"/>
    <w:rsid w:val="00C11071"/>
    <w:rsid w:val="00C11389"/>
    <w:rsid w:val="00C1373E"/>
    <w:rsid w:val="00C13934"/>
    <w:rsid w:val="00C139B4"/>
    <w:rsid w:val="00C13C81"/>
    <w:rsid w:val="00C14180"/>
    <w:rsid w:val="00C14C89"/>
    <w:rsid w:val="00C15C69"/>
    <w:rsid w:val="00C173C9"/>
    <w:rsid w:val="00C17D0A"/>
    <w:rsid w:val="00C20369"/>
    <w:rsid w:val="00C2074B"/>
    <w:rsid w:val="00C21A27"/>
    <w:rsid w:val="00C23579"/>
    <w:rsid w:val="00C2369A"/>
    <w:rsid w:val="00C237A8"/>
    <w:rsid w:val="00C23CD1"/>
    <w:rsid w:val="00C243D1"/>
    <w:rsid w:val="00C24FDB"/>
    <w:rsid w:val="00C25096"/>
    <w:rsid w:val="00C251A4"/>
    <w:rsid w:val="00C252E7"/>
    <w:rsid w:val="00C2587D"/>
    <w:rsid w:val="00C25A1C"/>
    <w:rsid w:val="00C25CB8"/>
    <w:rsid w:val="00C26163"/>
    <w:rsid w:val="00C302F3"/>
    <w:rsid w:val="00C31C17"/>
    <w:rsid w:val="00C3204D"/>
    <w:rsid w:val="00C323DE"/>
    <w:rsid w:val="00C3282F"/>
    <w:rsid w:val="00C32F9F"/>
    <w:rsid w:val="00C335BF"/>
    <w:rsid w:val="00C339E6"/>
    <w:rsid w:val="00C33FFF"/>
    <w:rsid w:val="00C347F8"/>
    <w:rsid w:val="00C3528E"/>
    <w:rsid w:val="00C35B05"/>
    <w:rsid w:val="00C35CC2"/>
    <w:rsid w:val="00C367B5"/>
    <w:rsid w:val="00C367D7"/>
    <w:rsid w:val="00C36B31"/>
    <w:rsid w:val="00C37AC4"/>
    <w:rsid w:val="00C409C8"/>
    <w:rsid w:val="00C40E84"/>
    <w:rsid w:val="00C418E7"/>
    <w:rsid w:val="00C41BC7"/>
    <w:rsid w:val="00C423D8"/>
    <w:rsid w:val="00C42EBB"/>
    <w:rsid w:val="00C43F9C"/>
    <w:rsid w:val="00C4419E"/>
    <w:rsid w:val="00C44436"/>
    <w:rsid w:val="00C44799"/>
    <w:rsid w:val="00C44A60"/>
    <w:rsid w:val="00C45551"/>
    <w:rsid w:val="00C45888"/>
    <w:rsid w:val="00C45B00"/>
    <w:rsid w:val="00C466AE"/>
    <w:rsid w:val="00C4707C"/>
    <w:rsid w:val="00C47BED"/>
    <w:rsid w:val="00C50DCE"/>
    <w:rsid w:val="00C515CA"/>
    <w:rsid w:val="00C51CA3"/>
    <w:rsid w:val="00C51DC1"/>
    <w:rsid w:val="00C53672"/>
    <w:rsid w:val="00C54BA6"/>
    <w:rsid w:val="00C5535E"/>
    <w:rsid w:val="00C55A14"/>
    <w:rsid w:val="00C55B11"/>
    <w:rsid w:val="00C563CA"/>
    <w:rsid w:val="00C56801"/>
    <w:rsid w:val="00C56E94"/>
    <w:rsid w:val="00C60105"/>
    <w:rsid w:val="00C602AC"/>
    <w:rsid w:val="00C60CEA"/>
    <w:rsid w:val="00C614A2"/>
    <w:rsid w:val="00C618E7"/>
    <w:rsid w:val="00C62C1F"/>
    <w:rsid w:val="00C637BA"/>
    <w:rsid w:val="00C643E8"/>
    <w:rsid w:val="00C647AD"/>
    <w:rsid w:val="00C64E65"/>
    <w:rsid w:val="00C652FD"/>
    <w:rsid w:val="00C6541F"/>
    <w:rsid w:val="00C654B9"/>
    <w:rsid w:val="00C66BCA"/>
    <w:rsid w:val="00C6704D"/>
    <w:rsid w:val="00C67D34"/>
    <w:rsid w:val="00C70146"/>
    <w:rsid w:val="00C710F9"/>
    <w:rsid w:val="00C72BA0"/>
    <w:rsid w:val="00C730D4"/>
    <w:rsid w:val="00C747CB"/>
    <w:rsid w:val="00C75009"/>
    <w:rsid w:val="00C757B6"/>
    <w:rsid w:val="00C76B36"/>
    <w:rsid w:val="00C77CC5"/>
    <w:rsid w:val="00C8054B"/>
    <w:rsid w:val="00C80DEF"/>
    <w:rsid w:val="00C80E55"/>
    <w:rsid w:val="00C81C6E"/>
    <w:rsid w:val="00C81C9C"/>
    <w:rsid w:val="00C81DDA"/>
    <w:rsid w:val="00C81FCE"/>
    <w:rsid w:val="00C82107"/>
    <w:rsid w:val="00C82890"/>
    <w:rsid w:val="00C830E4"/>
    <w:rsid w:val="00C83B44"/>
    <w:rsid w:val="00C8475E"/>
    <w:rsid w:val="00C849D9"/>
    <w:rsid w:val="00C84E05"/>
    <w:rsid w:val="00C86591"/>
    <w:rsid w:val="00C86E14"/>
    <w:rsid w:val="00C87107"/>
    <w:rsid w:val="00C871B2"/>
    <w:rsid w:val="00C875A1"/>
    <w:rsid w:val="00C8782C"/>
    <w:rsid w:val="00C904AE"/>
    <w:rsid w:val="00C90680"/>
    <w:rsid w:val="00C9079B"/>
    <w:rsid w:val="00C90F92"/>
    <w:rsid w:val="00C90FEE"/>
    <w:rsid w:val="00C91213"/>
    <w:rsid w:val="00C922CD"/>
    <w:rsid w:val="00C925DB"/>
    <w:rsid w:val="00C92849"/>
    <w:rsid w:val="00C93AD5"/>
    <w:rsid w:val="00C940A8"/>
    <w:rsid w:val="00C95508"/>
    <w:rsid w:val="00C95672"/>
    <w:rsid w:val="00C95DB7"/>
    <w:rsid w:val="00C96117"/>
    <w:rsid w:val="00C96263"/>
    <w:rsid w:val="00C965DA"/>
    <w:rsid w:val="00C9672A"/>
    <w:rsid w:val="00C96A49"/>
    <w:rsid w:val="00C96B0B"/>
    <w:rsid w:val="00C96C01"/>
    <w:rsid w:val="00C96C87"/>
    <w:rsid w:val="00C97C3C"/>
    <w:rsid w:val="00CA04B7"/>
    <w:rsid w:val="00CA10DC"/>
    <w:rsid w:val="00CA128E"/>
    <w:rsid w:val="00CA149C"/>
    <w:rsid w:val="00CA182F"/>
    <w:rsid w:val="00CA1C0C"/>
    <w:rsid w:val="00CA1F3D"/>
    <w:rsid w:val="00CA1F6F"/>
    <w:rsid w:val="00CA277F"/>
    <w:rsid w:val="00CA3030"/>
    <w:rsid w:val="00CA32D8"/>
    <w:rsid w:val="00CA3492"/>
    <w:rsid w:val="00CA4869"/>
    <w:rsid w:val="00CA4B5C"/>
    <w:rsid w:val="00CA5AE6"/>
    <w:rsid w:val="00CA6651"/>
    <w:rsid w:val="00CA73A6"/>
    <w:rsid w:val="00CA788D"/>
    <w:rsid w:val="00CA7B7D"/>
    <w:rsid w:val="00CB0356"/>
    <w:rsid w:val="00CB0A3B"/>
    <w:rsid w:val="00CB12C1"/>
    <w:rsid w:val="00CB1321"/>
    <w:rsid w:val="00CB1AA0"/>
    <w:rsid w:val="00CB2F80"/>
    <w:rsid w:val="00CB33C2"/>
    <w:rsid w:val="00CB37DD"/>
    <w:rsid w:val="00CB38C4"/>
    <w:rsid w:val="00CB3D59"/>
    <w:rsid w:val="00CB4067"/>
    <w:rsid w:val="00CB41C1"/>
    <w:rsid w:val="00CB427C"/>
    <w:rsid w:val="00CB4598"/>
    <w:rsid w:val="00CB4728"/>
    <w:rsid w:val="00CB481A"/>
    <w:rsid w:val="00CB4A76"/>
    <w:rsid w:val="00CB4D91"/>
    <w:rsid w:val="00CB4E36"/>
    <w:rsid w:val="00CB60FE"/>
    <w:rsid w:val="00CB6552"/>
    <w:rsid w:val="00CB7405"/>
    <w:rsid w:val="00CC0C7E"/>
    <w:rsid w:val="00CC0D49"/>
    <w:rsid w:val="00CC1C0E"/>
    <w:rsid w:val="00CC24C6"/>
    <w:rsid w:val="00CC2F45"/>
    <w:rsid w:val="00CC485F"/>
    <w:rsid w:val="00CC52F2"/>
    <w:rsid w:val="00CC5C4F"/>
    <w:rsid w:val="00CC6129"/>
    <w:rsid w:val="00CC6E3E"/>
    <w:rsid w:val="00CC779A"/>
    <w:rsid w:val="00CC7A54"/>
    <w:rsid w:val="00CC7BAD"/>
    <w:rsid w:val="00CD02E2"/>
    <w:rsid w:val="00CD121E"/>
    <w:rsid w:val="00CD1B8F"/>
    <w:rsid w:val="00CD2241"/>
    <w:rsid w:val="00CD28FE"/>
    <w:rsid w:val="00CD2A9E"/>
    <w:rsid w:val="00CD2AE7"/>
    <w:rsid w:val="00CD2DB7"/>
    <w:rsid w:val="00CD322E"/>
    <w:rsid w:val="00CD42B3"/>
    <w:rsid w:val="00CD4412"/>
    <w:rsid w:val="00CD4C1F"/>
    <w:rsid w:val="00CD4D6B"/>
    <w:rsid w:val="00CD6519"/>
    <w:rsid w:val="00CD6832"/>
    <w:rsid w:val="00CD6B5F"/>
    <w:rsid w:val="00CD745D"/>
    <w:rsid w:val="00CD79A3"/>
    <w:rsid w:val="00CD7D77"/>
    <w:rsid w:val="00CE0447"/>
    <w:rsid w:val="00CE05E7"/>
    <w:rsid w:val="00CE0628"/>
    <w:rsid w:val="00CE0679"/>
    <w:rsid w:val="00CE0BBC"/>
    <w:rsid w:val="00CE0D18"/>
    <w:rsid w:val="00CE11E7"/>
    <w:rsid w:val="00CE2448"/>
    <w:rsid w:val="00CE247B"/>
    <w:rsid w:val="00CE30C6"/>
    <w:rsid w:val="00CE3117"/>
    <w:rsid w:val="00CE3A3E"/>
    <w:rsid w:val="00CE3CB3"/>
    <w:rsid w:val="00CE7470"/>
    <w:rsid w:val="00CE7A4D"/>
    <w:rsid w:val="00CF087E"/>
    <w:rsid w:val="00CF16B8"/>
    <w:rsid w:val="00CF18C9"/>
    <w:rsid w:val="00CF25C1"/>
    <w:rsid w:val="00CF2D82"/>
    <w:rsid w:val="00CF2E54"/>
    <w:rsid w:val="00CF3077"/>
    <w:rsid w:val="00CF34D7"/>
    <w:rsid w:val="00CF358E"/>
    <w:rsid w:val="00CF3BE5"/>
    <w:rsid w:val="00CF3DCD"/>
    <w:rsid w:val="00CF43F8"/>
    <w:rsid w:val="00CF5196"/>
    <w:rsid w:val="00CF59AC"/>
    <w:rsid w:val="00CF5FF7"/>
    <w:rsid w:val="00CF61D9"/>
    <w:rsid w:val="00CF636F"/>
    <w:rsid w:val="00CF6BB8"/>
    <w:rsid w:val="00CF7066"/>
    <w:rsid w:val="00CF7586"/>
    <w:rsid w:val="00CF7B69"/>
    <w:rsid w:val="00D00593"/>
    <w:rsid w:val="00D0079D"/>
    <w:rsid w:val="00D00B38"/>
    <w:rsid w:val="00D00F14"/>
    <w:rsid w:val="00D0173F"/>
    <w:rsid w:val="00D019A2"/>
    <w:rsid w:val="00D02817"/>
    <w:rsid w:val="00D033C4"/>
    <w:rsid w:val="00D04E07"/>
    <w:rsid w:val="00D0508E"/>
    <w:rsid w:val="00D05192"/>
    <w:rsid w:val="00D05856"/>
    <w:rsid w:val="00D06178"/>
    <w:rsid w:val="00D071E5"/>
    <w:rsid w:val="00D07400"/>
    <w:rsid w:val="00D10144"/>
    <w:rsid w:val="00D10FDD"/>
    <w:rsid w:val="00D1413B"/>
    <w:rsid w:val="00D14143"/>
    <w:rsid w:val="00D15BAE"/>
    <w:rsid w:val="00D1665A"/>
    <w:rsid w:val="00D16BB2"/>
    <w:rsid w:val="00D17080"/>
    <w:rsid w:val="00D17F29"/>
    <w:rsid w:val="00D17FA0"/>
    <w:rsid w:val="00D201EA"/>
    <w:rsid w:val="00D20EF6"/>
    <w:rsid w:val="00D21168"/>
    <w:rsid w:val="00D21486"/>
    <w:rsid w:val="00D216F4"/>
    <w:rsid w:val="00D21C99"/>
    <w:rsid w:val="00D22657"/>
    <w:rsid w:val="00D22BBF"/>
    <w:rsid w:val="00D23025"/>
    <w:rsid w:val="00D23242"/>
    <w:rsid w:val="00D23A1A"/>
    <w:rsid w:val="00D24F62"/>
    <w:rsid w:val="00D2542E"/>
    <w:rsid w:val="00D2578B"/>
    <w:rsid w:val="00D25B51"/>
    <w:rsid w:val="00D25C21"/>
    <w:rsid w:val="00D25EFF"/>
    <w:rsid w:val="00D2653B"/>
    <w:rsid w:val="00D26B7F"/>
    <w:rsid w:val="00D276AB"/>
    <w:rsid w:val="00D27736"/>
    <w:rsid w:val="00D278AE"/>
    <w:rsid w:val="00D27AE1"/>
    <w:rsid w:val="00D27CB4"/>
    <w:rsid w:val="00D308EF"/>
    <w:rsid w:val="00D30ED2"/>
    <w:rsid w:val="00D3106A"/>
    <w:rsid w:val="00D32DFF"/>
    <w:rsid w:val="00D32E22"/>
    <w:rsid w:val="00D32EA7"/>
    <w:rsid w:val="00D33F1B"/>
    <w:rsid w:val="00D3406E"/>
    <w:rsid w:val="00D340C7"/>
    <w:rsid w:val="00D344D6"/>
    <w:rsid w:val="00D346FE"/>
    <w:rsid w:val="00D348BD"/>
    <w:rsid w:val="00D34C76"/>
    <w:rsid w:val="00D352E3"/>
    <w:rsid w:val="00D35314"/>
    <w:rsid w:val="00D358A5"/>
    <w:rsid w:val="00D35C58"/>
    <w:rsid w:val="00D363F2"/>
    <w:rsid w:val="00D365FC"/>
    <w:rsid w:val="00D36ADF"/>
    <w:rsid w:val="00D36E43"/>
    <w:rsid w:val="00D37BAB"/>
    <w:rsid w:val="00D37E4C"/>
    <w:rsid w:val="00D40021"/>
    <w:rsid w:val="00D403B5"/>
    <w:rsid w:val="00D40D6B"/>
    <w:rsid w:val="00D417A5"/>
    <w:rsid w:val="00D41C8D"/>
    <w:rsid w:val="00D42174"/>
    <w:rsid w:val="00D428B8"/>
    <w:rsid w:val="00D429FA"/>
    <w:rsid w:val="00D42CB4"/>
    <w:rsid w:val="00D43C7B"/>
    <w:rsid w:val="00D44D53"/>
    <w:rsid w:val="00D451FD"/>
    <w:rsid w:val="00D456C7"/>
    <w:rsid w:val="00D5036A"/>
    <w:rsid w:val="00D50A21"/>
    <w:rsid w:val="00D50BFA"/>
    <w:rsid w:val="00D51422"/>
    <w:rsid w:val="00D51579"/>
    <w:rsid w:val="00D51655"/>
    <w:rsid w:val="00D51751"/>
    <w:rsid w:val="00D529C3"/>
    <w:rsid w:val="00D5302E"/>
    <w:rsid w:val="00D53EA8"/>
    <w:rsid w:val="00D53F36"/>
    <w:rsid w:val="00D54E4A"/>
    <w:rsid w:val="00D56B41"/>
    <w:rsid w:val="00D5746B"/>
    <w:rsid w:val="00D5760A"/>
    <w:rsid w:val="00D576C8"/>
    <w:rsid w:val="00D57F01"/>
    <w:rsid w:val="00D61790"/>
    <w:rsid w:val="00D61B0F"/>
    <w:rsid w:val="00D62638"/>
    <w:rsid w:val="00D629FE"/>
    <w:rsid w:val="00D62B23"/>
    <w:rsid w:val="00D63D9A"/>
    <w:rsid w:val="00D63E57"/>
    <w:rsid w:val="00D642BA"/>
    <w:rsid w:val="00D643DA"/>
    <w:rsid w:val="00D649CF"/>
    <w:rsid w:val="00D64C66"/>
    <w:rsid w:val="00D64DE6"/>
    <w:rsid w:val="00D65166"/>
    <w:rsid w:val="00D65452"/>
    <w:rsid w:val="00D65CA2"/>
    <w:rsid w:val="00D6658A"/>
    <w:rsid w:val="00D66810"/>
    <w:rsid w:val="00D66BCF"/>
    <w:rsid w:val="00D670EB"/>
    <w:rsid w:val="00D673C2"/>
    <w:rsid w:val="00D67489"/>
    <w:rsid w:val="00D67764"/>
    <w:rsid w:val="00D6794B"/>
    <w:rsid w:val="00D71EB0"/>
    <w:rsid w:val="00D71EFC"/>
    <w:rsid w:val="00D723B9"/>
    <w:rsid w:val="00D72AFE"/>
    <w:rsid w:val="00D73B8F"/>
    <w:rsid w:val="00D743B5"/>
    <w:rsid w:val="00D743CC"/>
    <w:rsid w:val="00D74465"/>
    <w:rsid w:val="00D7462D"/>
    <w:rsid w:val="00D75297"/>
    <w:rsid w:val="00D7645C"/>
    <w:rsid w:val="00D7675D"/>
    <w:rsid w:val="00D767D3"/>
    <w:rsid w:val="00D7719E"/>
    <w:rsid w:val="00D7765F"/>
    <w:rsid w:val="00D80EBC"/>
    <w:rsid w:val="00D812C7"/>
    <w:rsid w:val="00D8154D"/>
    <w:rsid w:val="00D816AA"/>
    <w:rsid w:val="00D816E8"/>
    <w:rsid w:val="00D818E6"/>
    <w:rsid w:val="00D820FC"/>
    <w:rsid w:val="00D821A3"/>
    <w:rsid w:val="00D8221D"/>
    <w:rsid w:val="00D825E7"/>
    <w:rsid w:val="00D8285E"/>
    <w:rsid w:val="00D82ADF"/>
    <w:rsid w:val="00D8350C"/>
    <w:rsid w:val="00D83C35"/>
    <w:rsid w:val="00D84BCC"/>
    <w:rsid w:val="00D84EE6"/>
    <w:rsid w:val="00D858A2"/>
    <w:rsid w:val="00D85E76"/>
    <w:rsid w:val="00D85EA1"/>
    <w:rsid w:val="00D85EF1"/>
    <w:rsid w:val="00D86A28"/>
    <w:rsid w:val="00D871F5"/>
    <w:rsid w:val="00D8729D"/>
    <w:rsid w:val="00D87BCA"/>
    <w:rsid w:val="00D90EFB"/>
    <w:rsid w:val="00D917ED"/>
    <w:rsid w:val="00D91C32"/>
    <w:rsid w:val="00D91CAE"/>
    <w:rsid w:val="00D92159"/>
    <w:rsid w:val="00D924DD"/>
    <w:rsid w:val="00D92A42"/>
    <w:rsid w:val="00D930E7"/>
    <w:rsid w:val="00D93CD2"/>
    <w:rsid w:val="00D93DCB"/>
    <w:rsid w:val="00D94007"/>
    <w:rsid w:val="00D94C42"/>
    <w:rsid w:val="00D94FF9"/>
    <w:rsid w:val="00D95B36"/>
    <w:rsid w:val="00D95F7A"/>
    <w:rsid w:val="00D964B6"/>
    <w:rsid w:val="00D967C2"/>
    <w:rsid w:val="00D976AA"/>
    <w:rsid w:val="00D97D1F"/>
    <w:rsid w:val="00DA06C4"/>
    <w:rsid w:val="00DA1028"/>
    <w:rsid w:val="00DA148E"/>
    <w:rsid w:val="00DA1922"/>
    <w:rsid w:val="00DA1F60"/>
    <w:rsid w:val="00DA244E"/>
    <w:rsid w:val="00DA2731"/>
    <w:rsid w:val="00DA294B"/>
    <w:rsid w:val="00DA3167"/>
    <w:rsid w:val="00DA321F"/>
    <w:rsid w:val="00DA3CC2"/>
    <w:rsid w:val="00DA476C"/>
    <w:rsid w:val="00DA4CA4"/>
    <w:rsid w:val="00DA4EE2"/>
    <w:rsid w:val="00DA54FD"/>
    <w:rsid w:val="00DA5AF0"/>
    <w:rsid w:val="00DA6469"/>
    <w:rsid w:val="00DA773C"/>
    <w:rsid w:val="00DB04AD"/>
    <w:rsid w:val="00DB0E09"/>
    <w:rsid w:val="00DB10FC"/>
    <w:rsid w:val="00DB2BDB"/>
    <w:rsid w:val="00DB3DE3"/>
    <w:rsid w:val="00DB44FE"/>
    <w:rsid w:val="00DB480B"/>
    <w:rsid w:val="00DB4B2C"/>
    <w:rsid w:val="00DB5D34"/>
    <w:rsid w:val="00DB5F99"/>
    <w:rsid w:val="00DB61D5"/>
    <w:rsid w:val="00DB652A"/>
    <w:rsid w:val="00DB6855"/>
    <w:rsid w:val="00DB689D"/>
    <w:rsid w:val="00DB696E"/>
    <w:rsid w:val="00DB6C6E"/>
    <w:rsid w:val="00DB6DE7"/>
    <w:rsid w:val="00DB6E29"/>
    <w:rsid w:val="00DB6EB9"/>
    <w:rsid w:val="00DB7127"/>
    <w:rsid w:val="00DB758E"/>
    <w:rsid w:val="00DB76FA"/>
    <w:rsid w:val="00DB79A6"/>
    <w:rsid w:val="00DB7ECC"/>
    <w:rsid w:val="00DC0639"/>
    <w:rsid w:val="00DC0C3C"/>
    <w:rsid w:val="00DC1894"/>
    <w:rsid w:val="00DC18D1"/>
    <w:rsid w:val="00DC28BC"/>
    <w:rsid w:val="00DC3AE0"/>
    <w:rsid w:val="00DC3E4C"/>
    <w:rsid w:val="00DC44ED"/>
    <w:rsid w:val="00DC4C2A"/>
    <w:rsid w:val="00DC5FA9"/>
    <w:rsid w:val="00DC61FE"/>
    <w:rsid w:val="00DC63DE"/>
    <w:rsid w:val="00DC63ED"/>
    <w:rsid w:val="00DC66CB"/>
    <w:rsid w:val="00DC675F"/>
    <w:rsid w:val="00DC6B42"/>
    <w:rsid w:val="00DC6D95"/>
    <w:rsid w:val="00DD0392"/>
    <w:rsid w:val="00DD05E5"/>
    <w:rsid w:val="00DD235C"/>
    <w:rsid w:val="00DD249D"/>
    <w:rsid w:val="00DD24D7"/>
    <w:rsid w:val="00DD2815"/>
    <w:rsid w:val="00DD3A58"/>
    <w:rsid w:val="00DD420B"/>
    <w:rsid w:val="00DD4644"/>
    <w:rsid w:val="00DD49CD"/>
    <w:rsid w:val="00DD5AB2"/>
    <w:rsid w:val="00DD5B80"/>
    <w:rsid w:val="00DD5BF7"/>
    <w:rsid w:val="00DD60B6"/>
    <w:rsid w:val="00DD6C93"/>
    <w:rsid w:val="00DD761D"/>
    <w:rsid w:val="00DE0C3B"/>
    <w:rsid w:val="00DE101C"/>
    <w:rsid w:val="00DE2917"/>
    <w:rsid w:val="00DE36A7"/>
    <w:rsid w:val="00DE5015"/>
    <w:rsid w:val="00DE5D87"/>
    <w:rsid w:val="00DE5D9C"/>
    <w:rsid w:val="00DE738D"/>
    <w:rsid w:val="00DE7411"/>
    <w:rsid w:val="00DF056F"/>
    <w:rsid w:val="00DF0692"/>
    <w:rsid w:val="00DF1409"/>
    <w:rsid w:val="00DF2008"/>
    <w:rsid w:val="00DF2186"/>
    <w:rsid w:val="00DF2215"/>
    <w:rsid w:val="00DF3E30"/>
    <w:rsid w:val="00DF3E62"/>
    <w:rsid w:val="00DF509C"/>
    <w:rsid w:val="00DF70B7"/>
    <w:rsid w:val="00DF720E"/>
    <w:rsid w:val="00DF76CC"/>
    <w:rsid w:val="00DF7AAF"/>
    <w:rsid w:val="00DF7E14"/>
    <w:rsid w:val="00DF7F07"/>
    <w:rsid w:val="00E002A6"/>
    <w:rsid w:val="00E00392"/>
    <w:rsid w:val="00E00615"/>
    <w:rsid w:val="00E01439"/>
    <w:rsid w:val="00E0179F"/>
    <w:rsid w:val="00E01842"/>
    <w:rsid w:val="00E01FDC"/>
    <w:rsid w:val="00E02984"/>
    <w:rsid w:val="00E02BF6"/>
    <w:rsid w:val="00E02EC6"/>
    <w:rsid w:val="00E042AE"/>
    <w:rsid w:val="00E04844"/>
    <w:rsid w:val="00E04D37"/>
    <w:rsid w:val="00E05C78"/>
    <w:rsid w:val="00E05F53"/>
    <w:rsid w:val="00E061B9"/>
    <w:rsid w:val="00E0635E"/>
    <w:rsid w:val="00E06BA1"/>
    <w:rsid w:val="00E07D0E"/>
    <w:rsid w:val="00E100B0"/>
    <w:rsid w:val="00E10FCB"/>
    <w:rsid w:val="00E11AF9"/>
    <w:rsid w:val="00E11F76"/>
    <w:rsid w:val="00E122CC"/>
    <w:rsid w:val="00E134F2"/>
    <w:rsid w:val="00E1362A"/>
    <w:rsid w:val="00E13A5F"/>
    <w:rsid w:val="00E14B66"/>
    <w:rsid w:val="00E14B9D"/>
    <w:rsid w:val="00E14F02"/>
    <w:rsid w:val="00E1538F"/>
    <w:rsid w:val="00E155E0"/>
    <w:rsid w:val="00E16606"/>
    <w:rsid w:val="00E166EF"/>
    <w:rsid w:val="00E2264F"/>
    <w:rsid w:val="00E22796"/>
    <w:rsid w:val="00E22C20"/>
    <w:rsid w:val="00E22CFE"/>
    <w:rsid w:val="00E2355B"/>
    <w:rsid w:val="00E2381E"/>
    <w:rsid w:val="00E2402A"/>
    <w:rsid w:val="00E24055"/>
    <w:rsid w:val="00E24B47"/>
    <w:rsid w:val="00E25478"/>
    <w:rsid w:val="00E304BE"/>
    <w:rsid w:val="00E30F73"/>
    <w:rsid w:val="00E321C7"/>
    <w:rsid w:val="00E32D5A"/>
    <w:rsid w:val="00E34E5C"/>
    <w:rsid w:val="00E35578"/>
    <w:rsid w:val="00E361E1"/>
    <w:rsid w:val="00E3662F"/>
    <w:rsid w:val="00E36834"/>
    <w:rsid w:val="00E37CB6"/>
    <w:rsid w:val="00E40320"/>
    <w:rsid w:val="00E40DA0"/>
    <w:rsid w:val="00E41363"/>
    <w:rsid w:val="00E416AD"/>
    <w:rsid w:val="00E417BF"/>
    <w:rsid w:val="00E41A0B"/>
    <w:rsid w:val="00E421EA"/>
    <w:rsid w:val="00E42AB4"/>
    <w:rsid w:val="00E437CE"/>
    <w:rsid w:val="00E43837"/>
    <w:rsid w:val="00E4386A"/>
    <w:rsid w:val="00E43C66"/>
    <w:rsid w:val="00E440FD"/>
    <w:rsid w:val="00E444FA"/>
    <w:rsid w:val="00E463A7"/>
    <w:rsid w:val="00E46805"/>
    <w:rsid w:val="00E47365"/>
    <w:rsid w:val="00E479A6"/>
    <w:rsid w:val="00E51A7F"/>
    <w:rsid w:val="00E51DC4"/>
    <w:rsid w:val="00E51F53"/>
    <w:rsid w:val="00E52546"/>
    <w:rsid w:val="00E52668"/>
    <w:rsid w:val="00E53E3D"/>
    <w:rsid w:val="00E53EF2"/>
    <w:rsid w:val="00E5431E"/>
    <w:rsid w:val="00E54D24"/>
    <w:rsid w:val="00E54DB7"/>
    <w:rsid w:val="00E553F6"/>
    <w:rsid w:val="00E55408"/>
    <w:rsid w:val="00E55742"/>
    <w:rsid w:val="00E55E03"/>
    <w:rsid w:val="00E565E5"/>
    <w:rsid w:val="00E56E18"/>
    <w:rsid w:val="00E5768D"/>
    <w:rsid w:val="00E5794A"/>
    <w:rsid w:val="00E608A0"/>
    <w:rsid w:val="00E60C8A"/>
    <w:rsid w:val="00E61B01"/>
    <w:rsid w:val="00E62501"/>
    <w:rsid w:val="00E62BDC"/>
    <w:rsid w:val="00E63BDE"/>
    <w:rsid w:val="00E63E7D"/>
    <w:rsid w:val="00E64297"/>
    <w:rsid w:val="00E64EEF"/>
    <w:rsid w:val="00E658F0"/>
    <w:rsid w:val="00E65F8C"/>
    <w:rsid w:val="00E6642F"/>
    <w:rsid w:val="00E667F1"/>
    <w:rsid w:val="00E667F9"/>
    <w:rsid w:val="00E67C9A"/>
    <w:rsid w:val="00E7072D"/>
    <w:rsid w:val="00E71ACD"/>
    <w:rsid w:val="00E72CC8"/>
    <w:rsid w:val="00E73723"/>
    <w:rsid w:val="00E742CC"/>
    <w:rsid w:val="00E75906"/>
    <w:rsid w:val="00E762DA"/>
    <w:rsid w:val="00E7780D"/>
    <w:rsid w:val="00E80614"/>
    <w:rsid w:val="00E8092B"/>
    <w:rsid w:val="00E812EF"/>
    <w:rsid w:val="00E8140D"/>
    <w:rsid w:val="00E830D3"/>
    <w:rsid w:val="00E8354A"/>
    <w:rsid w:val="00E83912"/>
    <w:rsid w:val="00E83997"/>
    <w:rsid w:val="00E83CC6"/>
    <w:rsid w:val="00E845D6"/>
    <w:rsid w:val="00E84681"/>
    <w:rsid w:val="00E84A23"/>
    <w:rsid w:val="00E85453"/>
    <w:rsid w:val="00E85BAA"/>
    <w:rsid w:val="00E86AEF"/>
    <w:rsid w:val="00E86D78"/>
    <w:rsid w:val="00E8728A"/>
    <w:rsid w:val="00E87A0E"/>
    <w:rsid w:val="00E90A20"/>
    <w:rsid w:val="00E90A5F"/>
    <w:rsid w:val="00E910CD"/>
    <w:rsid w:val="00E91810"/>
    <w:rsid w:val="00E92072"/>
    <w:rsid w:val="00E9241B"/>
    <w:rsid w:val="00E9279C"/>
    <w:rsid w:val="00E929FB"/>
    <w:rsid w:val="00E92DDF"/>
    <w:rsid w:val="00E9315D"/>
    <w:rsid w:val="00E932F3"/>
    <w:rsid w:val="00E938E8"/>
    <w:rsid w:val="00E947ED"/>
    <w:rsid w:val="00E94D15"/>
    <w:rsid w:val="00E95BE1"/>
    <w:rsid w:val="00E96771"/>
    <w:rsid w:val="00E96F21"/>
    <w:rsid w:val="00E97027"/>
    <w:rsid w:val="00E97091"/>
    <w:rsid w:val="00E97347"/>
    <w:rsid w:val="00E97766"/>
    <w:rsid w:val="00E97A77"/>
    <w:rsid w:val="00E97D50"/>
    <w:rsid w:val="00E97DF7"/>
    <w:rsid w:val="00EA0AD5"/>
    <w:rsid w:val="00EA1154"/>
    <w:rsid w:val="00EA1217"/>
    <w:rsid w:val="00EA2495"/>
    <w:rsid w:val="00EA3DD9"/>
    <w:rsid w:val="00EA4347"/>
    <w:rsid w:val="00EA4FB4"/>
    <w:rsid w:val="00EA53D0"/>
    <w:rsid w:val="00EA5A37"/>
    <w:rsid w:val="00EA5DD0"/>
    <w:rsid w:val="00EA62B3"/>
    <w:rsid w:val="00EA6CFF"/>
    <w:rsid w:val="00EA7409"/>
    <w:rsid w:val="00EA7B35"/>
    <w:rsid w:val="00EA7F29"/>
    <w:rsid w:val="00EB0040"/>
    <w:rsid w:val="00EB1574"/>
    <w:rsid w:val="00EB1C0E"/>
    <w:rsid w:val="00EB1D10"/>
    <w:rsid w:val="00EB1EE7"/>
    <w:rsid w:val="00EB2027"/>
    <w:rsid w:val="00EB21B3"/>
    <w:rsid w:val="00EB29E8"/>
    <w:rsid w:val="00EB2EA7"/>
    <w:rsid w:val="00EB34EA"/>
    <w:rsid w:val="00EB383C"/>
    <w:rsid w:val="00EB3B68"/>
    <w:rsid w:val="00EB5996"/>
    <w:rsid w:val="00EB6705"/>
    <w:rsid w:val="00EB6D45"/>
    <w:rsid w:val="00EB74B4"/>
    <w:rsid w:val="00EB7D24"/>
    <w:rsid w:val="00EC0180"/>
    <w:rsid w:val="00EC038E"/>
    <w:rsid w:val="00EC047A"/>
    <w:rsid w:val="00EC0942"/>
    <w:rsid w:val="00EC1212"/>
    <w:rsid w:val="00EC1C96"/>
    <w:rsid w:val="00EC2087"/>
    <w:rsid w:val="00EC2207"/>
    <w:rsid w:val="00EC239D"/>
    <w:rsid w:val="00EC2B4C"/>
    <w:rsid w:val="00EC3C8B"/>
    <w:rsid w:val="00EC49DA"/>
    <w:rsid w:val="00EC541D"/>
    <w:rsid w:val="00EC626C"/>
    <w:rsid w:val="00EC67E6"/>
    <w:rsid w:val="00EC6F8B"/>
    <w:rsid w:val="00EC7092"/>
    <w:rsid w:val="00EC754F"/>
    <w:rsid w:val="00ED0092"/>
    <w:rsid w:val="00ED06F7"/>
    <w:rsid w:val="00ED112C"/>
    <w:rsid w:val="00ED2948"/>
    <w:rsid w:val="00ED2B27"/>
    <w:rsid w:val="00ED306A"/>
    <w:rsid w:val="00ED3215"/>
    <w:rsid w:val="00ED33D5"/>
    <w:rsid w:val="00ED3401"/>
    <w:rsid w:val="00ED36EE"/>
    <w:rsid w:val="00ED4117"/>
    <w:rsid w:val="00ED4A70"/>
    <w:rsid w:val="00ED4E43"/>
    <w:rsid w:val="00ED5035"/>
    <w:rsid w:val="00ED5C4A"/>
    <w:rsid w:val="00ED6475"/>
    <w:rsid w:val="00ED6B00"/>
    <w:rsid w:val="00ED6BB0"/>
    <w:rsid w:val="00ED6BC6"/>
    <w:rsid w:val="00ED734E"/>
    <w:rsid w:val="00ED7790"/>
    <w:rsid w:val="00ED7A8C"/>
    <w:rsid w:val="00ED7AC3"/>
    <w:rsid w:val="00EE06B0"/>
    <w:rsid w:val="00EE1863"/>
    <w:rsid w:val="00EE1A58"/>
    <w:rsid w:val="00EE1C90"/>
    <w:rsid w:val="00EE297D"/>
    <w:rsid w:val="00EE2CFA"/>
    <w:rsid w:val="00EE335E"/>
    <w:rsid w:val="00EE34A4"/>
    <w:rsid w:val="00EE34F7"/>
    <w:rsid w:val="00EE43A9"/>
    <w:rsid w:val="00EE467B"/>
    <w:rsid w:val="00EE489D"/>
    <w:rsid w:val="00EE5EAA"/>
    <w:rsid w:val="00EE6404"/>
    <w:rsid w:val="00EE69AC"/>
    <w:rsid w:val="00EE7442"/>
    <w:rsid w:val="00EE7EE8"/>
    <w:rsid w:val="00EF0528"/>
    <w:rsid w:val="00EF06CD"/>
    <w:rsid w:val="00EF0DBA"/>
    <w:rsid w:val="00EF14EE"/>
    <w:rsid w:val="00EF25AC"/>
    <w:rsid w:val="00EF301B"/>
    <w:rsid w:val="00EF333A"/>
    <w:rsid w:val="00EF3972"/>
    <w:rsid w:val="00EF39FC"/>
    <w:rsid w:val="00EF3E86"/>
    <w:rsid w:val="00EF406B"/>
    <w:rsid w:val="00EF50E4"/>
    <w:rsid w:val="00EF5BA2"/>
    <w:rsid w:val="00EF60C2"/>
    <w:rsid w:val="00EF63D5"/>
    <w:rsid w:val="00EF6538"/>
    <w:rsid w:val="00EF79CF"/>
    <w:rsid w:val="00F0033B"/>
    <w:rsid w:val="00F00AEF"/>
    <w:rsid w:val="00F01001"/>
    <w:rsid w:val="00F02745"/>
    <w:rsid w:val="00F02BFE"/>
    <w:rsid w:val="00F02C6A"/>
    <w:rsid w:val="00F02D33"/>
    <w:rsid w:val="00F0367C"/>
    <w:rsid w:val="00F03F45"/>
    <w:rsid w:val="00F042B3"/>
    <w:rsid w:val="00F04E84"/>
    <w:rsid w:val="00F05595"/>
    <w:rsid w:val="00F0564F"/>
    <w:rsid w:val="00F05B12"/>
    <w:rsid w:val="00F06E64"/>
    <w:rsid w:val="00F06F6E"/>
    <w:rsid w:val="00F071A4"/>
    <w:rsid w:val="00F0786F"/>
    <w:rsid w:val="00F10523"/>
    <w:rsid w:val="00F106C0"/>
    <w:rsid w:val="00F10F32"/>
    <w:rsid w:val="00F10FBC"/>
    <w:rsid w:val="00F11E74"/>
    <w:rsid w:val="00F11EBE"/>
    <w:rsid w:val="00F126E2"/>
    <w:rsid w:val="00F12EC8"/>
    <w:rsid w:val="00F131E7"/>
    <w:rsid w:val="00F139F8"/>
    <w:rsid w:val="00F13F24"/>
    <w:rsid w:val="00F151E6"/>
    <w:rsid w:val="00F15E05"/>
    <w:rsid w:val="00F15E23"/>
    <w:rsid w:val="00F162C7"/>
    <w:rsid w:val="00F16B8B"/>
    <w:rsid w:val="00F16DFC"/>
    <w:rsid w:val="00F17646"/>
    <w:rsid w:val="00F176BB"/>
    <w:rsid w:val="00F17BEE"/>
    <w:rsid w:val="00F20F9C"/>
    <w:rsid w:val="00F21376"/>
    <w:rsid w:val="00F2258F"/>
    <w:rsid w:val="00F234A2"/>
    <w:rsid w:val="00F23E91"/>
    <w:rsid w:val="00F255F3"/>
    <w:rsid w:val="00F258FC"/>
    <w:rsid w:val="00F25EEF"/>
    <w:rsid w:val="00F2657F"/>
    <w:rsid w:val="00F268AA"/>
    <w:rsid w:val="00F2729C"/>
    <w:rsid w:val="00F30267"/>
    <w:rsid w:val="00F3174A"/>
    <w:rsid w:val="00F32045"/>
    <w:rsid w:val="00F33137"/>
    <w:rsid w:val="00F33B22"/>
    <w:rsid w:val="00F36AD9"/>
    <w:rsid w:val="00F370EC"/>
    <w:rsid w:val="00F376B5"/>
    <w:rsid w:val="00F37718"/>
    <w:rsid w:val="00F405C1"/>
    <w:rsid w:val="00F407E2"/>
    <w:rsid w:val="00F40810"/>
    <w:rsid w:val="00F42440"/>
    <w:rsid w:val="00F42722"/>
    <w:rsid w:val="00F42BA2"/>
    <w:rsid w:val="00F434F1"/>
    <w:rsid w:val="00F43D73"/>
    <w:rsid w:val="00F4460F"/>
    <w:rsid w:val="00F44B3E"/>
    <w:rsid w:val="00F44C75"/>
    <w:rsid w:val="00F44FA8"/>
    <w:rsid w:val="00F451BB"/>
    <w:rsid w:val="00F456AF"/>
    <w:rsid w:val="00F45E23"/>
    <w:rsid w:val="00F46308"/>
    <w:rsid w:val="00F46860"/>
    <w:rsid w:val="00F4697F"/>
    <w:rsid w:val="00F46D15"/>
    <w:rsid w:val="00F475A0"/>
    <w:rsid w:val="00F50CDF"/>
    <w:rsid w:val="00F51D32"/>
    <w:rsid w:val="00F52E19"/>
    <w:rsid w:val="00F539E0"/>
    <w:rsid w:val="00F540E1"/>
    <w:rsid w:val="00F5420C"/>
    <w:rsid w:val="00F54917"/>
    <w:rsid w:val="00F5504E"/>
    <w:rsid w:val="00F5530C"/>
    <w:rsid w:val="00F5577E"/>
    <w:rsid w:val="00F56490"/>
    <w:rsid w:val="00F5708E"/>
    <w:rsid w:val="00F5737D"/>
    <w:rsid w:val="00F603CB"/>
    <w:rsid w:val="00F612F4"/>
    <w:rsid w:val="00F61F0D"/>
    <w:rsid w:val="00F6218C"/>
    <w:rsid w:val="00F62C76"/>
    <w:rsid w:val="00F6414A"/>
    <w:rsid w:val="00F645AA"/>
    <w:rsid w:val="00F654C6"/>
    <w:rsid w:val="00F66625"/>
    <w:rsid w:val="00F66807"/>
    <w:rsid w:val="00F67A23"/>
    <w:rsid w:val="00F7102D"/>
    <w:rsid w:val="00F71161"/>
    <w:rsid w:val="00F71BE0"/>
    <w:rsid w:val="00F72754"/>
    <w:rsid w:val="00F729B8"/>
    <w:rsid w:val="00F72ECA"/>
    <w:rsid w:val="00F72F1D"/>
    <w:rsid w:val="00F735D3"/>
    <w:rsid w:val="00F73AFA"/>
    <w:rsid w:val="00F764EF"/>
    <w:rsid w:val="00F76630"/>
    <w:rsid w:val="00F76839"/>
    <w:rsid w:val="00F76FDB"/>
    <w:rsid w:val="00F771F4"/>
    <w:rsid w:val="00F77CA8"/>
    <w:rsid w:val="00F77F6F"/>
    <w:rsid w:val="00F809D5"/>
    <w:rsid w:val="00F8197A"/>
    <w:rsid w:val="00F81AD5"/>
    <w:rsid w:val="00F83487"/>
    <w:rsid w:val="00F83525"/>
    <w:rsid w:val="00F84461"/>
    <w:rsid w:val="00F85C27"/>
    <w:rsid w:val="00F85FC5"/>
    <w:rsid w:val="00F8603D"/>
    <w:rsid w:val="00F87125"/>
    <w:rsid w:val="00F874F9"/>
    <w:rsid w:val="00F9067D"/>
    <w:rsid w:val="00F910C8"/>
    <w:rsid w:val="00F912B0"/>
    <w:rsid w:val="00F91337"/>
    <w:rsid w:val="00F914B9"/>
    <w:rsid w:val="00F9151F"/>
    <w:rsid w:val="00F91598"/>
    <w:rsid w:val="00F915C1"/>
    <w:rsid w:val="00F918F9"/>
    <w:rsid w:val="00F921BA"/>
    <w:rsid w:val="00F9297D"/>
    <w:rsid w:val="00F92F0E"/>
    <w:rsid w:val="00F937C0"/>
    <w:rsid w:val="00F94EFB"/>
    <w:rsid w:val="00F9594F"/>
    <w:rsid w:val="00F95A31"/>
    <w:rsid w:val="00F95AF5"/>
    <w:rsid w:val="00F96254"/>
    <w:rsid w:val="00F9679B"/>
    <w:rsid w:val="00F967DE"/>
    <w:rsid w:val="00F96995"/>
    <w:rsid w:val="00F96A6D"/>
    <w:rsid w:val="00F97243"/>
    <w:rsid w:val="00F97A5A"/>
    <w:rsid w:val="00FA006B"/>
    <w:rsid w:val="00FA006F"/>
    <w:rsid w:val="00FA02D6"/>
    <w:rsid w:val="00FA1374"/>
    <w:rsid w:val="00FA1527"/>
    <w:rsid w:val="00FA1E7D"/>
    <w:rsid w:val="00FA1F8F"/>
    <w:rsid w:val="00FA26E0"/>
    <w:rsid w:val="00FA2E12"/>
    <w:rsid w:val="00FA3C04"/>
    <w:rsid w:val="00FA42CB"/>
    <w:rsid w:val="00FA4944"/>
    <w:rsid w:val="00FA5961"/>
    <w:rsid w:val="00FA5966"/>
    <w:rsid w:val="00FA5D41"/>
    <w:rsid w:val="00FA614F"/>
    <w:rsid w:val="00FA65EE"/>
    <w:rsid w:val="00FA66E3"/>
    <w:rsid w:val="00FA67C0"/>
    <w:rsid w:val="00FA716E"/>
    <w:rsid w:val="00FA790E"/>
    <w:rsid w:val="00FA798F"/>
    <w:rsid w:val="00FA7A20"/>
    <w:rsid w:val="00FA7BEE"/>
    <w:rsid w:val="00FB2D05"/>
    <w:rsid w:val="00FB3150"/>
    <w:rsid w:val="00FB35D2"/>
    <w:rsid w:val="00FB3EEA"/>
    <w:rsid w:val="00FB4865"/>
    <w:rsid w:val="00FB4BB4"/>
    <w:rsid w:val="00FB4C13"/>
    <w:rsid w:val="00FB520E"/>
    <w:rsid w:val="00FB5BD7"/>
    <w:rsid w:val="00FB5BF4"/>
    <w:rsid w:val="00FB7CDD"/>
    <w:rsid w:val="00FC0672"/>
    <w:rsid w:val="00FC0884"/>
    <w:rsid w:val="00FC0D08"/>
    <w:rsid w:val="00FC1BED"/>
    <w:rsid w:val="00FC1C2D"/>
    <w:rsid w:val="00FC2091"/>
    <w:rsid w:val="00FC2326"/>
    <w:rsid w:val="00FC297C"/>
    <w:rsid w:val="00FC44CC"/>
    <w:rsid w:val="00FC4DC0"/>
    <w:rsid w:val="00FC4FF2"/>
    <w:rsid w:val="00FC5232"/>
    <w:rsid w:val="00FC5677"/>
    <w:rsid w:val="00FC5C0A"/>
    <w:rsid w:val="00FC5F88"/>
    <w:rsid w:val="00FC614E"/>
    <w:rsid w:val="00FC7C6A"/>
    <w:rsid w:val="00FD0EDB"/>
    <w:rsid w:val="00FD1371"/>
    <w:rsid w:val="00FD20D8"/>
    <w:rsid w:val="00FD2380"/>
    <w:rsid w:val="00FD25B3"/>
    <w:rsid w:val="00FD2E74"/>
    <w:rsid w:val="00FD37C8"/>
    <w:rsid w:val="00FD5082"/>
    <w:rsid w:val="00FD607B"/>
    <w:rsid w:val="00FD6904"/>
    <w:rsid w:val="00FE18F7"/>
    <w:rsid w:val="00FE292B"/>
    <w:rsid w:val="00FE29C8"/>
    <w:rsid w:val="00FE2FDA"/>
    <w:rsid w:val="00FE3151"/>
    <w:rsid w:val="00FE3E96"/>
    <w:rsid w:val="00FE3F88"/>
    <w:rsid w:val="00FE470B"/>
    <w:rsid w:val="00FE4AFF"/>
    <w:rsid w:val="00FE52F9"/>
    <w:rsid w:val="00FE55EC"/>
    <w:rsid w:val="00FE59F0"/>
    <w:rsid w:val="00FE5CEF"/>
    <w:rsid w:val="00FE6223"/>
    <w:rsid w:val="00FE646A"/>
    <w:rsid w:val="00FE66E2"/>
    <w:rsid w:val="00FE6923"/>
    <w:rsid w:val="00FE73CA"/>
    <w:rsid w:val="00FE7C35"/>
    <w:rsid w:val="00FF0345"/>
    <w:rsid w:val="00FF0A09"/>
    <w:rsid w:val="00FF0D1E"/>
    <w:rsid w:val="00FF0FD0"/>
    <w:rsid w:val="00FF111D"/>
    <w:rsid w:val="00FF1178"/>
    <w:rsid w:val="00FF19E8"/>
    <w:rsid w:val="00FF241E"/>
    <w:rsid w:val="00FF32F8"/>
    <w:rsid w:val="00FF37AC"/>
    <w:rsid w:val="00FF3800"/>
    <w:rsid w:val="00FF3DE6"/>
    <w:rsid w:val="00FF3EAA"/>
    <w:rsid w:val="00FF41EB"/>
    <w:rsid w:val="00FF6B0A"/>
    <w:rsid w:val="00FF7452"/>
    <w:rsid w:val="00FF77AB"/>
    <w:rsid w:val="00FF7C37"/>
    <w:rsid w:val="00FF7FE7"/>
    <w:rsid w:val="01006DF2"/>
    <w:rsid w:val="01046C33"/>
    <w:rsid w:val="01054390"/>
    <w:rsid w:val="010800D6"/>
    <w:rsid w:val="01090D59"/>
    <w:rsid w:val="010D7DD7"/>
    <w:rsid w:val="01101675"/>
    <w:rsid w:val="01170C55"/>
    <w:rsid w:val="011E1FE4"/>
    <w:rsid w:val="012238C4"/>
    <w:rsid w:val="01253372"/>
    <w:rsid w:val="0125460F"/>
    <w:rsid w:val="01277C69"/>
    <w:rsid w:val="01282E62"/>
    <w:rsid w:val="012A083E"/>
    <w:rsid w:val="01303AC5"/>
    <w:rsid w:val="01311D17"/>
    <w:rsid w:val="01341807"/>
    <w:rsid w:val="013637D1"/>
    <w:rsid w:val="013B2B96"/>
    <w:rsid w:val="013B4944"/>
    <w:rsid w:val="013B61E3"/>
    <w:rsid w:val="01415CD2"/>
    <w:rsid w:val="01457570"/>
    <w:rsid w:val="01490A00"/>
    <w:rsid w:val="01510936"/>
    <w:rsid w:val="01536978"/>
    <w:rsid w:val="01541EA9"/>
    <w:rsid w:val="015462E8"/>
    <w:rsid w:val="015B4FE6"/>
    <w:rsid w:val="015B5664"/>
    <w:rsid w:val="015C70DD"/>
    <w:rsid w:val="015E76AB"/>
    <w:rsid w:val="016073AC"/>
    <w:rsid w:val="01621A8C"/>
    <w:rsid w:val="01675739"/>
    <w:rsid w:val="016B7DD3"/>
    <w:rsid w:val="01703CDF"/>
    <w:rsid w:val="01836B64"/>
    <w:rsid w:val="018A723B"/>
    <w:rsid w:val="018A7679"/>
    <w:rsid w:val="018C0B51"/>
    <w:rsid w:val="018C519F"/>
    <w:rsid w:val="018C6405"/>
    <w:rsid w:val="018D0F17"/>
    <w:rsid w:val="0193573E"/>
    <w:rsid w:val="01944054"/>
    <w:rsid w:val="01964A15"/>
    <w:rsid w:val="019B1886"/>
    <w:rsid w:val="019D4DF2"/>
    <w:rsid w:val="01AA7D1B"/>
    <w:rsid w:val="01AF5332"/>
    <w:rsid w:val="01B34E22"/>
    <w:rsid w:val="01B446F6"/>
    <w:rsid w:val="01B464A4"/>
    <w:rsid w:val="01B6046E"/>
    <w:rsid w:val="01BB5B14"/>
    <w:rsid w:val="01BD17FD"/>
    <w:rsid w:val="01C5349F"/>
    <w:rsid w:val="01C63133"/>
    <w:rsid w:val="01C761D7"/>
    <w:rsid w:val="01D17056"/>
    <w:rsid w:val="01D9415D"/>
    <w:rsid w:val="01D95F0B"/>
    <w:rsid w:val="01DC1F93"/>
    <w:rsid w:val="01E46E20"/>
    <w:rsid w:val="01E92F3E"/>
    <w:rsid w:val="01EA0118"/>
    <w:rsid w:val="01F06499"/>
    <w:rsid w:val="01F11E89"/>
    <w:rsid w:val="01F14A85"/>
    <w:rsid w:val="01F21EDF"/>
    <w:rsid w:val="01F61A58"/>
    <w:rsid w:val="01FF0067"/>
    <w:rsid w:val="01FF1E15"/>
    <w:rsid w:val="01FF4B87"/>
    <w:rsid w:val="020149A5"/>
    <w:rsid w:val="0203486E"/>
    <w:rsid w:val="020654E4"/>
    <w:rsid w:val="02075FB4"/>
    <w:rsid w:val="020C58EA"/>
    <w:rsid w:val="020E6AD8"/>
    <w:rsid w:val="020E6DD5"/>
    <w:rsid w:val="021658FC"/>
    <w:rsid w:val="02182ED7"/>
    <w:rsid w:val="021A1BEE"/>
    <w:rsid w:val="021D0F4A"/>
    <w:rsid w:val="02223D56"/>
    <w:rsid w:val="02284B46"/>
    <w:rsid w:val="022E5D97"/>
    <w:rsid w:val="022E7DE4"/>
    <w:rsid w:val="023870D5"/>
    <w:rsid w:val="023B0973"/>
    <w:rsid w:val="023B5157"/>
    <w:rsid w:val="023C5239"/>
    <w:rsid w:val="023D0A8B"/>
    <w:rsid w:val="02445A7A"/>
    <w:rsid w:val="02452C2D"/>
    <w:rsid w:val="02493090"/>
    <w:rsid w:val="024B6E08"/>
    <w:rsid w:val="024C492F"/>
    <w:rsid w:val="024E4B4B"/>
    <w:rsid w:val="025C7268"/>
    <w:rsid w:val="0261662C"/>
    <w:rsid w:val="02661E94"/>
    <w:rsid w:val="0268276F"/>
    <w:rsid w:val="026E6F9B"/>
    <w:rsid w:val="02707D53"/>
    <w:rsid w:val="02716CF3"/>
    <w:rsid w:val="027470CC"/>
    <w:rsid w:val="02836333"/>
    <w:rsid w:val="02836FD5"/>
    <w:rsid w:val="028440C8"/>
    <w:rsid w:val="028839DD"/>
    <w:rsid w:val="028E4F47"/>
    <w:rsid w:val="02900CBF"/>
    <w:rsid w:val="02907D0A"/>
    <w:rsid w:val="02935A44"/>
    <w:rsid w:val="029D33DC"/>
    <w:rsid w:val="029F0F02"/>
    <w:rsid w:val="029F7154"/>
    <w:rsid w:val="02A209F3"/>
    <w:rsid w:val="02A66735"/>
    <w:rsid w:val="02A82C60"/>
    <w:rsid w:val="02AE07B4"/>
    <w:rsid w:val="02B068EF"/>
    <w:rsid w:val="02BB7746"/>
    <w:rsid w:val="02BC7D06"/>
    <w:rsid w:val="02BD2DDC"/>
    <w:rsid w:val="02BD78AD"/>
    <w:rsid w:val="02C12630"/>
    <w:rsid w:val="02C60B85"/>
    <w:rsid w:val="02C7057E"/>
    <w:rsid w:val="02CD3CC1"/>
    <w:rsid w:val="02CF5EEA"/>
    <w:rsid w:val="02D72970"/>
    <w:rsid w:val="02D908B8"/>
    <w:rsid w:val="02D94583"/>
    <w:rsid w:val="02DC5CB3"/>
    <w:rsid w:val="02DE5ECF"/>
    <w:rsid w:val="02E16CA8"/>
    <w:rsid w:val="02E35069"/>
    <w:rsid w:val="02E42DB9"/>
    <w:rsid w:val="02E5725D"/>
    <w:rsid w:val="02E87781"/>
    <w:rsid w:val="02E917C6"/>
    <w:rsid w:val="02E96621"/>
    <w:rsid w:val="02EB239A"/>
    <w:rsid w:val="02EB2811"/>
    <w:rsid w:val="02EF5CDD"/>
    <w:rsid w:val="02F254D6"/>
    <w:rsid w:val="02F82B20"/>
    <w:rsid w:val="02F920DE"/>
    <w:rsid w:val="02FC4449"/>
    <w:rsid w:val="030376E3"/>
    <w:rsid w:val="030660AA"/>
    <w:rsid w:val="030C5461"/>
    <w:rsid w:val="030D3B7D"/>
    <w:rsid w:val="030F53B2"/>
    <w:rsid w:val="030F6088"/>
    <w:rsid w:val="03100052"/>
    <w:rsid w:val="031273D2"/>
    <w:rsid w:val="031511C4"/>
    <w:rsid w:val="031642E0"/>
    <w:rsid w:val="03166EE3"/>
    <w:rsid w:val="031713E0"/>
    <w:rsid w:val="031E451D"/>
    <w:rsid w:val="032064E7"/>
    <w:rsid w:val="03250913"/>
    <w:rsid w:val="03261624"/>
    <w:rsid w:val="033169AF"/>
    <w:rsid w:val="03321D76"/>
    <w:rsid w:val="03363E84"/>
    <w:rsid w:val="0341020B"/>
    <w:rsid w:val="0341630F"/>
    <w:rsid w:val="0341645D"/>
    <w:rsid w:val="034675D0"/>
    <w:rsid w:val="034E4AE5"/>
    <w:rsid w:val="034F11C2"/>
    <w:rsid w:val="034F2928"/>
    <w:rsid w:val="0350044F"/>
    <w:rsid w:val="03513555"/>
    <w:rsid w:val="03515DC8"/>
    <w:rsid w:val="03522419"/>
    <w:rsid w:val="03547F3F"/>
    <w:rsid w:val="03560DD2"/>
    <w:rsid w:val="03593B4C"/>
    <w:rsid w:val="035D3297"/>
    <w:rsid w:val="036208AE"/>
    <w:rsid w:val="036B7036"/>
    <w:rsid w:val="0370464D"/>
    <w:rsid w:val="03771FAF"/>
    <w:rsid w:val="037B79F7"/>
    <w:rsid w:val="037C5803"/>
    <w:rsid w:val="03814B56"/>
    <w:rsid w:val="038A7E04"/>
    <w:rsid w:val="038D16A3"/>
    <w:rsid w:val="038F71C9"/>
    <w:rsid w:val="039859AF"/>
    <w:rsid w:val="039D7B38"/>
    <w:rsid w:val="039E5AE6"/>
    <w:rsid w:val="03A3181D"/>
    <w:rsid w:val="03A367D0"/>
    <w:rsid w:val="03A74512"/>
    <w:rsid w:val="03AC773F"/>
    <w:rsid w:val="03B43A47"/>
    <w:rsid w:val="03BB08A6"/>
    <w:rsid w:val="03BB6210"/>
    <w:rsid w:val="03C2134C"/>
    <w:rsid w:val="03C230FA"/>
    <w:rsid w:val="03C86237"/>
    <w:rsid w:val="03CA0201"/>
    <w:rsid w:val="03CE1E00"/>
    <w:rsid w:val="03D41080"/>
    <w:rsid w:val="03D56844"/>
    <w:rsid w:val="03D60954"/>
    <w:rsid w:val="03D61ADF"/>
    <w:rsid w:val="03DA186D"/>
    <w:rsid w:val="03DB41BC"/>
    <w:rsid w:val="03DC5520"/>
    <w:rsid w:val="03DC6A5D"/>
    <w:rsid w:val="03DF6A02"/>
    <w:rsid w:val="03E031F6"/>
    <w:rsid w:val="03E05C76"/>
    <w:rsid w:val="03E31959"/>
    <w:rsid w:val="03E72B61"/>
    <w:rsid w:val="03EA08A3"/>
    <w:rsid w:val="03EB7721"/>
    <w:rsid w:val="03EE0393"/>
    <w:rsid w:val="03EF2B33"/>
    <w:rsid w:val="03F01BD1"/>
    <w:rsid w:val="03F51722"/>
    <w:rsid w:val="03FA20DB"/>
    <w:rsid w:val="03FC1138"/>
    <w:rsid w:val="03FD1917"/>
    <w:rsid w:val="03FE40AA"/>
    <w:rsid w:val="03FE4B43"/>
    <w:rsid w:val="03FE4FA5"/>
    <w:rsid w:val="03FF3E8D"/>
    <w:rsid w:val="04025BED"/>
    <w:rsid w:val="0404618D"/>
    <w:rsid w:val="04054B56"/>
    <w:rsid w:val="040556DD"/>
    <w:rsid w:val="04057E87"/>
    <w:rsid w:val="040A2CF3"/>
    <w:rsid w:val="04144FBA"/>
    <w:rsid w:val="04195EEE"/>
    <w:rsid w:val="041B6CAE"/>
    <w:rsid w:val="04212517"/>
    <w:rsid w:val="0428633B"/>
    <w:rsid w:val="042D7C0E"/>
    <w:rsid w:val="042E253E"/>
    <w:rsid w:val="0431202E"/>
    <w:rsid w:val="0432329F"/>
    <w:rsid w:val="04357D70"/>
    <w:rsid w:val="043C63F7"/>
    <w:rsid w:val="043D6C25"/>
    <w:rsid w:val="04405D79"/>
    <w:rsid w:val="04471852"/>
    <w:rsid w:val="044738F6"/>
    <w:rsid w:val="044C50BA"/>
    <w:rsid w:val="044E15C7"/>
    <w:rsid w:val="04561A95"/>
    <w:rsid w:val="045C1444"/>
    <w:rsid w:val="045C213B"/>
    <w:rsid w:val="045F4124"/>
    <w:rsid w:val="046248DD"/>
    <w:rsid w:val="046441B2"/>
    <w:rsid w:val="04650E5C"/>
    <w:rsid w:val="046723D5"/>
    <w:rsid w:val="046976F7"/>
    <w:rsid w:val="046C441A"/>
    <w:rsid w:val="047343F5"/>
    <w:rsid w:val="04776ECC"/>
    <w:rsid w:val="047F0FEB"/>
    <w:rsid w:val="047F2DDF"/>
    <w:rsid w:val="048028BE"/>
    <w:rsid w:val="048209F9"/>
    <w:rsid w:val="04853043"/>
    <w:rsid w:val="048A727F"/>
    <w:rsid w:val="048E4EE6"/>
    <w:rsid w:val="048F7B35"/>
    <w:rsid w:val="049031F8"/>
    <w:rsid w:val="04934A97"/>
    <w:rsid w:val="04937B6A"/>
    <w:rsid w:val="049D76C3"/>
    <w:rsid w:val="04A14B9C"/>
    <w:rsid w:val="04A22F2C"/>
    <w:rsid w:val="04A62A1C"/>
    <w:rsid w:val="04AE7B23"/>
    <w:rsid w:val="04AF72D6"/>
    <w:rsid w:val="04B50EB1"/>
    <w:rsid w:val="04B56CFC"/>
    <w:rsid w:val="04B62533"/>
    <w:rsid w:val="04BB2CD9"/>
    <w:rsid w:val="04BF0B43"/>
    <w:rsid w:val="04C01F2D"/>
    <w:rsid w:val="04C322D1"/>
    <w:rsid w:val="04C91A28"/>
    <w:rsid w:val="04CB5FDF"/>
    <w:rsid w:val="04CE1F73"/>
    <w:rsid w:val="04D8694E"/>
    <w:rsid w:val="04E23328"/>
    <w:rsid w:val="04E6106A"/>
    <w:rsid w:val="04E84DE3"/>
    <w:rsid w:val="04E96190"/>
    <w:rsid w:val="04EA6DAD"/>
    <w:rsid w:val="04ED41A7"/>
    <w:rsid w:val="04ED4759"/>
    <w:rsid w:val="04F1638C"/>
    <w:rsid w:val="04F76DD4"/>
    <w:rsid w:val="04FB74DF"/>
    <w:rsid w:val="04FC275F"/>
    <w:rsid w:val="04FC43EA"/>
    <w:rsid w:val="04FD4DAC"/>
    <w:rsid w:val="05025778"/>
    <w:rsid w:val="05031C1C"/>
    <w:rsid w:val="05034E4B"/>
    <w:rsid w:val="05042D98"/>
    <w:rsid w:val="050634BB"/>
    <w:rsid w:val="0506476A"/>
    <w:rsid w:val="05094D59"/>
    <w:rsid w:val="050B6D23"/>
    <w:rsid w:val="050E75F8"/>
    <w:rsid w:val="0511237A"/>
    <w:rsid w:val="051200B1"/>
    <w:rsid w:val="05123C0E"/>
    <w:rsid w:val="05143A3C"/>
    <w:rsid w:val="05184F9C"/>
    <w:rsid w:val="05191440"/>
    <w:rsid w:val="051E6510"/>
    <w:rsid w:val="051F632A"/>
    <w:rsid w:val="053134F6"/>
    <w:rsid w:val="05314D07"/>
    <w:rsid w:val="05327D53"/>
    <w:rsid w:val="053325AF"/>
    <w:rsid w:val="05377B18"/>
    <w:rsid w:val="053A4F12"/>
    <w:rsid w:val="053B7179"/>
    <w:rsid w:val="054145FB"/>
    <w:rsid w:val="054933A7"/>
    <w:rsid w:val="054A15F9"/>
    <w:rsid w:val="055E32F7"/>
    <w:rsid w:val="056815A0"/>
    <w:rsid w:val="0568634D"/>
    <w:rsid w:val="05693DC6"/>
    <w:rsid w:val="05726DA2"/>
    <w:rsid w:val="0575419C"/>
    <w:rsid w:val="057C377D"/>
    <w:rsid w:val="057E5747"/>
    <w:rsid w:val="058337B0"/>
    <w:rsid w:val="05850883"/>
    <w:rsid w:val="05883ED0"/>
    <w:rsid w:val="058E1298"/>
    <w:rsid w:val="05926AFC"/>
    <w:rsid w:val="05943D22"/>
    <w:rsid w:val="059B1AD3"/>
    <w:rsid w:val="059C2601"/>
    <w:rsid w:val="059D7CA6"/>
    <w:rsid w:val="059F503E"/>
    <w:rsid w:val="05A056BD"/>
    <w:rsid w:val="05A532C7"/>
    <w:rsid w:val="05A82365"/>
    <w:rsid w:val="05AB67AC"/>
    <w:rsid w:val="05AC5F6B"/>
    <w:rsid w:val="05B13426"/>
    <w:rsid w:val="05B222AB"/>
    <w:rsid w:val="05B607CF"/>
    <w:rsid w:val="05B66C8F"/>
    <w:rsid w:val="05B748C8"/>
    <w:rsid w:val="05B9052D"/>
    <w:rsid w:val="05B9677F"/>
    <w:rsid w:val="05C04FA9"/>
    <w:rsid w:val="05C14046"/>
    <w:rsid w:val="05C313AC"/>
    <w:rsid w:val="05C3315A"/>
    <w:rsid w:val="05C37317"/>
    <w:rsid w:val="05C45364"/>
    <w:rsid w:val="05CA098C"/>
    <w:rsid w:val="05CA44E8"/>
    <w:rsid w:val="05CD3FD8"/>
    <w:rsid w:val="05CE19E6"/>
    <w:rsid w:val="05CE31CC"/>
    <w:rsid w:val="05CF793B"/>
    <w:rsid w:val="05D435B9"/>
    <w:rsid w:val="05D709B3"/>
    <w:rsid w:val="05D84E57"/>
    <w:rsid w:val="05DC2B5A"/>
    <w:rsid w:val="05DD2483"/>
    <w:rsid w:val="05E03D0C"/>
    <w:rsid w:val="05E67368"/>
    <w:rsid w:val="05E732EC"/>
    <w:rsid w:val="05EB060C"/>
    <w:rsid w:val="05EC37DD"/>
    <w:rsid w:val="05F801C6"/>
    <w:rsid w:val="05F83171"/>
    <w:rsid w:val="05FA2855"/>
    <w:rsid w:val="05FC03C1"/>
    <w:rsid w:val="05FD4533"/>
    <w:rsid w:val="05FF47BF"/>
    <w:rsid w:val="06021ED4"/>
    <w:rsid w:val="0603173B"/>
    <w:rsid w:val="0605446F"/>
    <w:rsid w:val="06112117"/>
    <w:rsid w:val="061739B6"/>
    <w:rsid w:val="06182533"/>
    <w:rsid w:val="061D1BCC"/>
    <w:rsid w:val="061D6D0E"/>
    <w:rsid w:val="06204A55"/>
    <w:rsid w:val="062260D2"/>
    <w:rsid w:val="0627193B"/>
    <w:rsid w:val="06274EC6"/>
    <w:rsid w:val="06293905"/>
    <w:rsid w:val="063127B9"/>
    <w:rsid w:val="063302DF"/>
    <w:rsid w:val="063522A9"/>
    <w:rsid w:val="063574ED"/>
    <w:rsid w:val="063858F6"/>
    <w:rsid w:val="063C20F6"/>
    <w:rsid w:val="06426774"/>
    <w:rsid w:val="06450326"/>
    <w:rsid w:val="06456265"/>
    <w:rsid w:val="06473D8B"/>
    <w:rsid w:val="0648365F"/>
    <w:rsid w:val="0648418A"/>
    <w:rsid w:val="064A387B"/>
    <w:rsid w:val="064A5629"/>
    <w:rsid w:val="06514C09"/>
    <w:rsid w:val="065B7836"/>
    <w:rsid w:val="065E7985"/>
    <w:rsid w:val="066466EB"/>
    <w:rsid w:val="066B5027"/>
    <w:rsid w:val="066F7CBE"/>
    <w:rsid w:val="06782196"/>
    <w:rsid w:val="067A1543"/>
    <w:rsid w:val="067B3A34"/>
    <w:rsid w:val="06811AEE"/>
    <w:rsid w:val="06823015"/>
    <w:rsid w:val="068A59DD"/>
    <w:rsid w:val="068C7C4C"/>
    <w:rsid w:val="06904A31"/>
    <w:rsid w:val="06932A9F"/>
    <w:rsid w:val="06975DF7"/>
    <w:rsid w:val="069A210C"/>
    <w:rsid w:val="069C6813"/>
    <w:rsid w:val="069F41B1"/>
    <w:rsid w:val="06A116ED"/>
    <w:rsid w:val="06A126BC"/>
    <w:rsid w:val="06A4021B"/>
    <w:rsid w:val="06A50AB1"/>
    <w:rsid w:val="06A66D03"/>
    <w:rsid w:val="06AB431A"/>
    <w:rsid w:val="06AB60C8"/>
    <w:rsid w:val="06AF04B5"/>
    <w:rsid w:val="06B17456"/>
    <w:rsid w:val="06B364C3"/>
    <w:rsid w:val="06B43D0A"/>
    <w:rsid w:val="06B45231"/>
    <w:rsid w:val="06B64A6C"/>
    <w:rsid w:val="06B869C0"/>
    <w:rsid w:val="06BA27AF"/>
    <w:rsid w:val="06BC3135"/>
    <w:rsid w:val="06BF6017"/>
    <w:rsid w:val="06C053BA"/>
    <w:rsid w:val="06C453DB"/>
    <w:rsid w:val="06C5794E"/>
    <w:rsid w:val="06C74ECC"/>
    <w:rsid w:val="06CA7539"/>
    <w:rsid w:val="06D3561E"/>
    <w:rsid w:val="06D422A5"/>
    <w:rsid w:val="06DA075B"/>
    <w:rsid w:val="06E25698"/>
    <w:rsid w:val="06EB0BBA"/>
    <w:rsid w:val="06EF2DF4"/>
    <w:rsid w:val="06F37A6F"/>
    <w:rsid w:val="06F4329F"/>
    <w:rsid w:val="06F51A39"/>
    <w:rsid w:val="06F86E33"/>
    <w:rsid w:val="06FA0DFD"/>
    <w:rsid w:val="06FC502C"/>
    <w:rsid w:val="06FD269B"/>
    <w:rsid w:val="06FF01C2"/>
    <w:rsid w:val="07034156"/>
    <w:rsid w:val="070361EF"/>
    <w:rsid w:val="07043D9E"/>
    <w:rsid w:val="070E6657"/>
    <w:rsid w:val="071015E4"/>
    <w:rsid w:val="071023CF"/>
    <w:rsid w:val="07151AAC"/>
    <w:rsid w:val="071F0864"/>
    <w:rsid w:val="071F2B7E"/>
    <w:rsid w:val="072916E2"/>
    <w:rsid w:val="072B545A"/>
    <w:rsid w:val="07300CC3"/>
    <w:rsid w:val="07342561"/>
    <w:rsid w:val="073C04EF"/>
    <w:rsid w:val="07416A2C"/>
    <w:rsid w:val="074327A4"/>
    <w:rsid w:val="07437561"/>
    <w:rsid w:val="07445783"/>
    <w:rsid w:val="07483BBB"/>
    <w:rsid w:val="07484670"/>
    <w:rsid w:val="074D1BD3"/>
    <w:rsid w:val="07500450"/>
    <w:rsid w:val="075229E7"/>
    <w:rsid w:val="0757624F"/>
    <w:rsid w:val="0758565F"/>
    <w:rsid w:val="075948B2"/>
    <w:rsid w:val="075C73C2"/>
    <w:rsid w:val="07630750"/>
    <w:rsid w:val="076A5F83"/>
    <w:rsid w:val="076F3599"/>
    <w:rsid w:val="07752DA5"/>
    <w:rsid w:val="077566D6"/>
    <w:rsid w:val="077E1A2E"/>
    <w:rsid w:val="078132CC"/>
    <w:rsid w:val="07866B35"/>
    <w:rsid w:val="07897F4C"/>
    <w:rsid w:val="079269DC"/>
    <w:rsid w:val="07926B92"/>
    <w:rsid w:val="07972C4A"/>
    <w:rsid w:val="079A71A9"/>
    <w:rsid w:val="07A33592"/>
    <w:rsid w:val="07A76C22"/>
    <w:rsid w:val="07A87F29"/>
    <w:rsid w:val="07AE39F0"/>
    <w:rsid w:val="07AF3EB7"/>
    <w:rsid w:val="07B54D24"/>
    <w:rsid w:val="07BA61CA"/>
    <w:rsid w:val="07BB53C7"/>
    <w:rsid w:val="07BE731A"/>
    <w:rsid w:val="07C3338A"/>
    <w:rsid w:val="07C37441"/>
    <w:rsid w:val="07C5140B"/>
    <w:rsid w:val="07C66F31"/>
    <w:rsid w:val="07CB0D77"/>
    <w:rsid w:val="07D04F20"/>
    <w:rsid w:val="07DB2381"/>
    <w:rsid w:val="07DE071F"/>
    <w:rsid w:val="07DE24CD"/>
    <w:rsid w:val="07E25A53"/>
    <w:rsid w:val="07E5385B"/>
    <w:rsid w:val="07E55609"/>
    <w:rsid w:val="07E6312F"/>
    <w:rsid w:val="07EE2887"/>
    <w:rsid w:val="07EE2F85"/>
    <w:rsid w:val="07EF46DA"/>
    <w:rsid w:val="07F77F32"/>
    <w:rsid w:val="07F86A4A"/>
    <w:rsid w:val="07FE66CB"/>
    <w:rsid w:val="07FE68AF"/>
    <w:rsid w:val="08002443"/>
    <w:rsid w:val="08017F69"/>
    <w:rsid w:val="08033CE1"/>
    <w:rsid w:val="08124EFC"/>
    <w:rsid w:val="08144141"/>
    <w:rsid w:val="081631DD"/>
    <w:rsid w:val="08210A3A"/>
    <w:rsid w:val="0822060B"/>
    <w:rsid w:val="0822151D"/>
    <w:rsid w:val="08236E21"/>
    <w:rsid w:val="082A3964"/>
    <w:rsid w:val="082C7F16"/>
    <w:rsid w:val="082D3682"/>
    <w:rsid w:val="082D6FB0"/>
    <w:rsid w:val="082F0F7A"/>
    <w:rsid w:val="083311E6"/>
    <w:rsid w:val="08346584"/>
    <w:rsid w:val="08386799"/>
    <w:rsid w:val="08393BA7"/>
    <w:rsid w:val="083E11BD"/>
    <w:rsid w:val="08453A66"/>
    <w:rsid w:val="08470072"/>
    <w:rsid w:val="084A7B62"/>
    <w:rsid w:val="084D31AF"/>
    <w:rsid w:val="08513AC3"/>
    <w:rsid w:val="08534C69"/>
    <w:rsid w:val="085376FC"/>
    <w:rsid w:val="0858227F"/>
    <w:rsid w:val="085D0370"/>
    <w:rsid w:val="085E7AE4"/>
    <w:rsid w:val="086230FE"/>
    <w:rsid w:val="086329D2"/>
    <w:rsid w:val="08640C24"/>
    <w:rsid w:val="08670E1E"/>
    <w:rsid w:val="086A1FB2"/>
    <w:rsid w:val="086A6A56"/>
    <w:rsid w:val="086D6E89"/>
    <w:rsid w:val="08741249"/>
    <w:rsid w:val="0878022B"/>
    <w:rsid w:val="0878647D"/>
    <w:rsid w:val="087A0447"/>
    <w:rsid w:val="087B64B5"/>
    <w:rsid w:val="087B7D1C"/>
    <w:rsid w:val="08816B15"/>
    <w:rsid w:val="08844E22"/>
    <w:rsid w:val="08856D96"/>
    <w:rsid w:val="08887B07"/>
    <w:rsid w:val="088A6040"/>
    <w:rsid w:val="088C333D"/>
    <w:rsid w:val="088C52D5"/>
    <w:rsid w:val="08931228"/>
    <w:rsid w:val="08961F57"/>
    <w:rsid w:val="08966904"/>
    <w:rsid w:val="089B03BE"/>
    <w:rsid w:val="08A25AB1"/>
    <w:rsid w:val="08A515BF"/>
    <w:rsid w:val="08A5267F"/>
    <w:rsid w:val="08A807D2"/>
    <w:rsid w:val="08AC25CB"/>
    <w:rsid w:val="08AF5C17"/>
    <w:rsid w:val="08B5322E"/>
    <w:rsid w:val="08B871C5"/>
    <w:rsid w:val="08B9315C"/>
    <w:rsid w:val="08BB636A"/>
    <w:rsid w:val="08BD0334"/>
    <w:rsid w:val="08BD6586"/>
    <w:rsid w:val="08C87E8B"/>
    <w:rsid w:val="08C96CD9"/>
    <w:rsid w:val="08CE42EF"/>
    <w:rsid w:val="08CE609D"/>
    <w:rsid w:val="08D134AC"/>
    <w:rsid w:val="08D13DE0"/>
    <w:rsid w:val="08D15069"/>
    <w:rsid w:val="08D16FC6"/>
    <w:rsid w:val="08D25C57"/>
    <w:rsid w:val="08D31906"/>
    <w:rsid w:val="08D538D0"/>
    <w:rsid w:val="08D62716"/>
    <w:rsid w:val="08D832CE"/>
    <w:rsid w:val="08DD4532"/>
    <w:rsid w:val="08DF591E"/>
    <w:rsid w:val="08DF64FD"/>
    <w:rsid w:val="08E04023"/>
    <w:rsid w:val="08E231CD"/>
    <w:rsid w:val="08E27D9B"/>
    <w:rsid w:val="08FC0E5C"/>
    <w:rsid w:val="08FC454D"/>
    <w:rsid w:val="08FD2E27"/>
    <w:rsid w:val="08FE60B1"/>
    <w:rsid w:val="090C4E18"/>
    <w:rsid w:val="090C58D8"/>
    <w:rsid w:val="090C5F95"/>
    <w:rsid w:val="090D2444"/>
    <w:rsid w:val="090D306A"/>
    <w:rsid w:val="090F32D9"/>
    <w:rsid w:val="091A6930"/>
    <w:rsid w:val="091A7E4E"/>
    <w:rsid w:val="092108C3"/>
    <w:rsid w:val="092769B0"/>
    <w:rsid w:val="092C1016"/>
    <w:rsid w:val="092D370C"/>
    <w:rsid w:val="0932487E"/>
    <w:rsid w:val="093305F6"/>
    <w:rsid w:val="09353BD7"/>
    <w:rsid w:val="093F4CEB"/>
    <w:rsid w:val="09414AC1"/>
    <w:rsid w:val="094D16B8"/>
    <w:rsid w:val="0954778C"/>
    <w:rsid w:val="09572537"/>
    <w:rsid w:val="09585107"/>
    <w:rsid w:val="0959014C"/>
    <w:rsid w:val="09597141"/>
    <w:rsid w:val="095A2027"/>
    <w:rsid w:val="095C5D9F"/>
    <w:rsid w:val="09622C8A"/>
    <w:rsid w:val="09644C54"/>
    <w:rsid w:val="096D58B6"/>
    <w:rsid w:val="097053A7"/>
    <w:rsid w:val="0972111F"/>
    <w:rsid w:val="09727371"/>
    <w:rsid w:val="0976316B"/>
    <w:rsid w:val="097E7AC3"/>
    <w:rsid w:val="097F1A8E"/>
    <w:rsid w:val="09844849"/>
    <w:rsid w:val="09855EF7"/>
    <w:rsid w:val="09867169"/>
    <w:rsid w:val="09895AEA"/>
    <w:rsid w:val="098D0923"/>
    <w:rsid w:val="098D7D07"/>
    <w:rsid w:val="098E635E"/>
    <w:rsid w:val="09905A49"/>
    <w:rsid w:val="099217C1"/>
    <w:rsid w:val="0992356F"/>
    <w:rsid w:val="0995305F"/>
    <w:rsid w:val="09976DD7"/>
    <w:rsid w:val="09992B4F"/>
    <w:rsid w:val="09992F73"/>
    <w:rsid w:val="099C263F"/>
    <w:rsid w:val="099E3CC2"/>
    <w:rsid w:val="099F1422"/>
    <w:rsid w:val="09A72A6F"/>
    <w:rsid w:val="09A775EB"/>
    <w:rsid w:val="09A82D92"/>
    <w:rsid w:val="09A908B8"/>
    <w:rsid w:val="09AB22A2"/>
    <w:rsid w:val="09AD091F"/>
    <w:rsid w:val="09AF4121"/>
    <w:rsid w:val="09B23C11"/>
    <w:rsid w:val="09B83C79"/>
    <w:rsid w:val="09B858CB"/>
    <w:rsid w:val="09B94817"/>
    <w:rsid w:val="09BD7309"/>
    <w:rsid w:val="09C8422E"/>
    <w:rsid w:val="09C921F2"/>
    <w:rsid w:val="09C94AB7"/>
    <w:rsid w:val="09CD0A4B"/>
    <w:rsid w:val="09D41DD9"/>
    <w:rsid w:val="09D43B87"/>
    <w:rsid w:val="09D70B9A"/>
    <w:rsid w:val="09D771D4"/>
    <w:rsid w:val="09DA51A9"/>
    <w:rsid w:val="09DB4F16"/>
    <w:rsid w:val="09E10FF0"/>
    <w:rsid w:val="09E65607"/>
    <w:rsid w:val="09E87633"/>
    <w:rsid w:val="09EB0ED1"/>
    <w:rsid w:val="09EC7123"/>
    <w:rsid w:val="09F61D50"/>
    <w:rsid w:val="09F6790F"/>
    <w:rsid w:val="09F75AC8"/>
    <w:rsid w:val="09F96B83"/>
    <w:rsid w:val="09FB1114"/>
    <w:rsid w:val="0A002BCE"/>
    <w:rsid w:val="0A014251"/>
    <w:rsid w:val="0A0334A7"/>
    <w:rsid w:val="0A03621B"/>
    <w:rsid w:val="0A042978"/>
    <w:rsid w:val="0A051F93"/>
    <w:rsid w:val="0A073F5D"/>
    <w:rsid w:val="0A0855DF"/>
    <w:rsid w:val="0A0A189F"/>
    <w:rsid w:val="0A0D52EB"/>
    <w:rsid w:val="0A0F696E"/>
    <w:rsid w:val="0A116943"/>
    <w:rsid w:val="0A120031"/>
    <w:rsid w:val="0A146BB6"/>
    <w:rsid w:val="0A171CC6"/>
    <w:rsid w:val="0A1755E4"/>
    <w:rsid w:val="0A193000"/>
    <w:rsid w:val="0A195A3E"/>
    <w:rsid w:val="0A1C72DC"/>
    <w:rsid w:val="0A1E11A5"/>
    <w:rsid w:val="0A200B7B"/>
    <w:rsid w:val="0A206DCD"/>
    <w:rsid w:val="0A216EF0"/>
    <w:rsid w:val="0A2514AA"/>
    <w:rsid w:val="0A2763AD"/>
    <w:rsid w:val="0A283ED3"/>
    <w:rsid w:val="0A3463D4"/>
    <w:rsid w:val="0A374116"/>
    <w:rsid w:val="0A375EC4"/>
    <w:rsid w:val="0A3850D3"/>
    <w:rsid w:val="0A3A3D1B"/>
    <w:rsid w:val="0A3C34DB"/>
    <w:rsid w:val="0A3C70D8"/>
    <w:rsid w:val="0A3F1DF3"/>
    <w:rsid w:val="0A434869"/>
    <w:rsid w:val="0A48552D"/>
    <w:rsid w:val="0A494C47"/>
    <w:rsid w:val="0A4A209B"/>
    <w:rsid w:val="0A4A6D32"/>
    <w:rsid w:val="0A4C1970"/>
    <w:rsid w:val="0A4C5E14"/>
    <w:rsid w:val="0A4C7BC2"/>
    <w:rsid w:val="0A4D5725"/>
    <w:rsid w:val="0A4F320E"/>
    <w:rsid w:val="0A50289B"/>
    <w:rsid w:val="0A514EED"/>
    <w:rsid w:val="0A527D5D"/>
    <w:rsid w:val="0A5470C9"/>
    <w:rsid w:val="0A55777C"/>
    <w:rsid w:val="0A595E3B"/>
    <w:rsid w:val="0A5A32F8"/>
    <w:rsid w:val="0A5B37DB"/>
    <w:rsid w:val="0A5E16A3"/>
    <w:rsid w:val="0A641FD4"/>
    <w:rsid w:val="0A693B63"/>
    <w:rsid w:val="0A6A0048"/>
    <w:rsid w:val="0A6A2895"/>
    <w:rsid w:val="0A747118"/>
    <w:rsid w:val="0A766D81"/>
    <w:rsid w:val="0A79472F"/>
    <w:rsid w:val="0A7964DD"/>
    <w:rsid w:val="0A7B2255"/>
    <w:rsid w:val="0A7E3E50"/>
    <w:rsid w:val="0A813571"/>
    <w:rsid w:val="0A8245A3"/>
    <w:rsid w:val="0A873F23"/>
    <w:rsid w:val="0A892BC4"/>
    <w:rsid w:val="0A8A4E3C"/>
    <w:rsid w:val="0A8C0226"/>
    <w:rsid w:val="0A8E01DA"/>
    <w:rsid w:val="0A921C4C"/>
    <w:rsid w:val="0A9425DE"/>
    <w:rsid w:val="0A9652E1"/>
    <w:rsid w:val="0A9B28F7"/>
    <w:rsid w:val="0AA20035"/>
    <w:rsid w:val="0AA531D1"/>
    <w:rsid w:val="0AA73EE5"/>
    <w:rsid w:val="0AAA20CF"/>
    <w:rsid w:val="0AAB0D8C"/>
    <w:rsid w:val="0AAC240E"/>
    <w:rsid w:val="0AAE43D8"/>
    <w:rsid w:val="0AB30ED6"/>
    <w:rsid w:val="0AB51FAE"/>
    <w:rsid w:val="0AB543F7"/>
    <w:rsid w:val="0AB6328D"/>
    <w:rsid w:val="0AB730E5"/>
    <w:rsid w:val="0AB94B2B"/>
    <w:rsid w:val="0ABB2844"/>
    <w:rsid w:val="0ABE5777"/>
    <w:rsid w:val="0ABF0394"/>
    <w:rsid w:val="0ABF04A6"/>
    <w:rsid w:val="0AC36E03"/>
    <w:rsid w:val="0AC45120"/>
    <w:rsid w:val="0AC97464"/>
    <w:rsid w:val="0ACF38CA"/>
    <w:rsid w:val="0ACF434F"/>
    <w:rsid w:val="0AD025A1"/>
    <w:rsid w:val="0AD1695A"/>
    <w:rsid w:val="0AD2152B"/>
    <w:rsid w:val="0AD32091"/>
    <w:rsid w:val="0AD55E09"/>
    <w:rsid w:val="0AD81455"/>
    <w:rsid w:val="0AD82FED"/>
    <w:rsid w:val="0AD876A7"/>
    <w:rsid w:val="0ADA10BE"/>
    <w:rsid w:val="0ADF27E4"/>
    <w:rsid w:val="0AE9400E"/>
    <w:rsid w:val="0AE95411"/>
    <w:rsid w:val="0AEC0884"/>
    <w:rsid w:val="0AEC56B1"/>
    <w:rsid w:val="0AF52007"/>
    <w:rsid w:val="0AF618DB"/>
    <w:rsid w:val="0AF66A0C"/>
    <w:rsid w:val="0AF73FD1"/>
    <w:rsid w:val="0AF838A6"/>
    <w:rsid w:val="0AFA761E"/>
    <w:rsid w:val="0AFD710E"/>
    <w:rsid w:val="0B024724"/>
    <w:rsid w:val="0B065FC2"/>
    <w:rsid w:val="0B077F8D"/>
    <w:rsid w:val="0B0B3243"/>
    <w:rsid w:val="0B145DDE"/>
    <w:rsid w:val="0B1B576C"/>
    <w:rsid w:val="0B23169B"/>
    <w:rsid w:val="0B287EF2"/>
    <w:rsid w:val="0B292074"/>
    <w:rsid w:val="0B2D38CC"/>
    <w:rsid w:val="0B2D79F3"/>
    <w:rsid w:val="0B3222C4"/>
    <w:rsid w:val="0B332444"/>
    <w:rsid w:val="0B370D4F"/>
    <w:rsid w:val="0B3F3C9B"/>
    <w:rsid w:val="0B400D35"/>
    <w:rsid w:val="0B445C59"/>
    <w:rsid w:val="0B446AEB"/>
    <w:rsid w:val="0B4B1C27"/>
    <w:rsid w:val="0B4D1E43"/>
    <w:rsid w:val="0B4D3BF1"/>
    <w:rsid w:val="0B536DFE"/>
    <w:rsid w:val="0B5B32BA"/>
    <w:rsid w:val="0B5D551A"/>
    <w:rsid w:val="0B5D59F2"/>
    <w:rsid w:val="0B5D7BAD"/>
    <w:rsid w:val="0B5F56D3"/>
    <w:rsid w:val="0B604BA6"/>
    <w:rsid w:val="0B61144B"/>
    <w:rsid w:val="0B6131F9"/>
    <w:rsid w:val="0B621425"/>
    <w:rsid w:val="0B646908"/>
    <w:rsid w:val="0B666A61"/>
    <w:rsid w:val="0B676EEA"/>
    <w:rsid w:val="0B6B22C9"/>
    <w:rsid w:val="0B6D4294"/>
    <w:rsid w:val="0B7130AE"/>
    <w:rsid w:val="0B73117E"/>
    <w:rsid w:val="0B7B10CC"/>
    <w:rsid w:val="0B7E7342"/>
    <w:rsid w:val="0B842C02"/>
    <w:rsid w:val="0B881B73"/>
    <w:rsid w:val="0B8B1410"/>
    <w:rsid w:val="0B8D0A07"/>
    <w:rsid w:val="0B9423AE"/>
    <w:rsid w:val="0B9A50A9"/>
    <w:rsid w:val="0B9C2630"/>
    <w:rsid w:val="0B9D61FB"/>
    <w:rsid w:val="0B9E1E32"/>
    <w:rsid w:val="0BA8283E"/>
    <w:rsid w:val="0BA92DF2"/>
    <w:rsid w:val="0BAA072F"/>
    <w:rsid w:val="0BB00E89"/>
    <w:rsid w:val="0BB52366"/>
    <w:rsid w:val="0BB60C80"/>
    <w:rsid w:val="0BB80875"/>
    <w:rsid w:val="0BB93035"/>
    <w:rsid w:val="0BBA3873"/>
    <w:rsid w:val="0BBC3037"/>
    <w:rsid w:val="0BC53DFE"/>
    <w:rsid w:val="0BCB2A5E"/>
    <w:rsid w:val="0BCD6AE0"/>
    <w:rsid w:val="0BD219A3"/>
    <w:rsid w:val="0BD31C1D"/>
    <w:rsid w:val="0BD47E6F"/>
    <w:rsid w:val="0BDD167D"/>
    <w:rsid w:val="0BDE2A9B"/>
    <w:rsid w:val="0BE156A5"/>
    <w:rsid w:val="0BF056CB"/>
    <w:rsid w:val="0BF978D5"/>
    <w:rsid w:val="0BFE2BDE"/>
    <w:rsid w:val="0BFE4648"/>
    <w:rsid w:val="0C045FAE"/>
    <w:rsid w:val="0C0544CC"/>
    <w:rsid w:val="0C061FF2"/>
    <w:rsid w:val="0C096BB1"/>
    <w:rsid w:val="0C0F45D3"/>
    <w:rsid w:val="0C105208"/>
    <w:rsid w:val="0C140FB0"/>
    <w:rsid w:val="0C1B3CF0"/>
    <w:rsid w:val="0C201306"/>
    <w:rsid w:val="0C210B2D"/>
    <w:rsid w:val="0C216E2C"/>
    <w:rsid w:val="0C2F779B"/>
    <w:rsid w:val="0C372D53"/>
    <w:rsid w:val="0C3923C8"/>
    <w:rsid w:val="0C462449"/>
    <w:rsid w:val="0C48085D"/>
    <w:rsid w:val="0C4A01D3"/>
    <w:rsid w:val="0C4A5554"/>
    <w:rsid w:val="0C50326D"/>
    <w:rsid w:val="0C523489"/>
    <w:rsid w:val="0C55046C"/>
    <w:rsid w:val="0C5662DC"/>
    <w:rsid w:val="0C5D60B6"/>
    <w:rsid w:val="0C5E598A"/>
    <w:rsid w:val="0C607954"/>
    <w:rsid w:val="0C61547A"/>
    <w:rsid w:val="0C62191E"/>
    <w:rsid w:val="0C6433BC"/>
    <w:rsid w:val="0C677BB4"/>
    <w:rsid w:val="0C6A2581"/>
    <w:rsid w:val="0C746A2C"/>
    <w:rsid w:val="0C7B653C"/>
    <w:rsid w:val="0C826773"/>
    <w:rsid w:val="0C831895"/>
    <w:rsid w:val="0C831CE8"/>
    <w:rsid w:val="0C8427D5"/>
    <w:rsid w:val="0C85560D"/>
    <w:rsid w:val="0C886EAB"/>
    <w:rsid w:val="0C8E2713"/>
    <w:rsid w:val="0C925DF4"/>
    <w:rsid w:val="0C9870EE"/>
    <w:rsid w:val="0C9A4780"/>
    <w:rsid w:val="0C9B098C"/>
    <w:rsid w:val="0C9D2956"/>
    <w:rsid w:val="0C9D51A9"/>
    <w:rsid w:val="0CA23AC9"/>
    <w:rsid w:val="0CA74A68"/>
    <w:rsid w:val="0CAA5073"/>
    <w:rsid w:val="0CB065F3"/>
    <w:rsid w:val="0CB078B1"/>
    <w:rsid w:val="0CB11F5E"/>
    <w:rsid w:val="0CB16C35"/>
    <w:rsid w:val="0CB41A4E"/>
    <w:rsid w:val="0CBB4B8B"/>
    <w:rsid w:val="0CC003F3"/>
    <w:rsid w:val="0CC40892"/>
    <w:rsid w:val="0CCD48BE"/>
    <w:rsid w:val="0CD36D0E"/>
    <w:rsid w:val="0CDD5448"/>
    <w:rsid w:val="0CE06691"/>
    <w:rsid w:val="0CE75980"/>
    <w:rsid w:val="0CEA0507"/>
    <w:rsid w:val="0CEC11E8"/>
    <w:rsid w:val="0CEC6736"/>
    <w:rsid w:val="0CEE4F60"/>
    <w:rsid w:val="0CF43AA0"/>
    <w:rsid w:val="0CF87B8D"/>
    <w:rsid w:val="0CFB142B"/>
    <w:rsid w:val="0CFB58CF"/>
    <w:rsid w:val="0CFC5F67"/>
    <w:rsid w:val="0D0512FE"/>
    <w:rsid w:val="0D065E12"/>
    <w:rsid w:val="0D077DD0"/>
    <w:rsid w:val="0D093B48"/>
    <w:rsid w:val="0D0F0BBE"/>
    <w:rsid w:val="0D152DC7"/>
    <w:rsid w:val="0D19047D"/>
    <w:rsid w:val="0D1C7D1F"/>
    <w:rsid w:val="0D1D75F3"/>
    <w:rsid w:val="0D1E3B0E"/>
    <w:rsid w:val="0D214674"/>
    <w:rsid w:val="0D246BD4"/>
    <w:rsid w:val="0D2838E8"/>
    <w:rsid w:val="0D2941EA"/>
    <w:rsid w:val="0D2947D3"/>
    <w:rsid w:val="0D2A1D10"/>
    <w:rsid w:val="0D2D59C3"/>
    <w:rsid w:val="0D2E7BD5"/>
    <w:rsid w:val="0D312C9C"/>
    <w:rsid w:val="0D330BC5"/>
    <w:rsid w:val="0D3D37F2"/>
    <w:rsid w:val="0D3D5EE8"/>
    <w:rsid w:val="0D3E3F85"/>
    <w:rsid w:val="0D423C21"/>
    <w:rsid w:val="0D441E2F"/>
    <w:rsid w:val="0D4444CB"/>
    <w:rsid w:val="0D4827EE"/>
    <w:rsid w:val="0D4B23B2"/>
    <w:rsid w:val="0D4D0F89"/>
    <w:rsid w:val="0D4E1EA3"/>
    <w:rsid w:val="0D502C24"/>
    <w:rsid w:val="0D531267"/>
    <w:rsid w:val="0D556D8D"/>
    <w:rsid w:val="0D5679FB"/>
    <w:rsid w:val="0D5813DC"/>
    <w:rsid w:val="0D660F9A"/>
    <w:rsid w:val="0D6671EC"/>
    <w:rsid w:val="0D676AC1"/>
    <w:rsid w:val="0D696CBB"/>
    <w:rsid w:val="0D7301BF"/>
    <w:rsid w:val="0D75742F"/>
    <w:rsid w:val="0D7731A8"/>
    <w:rsid w:val="0D774C18"/>
    <w:rsid w:val="0D7C7760"/>
    <w:rsid w:val="0D8256A8"/>
    <w:rsid w:val="0D8458C4"/>
    <w:rsid w:val="0D8B4057"/>
    <w:rsid w:val="0D8E7657"/>
    <w:rsid w:val="0D974726"/>
    <w:rsid w:val="0D98311E"/>
    <w:rsid w:val="0D99476A"/>
    <w:rsid w:val="0D9D1FC6"/>
    <w:rsid w:val="0D9E6986"/>
    <w:rsid w:val="0DA41E68"/>
    <w:rsid w:val="0DA67CA4"/>
    <w:rsid w:val="0DAE2941"/>
    <w:rsid w:val="0DB02216"/>
    <w:rsid w:val="0DB35682"/>
    <w:rsid w:val="0DBC505E"/>
    <w:rsid w:val="0DBD4932"/>
    <w:rsid w:val="0DC10DA5"/>
    <w:rsid w:val="0DC3019B"/>
    <w:rsid w:val="0DCC2D91"/>
    <w:rsid w:val="0DCE6E43"/>
    <w:rsid w:val="0DD115F7"/>
    <w:rsid w:val="0DD26630"/>
    <w:rsid w:val="0DDA1988"/>
    <w:rsid w:val="0DDF0D4D"/>
    <w:rsid w:val="0DE34399"/>
    <w:rsid w:val="0DE46363"/>
    <w:rsid w:val="0DE63E89"/>
    <w:rsid w:val="0DE87C01"/>
    <w:rsid w:val="0DEB2B7A"/>
    <w:rsid w:val="0DEC35A3"/>
    <w:rsid w:val="0DEE56BA"/>
    <w:rsid w:val="0DF026E6"/>
    <w:rsid w:val="0DF25043"/>
    <w:rsid w:val="0DF76096"/>
    <w:rsid w:val="0DFD6346"/>
    <w:rsid w:val="0DFE5677"/>
    <w:rsid w:val="0E005588"/>
    <w:rsid w:val="0E010CC3"/>
    <w:rsid w:val="0E012A71"/>
    <w:rsid w:val="0E034675"/>
    <w:rsid w:val="0E042561"/>
    <w:rsid w:val="0E05778A"/>
    <w:rsid w:val="0E0903C3"/>
    <w:rsid w:val="0E0B7D94"/>
    <w:rsid w:val="0E0F33E0"/>
    <w:rsid w:val="0E1409F6"/>
    <w:rsid w:val="0E146C48"/>
    <w:rsid w:val="0E172295"/>
    <w:rsid w:val="0E1B1CC8"/>
    <w:rsid w:val="0E1C5AFD"/>
    <w:rsid w:val="0E2A021A"/>
    <w:rsid w:val="0E2D08AA"/>
    <w:rsid w:val="0E2E40B0"/>
    <w:rsid w:val="0E303356"/>
    <w:rsid w:val="0E320E7D"/>
    <w:rsid w:val="0E361188"/>
    <w:rsid w:val="0E391765"/>
    <w:rsid w:val="0E3E7B9F"/>
    <w:rsid w:val="0E462B7A"/>
    <w:rsid w:val="0E4D5CB6"/>
    <w:rsid w:val="0E4E28C5"/>
    <w:rsid w:val="0E4E4BCC"/>
    <w:rsid w:val="0E4F7C80"/>
    <w:rsid w:val="0E527771"/>
    <w:rsid w:val="0E56100F"/>
    <w:rsid w:val="0E5928AD"/>
    <w:rsid w:val="0E59465B"/>
    <w:rsid w:val="0E5A03D3"/>
    <w:rsid w:val="0E5A4CEC"/>
    <w:rsid w:val="0E5D5606"/>
    <w:rsid w:val="0E6059EA"/>
    <w:rsid w:val="0E67321C"/>
    <w:rsid w:val="0E7112CD"/>
    <w:rsid w:val="0E72036A"/>
    <w:rsid w:val="0E760DED"/>
    <w:rsid w:val="0E7A6EE8"/>
    <w:rsid w:val="0E8033D3"/>
    <w:rsid w:val="0E8042DE"/>
    <w:rsid w:val="0E807E3A"/>
    <w:rsid w:val="0E811E04"/>
    <w:rsid w:val="0E8327C4"/>
    <w:rsid w:val="0E867766"/>
    <w:rsid w:val="0E8A7F6C"/>
    <w:rsid w:val="0E8D52EB"/>
    <w:rsid w:val="0E8E40B2"/>
    <w:rsid w:val="0E930406"/>
    <w:rsid w:val="0E947667"/>
    <w:rsid w:val="0E947D89"/>
    <w:rsid w:val="0E96143D"/>
    <w:rsid w:val="0E977E58"/>
    <w:rsid w:val="0E9C09EC"/>
    <w:rsid w:val="0EA578A0"/>
    <w:rsid w:val="0EA7526D"/>
    <w:rsid w:val="0EA855E3"/>
    <w:rsid w:val="0EA93835"/>
    <w:rsid w:val="0EAB2129"/>
    <w:rsid w:val="0EAB3DCA"/>
    <w:rsid w:val="0EAF4BC3"/>
    <w:rsid w:val="0EB67D00"/>
    <w:rsid w:val="0EBA43E5"/>
    <w:rsid w:val="0EBB44FE"/>
    <w:rsid w:val="0EC0292C"/>
    <w:rsid w:val="0EC15ACC"/>
    <w:rsid w:val="0EC75A69"/>
    <w:rsid w:val="0EC96181"/>
    <w:rsid w:val="0ECA7307"/>
    <w:rsid w:val="0ECF491D"/>
    <w:rsid w:val="0ED62150"/>
    <w:rsid w:val="0ED85EC8"/>
    <w:rsid w:val="0ED87BB1"/>
    <w:rsid w:val="0ED91C40"/>
    <w:rsid w:val="0EDB39C9"/>
    <w:rsid w:val="0EDD34DE"/>
    <w:rsid w:val="0EE54141"/>
    <w:rsid w:val="0EE859DF"/>
    <w:rsid w:val="0EEA7BA8"/>
    <w:rsid w:val="0EEC2127"/>
    <w:rsid w:val="0EEC3721"/>
    <w:rsid w:val="0EED1247"/>
    <w:rsid w:val="0EEF2865"/>
    <w:rsid w:val="0EFA6181"/>
    <w:rsid w:val="0EFE25B0"/>
    <w:rsid w:val="0EFF0B63"/>
    <w:rsid w:val="0F032AED"/>
    <w:rsid w:val="0F0547E3"/>
    <w:rsid w:val="0F0802A7"/>
    <w:rsid w:val="0F152C78"/>
    <w:rsid w:val="0F192B9A"/>
    <w:rsid w:val="0F2131EB"/>
    <w:rsid w:val="0F262659"/>
    <w:rsid w:val="0F274CDB"/>
    <w:rsid w:val="0F3155D8"/>
    <w:rsid w:val="0F346E76"/>
    <w:rsid w:val="0F3A42EB"/>
    <w:rsid w:val="0F410916"/>
    <w:rsid w:val="0F455917"/>
    <w:rsid w:val="0F460631"/>
    <w:rsid w:val="0F485A25"/>
    <w:rsid w:val="0F4A0448"/>
    <w:rsid w:val="0F4E7F38"/>
    <w:rsid w:val="0F521540"/>
    <w:rsid w:val="0F5662C3"/>
    <w:rsid w:val="0F593F96"/>
    <w:rsid w:val="0F5D461F"/>
    <w:rsid w:val="0F66425D"/>
    <w:rsid w:val="0F697CA7"/>
    <w:rsid w:val="0F6B0AEA"/>
    <w:rsid w:val="0F6E2388"/>
    <w:rsid w:val="0F7200CA"/>
    <w:rsid w:val="0F723E0D"/>
    <w:rsid w:val="0F790AE0"/>
    <w:rsid w:val="0F7A6F7F"/>
    <w:rsid w:val="0F7B0F31"/>
    <w:rsid w:val="0F7B6215"/>
    <w:rsid w:val="0F7C5D0D"/>
    <w:rsid w:val="0F7F43FD"/>
    <w:rsid w:val="0F8266D9"/>
    <w:rsid w:val="0F84395A"/>
    <w:rsid w:val="0F8971C2"/>
    <w:rsid w:val="0F8B485B"/>
    <w:rsid w:val="0F8B629A"/>
    <w:rsid w:val="0F8C280E"/>
    <w:rsid w:val="0F93110C"/>
    <w:rsid w:val="0F956847"/>
    <w:rsid w:val="0F9928EF"/>
    <w:rsid w:val="0FA67D74"/>
    <w:rsid w:val="0FAB7138"/>
    <w:rsid w:val="0FAB75FC"/>
    <w:rsid w:val="0FAC2EB1"/>
    <w:rsid w:val="0FAE09D7"/>
    <w:rsid w:val="0FB24BEB"/>
    <w:rsid w:val="0FB81855"/>
    <w:rsid w:val="0FC05ABE"/>
    <w:rsid w:val="0FC401FA"/>
    <w:rsid w:val="0FC63F72"/>
    <w:rsid w:val="0FC65D20"/>
    <w:rsid w:val="0FDB3F4D"/>
    <w:rsid w:val="0FDC5544"/>
    <w:rsid w:val="0FDD4E95"/>
    <w:rsid w:val="0FE16FFE"/>
    <w:rsid w:val="0FE1744F"/>
    <w:rsid w:val="0FE333A8"/>
    <w:rsid w:val="0FE64614"/>
    <w:rsid w:val="0FE97C61"/>
    <w:rsid w:val="0FEC413D"/>
    <w:rsid w:val="0FED14FF"/>
    <w:rsid w:val="0FF02D9D"/>
    <w:rsid w:val="0FF30ADF"/>
    <w:rsid w:val="0FF50C2A"/>
    <w:rsid w:val="0FF52AA9"/>
    <w:rsid w:val="0FF94348"/>
    <w:rsid w:val="0FFC5BE6"/>
    <w:rsid w:val="0FFD54BA"/>
    <w:rsid w:val="0FFF254C"/>
    <w:rsid w:val="0FFF7484"/>
    <w:rsid w:val="10046849"/>
    <w:rsid w:val="100A02F0"/>
    <w:rsid w:val="100D7DF3"/>
    <w:rsid w:val="10120F66"/>
    <w:rsid w:val="10172A20"/>
    <w:rsid w:val="10196798"/>
    <w:rsid w:val="101A42BE"/>
    <w:rsid w:val="101C5273"/>
    <w:rsid w:val="101E5B5C"/>
    <w:rsid w:val="101F18D4"/>
    <w:rsid w:val="102313C5"/>
    <w:rsid w:val="10240C99"/>
    <w:rsid w:val="102723E9"/>
    <w:rsid w:val="10284558"/>
    <w:rsid w:val="102858E0"/>
    <w:rsid w:val="102A654C"/>
    <w:rsid w:val="103F3D25"/>
    <w:rsid w:val="1041796E"/>
    <w:rsid w:val="1045133B"/>
    <w:rsid w:val="10455972"/>
    <w:rsid w:val="10487C63"/>
    <w:rsid w:val="104C5C4C"/>
    <w:rsid w:val="104E486B"/>
    <w:rsid w:val="1053332C"/>
    <w:rsid w:val="1053405A"/>
    <w:rsid w:val="105921EF"/>
    <w:rsid w:val="10596B94"/>
    <w:rsid w:val="105E41AB"/>
    <w:rsid w:val="106D43EE"/>
    <w:rsid w:val="106F1A56"/>
    <w:rsid w:val="10727D83"/>
    <w:rsid w:val="10755213"/>
    <w:rsid w:val="1077526D"/>
    <w:rsid w:val="10795489"/>
    <w:rsid w:val="107A6B0B"/>
    <w:rsid w:val="107C2883"/>
    <w:rsid w:val="107D490A"/>
    <w:rsid w:val="108005C5"/>
    <w:rsid w:val="10815C4F"/>
    <w:rsid w:val="10863702"/>
    <w:rsid w:val="10880CED"/>
    <w:rsid w:val="108B70E7"/>
    <w:rsid w:val="1090553E"/>
    <w:rsid w:val="1091537A"/>
    <w:rsid w:val="10A047C3"/>
    <w:rsid w:val="10A32505"/>
    <w:rsid w:val="10AD79C5"/>
    <w:rsid w:val="10B21015"/>
    <w:rsid w:val="10B22749"/>
    <w:rsid w:val="10B65D95"/>
    <w:rsid w:val="10B75FF2"/>
    <w:rsid w:val="10BC476C"/>
    <w:rsid w:val="10C50985"/>
    <w:rsid w:val="10CA7A92"/>
    <w:rsid w:val="10CE38DC"/>
    <w:rsid w:val="10CF355A"/>
    <w:rsid w:val="10D0497D"/>
    <w:rsid w:val="10D0561F"/>
    <w:rsid w:val="10D43D46"/>
    <w:rsid w:val="10D51453"/>
    <w:rsid w:val="10D62C9A"/>
    <w:rsid w:val="10D64689"/>
    <w:rsid w:val="10D91A83"/>
    <w:rsid w:val="10DD3FBB"/>
    <w:rsid w:val="10E50D24"/>
    <w:rsid w:val="10E85D69"/>
    <w:rsid w:val="10E87F18"/>
    <w:rsid w:val="10F040B0"/>
    <w:rsid w:val="10F36FE9"/>
    <w:rsid w:val="11020FDA"/>
    <w:rsid w:val="1102547E"/>
    <w:rsid w:val="110B43CA"/>
    <w:rsid w:val="110B7E38"/>
    <w:rsid w:val="110D301B"/>
    <w:rsid w:val="111060F1"/>
    <w:rsid w:val="11134B6C"/>
    <w:rsid w:val="111F404A"/>
    <w:rsid w:val="112549C2"/>
    <w:rsid w:val="11273BC1"/>
    <w:rsid w:val="112A0531"/>
    <w:rsid w:val="112B7251"/>
    <w:rsid w:val="112C7269"/>
    <w:rsid w:val="112C793F"/>
    <w:rsid w:val="113B0990"/>
    <w:rsid w:val="113E2CEA"/>
    <w:rsid w:val="113F222E"/>
    <w:rsid w:val="11504419"/>
    <w:rsid w:val="11553800"/>
    <w:rsid w:val="115926F4"/>
    <w:rsid w:val="1159557D"/>
    <w:rsid w:val="115B2DE0"/>
    <w:rsid w:val="115D0157"/>
    <w:rsid w:val="115D0906"/>
    <w:rsid w:val="115F642C"/>
    <w:rsid w:val="11603762"/>
    <w:rsid w:val="11603F53"/>
    <w:rsid w:val="11605E45"/>
    <w:rsid w:val="11671785"/>
    <w:rsid w:val="11691059"/>
    <w:rsid w:val="116972AB"/>
    <w:rsid w:val="116A24BF"/>
    <w:rsid w:val="11717F0E"/>
    <w:rsid w:val="11724EEB"/>
    <w:rsid w:val="11761AF6"/>
    <w:rsid w:val="117A7BD0"/>
    <w:rsid w:val="11832836"/>
    <w:rsid w:val="11857264"/>
    <w:rsid w:val="1186357B"/>
    <w:rsid w:val="118714DF"/>
    <w:rsid w:val="11895257"/>
    <w:rsid w:val="118E7D16"/>
    <w:rsid w:val="11901453"/>
    <w:rsid w:val="11904838"/>
    <w:rsid w:val="11904BF8"/>
    <w:rsid w:val="1193356B"/>
    <w:rsid w:val="119D599E"/>
    <w:rsid w:val="119E59ED"/>
    <w:rsid w:val="11A11E84"/>
    <w:rsid w:val="11A16A45"/>
    <w:rsid w:val="11A524FB"/>
    <w:rsid w:val="11A622AD"/>
    <w:rsid w:val="11AB1672"/>
    <w:rsid w:val="11B20C52"/>
    <w:rsid w:val="11B4024C"/>
    <w:rsid w:val="11B5429E"/>
    <w:rsid w:val="11B820DB"/>
    <w:rsid w:val="11BC7F56"/>
    <w:rsid w:val="11C35B9C"/>
    <w:rsid w:val="11C444E1"/>
    <w:rsid w:val="11C5058A"/>
    <w:rsid w:val="11CC5EF6"/>
    <w:rsid w:val="11CE5360"/>
    <w:rsid w:val="11D706B9"/>
    <w:rsid w:val="11E03181"/>
    <w:rsid w:val="11E159AD"/>
    <w:rsid w:val="11E174DD"/>
    <w:rsid w:val="11E5113A"/>
    <w:rsid w:val="11E61D28"/>
    <w:rsid w:val="11E626AA"/>
    <w:rsid w:val="11F0177A"/>
    <w:rsid w:val="11F12DFD"/>
    <w:rsid w:val="11F35801"/>
    <w:rsid w:val="11F70DB3"/>
    <w:rsid w:val="11F76665"/>
    <w:rsid w:val="11F823DD"/>
    <w:rsid w:val="11FC011F"/>
    <w:rsid w:val="11FD09AA"/>
    <w:rsid w:val="12011292"/>
    <w:rsid w:val="12042B30"/>
    <w:rsid w:val="12045226"/>
    <w:rsid w:val="12046F80"/>
    <w:rsid w:val="1209283C"/>
    <w:rsid w:val="120B2110"/>
    <w:rsid w:val="12102875"/>
    <w:rsid w:val="12103BCB"/>
    <w:rsid w:val="121422CB"/>
    <w:rsid w:val="121D1E44"/>
    <w:rsid w:val="121D3BF2"/>
    <w:rsid w:val="122356AC"/>
    <w:rsid w:val="122B332B"/>
    <w:rsid w:val="122D02D9"/>
    <w:rsid w:val="122E5DFF"/>
    <w:rsid w:val="12301B77"/>
    <w:rsid w:val="12303925"/>
    <w:rsid w:val="123258EF"/>
    <w:rsid w:val="12351D1C"/>
    <w:rsid w:val="12365134"/>
    <w:rsid w:val="123709AA"/>
    <w:rsid w:val="123836C7"/>
    <w:rsid w:val="12394ECF"/>
    <w:rsid w:val="123956DC"/>
    <w:rsid w:val="123D410A"/>
    <w:rsid w:val="123E4294"/>
    <w:rsid w:val="123F1DBA"/>
    <w:rsid w:val="12435D4E"/>
    <w:rsid w:val="12485112"/>
    <w:rsid w:val="12492478"/>
    <w:rsid w:val="12492C39"/>
    <w:rsid w:val="124E6BC9"/>
    <w:rsid w:val="124F58FC"/>
    <w:rsid w:val="125010CC"/>
    <w:rsid w:val="12502219"/>
    <w:rsid w:val="12537189"/>
    <w:rsid w:val="125735A8"/>
    <w:rsid w:val="125C0BBE"/>
    <w:rsid w:val="125D0492"/>
    <w:rsid w:val="1260229D"/>
    <w:rsid w:val="126357F7"/>
    <w:rsid w:val="12665E0E"/>
    <w:rsid w:val="126A77F7"/>
    <w:rsid w:val="126B7053"/>
    <w:rsid w:val="126C28B6"/>
    <w:rsid w:val="126C4E88"/>
    <w:rsid w:val="126E4812"/>
    <w:rsid w:val="127203E1"/>
    <w:rsid w:val="12744159"/>
    <w:rsid w:val="12762B59"/>
    <w:rsid w:val="127B61EA"/>
    <w:rsid w:val="127F5DD2"/>
    <w:rsid w:val="12833A99"/>
    <w:rsid w:val="12865C3B"/>
    <w:rsid w:val="12887C05"/>
    <w:rsid w:val="12906AB9"/>
    <w:rsid w:val="12937E5A"/>
    <w:rsid w:val="12957C2C"/>
    <w:rsid w:val="12970375"/>
    <w:rsid w:val="129824C9"/>
    <w:rsid w:val="1299367B"/>
    <w:rsid w:val="129A03A8"/>
    <w:rsid w:val="12A245B7"/>
    <w:rsid w:val="12A3059B"/>
    <w:rsid w:val="12A50573"/>
    <w:rsid w:val="12A644BF"/>
    <w:rsid w:val="12AC266A"/>
    <w:rsid w:val="12AF6F40"/>
    <w:rsid w:val="12B15EBF"/>
    <w:rsid w:val="12B409FA"/>
    <w:rsid w:val="12B44556"/>
    <w:rsid w:val="12C0034F"/>
    <w:rsid w:val="12C4449F"/>
    <w:rsid w:val="12C6125A"/>
    <w:rsid w:val="12C7072D"/>
    <w:rsid w:val="12CB228A"/>
    <w:rsid w:val="12D5066B"/>
    <w:rsid w:val="12D6271E"/>
    <w:rsid w:val="12EC16BF"/>
    <w:rsid w:val="12EE0A5B"/>
    <w:rsid w:val="12EF37E0"/>
    <w:rsid w:val="12F2507E"/>
    <w:rsid w:val="12F31522"/>
    <w:rsid w:val="12F65409"/>
    <w:rsid w:val="12F714BE"/>
    <w:rsid w:val="12FC58B1"/>
    <w:rsid w:val="12FC7CAB"/>
    <w:rsid w:val="12FD27F6"/>
    <w:rsid w:val="1303728B"/>
    <w:rsid w:val="130A061A"/>
    <w:rsid w:val="130D1EB8"/>
    <w:rsid w:val="13135CCE"/>
    <w:rsid w:val="13160A9B"/>
    <w:rsid w:val="131E40C5"/>
    <w:rsid w:val="13250FB0"/>
    <w:rsid w:val="13373DCF"/>
    <w:rsid w:val="13390EFF"/>
    <w:rsid w:val="133B1CA8"/>
    <w:rsid w:val="133F61FB"/>
    <w:rsid w:val="13465AC5"/>
    <w:rsid w:val="134753CA"/>
    <w:rsid w:val="13520775"/>
    <w:rsid w:val="13533D6F"/>
    <w:rsid w:val="135B2C24"/>
    <w:rsid w:val="13623155"/>
    <w:rsid w:val="13641967"/>
    <w:rsid w:val="1365607C"/>
    <w:rsid w:val="136B40C3"/>
    <w:rsid w:val="136E6DFB"/>
    <w:rsid w:val="136F4921"/>
    <w:rsid w:val="13702B73"/>
    <w:rsid w:val="13703DFB"/>
    <w:rsid w:val="137454F5"/>
    <w:rsid w:val="13777FE7"/>
    <w:rsid w:val="137A57A0"/>
    <w:rsid w:val="137D5290"/>
    <w:rsid w:val="1380268A"/>
    <w:rsid w:val="138228A6"/>
    <w:rsid w:val="13830CE4"/>
    <w:rsid w:val="138C102F"/>
    <w:rsid w:val="13914897"/>
    <w:rsid w:val="13916645"/>
    <w:rsid w:val="13923D70"/>
    <w:rsid w:val="13941776"/>
    <w:rsid w:val="13946135"/>
    <w:rsid w:val="139542F2"/>
    <w:rsid w:val="139C32A8"/>
    <w:rsid w:val="139D148E"/>
    <w:rsid w:val="139E2B2E"/>
    <w:rsid w:val="13A10F7E"/>
    <w:rsid w:val="13A26AA4"/>
    <w:rsid w:val="13A730B3"/>
    <w:rsid w:val="13AC2D35"/>
    <w:rsid w:val="13AC7923"/>
    <w:rsid w:val="13B02984"/>
    <w:rsid w:val="13B16CE7"/>
    <w:rsid w:val="13B36C86"/>
    <w:rsid w:val="13B50586"/>
    <w:rsid w:val="13B526E3"/>
    <w:rsid w:val="13BC6EF1"/>
    <w:rsid w:val="13BF77F3"/>
    <w:rsid w:val="13C67017"/>
    <w:rsid w:val="13C7475D"/>
    <w:rsid w:val="13CA1884"/>
    <w:rsid w:val="13CE5AEB"/>
    <w:rsid w:val="13D221E3"/>
    <w:rsid w:val="13D34EB0"/>
    <w:rsid w:val="13D77BDD"/>
    <w:rsid w:val="13DF3855"/>
    <w:rsid w:val="13E16B2F"/>
    <w:rsid w:val="13E175CD"/>
    <w:rsid w:val="13E259E1"/>
    <w:rsid w:val="13F05A62"/>
    <w:rsid w:val="13F6026F"/>
    <w:rsid w:val="13F6078F"/>
    <w:rsid w:val="13F864F7"/>
    <w:rsid w:val="13F8694C"/>
    <w:rsid w:val="14076907"/>
    <w:rsid w:val="140B4717"/>
    <w:rsid w:val="140E5EE8"/>
    <w:rsid w:val="141C16E5"/>
    <w:rsid w:val="141F0CDC"/>
    <w:rsid w:val="142005FD"/>
    <w:rsid w:val="14226E0F"/>
    <w:rsid w:val="14283E94"/>
    <w:rsid w:val="142B4CEC"/>
    <w:rsid w:val="142D2812"/>
    <w:rsid w:val="142D3227"/>
    <w:rsid w:val="142E20E6"/>
    <w:rsid w:val="143040B0"/>
    <w:rsid w:val="1432607A"/>
    <w:rsid w:val="143A6CDD"/>
    <w:rsid w:val="143C78D4"/>
    <w:rsid w:val="143D55B7"/>
    <w:rsid w:val="143F0797"/>
    <w:rsid w:val="1444735B"/>
    <w:rsid w:val="1448764C"/>
    <w:rsid w:val="144C719D"/>
    <w:rsid w:val="144D4C62"/>
    <w:rsid w:val="145007F2"/>
    <w:rsid w:val="145204CA"/>
    <w:rsid w:val="145327F1"/>
    <w:rsid w:val="14537D9F"/>
    <w:rsid w:val="14553B17"/>
    <w:rsid w:val="14575AE1"/>
    <w:rsid w:val="1457788F"/>
    <w:rsid w:val="14585577"/>
    <w:rsid w:val="14592A92"/>
    <w:rsid w:val="145A2727"/>
    <w:rsid w:val="145A6A37"/>
    <w:rsid w:val="145F6743"/>
    <w:rsid w:val="14665D24"/>
    <w:rsid w:val="14691370"/>
    <w:rsid w:val="146944C2"/>
    <w:rsid w:val="146B2F00"/>
    <w:rsid w:val="147026FF"/>
    <w:rsid w:val="14794C25"/>
    <w:rsid w:val="147A532B"/>
    <w:rsid w:val="147D24AC"/>
    <w:rsid w:val="14847F58"/>
    <w:rsid w:val="14887A48"/>
    <w:rsid w:val="14891A12"/>
    <w:rsid w:val="148D32B1"/>
    <w:rsid w:val="14902367"/>
    <w:rsid w:val="149311DD"/>
    <w:rsid w:val="14940620"/>
    <w:rsid w:val="149522B6"/>
    <w:rsid w:val="14973315"/>
    <w:rsid w:val="149B516A"/>
    <w:rsid w:val="149B7428"/>
    <w:rsid w:val="149B76FF"/>
    <w:rsid w:val="14A33099"/>
    <w:rsid w:val="14A66E04"/>
    <w:rsid w:val="14B44CE1"/>
    <w:rsid w:val="14B51F18"/>
    <w:rsid w:val="14B52807"/>
    <w:rsid w:val="14B7032D"/>
    <w:rsid w:val="14C8044C"/>
    <w:rsid w:val="14CE4563"/>
    <w:rsid w:val="14D03D10"/>
    <w:rsid w:val="14D51331"/>
    <w:rsid w:val="14D64C58"/>
    <w:rsid w:val="14DC1B42"/>
    <w:rsid w:val="14DE58BA"/>
    <w:rsid w:val="14E46EDA"/>
    <w:rsid w:val="14E6329E"/>
    <w:rsid w:val="14E657FA"/>
    <w:rsid w:val="14E8107C"/>
    <w:rsid w:val="14F01CFE"/>
    <w:rsid w:val="14F74BCE"/>
    <w:rsid w:val="14FB28A9"/>
    <w:rsid w:val="14FB46BE"/>
    <w:rsid w:val="14FD5181"/>
    <w:rsid w:val="14FE41AE"/>
    <w:rsid w:val="15003E83"/>
    <w:rsid w:val="15015A4D"/>
    <w:rsid w:val="15064E11"/>
    <w:rsid w:val="15095086"/>
    <w:rsid w:val="150B6FE7"/>
    <w:rsid w:val="15113EE2"/>
    <w:rsid w:val="15145780"/>
    <w:rsid w:val="151614F8"/>
    <w:rsid w:val="151C63E2"/>
    <w:rsid w:val="15202377"/>
    <w:rsid w:val="15204125"/>
    <w:rsid w:val="1525330E"/>
    <w:rsid w:val="1525798D"/>
    <w:rsid w:val="152F6116"/>
    <w:rsid w:val="153175C1"/>
    <w:rsid w:val="15377D9D"/>
    <w:rsid w:val="153876C0"/>
    <w:rsid w:val="153951E6"/>
    <w:rsid w:val="153B2CD7"/>
    <w:rsid w:val="153B2D0D"/>
    <w:rsid w:val="153D0084"/>
    <w:rsid w:val="153D3660"/>
    <w:rsid w:val="153E3101"/>
    <w:rsid w:val="154047C7"/>
    <w:rsid w:val="15405951"/>
    <w:rsid w:val="15420113"/>
    <w:rsid w:val="1542409B"/>
    <w:rsid w:val="15445D2D"/>
    <w:rsid w:val="154556F3"/>
    <w:rsid w:val="154C4F1A"/>
    <w:rsid w:val="1551607F"/>
    <w:rsid w:val="155344FA"/>
    <w:rsid w:val="15542020"/>
    <w:rsid w:val="1554409C"/>
    <w:rsid w:val="155E4C4D"/>
    <w:rsid w:val="15653784"/>
    <w:rsid w:val="156C2EC6"/>
    <w:rsid w:val="156C736A"/>
    <w:rsid w:val="156F29B6"/>
    <w:rsid w:val="15704C38"/>
    <w:rsid w:val="15712BD2"/>
    <w:rsid w:val="157251DC"/>
    <w:rsid w:val="15763D45"/>
    <w:rsid w:val="157757D9"/>
    <w:rsid w:val="157A2903"/>
    <w:rsid w:val="157B57FF"/>
    <w:rsid w:val="157B7247"/>
    <w:rsid w:val="158346B4"/>
    <w:rsid w:val="15883A78"/>
    <w:rsid w:val="158B6F91"/>
    <w:rsid w:val="159101A6"/>
    <w:rsid w:val="15915022"/>
    <w:rsid w:val="1596722A"/>
    <w:rsid w:val="159A569D"/>
    <w:rsid w:val="159B7AD7"/>
    <w:rsid w:val="15A0686E"/>
    <w:rsid w:val="15A2691F"/>
    <w:rsid w:val="15A325BE"/>
    <w:rsid w:val="15A44D56"/>
    <w:rsid w:val="15A45AF1"/>
    <w:rsid w:val="15A91509"/>
    <w:rsid w:val="15AA1C40"/>
    <w:rsid w:val="15AF134D"/>
    <w:rsid w:val="15B11221"/>
    <w:rsid w:val="15B12FCF"/>
    <w:rsid w:val="15B272C8"/>
    <w:rsid w:val="15B64A89"/>
    <w:rsid w:val="15B905DD"/>
    <w:rsid w:val="15BA357F"/>
    <w:rsid w:val="15C40D7D"/>
    <w:rsid w:val="15C56A7A"/>
    <w:rsid w:val="15C72F70"/>
    <w:rsid w:val="15C745A0"/>
    <w:rsid w:val="15CF16A7"/>
    <w:rsid w:val="15D078F9"/>
    <w:rsid w:val="15D84709"/>
    <w:rsid w:val="15D87D38"/>
    <w:rsid w:val="15DB44F0"/>
    <w:rsid w:val="15DD3DC4"/>
    <w:rsid w:val="15DD5B72"/>
    <w:rsid w:val="15DE412B"/>
    <w:rsid w:val="15E05662"/>
    <w:rsid w:val="15E07D46"/>
    <w:rsid w:val="15E43C4F"/>
    <w:rsid w:val="15E943C5"/>
    <w:rsid w:val="15EC04AB"/>
    <w:rsid w:val="15EC4727"/>
    <w:rsid w:val="15EE3645"/>
    <w:rsid w:val="15EE5FD1"/>
    <w:rsid w:val="15F04A59"/>
    <w:rsid w:val="15F07F9B"/>
    <w:rsid w:val="15F22031"/>
    <w:rsid w:val="15F228BD"/>
    <w:rsid w:val="15F256EA"/>
    <w:rsid w:val="15F31CC5"/>
    <w:rsid w:val="15F35395"/>
    <w:rsid w:val="15F51C7C"/>
    <w:rsid w:val="15F827E7"/>
    <w:rsid w:val="15F87315"/>
    <w:rsid w:val="15FD448C"/>
    <w:rsid w:val="15FD7C9B"/>
    <w:rsid w:val="1606156C"/>
    <w:rsid w:val="1606331B"/>
    <w:rsid w:val="16104199"/>
    <w:rsid w:val="16113A6D"/>
    <w:rsid w:val="161377E5"/>
    <w:rsid w:val="16192FAD"/>
    <w:rsid w:val="161B15A8"/>
    <w:rsid w:val="161D68B6"/>
    <w:rsid w:val="161E0D86"/>
    <w:rsid w:val="162261B2"/>
    <w:rsid w:val="162714E3"/>
    <w:rsid w:val="1627221C"/>
    <w:rsid w:val="1637067E"/>
    <w:rsid w:val="1638724C"/>
    <w:rsid w:val="1639277F"/>
    <w:rsid w:val="163A1216"/>
    <w:rsid w:val="163B09C1"/>
    <w:rsid w:val="163B5B8B"/>
    <w:rsid w:val="163C24CD"/>
    <w:rsid w:val="164344DD"/>
    <w:rsid w:val="164719BE"/>
    <w:rsid w:val="164862B3"/>
    <w:rsid w:val="164A7C92"/>
    <w:rsid w:val="16532632"/>
    <w:rsid w:val="16534086"/>
    <w:rsid w:val="16551BAC"/>
    <w:rsid w:val="165B2F3A"/>
    <w:rsid w:val="166242C9"/>
    <w:rsid w:val="16663DB9"/>
    <w:rsid w:val="16673E9F"/>
    <w:rsid w:val="166810A0"/>
    <w:rsid w:val="166820EA"/>
    <w:rsid w:val="166E7669"/>
    <w:rsid w:val="1672275E"/>
    <w:rsid w:val="16730284"/>
    <w:rsid w:val="16747E6A"/>
    <w:rsid w:val="1677020B"/>
    <w:rsid w:val="16774218"/>
    <w:rsid w:val="16775FC6"/>
    <w:rsid w:val="167A2D87"/>
    <w:rsid w:val="167A5AB7"/>
    <w:rsid w:val="167A5E39"/>
    <w:rsid w:val="167B14E3"/>
    <w:rsid w:val="167B7F3D"/>
    <w:rsid w:val="167F6A97"/>
    <w:rsid w:val="16824B5F"/>
    <w:rsid w:val="1683496B"/>
    <w:rsid w:val="168406E3"/>
    <w:rsid w:val="16870D8E"/>
    <w:rsid w:val="16881F81"/>
    <w:rsid w:val="16897AA8"/>
    <w:rsid w:val="16910FD9"/>
    <w:rsid w:val="16923EC2"/>
    <w:rsid w:val="16936E2E"/>
    <w:rsid w:val="169462FF"/>
    <w:rsid w:val="16982D6E"/>
    <w:rsid w:val="169923E1"/>
    <w:rsid w:val="169A3A63"/>
    <w:rsid w:val="169E79F7"/>
    <w:rsid w:val="16A20B69"/>
    <w:rsid w:val="16A4387C"/>
    <w:rsid w:val="16A677CD"/>
    <w:rsid w:val="16AD6ABD"/>
    <w:rsid w:val="16AF4463"/>
    <w:rsid w:val="16B36741"/>
    <w:rsid w:val="16B73E5A"/>
    <w:rsid w:val="16B965DF"/>
    <w:rsid w:val="16BE1602"/>
    <w:rsid w:val="16BF796D"/>
    <w:rsid w:val="16C35836"/>
    <w:rsid w:val="16C72788"/>
    <w:rsid w:val="16D03928"/>
    <w:rsid w:val="16D12AC9"/>
    <w:rsid w:val="16D43419"/>
    <w:rsid w:val="16D90A2F"/>
    <w:rsid w:val="16DE6045"/>
    <w:rsid w:val="16E86EC4"/>
    <w:rsid w:val="16E91B23"/>
    <w:rsid w:val="16EA0F2C"/>
    <w:rsid w:val="16EB2510"/>
    <w:rsid w:val="16F07B27"/>
    <w:rsid w:val="16F72C63"/>
    <w:rsid w:val="16F92E7F"/>
    <w:rsid w:val="16FA299D"/>
    <w:rsid w:val="16FB0A0A"/>
    <w:rsid w:val="17007757"/>
    <w:rsid w:val="170305A0"/>
    <w:rsid w:val="1703638D"/>
    <w:rsid w:val="17036CB8"/>
    <w:rsid w:val="1705788A"/>
    <w:rsid w:val="170D08C5"/>
    <w:rsid w:val="170D692B"/>
    <w:rsid w:val="17101F77"/>
    <w:rsid w:val="17105BFE"/>
    <w:rsid w:val="17137EFB"/>
    <w:rsid w:val="17150D9A"/>
    <w:rsid w:val="17163A31"/>
    <w:rsid w:val="17182C04"/>
    <w:rsid w:val="17195A26"/>
    <w:rsid w:val="171B1048"/>
    <w:rsid w:val="1722416E"/>
    <w:rsid w:val="17242980"/>
    <w:rsid w:val="17256BEA"/>
    <w:rsid w:val="1726179A"/>
    <w:rsid w:val="172A128B"/>
    <w:rsid w:val="172F3D6B"/>
    <w:rsid w:val="173043C7"/>
    <w:rsid w:val="1732013F"/>
    <w:rsid w:val="17334565"/>
    <w:rsid w:val="17343978"/>
    <w:rsid w:val="17397720"/>
    <w:rsid w:val="173A130E"/>
    <w:rsid w:val="1740285C"/>
    <w:rsid w:val="17422243"/>
    <w:rsid w:val="17455555"/>
    <w:rsid w:val="17471E3D"/>
    <w:rsid w:val="174D6D27"/>
    <w:rsid w:val="1752433D"/>
    <w:rsid w:val="175B20F3"/>
    <w:rsid w:val="175C51BC"/>
    <w:rsid w:val="17602EFE"/>
    <w:rsid w:val="17607F1E"/>
    <w:rsid w:val="17611DC0"/>
    <w:rsid w:val="17626C76"/>
    <w:rsid w:val="176448E6"/>
    <w:rsid w:val="176522C3"/>
    <w:rsid w:val="1767603B"/>
    <w:rsid w:val="17685211"/>
    <w:rsid w:val="1769030E"/>
    <w:rsid w:val="1775279E"/>
    <w:rsid w:val="177C13BA"/>
    <w:rsid w:val="177D585E"/>
    <w:rsid w:val="178070FD"/>
    <w:rsid w:val="17825629"/>
    <w:rsid w:val="178934D9"/>
    <w:rsid w:val="178A3F83"/>
    <w:rsid w:val="178C784F"/>
    <w:rsid w:val="178D5376"/>
    <w:rsid w:val="179354B6"/>
    <w:rsid w:val="17951B14"/>
    <w:rsid w:val="17981331"/>
    <w:rsid w:val="17982698"/>
    <w:rsid w:val="17991F6C"/>
    <w:rsid w:val="179D5560"/>
    <w:rsid w:val="179E57D5"/>
    <w:rsid w:val="17A67F95"/>
    <w:rsid w:val="17A74689"/>
    <w:rsid w:val="17A857FA"/>
    <w:rsid w:val="17AA6D72"/>
    <w:rsid w:val="17AA7AA5"/>
    <w:rsid w:val="17AC3DA9"/>
    <w:rsid w:val="17B12EED"/>
    <w:rsid w:val="17B467F6"/>
    <w:rsid w:val="17B52555"/>
    <w:rsid w:val="17BB6B70"/>
    <w:rsid w:val="17C235B8"/>
    <w:rsid w:val="17C4465B"/>
    <w:rsid w:val="17C50193"/>
    <w:rsid w:val="17CD4992"/>
    <w:rsid w:val="17CF1E32"/>
    <w:rsid w:val="17D31922"/>
    <w:rsid w:val="17D321B8"/>
    <w:rsid w:val="17D43CA8"/>
    <w:rsid w:val="17DB2585"/>
    <w:rsid w:val="17DD4930"/>
    <w:rsid w:val="17DE49AB"/>
    <w:rsid w:val="17DF02C7"/>
    <w:rsid w:val="17DF301F"/>
    <w:rsid w:val="17E01949"/>
    <w:rsid w:val="17E67B60"/>
    <w:rsid w:val="17E97D52"/>
    <w:rsid w:val="17EA2281"/>
    <w:rsid w:val="17EA27C8"/>
    <w:rsid w:val="17F3796E"/>
    <w:rsid w:val="17F87CDE"/>
    <w:rsid w:val="17F95822"/>
    <w:rsid w:val="17FC6FC7"/>
    <w:rsid w:val="17FD24FB"/>
    <w:rsid w:val="17FD555E"/>
    <w:rsid w:val="17FE0021"/>
    <w:rsid w:val="18041ADC"/>
    <w:rsid w:val="180715CC"/>
    <w:rsid w:val="180A4C18"/>
    <w:rsid w:val="180D7837"/>
    <w:rsid w:val="180D7DE3"/>
    <w:rsid w:val="18133ACD"/>
    <w:rsid w:val="181810E3"/>
    <w:rsid w:val="182061EA"/>
    <w:rsid w:val="182201B4"/>
    <w:rsid w:val="182300F4"/>
    <w:rsid w:val="18285D67"/>
    <w:rsid w:val="182A218A"/>
    <w:rsid w:val="182A4EC1"/>
    <w:rsid w:val="182B7DEC"/>
    <w:rsid w:val="18335F1D"/>
    <w:rsid w:val="18381639"/>
    <w:rsid w:val="183C74C7"/>
    <w:rsid w:val="18500EE4"/>
    <w:rsid w:val="18504D21"/>
    <w:rsid w:val="18511A82"/>
    <w:rsid w:val="18520290"/>
    <w:rsid w:val="185443E6"/>
    <w:rsid w:val="18544C72"/>
    <w:rsid w:val="18597DC9"/>
    <w:rsid w:val="185F31B6"/>
    <w:rsid w:val="185F3E34"/>
    <w:rsid w:val="18653FFC"/>
    <w:rsid w:val="18684EE8"/>
    <w:rsid w:val="186C6D03"/>
    <w:rsid w:val="18711035"/>
    <w:rsid w:val="187D2087"/>
    <w:rsid w:val="187D363C"/>
    <w:rsid w:val="188260C7"/>
    <w:rsid w:val="188350F6"/>
    <w:rsid w:val="18860D7D"/>
    <w:rsid w:val="188744BB"/>
    <w:rsid w:val="18876269"/>
    <w:rsid w:val="188822F6"/>
    <w:rsid w:val="188A4156"/>
    <w:rsid w:val="188C0A6C"/>
    <w:rsid w:val="1890336F"/>
    <w:rsid w:val="189049B7"/>
    <w:rsid w:val="18932E60"/>
    <w:rsid w:val="18972950"/>
    <w:rsid w:val="189C0CED"/>
    <w:rsid w:val="189C7F66"/>
    <w:rsid w:val="189F35B2"/>
    <w:rsid w:val="18A5571B"/>
    <w:rsid w:val="18AA2C88"/>
    <w:rsid w:val="18AB271E"/>
    <w:rsid w:val="18AB2C3E"/>
    <w:rsid w:val="18AE37F5"/>
    <w:rsid w:val="18B27E87"/>
    <w:rsid w:val="18B54B84"/>
    <w:rsid w:val="18B76B4E"/>
    <w:rsid w:val="18BC7E14"/>
    <w:rsid w:val="18BD1CC0"/>
    <w:rsid w:val="18C354F3"/>
    <w:rsid w:val="18C8188B"/>
    <w:rsid w:val="18CE20EA"/>
    <w:rsid w:val="18CE3E98"/>
    <w:rsid w:val="18D25736"/>
    <w:rsid w:val="18D426C3"/>
    <w:rsid w:val="18D86AC4"/>
    <w:rsid w:val="18E5190D"/>
    <w:rsid w:val="18EB67F8"/>
    <w:rsid w:val="18EB747A"/>
    <w:rsid w:val="18EC3795"/>
    <w:rsid w:val="18ED2570"/>
    <w:rsid w:val="18F27B86"/>
    <w:rsid w:val="18F356AC"/>
    <w:rsid w:val="18F55160"/>
    <w:rsid w:val="18FF04F5"/>
    <w:rsid w:val="19001866"/>
    <w:rsid w:val="19006747"/>
    <w:rsid w:val="1906629D"/>
    <w:rsid w:val="19067AD5"/>
    <w:rsid w:val="190B0C48"/>
    <w:rsid w:val="190B50EC"/>
    <w:rsid w:val="190D04BE"/>
    <w:rsid w:val="190D2C12"/>
    <w:rsid w:val="191108A3"/>
    <w:rsid w:val="19110EDA"/>
    <w:rsid w:val="19133ED7"/>
    <w:rsid w:val="191E53A6"/>
    <w:rsid w:val="191F4EF7"/>
    <w:rsid w:val="192561AE"/>
    <w:rsid w:val="19260253"/>
    <w:rsid w:val="192D6E10"/>
    <w:rsid w:val="192F2B88"/>
    <w:rsid w:val="1938516E"/>
    <w:rsid w:val="193957B5"/>
    <w:rsid w:val="193A152D"/>
    <w:rsid w:val="193A6A5F"/>
    <w:rsid w:val="193C213D"/>
    <w:rsid w:val="193C2814"/>
    <w:rsid w:val="19404D87"/>
    <w:rsid w:val="19461C80"/>
    <w:rsid w:val="19481E9C"/>
    <w:rsid w:val="194C3497"/>
    <w:rsid w:val="194F4FD8"/>
    <w:rsid w:val="195267A8"/>
    <w:rsid w:val="19550115"/>
    <w:rsid w:val="195B484F"/>
    <w:rsid w:val="195D2D1E"/>
    <w:rsid w:val="1960439B"/>
    <w:rsid w:val="1960643B"/>
    <w:rsid w:val="19636636"/>
    <w:rsid w:val="19654E72"/>
    <w:rsid w:val="1968171F"/>
    <w:rsid w:val="19697BC5"/>
    <w:rsid w:val="196A036B"/>
    <w:rsid w:val="196D1903"/>
    <w:rsid w:val="19746E49"/>
    <w:rsid w:val="19756AA3"/>
    <w:rsid w:val="19762565"/>
    <w:rsid w:val="197E141A"/>
    <w:rsid w:val="19801636"/>
    <w:rsid w:val="19824166"/>
    <w:rsid w:val="19856C4C"/>
    <w:rsid w:val="198738B2"/>
    <w:rsid w:val="198836FD"/>
    <w:rsid w:val="199450E1"/>
    <w:rsid w:val="199758FA"/>
    <w:rsid w:val="199944A6"/>
    <w:rsid w:val="199A174A"/>
    <w:rsid w:val="199E1ABC"/>
    <w:rsid w:val="199E7D0E"/>
    <w:rsid w:val="19A000ED"/>
    <w:rsid w:val="19A22210"/>
    <w:rsid w:val="19AA66B3"/>
    <w:rsid w:val="19AE268E"/>
    <w:rsid w:val="19B4308D"/>
    <w:rsid w:val="19B47531"/>
    <w:rsid w:val="19B60BB4"/>
    <w:rsid w:val="19B65058"/>
    <w:rsid w:val="19B72B7E"/>
    <w:rsid w:val="19B92850"/>
    <w:rsid w:val="19BF3590"/>
    <w:rsid w:val="19C154BB"/>
    <w:rsid w:val="19C75FD1"/>
    <w:rsid w:val="19C808E7"/>
    <w:rsid w:val="19C86A17"/>
    <w:rsid w:val="19CA465F"/>
    <w:rsid w:val="19CC0292"/>
    <w:rsid w:val="19CE19A7"/>
    <w:rsid w:val="19CF3E29"/>
    <w:rsid w:val="19CF6119"/>
    <w:rsid w:val="19D619EB"/>
    <w:rsid w:val="19DB2D10"/>
    <w:rsid w:val="19DC17D6"/>
    <w:rsid w:val="19DD2EB7"/>
    <w:rsid w:val="19DE6482"/>
    <w:rsid w:val="19E41BC5"/>
    <w:rsid w:val="19E53C80"/>
    <w:rsid w:val="19E971DB"/>
    <w:rsid w:val="19EE47F1"/>
    <w:rsid w:val="19EE7629"/>
    <w:rsid w:val="19F138D9"/>
    <w:rsid w:val="19F67B09"/>
    <w:rsid w:val="19F87FEA"/>
    <w:rsid w:val="19F90A68"/>
    <w:rsid w:val="19F94F44"/>
    <w:rsid w:val="19FD67E3"/>
    <w:rsid w:val="1A0062D3"/>
    <w:rsid w:val="1A023DF9"/>
    <w:rsid w:val="1A051B3B"/>
    <w:rsid w:val="1A0538E9"/>
    <w:rsid w:val="1A091DC2"/>
    <w:rsid w:val="1A0C111B"/>
    <w:rsid w:val="1A0E6C42"/>
    <w:rsid w:val="1A116E06"/>
    <w:rsid w:val="1A18361C"/>
    <w:rsid w:val="1A1A1BD8"/>
    <w:rsid w:val="1A1A3838"/>
    <w:rsid w:val="1A1B310D"/>
    <w:rsid w:val="1A2024D1"/>
    <w:rsid w:val="1A22449B"/>
    <w:rsid w:val="1A226249"/>
    <w:rsid w:val="1A240213"/>
    <w:rsid w:val="1A263AF3"/>
    <w:rsid w:val="1A271AB1"/>
    <w:rsid w:val="1A2C16C3"/>
    <w:rsid w:val="1A2C531A"/>
    <w:rsid w:val="1A2D60DA"/>
    <w:rsid w:val="1A2E1092"/>
    <w:rsid w:val="1A331F9B"/>
    <w:rsid w:val="1A341559"/>
    <w:rsid w:val="1A341779"/>
    <w:rsid w:val="1A352420"/>
    <w:rsid w:val="1A366198"/>
    <w:rsid w:val="1A367F46"/>
    <w:rsid w:val="1A385A6D"/>
    <w:rsid w:val="1A3F504D"/>
    <w:rsid w:val="1A4245C3"/>
    <w:rsid w:val="1A426099"/>
    <w:rsid w:val="1A435BFC"/>
    <w:rsid w:val="1A440CC0"/>
    <w:rsid w:val="1A46462D"/>
    <w:rsid w:val="1A47372A"/>
    <w:rsid w:val="1A494A15"/>
    <w:rsid w:val="1A4A6188"/>
    <w:rsid w:val="1A4E34E2"/>
    <w:rsid w:val="1A4F0751"/>
    <w:rsid w:val="1A4F7954"/>
    <w:rsid w:val="1A50725A"/>
    <w:rsid w:val="1A5403CD"/>
    <w:rsid w:val="1A587EBD"/>
    <w:rsid w:val="1A5B79AD"/>
    <w:rsid w:val="1A5D3725"/>
    <w:rsid w:val="1A5D54D3"/>
    <w:rsid w:val="1A5E06AE"/>
    <w:rsid w:val="1A626914"/>
    <w:rsid w:val="1A693E78"/>
    <w:rsid w:val="1A6B5E42"/>
    <w:rsid w:val="1A6E0D68"/>
    <w:rsid w:val="1A7171D0"/>
    <w:rsid w:val="1A734CF7"/>
    <w:rsid w:val="1A743DEE"/>
    <w:rsid w:val="1A8365CA"/>
    <w:rsid w:val="1A862C7C"/>
    <w:rsid w:val="1A864A2A"/>
    <w:rsid w:val="1A976C37"/>
    <w:rsid w:val="1A985E70"/>
    <w:rsid w:val="1A995465"/>
    <w:rsid w:val="1A9A1B4D"/>
    <w:rsid w:val="1A9C249F"/>
    <w:rsid w:val="1A9F789A"/>
    <w:rsid w:val="1AA43102"/>
    <w:rsid w:val="1AA8164C"/>
    <w:rsid w:val="1AAA261B"/>
    <w:rsid w:val="1AAB2F81"/>
    <w:rsid w:val="1AAB4490"/>
    <w:rsid w:val="1AAE5D2F"/>
    <w:rsid w:val="1AAE793C"/>
    <w:rsid w:val="1AB01AA7"/>
    <w:rsid w:val="1AB0225C"/>
    <w:rsid w:val="1AB57D0E"/>
    <w:rsid w:val="1AB868B2"/>
    <w:rsid w:val="1ABB4205"/>
    <w:rsid w:val="1ABC669E"/>
    <w:rsid w:val="1ABF618E"/>
    <w:rsid w:val="1AC13CB4"/>
    <w:rsid w:val="1AC35C7E"/>
    <w:rsid w:val="1AC9700C"/>
    <w:rsid w:val="1AD05CA5"/>
    <w:rsid w:val="1AD51A47"/>
    <w:rsid w:val="1AD91924"/>
    <w:rsid w:val="1ADA4D76"/>
    <w:rsid w:val="1ADD6614"/>
    <w:rsid w:val="1AE001D7"/>
    <w:rsid w:val="1AE13C5B"/>
    <w:rsid w:val="1AE23C2A"/>
    <w:rsid w:val="1AE35E6C"/>
    <w:rsid w:val="1AE422B5"/>
    <w:rsid w:val="1AE57555"/>
    <w:rsid w:val="1AEA08CE"/>
    <w:rsid w:val="1AEF38AF"/>
    <w:rsid w:val="1AEF625F"/>
    <w:rsid w:val="1AF04599"/>
    <w:rsid w:val="1AF200F1"/>
    <w:rsid w:val="1AFD11C6"/>
    <w:rsid w:val="1B0349DA"/>
    <w:rsid w:val="1B056B32"/>
    <w:rsid w:val="1B07140C"/>
    <w:rsid w:val="1B0756F9"/>
    <w:rsid w:val="1B0E4A1F"/>
    <w:rsid w:val="1B101389"/>
    <w:rsid w:val="1B102383"/>
    <w:rsid w:val="1B155DAE"/>
    <w:rsid w:val="1B160DD9"/>
    <w:rsid w:val="1B1F1EE0"/>
    <w:rsid w:val="1B1F5A2C"/>
    <w:rsid w:val="1B210BF7"/>
    <w:rsid w:val="1B281FC7"/>
    <w:rsid w:val="1B291859"/>
    <w:rsid w:val="1B2B0976"/>
    <w:rsid w:val="1B2C060A"/>
    <w:rsid w:val="1B2E36FA"/>
    <w:rsid w:val="1B302BE8"/>
    <w:rsid w:val="1B324BB2"/>
    <w:rsid w:val="1B341CBE"/>
    <w:rsid w:val="1B3950CA"/>
    <w:rsid w:val="1B3B1CB8"/>
    <w:rsid w:val="1B3B4866"/>
    <w:rsid w:val="1B3B7089"/>
    <w:rsid w:val="1B3C333B"/>
    <w:rsid w:val="1B3C77DE"/>
    <w:rsid w:val="1B3E0616"/>
    <w:rsid w:val="1B485930"/>
    <w:rsid w:val="1B486006"/>
    <w:rsid w:val="1B506361"/>
    <w:rsid w:val="1B5260CE"/>
    <w:rsid w:val="1B593EEC"/>
    <w:rsid w:val="1B5E59A7"/>
    <w:rsid w:val="1B612DA1"/>
    <w:rsid w:val="1B636840"/>
    <w:rsid w:val="1B650846"/>
    <w:rsid w:val="1B6A434C"/>
    <w:rsid w:val="1B6B20E9"/>
    <w:rsid w:val="1B6F3710"/>
    <w:rsid w:val="1B767FE0"/>
    <w:rsid w:val="1B7C407F"/>
    <w:rsid w:val="1B7E7CEF"/>
    <w:rsid w:val="1B8005AF"/>
    <w:rsid w:val="1B803B6F"/>
    <w:rsid w:val="1B8151F1"/>
    <w:rsid w:val="1B8271CE"/>
    <w:rsid w:val="1B87260E"/>
    <w:rsid w:val="1B8E3619"/>
    <w:rsid w:val="1B903686"/>
    <w:rsid w:val="1B970EB9"/>
    <w:rsid w:val="1B9C202B"/>
    <w:rsid w:val="1B9C64CF"/>
    <w:rsid w:val="1BA12479"/>
    <w:rsid w:val="1BA55384"/>
    <w:rsid w:val="1BA64C58"/>
    <w:rsid w:val="1BAB05C5"/>
    <w:rsid w:val="1BAF6202"/>
    <w:rsid w:val="1BB630ED"/>
    <w:rsid w:val="1BBC5A4A"/>
    <w:rsid w:val="1BBE3C5C"/>
    <w:rsid w:val="1BC05D1A"/>
    <w:rsid w:val="1BCA4DEA"/>
    <w:rsid w:val="1BCA4E93"/>
    <w:rsid w:val="1BCB5B92"/>
    <w:rsid w:val="1BCC2910"/>
    <w:rsid w:val="1BCD0AF8"/>
    <w:rsid w:val="1BCD48DA"/>
    <w:rsid w:val="1BD47A17"/>
    <w:rsid w:val="1BD9534F"/>
    <w:rsid w:val="1BDB3B61"/>
    <w:rsid w:val="1BDE0896"/>
    <w:rsid w:val="1BE063BC"/>
    <w:rsid w:val="1BE27765"/>
    <w:rsid w:val="1BE861A8"/>
    <w:rsid w:val="1BE964F4"/>
    <w:rsid w:val="1BF15EDB"/>
    <w:rsid w:val="1BF47FF2"/>
    <w:rsid w:val="1BFA1728"/>
    <w:rsid w:val="1C0320AA"/>
    <w:rsid w:val="1C053F8F"/>
    <w:rsid w:val="1C061103"/>
    <w:rsid w:val="1C073948"/>
    <w:rsid w:val="1C097326"/>
    <w:rsid w:val="1C0A2191"/>
    <w:rsid w:val="1C0E6CA0"/>
    <w:rsid w:val="1C0F2C5C"/>
    <w:rsid w:val="1C0F4EF3"/>
    <w:rsid w:val="1C1222ED"/>
    <w:rsid w:val="1C1557A9"/>
    <w:rsid w:val="1C1C4F1A"/>
    <w:rsid w:val="1C1E6EE4"/>
    <w:rsid w:val="1C240BAA"/>
    <w:rsid w:val="1C2E35CB"/>
    <w:rsid w:val="1C3234B7"/>
    <w:rsid w:val="1C334DB0"/>
    <w:rsid w:val="1C38488B"/>
    <w:rsid w:val="1C3C27B4"/>
    <w:rsid w:val="1C4131F2"/>
    <w:rsid w:val="1C441FDC"/>
    <w:rsid w:val="1C47643B"/>
    <w:rsid w:val="1C4921B3"/>
    <w:rsid w:val="1C4A7FC9"/>
    <w:rsid w:val="1C4B5A4F"/>
    <w:rsid w:val="1C4C3A51"/>
    <w:rsid w:val="1C4E5A1B"/>
    <w:rsid w:val="1C4E611B"/>
    <w:rsid w:val="1C4E7529"/>
    <w:rsid w:val="1C5446B4"/>
    <w:rsid w:val="1C5648D0"/>
    <w:rsid w:val="1C580648"/>
    <w:rsid w:val="1C5E7C8C"/>
    <w:rsid w:val="1C5F3784"/>
    <w:rsid w:val="1C676ADD"/>
    <w:rsid w:val="1C6A0429"/>
    <w:rsid w:val="1C6B3FA4"/>
    <w:rsid w:val="1C6E5776"/>
    <w:rsid w:val="1C735482"/>
    <w:rsid w:val="1C7F3E11"/>
    <w:rsid w:val="1C803C30"/>
    <w:rsid w:val="1C880F7D"/>
    <w:rsid w:val="1C8901D0"/>
    <w:rsid w:val="1C8E3C65"/>
    <w:rsid w:val="1C907DE2"/>
    <w:rsid w:val="1C946AFB"/>
    <w:rsid w:val="1C991101"/>
    <w:rsid w:val="1C9D627D"/>
    <w:rsid w:val="1C9F1DC4"/>
    <w:rsid w:val="1CA301E4"/>
    <w:rsid w:val="1CA63E39"/>
    <w:rsid w:val="1CA70C88"/>
    <w:rsid w:val="1CB05D8E"/>
    <w:rsid w:val="1CB11B06"/>
    <w:rsid w:val="1CBB2985"/>
    <w:rsid w:val="1CBF2475"/>
    <w:rsid w:val="1CBF5FD1"/>
    <w:rsid w:val="1CC161ED"/>
    <w:rsid w:val="1CC30E77"/>
    <w:rsid w:val="1CC63804"/>
    <w:rsid w:val="1CC90DC6"/>
    <w:rsid w:val="1CCC7EE2"/>
    <w:rsid w:val="1CD203FA"/>
    <w:rsid w:val="1CD513E5"/>
    <w:rsid w:val="1CD6156D"/>
    <w:rsid w:val="1CD87093"/>
    <w:rsid w:val="1CDA065E"/>
    <w:rsid w:val="1CDA72AF"/>
    <w:rsid w:val="1CDF0421"/>
    <w:rsid w:val="1CE67A02"/>
    <w:rsid w:val="1CEA5CE4"/>
    <w:rsid w:val="1CEB14BC"/>
    <w:rsid w:val="1CEC0D90"/>
    <w:rsid w:val="1CEE1205"/>
    <w:rsid w:val="1CEE2D5A"/>
    <w:rsid w:val="1CEE68B6"/>
    <w:rsid w:val="1CF00880"/>
    <w:rsid w:val="1CF10155"/>
    <w:rsid w:val="1CF12A5C"/>
    <w:rsid w:val="1CF71C0F"/>
    <w:rsid w:val="1CF85987"/>
    <w:rsid w:val="1CFB67E3"/>
    <w:rsid w:val="1CFC0FD3"/>
    <w:rsid w:val="1CFD3156"/>
    <w:rsid w:val="1CFD4D4B"/>
    <w:rsid w:val="1D001996"/>
    <w:rsid w:val="1D0165EA"/>
    <w:rsid w:val="1D036806"/>
    <w:rsid w:val="1D074C7F"/>
    <w:rsid w:val="1D091942"/>
    <w:rsid w:val="1D0936F0"/>
    <w:rsid w:val="1D0E6F59"/>
    <w:rsid w:val="1D175E0D"/>
    <w:rsid w:val="1D185917"/>
    <w:rsid w:val="1D1C6248"/>
    <w:rsid w:val="1D1C752F"/>
    <w:rsid w:val="1D1C78C7"/>
    <w:rsid w:val="1D1F2520"/>
    <w:rsid w:val="1D267E8D"/>
    <w:rsid w:val="1D2C74F4"/>
    <w:rsid w:val="1D2D3883"/>
    <w:rsid w:val="1D303373"/>
    <w:rsid w:val="1D352DDD"/>
    <w:rsid w:val="1D36397B"/>
    <w:rsid w:val="1D37200B"/>
    <w:rsid w:val="1D3A6632"/>
    <w:rsid w:val="1D4330A6"/>
    <w:rsid w:val="1D436C02"/>
    <w:rsid w:val="1D471C54"/>
    <w:rsid w:val="1D4B3D09"/>
    <w:rsid w:val="1D4D5CD3"/>
    <w:rsid w:val="1D4F1A4B"/>
    <w:rsid w:val="1D530C71"/>
    <w:rsid w:val="1D556936"/>
    <w:rsid w:val="1D5B0503"/>
    <w:rsid w:val="1D5C7CC4"/>
    <w:rsid w:val="1D5E1C8E"/>
    <w:rsid w:val="1D6238FF"/>
    <w:rsid w:val="1D6333DE"/>
    <w:rsid w:val="1D6E17A5"/>
    <w:rsid w:val="1D705F23"/>
    <w:rsid w:val="1D725739"/>
    <w:rsid w:val="1D7274E7"/>
    <w:rsid w:val="1D752B34"/>
    <w:rsid w:val="1D76522A"/>
    <w:rsid w:val="1D8471E4"/>
    <w:rsid w:val="1D84721B"/>
    <w:rsid w:val="1D85724E"/>
    <w:rsid w:val="1D9060FA"/>
    <w:rsid w:val="1D9456B0"/>
    <w:rsid w:val="1D994440"/>
    <w:rsid w:val="1D9B6A3E"/>
    <w:rsid w:val="1D9C6312"/>
    <w:rsid w:val="1D9E642E"/>
    <w:rsid w:val="1D9F120E"/>
    <w:rsid w:val="1DA1618E"/>
    <w:rsid w:val="1DB21CF6"/>
    <w:rsid w:val="1DB82DFA"/>
    <w:rsid w:val="1DBD6351"/>
    <w:rsid w:val="1DC15D79"/>
    <w:rsid w:val="1DC55869"/>
    <w:rsid w:val="1DCC1FFE"/>
    <w:rsid w:val="1DCF66E8"/>
    <w:rsid w:val="1DD43CFE"/>
    <w:rsid w:val="1DD6628E"/>
    <w:rsid w:val="1DDA6E3B"/>
    <w:rsid w:val="1DDC5AED"/>
    <w:rsid w:val="1DE559AC"/>
    <w:rsid w:val="1DEA7E9E"/>
    <w:rsid w:val="1DEB1048"/>
    <w:rsid w:val="1DEC54EC"/>
    <w:rsid w:val="1DEF0B38"/>
    <w:rsid w:val="1DEF6A78"/>
    <w:rsid w:val="1DF36D83"/>
    <w:rsid w:val="1DF428DD"/>
    <w:rsid w:val="1DFC5003"/>
    <w:rsid w:val="1DFE1DCF"/>
    <w:rsid w:val="1E025946"/>
    <w:rsid w:val="1E064989"/>
    <w:rsid w:val="1E0A3BC4"/>
    <w:rsid w:val="1E0C3728"/>
    <w:rsid w:val="1E0F0C19"/>
    <w:rsid w:val="1E1100AB"/>
    <w:rsid w:val="1E1201F8"/>
    <w:rsid w:val="1E164317"/>
    <w:rsid w:val="1E1862E1"/>
    <w:rsid w:val="1E1D62A9"/>
    <w:rsid w:val="1E207D37"/>
    <w:rsid w:val="1E23051F"/>
    <w:rsid w:val="1E234C86"/>
    <w:rsid w:val="1E276524"/>
    <w:rsid w:val="1E2A7DC2"/>
    <w:rsid w:val="1E2E4331"/>
    <w:rsid w:val="1E2F2C87"/>
    <w:rsid w:val="1E32333B"/>
    <w:rsid w:val="1E375254"/>
    <w:rsid w:val="1E390005"/>
    <w:rsid w:val="1E3D18A3"/>
    <w:rsid w:val="1E3D5039"/>
    <w:rsid w:val="1E403142"/>
    <w:rsid w:val="1E405D16"/>
    <w:rsid w:val="1E42510C"/>
    <w:rsid w:val="1E444519"/>
    <w:rsid w:val="1E450CE8"/>
    <w:rsid w:val="1E4A3C59"/>
    <w:rsid w:val="1E4D167E"/>
    <w:rsid w:val="1E4D585F"/>
    <w:rsid w:val="1E4F15D7"/>
    <w:rsid w:val="1E503619"/>
    <w:rsid w:val="1E556E6E"/>
    <w:rsid w:val="1E5A1B90"/>
    <w:rsid w:val="1E5B2EFF"/>
    <w:rsid w:val="1E5F445F"/>
    <w:rsid w:val="1E62130A"/>
    <w:rsid w:val="1E650DFA"/>
    <w:rsid w:val="1E676920"/>
    <w:rsid w:val="1E6A11CE"/>
    <w:rsid w:val="1E6F1C79"/>
    <w:rsid w:val="1E7159F1"/>
    <w:rsid w:val="1E7A1697"/>
    <w:rsid w:val="1E7C61AD"/>
    <w:rsid w:val="1E805C34"/>
    <w:rsid w:val="1E8611E5"/>
    <w:rsid w:val="1E8A6AB3"/>
    <w:rsid w:val="1E8C282B"/>
    <w:rsid w:val="1E8C6387"/>
    <w:rsid w:val="1E8E0351"/>
    <w:rsid w:val="1E8F5E77"/>
    <w:rsid w:val="1E9021D3"/>
    <w:rsid w:val="1E917E41"/>
    <w:rsid w:val="1E960FB4"/>
    <w:rsid w:val="1E9744D5"/>
    <w:rsid w:val="1E9F4F5F"/>
    <w:rsid w:val="1EA305EF"/>
    <w:rsid w:val="1EA41923"/>
    <w:rsid w:val="1EA97E6F"/>
    <w:rsid w:val="1EAF02C7"/>
    <w:rsid w:val="1EB31B66"/>
    <w:rsid w:val="1EB37DB8"/>
    <w:rsid w:val="1EB76D94"/>
    <w:rsid w:val="1EBC3110"/>
    <w:rsid w:val="1EC10726"/>
    <w:rsid w:val="1EC57AEB"/>
    <w:rsid w:val="1ECE50AB"/>
    <w:rsid w:val="1ED1023E"/>
    <w:rsid w:val="1ED16490"/>
    <w:rsid w:val="1ED5792E"/>
    <w:rsid w:val="1ED657D3"/>
    <w:rsid w:val="1ED815CC"/>
    <w:rsid w:val="1EDF6ADC"/>
    <w:rsid w:val="1EE004C7"/>
    <w:rsid w:val="1EE021C5"/>
    <w:rsid w:val="1EEC32CA"/>
    <w:rsid w:val="1EF108E0"/>
    <w:rsid w:val="1EF43673"/>
    <w:rsid w:val="1EF81C6E"/>
    <w:rsid w:val="1EFA0440"/>
    <w:rsid w:val="1F0248FB"/>
    <w:rsid w:val="1F093BBE"/>
    <w:rsid w:val="1F0C345C"/>
    <w:rsid w:val="1F0D3B02"/>
    <w:rsid w:val="1F0D6046"/>
    <w:rsid w:val="1F130856"/>
    <w:rsid w:val="1F1545CE"/>
    <w:rsid w:val="1F18000E"/>
    <w:rsid w:val="1F1D51AA"/>
    <w:rsid w:val="1F2119CC"/>
    <w:rsid w:val="1F271A3E"/>
    <w:rsid w:val="1F2760B0"/>
    <w:rsid w:val="1F3050AE"/>
    <w:rsid w:val="1F316D61"/>
    <w:rsid w:val="1F332CA6"/>
    <w:rsid w:val="1F372797"/>
    <w:rsid w:val="1F42039C"/>
    <w:rsid w:val="1F4635E3"/>
    <w:rsid w:val="1F51312D"/>
    <w:rsid w:val="1F533349"/>
    <w:rsid w:val="1F5727BB"/>
    <w:rsid w:val="1F5A6485"/>
    <w:rsid w:val="1F5C3FAB"/>
    <w:rsid w:val="1F5D53A5"/>
    <w:rsid w:val="1F5E1C97"/>
    <w:rsid w:val="1F5E41C7"/>
    <w:rsid w:val="1F6115C2"/>
    <w:rsid w:val="1F62533A"/>
    <w:rsid w:val="1F63358C"/>
    <w:rsid w:val="1F635CD3"/>
    <w:rsid w:val="1F640DAA"/>
    <w:rsid w:val="1F674888"/>
    <w:rsid w:val="1F6B32B7"/>
    <w:rsid w:val="1F6B41EE"/>
    <w:rsid w:val="1F6D5F2C"/>
    <w:rsid w:val="1F6D61B8"/>
    <w:rsid w:val="1F6D797E"/>
    <w:rsid w:val="1F6F46F0"/>
    <w:rsid w:val="1F784E52"/>
    <w:rsid w:val="1F7B7743"/>
    <w:rsid w:val="1F7E6617"/>
    <w:rsid w:val="1F811C64"/>
    <w:rsid w:val="1F8359DC"/>
    <w:rsid w:val="1F88077C"/>
    <w:rsid w:val="1F881244"/>
    <w:rsid w:val="1F890B18"/>
    <w:rsid w:val="1F8C2A73"/>
    <w:rsid w:val="1F8C6C4C"/>
    <w:rsid w:val="1F8F1FC9"/>
    <w:rsid w:val="1F8F25D3"/>
    <w:rsid w:val="1F906B9D"/>
    <w:rsid w:val="1F980D5B"/>
    <w:rsid w:val="1F9C084C"/>
    <w:rsid w:val="1F9E76C3"/>
    <w:rsid w:val="1FA140B4"/>
    <w:rsid w:val="1FA47700"/>
    <w:rsid w:val="1FA63AF3"/>
    <w:rsid w:val="1FA97BE3"/>
    <w:rsid w:val="1FB62E02"/>
    <w:rsid w:val="1FB72576"/>
    <w:rsid w:val="1FB738D7"/>
    <w:rsid w:val="1FBA1D7F"/>
    <w:rsid w:val="1FBA5176"/>
    <w:rsid w:val="1FBA6F24"/>
    <w:rsid w:val="1FBE20C7"/>
    <w:rsid w:val="1FBE6A14"/>
    <w:rsid w:val="1FBF0FF0"/>
    <w:rsid w:val="1FC16504"/>
    <w:rsid w:val="1FC24B0D"/>
    <w:rsid w:val="1FC26CCE"/>
    <w:rsid w:val="1FC72E8E"/>
    <w:rsid w:val="1FC87893"/>
    <w:rsid w:val="1FCA53B9"/>
    <w:rsid w:val="1FCB2EDF"/>
    <w:rsid w:val="1FCC41C4"/>
    <w:rsid w:val="1FD04999"/>
    <w:rsid w:val="1FD565CD"/>
    <w:rsid w:val="1FD71884"/>
    <w:rsid w:val="1FD8790D"/>
    <w:rsid w:val="1FD955FC"/>
    <w:rsid w:val="1FDB75C6"/>
    <w:rsid w:val="1FDE67FC"/>
    <w:rsid w:val="1FE14A19"/>
    <w:rsid w:val="1FE26C7D"/>
    <w:rsid w:val="1FE9445E"/>
    <w:rsid w:val="1FEE11E3"/>
    <w:rsid w:val="1FF81FA6"/>
    <w:rsid w:val="1FF97A4C"/>
    <w:rsid w:val="1FFA0BD8"/>
    <w:rsid w:val="20000DDB"/>
    <w:rsid w:val="2000568E"/>
    <w:rsid w:val="200059F9"/>
    <w:rsid w:val="2000702C"/>
    <w:rsid w:val="2002269C"/>
    <w:rsid w:val="20043C15"/>
    <w:rsid w:val="20084133"/>
    <w:rsid w:val="200C01F2"/>
    <w:rsid w:val="200C1F5C"/>
    <w:rsid w:val="200E3310"/>
    <w:rsid w:val="200E43DF"/>
    <w:rsid w:val="20104A4D"/>
    <w:rsid w:val="20111949"/>
    <w:rsid w:val="201417D8"/>
    <w:rsid w:val="201523AC"/>
    <w:rsid w:val="201B1F1D"/>
    <w:rsid w:val="201B7F11"/>
    <w:rsid w:val="201C7BDE"/>
    <w:rsid w:val="20200B93"/>
    <w:rsid w:val="20250841"/>
    <w:rsid w:val="20265145"/>
    <w:rsid w:val="20287ACE"/>
    <w:rsid w:val="202A22FB"/>
    <w:rsid w:val="202A40A9"/>
    <w:rsid w:val="202D6AAB"/>
    <w:rsid w:val="202F16C0"/>
    <w:rsid w:val="20336CE1"/>
    <w:rsid w:val="20362A4E"/>
    <w:rsid w:val="2037478F"/>
    <w:rsid w:val="20380BA3"/>
    <w:rsid w:val="20386357"/>
    <w:rsid w:val="203A2DC4"/>
    <w:rsid w:val="203A349A"/>
    <w:rsid w:val="203A7297"/>
    <w:rsid w:val="203B6856"/>
    <w:rsid w:val="203F6270"/>
    <w:rsid w:val="2040567B"/>
    <w:rsid w:val="20452C91"/>
    <w:rsid w:val="20471D1E"/>
    <w:rsid w:val="20482300"/>
    <w:rsid w:val="205253AE"/>
    <w:rsid w:val="20541062"/>
    <w:rsid w:val="2054720E"/>
    <w:rsid w:val="205904EB"/>
    <w:rsid w:val="2059673D"/>
    <w:rsid w:val="205B3F14"/>
    <w:rsid w:val="20653333"/>
    <w:rsid w:val="20672C08"/>
    <w:rsid w:val="206E043A"/>
    <w:rsid w:val="206F3A65"/>
    <w:rsid w:val="206F5F60"/>
    <w:rsid w:val="20705D9B"/>
    <w:rsid w:val="2072219B"/>
    <w:rsid w:val="20744B6F"/>
    <w:rsid w:val="20746C50"/>
    <w:rsid w:val="207C43F8"/>
    <w:rsid w:val="20812CD1"/>
    <w:rsid w:val="20823EE5"/>
    <w:rsid w:val="20885230"/>
    <w:rsid w:val="208F215E"/>
    <w:rsid w:val="20914128"/>
    <w:rsid w:val="20917F15"/>
    <w:rsid w:val="20924FC4"/>
    <w:rsid w:val="20934CDE"/>
    <w:rsid w:val="209677A6"/>
    <w:rsid w:val="20987265"/>
    <w:rsid w:val="209B0271"/>
    <w:rsid w:val="209D2ACD"/>
    <w:rsid w:val="209D487B"/>
    <w:rsid w:val="209E05F3"/>
    <w:rsid w:val="20A0611A"/>
    <w:rsid w:val="20A162A3"/>
    <w:rsid w:val="20A17E2B"/>
    <w:rsid w:val="20A420AE"/>
    <w:rsid w:val="20A53730"/>
    <w:rsid w:val="20AC0F62"/>
    <w:rsid w:val="20AD0878"/>
    <w:rsid w:val="20B00A53"/>
    <w:rsid w:val="20B120D5"/>
    <w:rsid w:val="20B33F09"/>
    <w:rsid w:val="20BC52F3"/>
    <w:rsid w:val="20BD316F"/>
    <w:rsid w:val="20C73DEA"/>
    <w:rsid w:val="20C95670"/>
    <w:rsid w:val="20CC0B5C"/>
    <w:rsid w:val="20DC2DA5"/>
    <w:rsid w:val="20DD2ECA"/>
    <w:rsid w:val="20E406FC"/>
    <w:rsid w:val="20E51AC6"/>
    <w:rsid w:val="20E73D48"/>
    <w:rsid w:val="20E74192"/>
    <w:rsid w:val="20ED726E"/>
    <w:rsid w:val="20ED7432"/>
    <w:rsid w:val="20F006E9"/>
    <w:rsid w:val="20F1663F"/>
    <w:rsid w:val="20F36B91"/>
    <w:rsid w:val="20F46465"/>
    <w:rsid w:val="20F6042F"/>
    <w:rsid w:val="20F8421E"/>
    <w:rsid w:val="20FB77F4"/>
    <w:rsid w:val="20FC2382"/>
    <w:rsid w:val="20FD356C"/>
    <w:rsid w:val="20FF1092"/>
    <w:rsid w:val="210448FA"/>
    <w:rsid w:val="21045D99"/>
    <w:rsid w:val="21061A7D"/>
    <w:rsid w:val="210963B5"/>
    <w:rsid w:val="2110329F"/>
    <w:rsid w:val="21151544"/>
    <w:rsid w:val="211A411E"/>
    <w:rsid w:val="212136FE"/>
    <w:rsid w:val="21246D4B"/>
    <w:rsid w:val="21266B67"/>
    <w:rsid w:val="2127683B"/>
    <w:rsid w:val="212B632B"/>
    <w:rsid w:val="21310E51"/>
    <w:rsid w:val="213353E6"/>
    <w:rsid w:val="21366608"/>
    <w:rsid w:val="213D7E0C"/>
    <w:rsid w:val="21426901"/>
    <w:rsid w:val="214747E7"/>
    <w:rsid w:val="214D44F3"/>
    <w:rsid w:val="214E3B8E"/>
    <w:rsid w:val="214F7359"/>
    <w:rsid w:val="215018EE"/>
    <w:rsid w:val="2150195F"/>
    <w:rsid w:val="21507EF7"/>
    <w:rsid w:val="215108D1"/>
    <w:rsid w:val="21514178"/>
    <w:rsid w:val="21575417"/>
    <w:rsid w:val="21577120"/>
    <w:rsid w:val="215B7944"/>
    <w:rsid w:val="215D04AF"/>
    <w:rsid w:val="21624D58"/>
    <w:rsid w:val="2162716B"/>
    <w:rsid w:val="21674E89"/>
    <w:rsid w:val="216830DB"/>
    <w:rsid w:val="21695014"/>
    <w:rsid w:val="216A0307"/>
    <w:rsid w:val="217557F8"/>
    <w:rsid w:val="217D46AD"/>
    <w:rsid w:val="217F6E19"/>
    <w:rsid w:val="21875B03"/>
    <w:rsid w:val="218872DA"/>
    <w:rsid w:val="218B2DC2"/>
    <w:rsid w:val="218C669E"/>
    <w:rsid w:val="21960560"/>
    <w:rsid w:val="219A700D"/>
    <w:rsid w:val="219E1A02"/>
    <w:rsid w:val="21A47E8B"/>
    <w:rsid w:val="21A623BB"/>
    <w:rsid w:val="21AB121A"/>
    <w:rsid w:val="21B24356"/>
    <w:rsid w:val="21B63B68"/>
    <w:rsid w:val="21B93937"/>
    <w:rsid w:val="21BA76AF"/>
    <w:rsid w:val="21BC6430"/>
    <w:rsid w:val="21C2643E"/>
    <w:rsid w:val="21C265F4"/>
    <w:rsid w:val="21C5052E"/>
    <w:rsid w:val="21C916A0"/>
    <w:rsid w:val="21CD2F3E"/>
    <w:rsid w:val="21CE52E3"/>
    <w:rsid w:val="21CE6CB6"/>
    <w:rsid w:val="21D267A7"/>
    <w:rsid w:val="21D2794E"/>
    <w:rsid w:val="21D87FF3"/>
    <w:rsid w:val="21E01DC0"/>
    <w:rsid w:val="21E04D26"/>
    <w:rsid w:val="21EA2E0A"/>
    <w:rsid w:val="21ED7544"/>
    <w:rsid w:val="21EE586A"/>
    <w:rsid w:val="21EF4752"/>
    <w:rsid w:val="21F4671D"/>
    <w:rsid w:val="21F66939"/>
    <w:rsid w:val="21F726B1"/>
    <w:rsid w:val="220152DE"/>
    <w:rsid w:val="220555B1"/>
    <w:rsid w:val="220A359A"/>
    <w:rsid w:val="220A5F40"/>
    <w:rsid w:val="220C5B3E"/>
    <w:rsid w:val="220E3E9E"/>
    <w:rsid w:val="22124DF5"/>
    <w:rsid w:val="22194137"/>
    <w:rsid w:val="221A0D1D"/>
    <w:rsid w:val="221A1EFC"/>
    <w:rsid w:val="221B2DD2"/>
    <w:rsid w:val="221E19EC"/>
    <w:rsid w:val="222039B6"/>
    <w:rsid w:val="2221328A"/>
    <w:rsid w:val="22215E9E"/>
    <w:rsid w:val="22286D9D"/>
    <w:rsid w:val="222D60D3"/>
    <w:rsid w:val="222D7E81"/>
    <w:rsid w:val="222F2D22"/>
    <w:rsid w:val="22303631"/>
    <w:rsid w:val="22327245"/>
    <w:rsid w:val="22350AE4"/>
    <w:rsid w:val="22387A21"/>
    <w:rsid w:val="223905D4"/>
    <w:rsid w:val="2239678E"/>
    <w:rsid w:val="223A40EF"/>
    <w:rsid w:val="22405E06"/>
    <w:rsid w:val="224169DC"/>
    <w:rsid w:val="224736CA"/>
    <w:rsid w:val="224968DA"/>
    <w:rsid w:val="225049AB"/>
    <w:rsid w:val="22544B91"/>
    <w:rsid w:val="225B140B"/>
    <w:rsid w:val="225B2C40"/>
    <w:rsid w:val="225F7D92"/>
    <w:rsid w:val="22626E68"/>
    <w:rsid w:val="22675C42"/>
    <w:rsid w:val="22714A24"/>
    <w:rsid w:val="227171F7"/>
    <w:rsid w:val="22720D9E"/>
    <w:rsid w:val="227421AD"/>
    <w:rsid w:val="228E4DC3"/>
    <w:rsid w:val="228E6E70"/>
    <w:rsid w:val="228F4211"/>
    <w:rsid w:val="2291275D"/>
    <w:rsid w:val="22916662"/>
    <w:rsid w:val="22925F36"/>
    <w:rsid w:val="22965A26"/>
    <w:rsid w:val="229972C4"/>
    <w:rsid w:val="229E2B43"/>
    <w:rsid w:val="22A04AF7"/>
    <w:rsid w:val="22A85759"/>
    <w:rsid w:val="22AB33E9"/>
    <w:rsid w:val="22AC6FF8"/>
    <w:rsid w:val="22AD4B1E"/>
    <w:rsid w:val="22B24842"/>
    <w:rsid w:val="22B3482A"/>
    <w:rsid w:val="22B365D8"/>
    <w:rsid w:val="22B76002"/>
    <w:rsid w:val="22B81E40"/>
    <w:rsid w:val="22B8599C"/>
    <w:rsid w:val="22B95474"/>
    <w:rsid w:val="22BD2FB3"/>
    <w:rsid w:val="22BF65D0"/>
    <w:rsid w:val="22C0353E"/>
    <w:rsid w:val="22C04851"/>
    <w:rsid w:val="22C34341"/>
    <w:rsid w:val="22C73E32"/>
    <w:rsid w:val="22CA1B74"/>
    <w:rsid w:val="22CF2CE6"/>
    <w:rsid w:val="22D16A5E"/>
    <w:rsid w:val="22D24D60"/>
    <w:rsid w:val="22D4654E"/>
    <w:rsid w:val="22DD4148"/>
    <w:rsid w:val="22E20C6B"/>
    <w:rsid w:val="22E36792"/>
    <w:rsid w:val="22E643FB"/>
    <w:rsid w:val="22E744D4"/>
    <w:rsid w:val="22E96D6B"/>
    <w:rsid w:val="22EC10AA"/>
    <w:rsid w:val="22EE7610"/>
    <w:rsid w:val="22F17100"/>
    <w:rsid w:val="22F62969"/>
    <w:rsid w:val="22FA4207"/>
    <w:rsid w:val="23095A68"/>
    <w:rsid w:val="230A01C2"/>
    <w:rsid w:val="230B6414"/>
    <w:rsid w:val="230C4F8E"/>
    <w:rsid w:val="230C7A96"/>
    <w:rsid w:val="230F132C"/>
    <w:rsid w:val="231828DF"/>
    <w:rsid w:val="231C0113"/>
    <w:rsid w:val="231C5474"/>
    <w:rsid w:val="231D38A1"/>
    <w:rsid w:val="23217CC6"/>
    <w:rsid w:val="2322375E"/>
    <w:rsid w:val="23244DE0"/>
    <w:rsid w:val="232C7396"/>
    <w:rsid w:val="2335523F"/>
    <w:rsid w:val="233A0AA7"/>
    <w:rsid w:val="233A2855"/>
    <w:rsid w:val="233B3935"/>
    <w:rsid w:val="233B7CFA"/>
    <w:rsid w:val="233C481F"/>
    <w:rsid w:val="233D2346"/>
    <w:rsid w:val="23402721"/>
    <w:rsid w:val="23425BAE"/>
    <w:rsid w:val="2342795C"/>
    <w:rsid w:val="234725AF"/>
    <w:rsid w:val="23472730"/>
    <w:rsid w:val="23492A98"/>
    <w:rsid w:val="23496F3C"/>
    <w:rsid w:val="234C510F"/>
    <w:rsid w:val="234C5C0A"/>
    <w:rsid w:val="234F5BD5"/>
    <w:rsid w:val="23511E39"/>
    <w:rsid w:val="23571659"/>
    <w:rsid w:val="23580F2E"/>
    <w:rsid w:val="235A7381"/>
    <w:rsid w:val="235F7526"/>
    <w:rsid w:val="23616034"/>
    <w:rsid w:val="23636F06"/>
    <w:rsid w:val="2366364A"/>
    <w:rsid w:val="23682322"/>
    <w:rsid w:val="23694EE9"/>
    <w:rsid w:val="23767606"/>
    <w:rsid w:val="2377306D"/>
    <w:rsid w:val="237A5348"/>
    <w:rsid w:val="238247DB"/>
    <w:rsid w:val="2382701A"/>
    <w:rsid w:val="23863CED"/>
    <w:rsid w:val="23870281"/>
    <w:rsid w:val="23896EA4"/>
    <w:rsid w:val="238B4E5F"/>
    <w:rsid w:val="238C6E29"/>
    <w:rsid w:val="238D507B"/>
    <w:rsid w:val="238E2BA1"/>
    <w:rsid w:val="23907C91"/>
    <w:rsid w:val="23922691"/>
    <w:rsid w:val="23936933"/>
    <w:rsid w:val="23992BBB"/>
    <w:rsid w:val="239B0E1A"/>
    <w:rsid w:val="23A1627E"/>
    <w:rsid w:val="23A3244D"/>
    <w:rsid w:val="23A46E10"/>
    <w:rsid w:val="23A777BF"/>
    <w:rsid w:val="23AD74CB"/>
    <w:rsid w:val="23AF726E"/>
    <w:rsid w:val="23B0586E"/>
    <w:rsid w:val="23B51EDC"/>
    <w:rsid w:val="23B567AE"/>
    <w:rsid w:val="23B6403B"/>
    <w:rsid w:val="23B95E70"/>
    <w:rsid w:val="23C30A9D"/>
    <w:rsid w:val="23CB1D8A"/>
    <w:rsid w:val="23CB7951"/>
    <w:rsid w:val="23CD191B"/>
    <w:rsid w:val="23CD6176"/>
    <w:rsid w:val="23CE2152"/>
    <w:rsid w:val="23D10373"/>
    <w:rsid w:val="23E10EE3"/>
    <w:rsid w:val="23E17175"/>
    <w:rsid w:val="23E34E2B"/>
    <w:rsid w:val="23E629DD"/>
    <w:rsid w:val="23ED5B1A"/>
    <w:rsid w:val="23EE3640"/>
    <w:rsid w:val="23F02C2F"/>
    <w:rsid w:val="23F173A1"/>
    <w:rsid w:val="23F41E93"/>
    <w:rsid w:val="23F46EA8"/>
    <w:rsid w:val="23F549CE"/>
    <w:rsid w:val="23F8601D"/>
    <w:rsid w:val="23FB6A9C"/>
    <w:rsid w:val="2402278C"/>
    <w:rsid w:val="2409204C"/>
    <w:rsid w:val="240B274F"/>
    <w:rsid w:val="241121F4"/>
    <w:rsid w:val="241430A6"/>
    <w:rsid w:val="241A4435"/>
    <w:rsid w:val="241A61E3"/>
    <w:rsid w:val="241B0699"/>
    <w:rsid w:val="241F1A4B"/>
    <w:rsid w:val="242239E6"/>
    <w:rsid w:val="24250489"/>
    <w:rsid w:val="242552B4"/>
    <w:rsid w:val="242660B6"/>
    <w:rsid w:val="242A28CA"/>
    <w:rsid w:val="242C54D4"/>
    <w:rsid w:val="243454F7"/>
    <w:rsid w:val="24351FC6"/>
    <w:rsid w:val="24384B1E"/>
    <w:rsid w:val="243F5C4A"/>
    <w:rsid w:val="24415E66"/>
    <w:rsid w:val="24444B67"/>
    <w:rsid w:val="2444609B"/>
    <w:rsid w:val="244514B2"/>
    <w:rsid w:val="2445265D"/>
    <w:rsid w:val="24497781"/>
    <w:rsid w:val="244C24FA"/>
    <w:rsid w:val="244D480A"/>
    <w:rsid w:val="244F2331"/>
    <w:rsid w:val="24523BCF"/>
    <w:rsid w:val="24525685"/>
    <w:rsid w:val="245657EF"/>
    <w:rsid w:val="245711E5"/>
    <w:rsid w:val="24593ED1"/>
    <w:rsid w:val="2460558A"/>
    <w:rsid w:val="24622DB6"/>
    <w:rsid w:val="246456B0"/>
    <w:rsid w:val="24765B0F"/>
    <w:rsid w:val="24771887"/>
    <w:rsid w:val="247B1377"/>
    <w:rsid w:val="24816262"/>
    <w:rsid w:val="24820732"/>
    <w:rsid w:val="248C335D"/>
    <w:rsid w:val="249146F7"/>
    <w:rsid w:val="24945F95"/>
    <w:rsid w:val="24967F5F"/>
    <w:rsid w:val="24981CF4"/>
    <w:rsid w:val="249E5066"/>
    <w:rsid w:val="24A10C0D"/>
    <w:rsid w:val="24A3234B"/>
    <w:rsid w:val="24A85D84"/>
    <w:rsid w:val="24AA2DC5"/>
    <w:rsid w:val="24AA57B9"/>
    <w:rsid w:val="24AD52A9"/>
    <w:rsid w:val="24AF7273"/>
    <w:rsid w:val="24B44889"/>
    <w:rsid w:val="24BB79C6"/>
    <w:rsid w:val="24BC729A"/>
    <w:rsid w:val="24BD373E"/>
    <w:rsid w:val="24BD5534"/>
    <w:rsid w:val="24C3687B"/>
    <w:rsid w:val="24C41DFA"/>
    <w:rsid w:val="24CD41EA"/>
    <w:rsid w:val="24CE643A"/>
    <w:rsid w:val="24D10FB3"/>
    <w:rsid w:val="24D42DE8"/>
    <w:rsid w:val="24D521F1"/>
    <w:rsid w:val="24D80578"/>
    <w:rsid w:val="24E07603"/>
    <w:rsid w:val="24E25E51"/>
    <w:rsid w:val="24E35931"/>
    <w:rsid w:val="24E67A2F"/>
    <w:rsid w:val="24E76A0D"/>
    <w:rsid w:val="24EF2AA9"/>
    <w:rsid w:val="24F15196"/>
    <w:rsid w:val="24F164AA"/>
    <w:rsid w:val="24F20F0E"/>
    <w:rsid w:val="24F27517"/>
    <w:rsid w:val="24F42ED8"/>
    <w:rsid w:val="24F433C1"/>
    <w:rsid w:val="24F627AC"/>
    <w:rsid w:val="24FD1D8D"/>
    <w:rsid w:val="2500205F"/>
    <w:rsid w:val="25034EC9"/>
    <w:rsid w:val="25050C41"/>
    <w:rsid w:val="25057388"/>
    <w:rsid w:val="25090731"/>
    <w:rsid w:val="250C0222"/>
    <w:rsid w:val="25102E98"/>
    <w:rsid w:val="25115838"/>
    <w:rsid w:val="251E1D03"/>
    <w:rsid w:val="251E530A"/>
    <w:rsid w:val="25220111"/>
    <w:rsid w:val="25270BB7"/>
    <w:rsid w:val="25276E09"/>
    <w:rsid w:val="25290DD3"/>
    <w:rsid w:val="252958ED"/>
    <w:rsid w:val="2533479E"/>
    <w:rsid w:val="2533755C"/>
    <w:rsid w:val="2536736C"/>
    <w:rsid w:val="253713A6"/>
    <w:rsid w:val="25394A35"/>
    <w:rsid w:val="253A7808"/>
    <w:rsid w:val="253B4663"/>
    <w:rsid w:val="253F05F7"/>
    <w:rsid w:val="25423072"/>
    <w:rsid w:val="254479BB"/>
    <w:rsid w:val="254774AC"/>
    <w:rsid w:val="25495A04"/>
    <w:rsid w:val="254B6F9C"/>
    <w:rsid w:val="254D7E30"/>
    <w:rsid w:val="2551032A"/>
    <w:rsid w:val="25513E86"/>
    <w:rsid w:val="255708B7"/>
    <w:rsid w:val="256040C9"/>
    <w:rsid w:val="2561056D"/>
    <w:rsid w:val="25675458"/>
    <w:rsid w:val="256C6F12"/>
    <w:rsid w:val="256E67E6"/>
    <w:rsid w:val="25706A02"/>
    <w:rsid w:val="257227BA"/>
    <w:rsid w:val="25753B62"/>
    <w:rsid w:val="257638ED"/>
    <w:rsid w:val="257F142C"/>
    <w:rsid w:val="258160E4"/>
    <w:rsid w:val="25836BCB"/>
    <w:rsid w:val="2584618A"/>
    <w:rsid w:val="258778A8"/>
    <w:rsid w:val="258E70E1"/>
    <w:rsid w:val="259077D1"/>
    <w:rsid w:val="2593449F"/>
    <w:rsid w:val="259424F4"/>
    <w:rsid w:val="259C4405"/>
    <w:rsid w:val="259C77F7"/>
    <w:rsid w:val="25A16BBC"/>
    <w:rsid w:val="25B407E6"/>
    <w:rsid w:val="25B62519"/>
    <w:rsid w:val="25B83F05"/>
    <w:rsid w:val="25BD7BDD"/>
    <w:rsid w:val="25BF5294"/>
    <w:rsid w:val="25CC23BA"/>
    <w:rsid w:val="25CD4EC7"/>
    <w:rsid w:val="25CD5C03"/>
    <w:rsid w:val="25CE307B"/>
    <w:rsid w:val="25D32AED"/>
    <w:rsid w:val="25DE4C6C"/>
    <w:rsid w:val="25DF1492"/>
    <w:rsid w:val="25E847EB"/>
    <w:rsid w:val="25EB7E37"/>
    <w:rsid w:val="25F211C5"/>
    <w:rsid w:val="25F27417"/>
    <w:rsid w:val="25FF1B34"/>
    <w:rsid w:val="25FF38E2"/>
    <w:rsid w:val="26061115"/>
    <w:rsid w:val="26064C71"/>
    <w:rsid w:val="260702CE"/>
    <w:rsid w:val="26086C3B"/>
    <w:rsid w:val="260E1D77"/>
    <w:rsid w:val="261206FC"/>
    <w:rsid w:val="26164DFC"/>
    <w:rsid w:val="261A696E"/>
    <w:rsid w:val="261C6242"/>
    <w:rsid w:val="261F3F85"/>
    <w:rsid w:val="262349F0"/>
    <w:rsid w:val="262670C1"/>
    <w:rsid w:val="26290CB5"/>
    <w:rsid w:val="262D48F3"/>
    <w:rsid w:val="262E41C8"/>
    <w:rsid w:val="262E5F76"/>
    <w:rsid w:val="26312D19"/>
    <w:rsid w:val="26323CB8"/>
    <w:rsid w:val="263306B3"/>
    <w:rsid w:val="263317DE"/>
    <w:rsid w:val="26345C82"/>
    <w:rsid w:val="2634713A"/>
    <w:rsid w:val="263747E9"/>
    <w:rsid w:val="26377520"/>
    <w:rsid w:val="264834DB"/>
    <w:rsid w:val="264A5833"/>
    <w:rsid w:val="264A7253"/>
    <w:rsid w:val="264C0AEB"/>
    <w:rsid w:val="264E00B0"/>
    <w:rsid w:val="264F70DC"/>
    <w:rsid w:val="264F7989"/>
    <w:rsid w:val="265005E2"/>
    <w:rsid w:val="26521602"/>
    <w:rsid w:val="265754CC"/>
    <w:rsid w:val="265B5907"/>
    <w:rsid w:val="265E0B0C"/>
    <w:rsid w:val="265E4AAD"/>
    <w:rsid w:val="266261EB"/>
    <w:rsid w:val="2663360D"/>
    <w:rsid w:val="266365E6"/>
    <w:rsid w:val="2666570F"/>
    <w:rsid w:val="26676FBC"/>
    <w:rsid w:val="266D64A6"/>
    <w:rsid w:val="266F0A68"/>
    <w:rsid w:val="266F5156"/>
    <w:rsid w:val="26712A32"/>
    <w:rsid w:val="2671601B"/>
    <w:rsid w:val="26773DC1"/>
    <w:rsid w:val="26775B6F"/>
    <w:rsid w:val="26804680"/>
    <w:rsid w:val="26844E74"/>
    <w:rsid w:val="2686661C"/>
    <w:rsid w:val="2688701D"/>
    <w:rsid w:val="268A74F7"/>
    <w:rsid w:val="26973530"/>
    <w:rsid w:val="26991969"/>
    <w:rsid w:val="269B7AAF"/>
    <w:rsid w:val="269F0C21"/>
    <w:rsid w:val="26A1499A"/>
    <w:rsid w:val="26A30712"/>
    <w:rsid w:val="26A561C0"/>
    <w:rsid w:val="26A67E12"/>
    <w:rsid w:val="26A76454"/>
    <w:rsid w:val="26AA5F44"/>
    <w:rsid w:val="26AF1B96"/>
    <w:rsid w:val="26B24DF9"/>
    <w:rsid w:val="26B97B92"/>
    <w:rsid w:val="26BE19EF"/>
    <w:rsid w:val="26C07516"/>
    <w:rsid w:val="26C16DEA"/>
    <w:rsid w:val="26C436A5"/>
    <w:rsid w:val="26CB02AF"/>
    <w:rsid w:val="26CC3908"/>
    <w:rsid w:val="26CD39E1"/>
    <w:rsid w:val="26CD578F"/>
    <w:rsid w:val="26CF59AB"/>
    <w:rsid w:val="26D27249"/>
    <w:rsid w:val="26D60AE7"/>
    <w:rsid w:val="26D66D39"/>
    <w:rsid w:val="26D7660D"/>
    <w:rsid w:val="26D933C3"/>
    <w:rsid w:val="26DA0F79"/>
    <w:rsid w:val="26DB7EAB"/>
    <w:rsid w:val="26E31456"/>
    <w:rsid w:val="26E36D60"/>
    <w:rsid w:val="26E72CF4"/>
    <w:rsid w:val="26E74AA2"/>
    <w:rsid w:val="26EA00EF"/>
    <w:rsid w:val="26EA0A6E"/>
    <w:rsid w:val="26F121F0"/>
    <w:rsid w:val="26F539B7"/>
    <w:rsid w:val="26F62F37"/>
    <w:rsid w:val="26F70110"/>
    <w:rsid w:val="26F8717B"/>
    <w:rsid w:val="26F92A28"/>
    <w:rsid w:val="26FB0737"/>
    <w:rsid w:val="26FE1756"/>
    <w:rsid w:val="26FE3B9A"/>
    <w:rsid w:val="27005B64"/>
    <w:rsid w:val="27010B22"/>
    <w:rsid w:val="27030EF2"/>
    <w:rsid w:val="27053614"/>
    <w:rsid w:val="27082C6B"/>
    <w:rsid w:val="27090EBD"/>
    <w:rsid w:val="270B5F28"/>
    <w:rsid w:val="27111523"/>
    <w:rsid w:val="27111B1F"/>
    <w:rsid w:val="271352BE"/>
    <w:rsid w:val="27135D4E"/>
    <w:rsid w:val="271519F0"/>
    <w:rsid w:val="27190705"/>
    <w:rsid w:val="271D6716"/>
    <w:rsid w:val="2727054A"/>
    <w:rsid w:val="273121C1"/>
    <w:rsid w:val="27352EC6"/>
    <w:rsid w:val="27383ED1"/>
    <w:rsid w:val="27392D84"/>
    <w:rsid w:val="273A72C8"/>
    <w:rsid w:val="273C5904"/>
    <w:rsid w:val="273E043A"/>
    <w:rsid w:val="274417F4"/>
    <w:rsid w:val="27475901"/>
    <w:rsid w:val="27480EC4"/>
    <w:rsid w:val="274A3287"/>
    <w:rsid w:val="274B24F1"/>
    <w:rsid w:val="274C0DA9"/>
    <w:rsid w:val="2751016E"/>
    <w:rsid w:val="27522BDD"/>
    <w:rsid w:val="27530387"/>
    <w:rsid w:val="27587B7C"/>
    <w:rsid w:val="275D5379"/>
    <w:rsid w:val="275D6B12"/>
    <w:rsid w:val="2763067B"/>
    <w:rsid w:val="27651E6B"/>
    <w:rsid w:val="27677991"/>
    <w:rsid w:val="2768429D"/>
    <w:rsid w:val="27693709"/>
    <w:rsid w:val="27750300"/>
    <w:rsid w:val="277836C4"/>
    <w:rsid w:val="27796E8B"/>
    <w:rsid w:val="277D71B5"/>
    <w:rsid w:val="277E7FB4"/>
    <w:rsid w:val="27800622"/>
    <w:rsid w:val="27814EF7"/>
    <w:rsid w:val="27822A1D"/>
    <w:rsid w:val="27870033"/>
    <w:rsid w:val="2790513A"/>
    <w:rsid w:val="27932534"/>
    <w:rsid w:val="279A1B15"/>
    <w:rsid w:val="279B3ADF"/>
    <w:rsid w:val="279C55DC"/>
    <w:rsid w:val="279D467A"/>
    <w:rsid w:val="279F35CF"/>
    <w:rsid w:val="27A1608A"/>
    <w:rsid w:val="27A42993"/>
    <w:rsid w:val="27A72E58"/>
    <w:rsid w:val="27AC7A9A"/>
    <w:rsid w:val="27B150B0"/>
    <w:rsid w:val="27BA21B7"/>
    <w:rsid w:val="27BA6BDA"/>
    <w:rsid w:val="27BB7CDD"/>
    <w:rsid w:val="27C272BD"/>
    <w:rsid w:val="27C71A1D"/>
    <w:rsid w:val="27C84A08"/>
    <w:rsid w:val="27C86CC9"/>
    <w:rsid w:val="27C9321A"/>
    <w:rsid w:val="27CB4BE3"/>
    <w:rsid w:val="27D43C48"/>
    <w:rsid w:val="27D74B17"/>
    <w:rsid w:val="27D93612"/>
    <w:rsid w:val="27DA4607"/>
    <w:rsid w:val="27DA63B5"/>
    <w:rsid w:val="27DB38EE"/>
    <w:rsid w:val="27DD5EA5"/>
    <w:rsid w:val="27E15995"/>
    <w:rsid w:val="27E20E2A"/>
    <w:rsid w:val="27E50DCB"/>
    <w:rsid w:val="27E608AA"/>
    <w:rsid w:val="27E805E9"/>
    <w:rsid w:val="27F37477"/>
    <w:rsid w:val="27F531EF"/>
    <w:rsid w:val="27F743C8"/>
    <w:rsid w:val="27FC156C"/>
    <w:rsid w:val="27FC772C"/>
    <w:rsid w:val="27FF34BF"/>
    <w:rsid w:val="28033B5E"/>
    <w:rsid w:val="28036175"/>
    <w:rsid w:val="28037FA1"/>
    <w:rsid w:val="28041E46"/>
    <w:rsid w:val="28092D7E"/>
    <w:rsid w:val="280B47C0"/>
    <w:rsid w:val="280C22E7"/>
    <w:rsid w:val="280E605F"/>
    <w:rsid w:val="28164F13"/>
    <w:rsid w:val="28194F47"/>
    <w:rsid w:val="281B3A6F"/>
    <w:rsid w:val="281B4AE7"/>
    <w:rsid w:val="28201DDD"/>
    <w:rsid w:val="282105EF"/>
    <w:rsid w:val="282149C5"/>
    <w:rsid w:val="282249EF"/>
    <w:rsid w:val="2822558E"/>
    <w:rsid w:val="28226B0C"/>
    <w:rsid w:val="282E6AB1"/>
    <w:rsid w:val="282F0E49"/>
    <w:rsid w:val="28305FD5"/>
    <w:rsid w:val="283620C0"/>
    <w:rsid w:val="283E4B96"/>
    <w:rsid w:val="284952E9"/>
    <w:rsid w:val="284C7D86"/>
    <w:rsid w:val="285048C9"/>
    <w:rsid w:val="285578EF"/>
    <w:rsid w:val="285717B4"/>
    <w:rsid w:val="285E6830"/>
    <w:rsid w:val="285F4B0C"/>
    <w:rsid w:val="28612632"/>
    <w:rsid w:val="28650375"/>
    <w:rsid w:val="28685CA3"/>
    <w:rsid w:val="2870282C"/>
    <w:rsid w:val="28717098"/>
    <w:rsid w:val="28757E8C"/>
    <w:rsid w:val="28786ADC"/>
    <w:rsid w:val="28793E20"/>
    <w:rsid w:val="28795BCE"/>
    <w:rsid w:val="287C74F6"/>
    <w:rsid w:val="28846321"/>
    <w:rsid w:val="2885221B"/>
    <w:rsid w:val="288602EB"/>
    <w:rsid w:val="288617DA"/>
    <w:rsid w:val="28866D03"/>
    <w:rsid w:val="28885E11"/>
    <w:rsid w:val="288A6ECB"/>
    <w:rsid w:val="288B3B53"/>
    <w:rsid w:val="288C35BE"/>
    <w:rsid w:val="289064B1"/>
    <w:rsid w:val="28944D64"/>
    <w:rsid w:val="28947661"/>
    <w:rsid w:val="289742A6"/>
    <w:rsid w:val="28991DCC"/>
    <w:rsid w:val="289947F7"/>
    <w:rsid w:val="289B3D96"/>
    <w:rsid w:val="28A30E9D"/>
    <w:rsid w:val="28A44C56"/>
    <w:rsid w:val="28AA222B"/>
    <w:rsid w:val="28AC4B2B"/>
    <w:rsid w:val="28AF15F0"/>
    <w:rsid w:val="28B07116"/>
    <w:rsid w:val="28B16C3B"/>
    <w:rsid w:val="28B72697"/>
    <w:rsid w:val="28B9421C"/>
    <w:rsid w:val="28B962DF"/>
    <w:rsid w:val="28BE7A85"/>
    <w:rsid w:val="28C02D0C"/>
    <w:rsid w:val="28C07E8D"/>
    <w:rsid w:val="28C606E7"/>
    <w:rsid w:val="28C75858"/>
    <w:rsid w:val="28C8166C"/>
    <w:rsid w:val="28C92AC2"/>
    <w:rsid w:val="28CD2F54"/>
    <w:rsid w:val="28CF10E1"/>
    <w:rsid w:val="28D21782"/>
    <w:rsid w:val="28D41056"/>
    <w:rsid w:val="28D9041B"/>
    <w:rsid w:val="28DC7F0B"/>
    <w:rsid w:val="28DD75F0"/>
    <w:rsid w:val="28E455C2"/>
    <w:rsid w:val="28E62B38"/>
    <w:rsid w:val="28E74C93"/>
    <w:rsid w:val="28E76FDC"/>
    <w:rsid w:val="28E82D54"/>
    <w:rsid w:val="28EB0DF4"/>
    <w:rsid w:val="28ED036A"/>
    <w:rsid w:val="28F17E5A"/>
    <w:rsid w:val="28F416F8"/>
    <w:rsid w:val="28F506B3"/>
    <w:rsid w:val="28F811E9"/>
    <w:rsid w:val="28F82E08"/>
    <w:rsid w:val="28F931A5"/>
    <w:rsid w:val="28F97E28"/>
    <w:rsid w:val="28FB4835"/>
    <w:rsid w:val="28FC23F3"/>
    <w:rsid w:val="28FE2577"/>
    <w:rsid w:val="290A0F1C"/>
    <w:rsid w:val="29111572"/>
    <w:rsid w:val="291122AA"/>
    <w:rsid w:val="29192F0D"/>
    <w:rsid w:val="291A5AC4"/>
    <w:rsid w:val="29231FDE"/>
    <w:rsid w:val="29253EF7"/>
    <w:rsid w:val="29290D37"/>
    <w:rsid w:val="29295024"/>
    <w:rsid w:val="292C49EE"/>
    <w:rsid w:val="292E717C"/>
    <w:rsid w:val="29323FCF"/>
    <w:rsid w:val="29354EE6"/>
    <w:rsid w:val="29357A83"/>
    <w:rsid w:val="29361921"/>
    <w:rsid w:val="293D6BFB"/>
    <w:rsid w:val="294331B9"/>
    <w:rsid w:val="29437F8A"/>
    <w:rsid w:val="29453D02"/>
    <w:rsid w:val="29475897"/>
    <w:rsid w:val="294837F2"/>
    <w:rsid w:val="294B1040"/>
    <w:rsid w:val="29512A97"/>
    <w:rsid w:val="295143AA"/>
    <w:rsid w:val="29521614"/>
    <w:rsid w:val="29564161"/>
    <w:rsid w:val="295959FF"/>
    <w:rsid w:val="2960467D"/>
    <w:rsid w:val="29615FFF"/>
    <w:rsid w:val="29622B06"/>
    <w:rsid w:val="29626662"/>
    <w:rsid w:val="296445E4"/>
    <w:rsid w:val="2964687E"/>
    <w:rsid w:val="296A61DF"/>
    <w:rsid w:val="296F0A35"/>
    <w:rsid w:val="296F0D7F"/>
    <w:rsid w:val="296F6FD1"/>
    <w:rsid w:val="29712D49"/>
    <w:rsid w:val="29724FDF"/>
    <w:rsid w:val="29752839"/>
    <w:rsid w:val="2975663E"/>
    <w:rsid w:val="29764E6E"/>
    <w:rsid w:val="29787C34"/>
    <w:rsid w:val="297B340B"/>
    <w:rsid w:val="297E01B4"/>
    <w:rsid w:val="297F2B8F"/>
    <w:rsid w:val="29802F8C"/>
    <w:rsid w:val="29824F56"/>
    <w:rsid w:val="2987256D"/>
    <w:rsid w:val="298B4A0C"/>
    <w:rsid w:val="298F31CF"/>
    <w:rsid w:val="29921E65"/>
    <w:rsid w:val="299737FF"/>
    <w:rsid w:val="29986528"/>
    <w:rsid w:val="299F78B6"/>
    <w:rsid w:val="29A50C45"/>
    <w:rsid w:val="29A529F3"/>
    <w:rsid w:val="29A858FC"/>
    <w:rsid w:val="29A901D7"/>
    <w:rsid w:val="29A94D9A"/>
    <w:rsid w:val="29AA1DB7"/>
    <w:rsid w:val="29AA5774"/>
    <w:rsid w:val="29B25D4A"/>
    <w:rsid w:val="29B40D44"/>
    <w:rsid w:val="29B42C36"/>
    <w:rsid w:val="29B6075C"/>
    <w:rsid w:val="29B802FC"/>
    <w:rsid w:val="29BD03E0"/>
    <w:rsid w:val="29BF1D06"/>
    <w:rsid w:val="29BF3AB4"/>
    <w:rsid w:val="29C94933"/>
    <w:rsid w:val="29CC7F7F"/>
    <w:rsid w:val="29D3130E"/>
    <w:rsid w:val="29D56A0C"/>
    <w:rsid w:val="29D60DFE"/>
    <w:rsid w:val="29DA067B"/>
    <w:rsid w:val="29DF5F05"/>
    <w:rsid w:val="29EA4B44"/>
    <w:rsid w:val="29F01EC0"/>
    <w:rsid w:val="29F16097"/>
    <w:rsid w:val="29F22F85"/>
    <w:rsid w:val="29F234A6"/>
    <w:rsid w:val="29F23B7C"/>
    <w:rsid w:val="29F97C59"/>
    <w:rsid w:val="29FA64CF"/>
    <w:rsid w:val="29FF65A7"/>
    <w:rsid w:val="2A005E7B"/>
    <w:rsid w:val="2A05023E"/>
    <w:rsid w:val="2A0616E3"/>
    <w:rsid w:val="2A0836EE"/>
    <w:rsid w:val="2A0D0CC4"/>
    <w:rsid w:val="2A0F7976"/>
    <w:rsid w:val="2A103412"/>
    <w:rsid w:val="2A127040"/>
    <w:rsid w:val="2A1738F0"/>
    <w:rsid w:val="2A1831C5"/>
    <w:rsid w:val="2A1A7C10"/>
    <w:rsid w:val="2A1B39A1"/>
    <w:rsid w:val="2A1C39EA"/>
    <w:rsid w:val="2A1D4E7B"/>
    <w:rsid w:val="2A1E047C"/>
    <w:rsid w:val="2A1E7AAD"/>
    <w:rsid w:val="2A2658E2"/>
    <w:rsid w:val="2A292B60"/>
    <w:rsid w:val="2A2B55D0"/>
    <w:rsid w:val="2A2B593B"/>
    <w:rsid w:val="2A2B739C"/>
    <w:rsid w:val="2A2C6C70"/>
    <w:rsid w:val="2A2E0C3A"/>
    <w:rsid w:val="2A2E29E8"/>
    <w:rsid w:val="2A336250"/>
    <w:rsid w:val="2A3873C3"/>
    <w:rsid w:val="2A391AB9"/>
    <w:rsid w:val="2A3A138D"/>
    <w:rsid w:val="2A3B1476"/>
    <w:rsid w:val="2A3C6EB3"/>
    <w:rsid w:val="2A421007"/>
    <w:rsid w:val="2A4A775A"/>
    <w:rsid w:val="2A4B17EC"/>
    <w:rsid w:val="2A502FEB"/>
    <w:rsid w:val="2A510374"/>
    <w:rsid w:val="2A554419"/>
    <w:rsid w:val="2A574846"/>
    <w:rsid w:val="2A5A37DD"/>
    <w:rsid w:val="2A5E32CD"/>
    <w:rsid w:val="2A614B6C"/>
    <w:rsid w:val="2A656698"/>
    <w:rsid w:val="2A662182"/>
    <w:rsid w:val="2A6920F5"/>
    <w:rsid w:val="2A6F54DA"/>
    <w:rsid w:val="2A70270B"/>
    <w:rsid w:val="2A756869"/>
    <w:rsid w:val="2A7725E1"/>
    <w:rsid w:val="2A7A5C2D"/>
    <w:rsid w:val="2A862824"/>
    <w:rsid w:val="2A9156A2"/>
    <w:rsid w:val="2A9642F0"/>
    <w:rsid w:val="2A985F1D"/>
    <w:rsid w:val="2A98778B"/>
    <w:rsid w:val="2A9E191C"/>
    <w:rsid w:val="2A9F08C1"/>
    <w:rsid w:val="2A9F38E6"/>
    <w:rsid w:val="2AA1140C"/>
    <w:rsid w:val="2AA454BF"/>
    <w:rsid w:val="2AA51A53"/>
    <w:rsid w:val="2AA64C74"/>
    <w:rsid w:val="2AAB1CD2"/>
    <w:rsid w:val="2AB23619"/>
    <w:rsid w:val="2AB63109"/>
    <w:rsid w:val="2AB670B6"/>
    <w:rsid w:val="2ABB0720"/>
    <w:rsid w:val="2ABC7FF4"/>
    <w:rsid w:val="2ABD3ED7"/>
    <w:rsid w:val="2ABF5B35"/>
    <w:rsid w:val="2AC70599"/>
    <w:rsid w:val="2ACC7ADD"/>
    <w:rsid w:val="2AD535E7"/>
    <w:rsid w:val="2AD924CA"/>
    <w:rsid w:val="2ADB5CCE"/>
    <w:rsid w:val="2ADE0984"/>
    <w:rsid w:val="2AE01F34"/>
    <w:rsid w:val="2AE23476"/>
    <w:rsid w:val="2AE3354A"/>
    <w:rsid w:val="2AE61515"/>
    <w:rsid w:val="2AE8703B"/>
    <w:rsid w:val="2AF04EFB"/>
    <w:rsid w:val="2AF40319"/>
    <w:rsid w:val="2AF4358A"/>
    <w:rsid w:val="2AF86FFB"/>
    <w:rsid w:val="2AF90B43"/>
    <w:rsid w:val="2AFA4548"/>
    <w:rsid w:val="2AFD2F0D"/>
    <w:rsid w:val="2AFE3F94"/>
    <w:rsid w:val="2AFE7582"/>
    <w:rsid w:val="2B02634F"/>
    <w:rsid w:val="2B050EB5"/>
    <w:rsid w:val="2B0A4083"/>
    <w:rsid w:val="2B1020EE"/>
    <w:rsid w:val="2B12230A"/>
    <w:rsid w:val="2B1226F3"/>
    <w:rsid w:val="2B125E66"/>
    <w:rsid w:val="2B141C1D"/>
    <w:rsid w:val="2B14398C"/>
    <w:rsid w:val="2B150749"/>
    <w:rsid w:val="2B1716CE"/>
    <w:rsid w:val="2B1971F4"/>
    <w:rsid w:val="2B1A40C4"/>
    <w:rsid w:val="2B1C6CE5"/>
    <w:rsid w:val="2B220CBE"/>
    <w:rsid w:val="2B230073"/>
    <w:rsid w:val="2B231E21"/>
    <w:rsid w:val="2B2636BF"/>
    <w:rsid w:val="2B277B63"/>
    <w:rsid w:val="2B285689"/>
    <w:rsid w:val="2B287437"/>
    <w:rsid w:val="2B2F367F"/>
    <w:rsid w:val="2B312790"/>
    <w:rsid w:val="2B336ED3"/>
    <w:rsid w:val="2B361B54"/>
    <w:rsid w:val="2B365FF8"/>
    <w:rsid w:val="2B371B8A"/>
    <w:rsid w:val="2B3758CC"/>
    <w:rsid w:val="2B397896"/>
    <w:rsid w:val="2B3E2717"/>
    <w:rsid w:val="2B3E30FF"/>
    <w:rsid w:val="2B3E6C5B"/>
    <w:rsid w:val="2B4223AE"/>
    <w:rsid w:val="2B435F79"/>
    <w:rsid w:val="2B45448D"/>
    <w:rsid w:val="2B48662A"/>
    <w:rsid w:val="2B4A3BFD"/>
    <w:rsid w:val="2B4D2B65"/>
    <w:rsid w:val="2B4D3342"/>
    <w:rsid w:val="2B527B0D"/>
    <w:rsid w:val="2B570FA2"/>
    <w:rsid w:val="2B5F5278"/>
    <w:rsid w:val="2B604E23"/>
    <w:rsid w:val="2B634913"/>
    <w:rsid w:val="2B680B1C"/>
    <w:rsid w:val="2B6A3EF4"/>
    <w:rsid w:val="2B6E5792"/>
    <w:rsid w:val="2B715282"/>
    <w:rsid w:val="2B764612"/>
    <w:rsid w:val="2B766111"/>
    <w:rsid w:val="2B7F321F"/>
    <w:rsid w:val="2B8212EE"/>
    <w:rsid w:val="2B8A39A7"/>
    <w:rsid w:val="2B914308"/>
    <w:rsid w:val="2B935881"/>
    <w:rsid w:val="2B944ACD"/>
    <w:rsid w:val="2B960845"/>
    <w:rsid w:val="2B9B40AD"/>
    <w:rsid w:val="2B9D45A2"/>
    <w:rsid w:val="2BA415C7"/>
    <w:rsid w:val="2BA94A1C"/>
    <w:rsid w:val="2BAA609E"/>
    <w:rsid w:val="2BC41327"/>
    <w:rsid w:val="2BD04E7B"/>
    <w:rsid w:val="2BD10CEF"/>
    <w:rsid w:val="2BDA2E28"/>
    <w:rsid w:val="2BDE7D31"/>
    <w:rsid w:val="2BDF21EC"/>
    <w:rsid w:val="2BE617CC"/>
    <w:rsid w:val="2BE92029"/>
    <w:rsid w:val="2BED61CA"/>
    <w:rsid w:val="2BED68A1"/>
    <w:rsid w:val="2BEE01C4"/>
    <w:rsid w:val="2BEF61A7"/>
    <w:rsid w:val="2BF10171"/>
    <w:rsid w:val="2BF5596C"/>
    <w:rsid w:val="2BF6776E"/>
    <w:rsid w:val="2BF832AE"/>
    <w:rsid w:val="2BFD7DB0"/>
    <w:rsid w:val="2C006FE5"/>
    <w:rsid w:val="2C016606"/>
    <w:rsid w:val="2C05030B"/>
    <w:rsid w:val="2C072968"/>
    <w:rsid w:val="2C0833AD"/>
    <w:rsid w:val="2C097269"/>
    <w:rsid w:val="2C0E2AD1"/>
    <w:rsid w:val="2C1005F7"/>
    <w:rsid w:val="2C1520B2"/>
    <w:rsid w:val="2C175F25"/>
    <w:rsid w:val="2C183950"/>
    <w:rsid w:val="2C1856FE"/>
    <w:rsid w:val="2C1A3224"/>
    <w:rsid w:val="2C1A44DE"/>
    <w:rsid w:val="2C201710"/>
    <w:rsid w:val="2C2220D9"/>
    <w:rsid w:val="2C246F69"/>
    <w:rsid w:val="2C2C11A9"/>
    <w:rsid w:val="2C2E3173"/>
    <w:rsid w:val="2C3047F6"/>
    <w:rsid w:val="2C361D0A"/>
    <w:rsid w:val="2C3A5674"/>
    <w:rsid w:val="2C3F0EDD"/>
    <w:rsid w:val="2C45082A"/>
    <w:rsid w:val="2C4604BD"/>
    <w:rsid w:val="2C4C35F9"/>
    <w:rsid w:val="2C4D3455"/>
    <w:rsid w:val="2C4E1120"/>
    <w:rsid w:val="2C506C46"/>
    <w:rsid w:val="2C55425C"/>
    <w:rsid w:val="2C563D6E"/>
    <w:rsid w:val="2C5D1363"/>
    <w:rsid w:val="2C5F157F"/>
    <w:rsid w:val="2C5F332D"/>
    <w:rsid w:val="2C604FDA"/>
    <w:rsid w:val="2C620559"/>
    <w:rsid w:val="2C66290D"/>
    <w:rsid w:val="2C676BA5"/>
    <w:rsid w:val="2C694B99"/>
    <w:rsid w:val="2C6D5A4A"/>
    <w:rsid w:val="2C70392E"/>
    <w:rsid w:val="2C7072E8"/>
    <w:rsid w:val="2C7212B2"/>
    <w:rsid w:val="2C770676"/>
    <w:rsid w:val="2C7A1F15"/>
    <w:rsid w:val="2C7C3EDF"/>
    <w:rsid w:val="2C817547"/>
    <w:rsid w:val="2C825CBC"/>
    <w:rsid w:val="2C844B41"/>
    <w:rsid w:val="2C8C5A27"/>
    <w:rsid w:val="2C8E77D0"/>
    <w:rsid w:val="2C917190"/>
    <w:rsid w:val="2C9C04B7"/>
    <w:rsid w:val="2C9C632F"/>
    <w:rsid w:val="2C9E235D"/>
    <w:rsid w:val="2CA64AB8"/>
    <w:rsid w:val="2CAA51C0"/>
    <w:rsid w:val="2CAC2DE6"/>
    <w:rsid w:val="2CAC3FA5"/>
    <w:rsid w:val="2CB52F4D"/>
    <w:rsid w:val="2CB9353A"/>
    <w:rsid w:val="2CBA0563"/>
    <w:rsid w:val="2CBB2227"/>
    <w:rsid w:val="2CC3566A"/>
    <w:rsid w:val="2CC357A4"/>
    <w:rsid w:val="2CC4550A"/>
    <w:rsid w:val="2CC55886"/>
    <w:rsid w:val="2CC77EF2"/>
    <w:rsid w:val="2CCB451E"/>
    <w:rsid w:val="2CCD64E8"/>
    <w:rsid w:val="2CD30028"/>
    <w:rsid w:val="2CD63174"/>
    <w:rsid w:val="2CD755B9"/>
    <w:rsid w:val="2CD81CF1"/>
    <w:rsid w:val="2CD8653A"/>
    <w:rsid w:val="2CD930DF"/>
    <w:rsid w:val="2CDD4252"/>
    <w:rsid w:val="2CDD7ACF"/>
    <w:rsid w:val="2CE22C96"/>
    <w:rsid w:val="2CE45E72"/>
    <w:rsid w:val="2CE46028"/>
    <w:rsid w:val="2CE73C42"/>
    <w:rsid w:val="2CE90E48"/>
    <w:rsid w:val="2CEA709A"/>
    <w:rsid w:val="2CEB40BD"/>
    <w:rsid w:val="2CED6B8B"/>
    <w:rsid w:val="2CED7AEF"/>
    <w:rsid w:val="2CED7BB5"/>
    <w:rsid w:val="2CEF6F36"/>
    <w:rsid w:val="2CF55A3F"/>
    <w:rsid w:val="2CF9108B"/>
    <w:rsid w:val="2CFB12A7"/>
    <w:rsid w:val="2CFE2B46"/>
    <w:rsid w:val="2CFE66A2"/>
    <w:rsid w:val="2D030BFD"/>
    <w:rsid w:val="2D0363AE"/>
    <w:rsid w:val="2D04536F"/>
    <w:rsid w:val="2D053ED4"/>
    <w:rsid w:val="2D0619FA"/>
    <w:rsid w:val="2D082811"/>
    <w:rsid w:val="2D0A14EA"/>
    <w:rsid w:val="2D0A1C46"/>
    <w:rsid w:val="2D0E4090"/>
    <w:rsid w:val="2D104A12"/>
    <w:rsid w:val="2D144117"/>
    <w:rsid w:val="2D1934DC"/>
    <w:rsid w:val="2D19416B"/>
    <w:rsid w:val="2D1B36F8"/>
    <w:rsid w:val="2D1B5A67"/>
    <w:rsid w:val="2D2A56E9"/>
    <w:rsid w:val="2D2D2C93"/>
    <w:rsid w:val="2D2E4EB4"/>
    <w:rsid w:val="2D305785"/>
    <w:rsid w:val="2D340315"/>
    <w:rsid w:val="2D3445C5"/>
    <w:rsid w:val="2D382F2D"/>
    <w:rsid w:val="2D3C71CA"/>
    <w:rsid w:val="2D3E2F42"/>
    <w:rsid w:val="2D3E73E6"/>
    <w:rsid w:val="2D40315E"/>
    <w:rsid w:val="2D410C84"/>
    <w:rsid w:val="2D411947"/>
    <w:rsid w:val="2D447E18"/>
    <w:rsid w:val="2D485B6F"/>
    <w:rsid w:val="2D4A5D8B"/>
    <w:rsid w:val="2D4C1B03"/>
    <w:rsid w:val="2D4F514F"/>
    <w:rsid w:val="2D5217B5"/>
    <w:rsid w:val="2D5409B8"/>
    <w:rsid w:val="2D595FCE"/>
    <w:rsid w:val="2D5D21E8"/>
    <w:rsid w:val="2D5E1836"/>
    <w:rsid w:val="2D616C31"/>
    <w:rsid w:val="2D642680"/>
    <w:rsid w:val="2D672B94"/>
    <w:rsid w:val="2D6C1B7B"/>
    <w:rsid w:val="2D6D2063"/>
    <w:rsid w:val="2D6D7CCB"/>
    <w:rsid w:val="2D6E2ED1"/>
    <w:rsid w:val="2D70417B"/>
    <w:rsid w:val="2D7050C6"/>
    <w:rsid w:val="2D74105A"/>
    <w:rsid w:val="2D762580"/>
    <w:rsid w:val="2D79041E"/>
    <w:rsid w:val="2D821BBD"/>
    <w:rsid w:val="2D856DC3"/>
    <w:rsid w:val="2D8755B3"/>
    <w:rsid w:val="2D890CE7"/>
    <w:rsid w:val="2D940DB4"/>
    <w:rsid w:val="2D9942FF"/>
    <w:rsid w:val="2D9B0395"/>
    <w:rsid w:val="2D9B2143"/>
    <w:rsid w:val="2D9D49C2"/>
    <w:rsid w:val="2DA059AB"/>
    <w:rsid w:val="2DA271EB"/>
    <w:rsid w:val="2DA31DB4"/>
    <w:rsid w:val="2DA32FAF"/>
    <w:rsid w:val="2DAA05D8"/>
    <w:rsid w:val="2DAD1E76"/>
    <w:rsid w:val="2DAE7E81"/>
    <w:rsid w:val="2DB60E8F"/>
    <w:rsid w:val="2DB63420"/>
    <w:rsid w:val="2DB9081B"/>
    <w:rsid w:val="2DBA2E59"/>
    <w:rsid w:val="2DBA2F11"/>
    <w:rsid w:val="2DBB100E"/>
    <w:rsid w:val="2DC84F02"/>
    <w:rsid w:val="2DC86CB0"/>
    <w:rsid w:val="2DC96309"/>
    <w:rsid w:val="2DCC67A0"/>
    <w:rsid w:val="2DCD0C82"/>
    <w:rsid w:val="2DCE63C1"/>
    <w:rsid w:val="2DD271C5"/>
    <w:rsid w:val="2DD3645D"/>
    <w:rsid w:val="2DD500CF"/>
    <w:rsid w:val="2DD864BA"/>
    <w:rsid w:val="2DD90EBD"/>
    <w:rsid w:val="2DDA4C9A"/>
    <w:rsid w:val="2DDE453D"/>
    <w:rsid w:val="2DE33AEA"/>
    <w:rsid w:val="2DE97352"/>
    <w:rsid w:val="2DEA131C"/>
    <w:rsid w:val="2DEA4E78"/>
    <w:rsid w:val="2DED7CC9"/>
    <w:rsid w:val="2DF14458"/>
    <w:rsid w:val="2DF47AA5"/>
    <w:rsid w:val="2DF53F49"/>
    <w:rsid w:val="2DF61A6F"/>
    <w:rsid w:val="2DF9330D"/>
    <w:rsid w:val="2DFA54DE"/>
    <w:rsid w:val="2DFB0E33"/>
    <w:rsid w:val="2DFD143F"/>
    <w:rsid w:val="2E00416A"/>
    <w:rsid w:val="2E00469C"/>
    <w:rsid w:val="2E046E0C"/>
    <w:rsid w:val="2E0820E8"/>
    <w:rsid w:val="2E0A6052"/>
    <w:rsid w:val="2E136236"/>
    <w:rsid w:val="2E150147"/>
    <w:rsid w:val="2E16660C"/>
    <w:rsid w:val="2E166E98"/>
    <w:rsid w:val="2E19750B"/>
    <w:rsid w:val="2E1D237F"/>
    <w:rsid w:val="2E1E79C0"/>
    <w:rsid w:val="2E220AB6"/>
    <w:rsid w:val="2E254102"/>
    <w:rsid w:val="2E276698"/>
    <w:rsid w:val="2E277E7A"/>
    <w:rsid w:val="2E283EF2"/>
    <w:rsid w:val="2E2A302D"/>
    <w:rsid w:val="2E333410"/>
    <w:rsid w:val="2E3507E9"/>
    <w:rsid w:val="2E3600BD"/>
    <w:rsid w:val="2E385BE3"/>
    <w:rsid w:val="2E39577C"/>
    <w:rsid w:val="2E3A0D95"/>
    <w:rsid w:val="2E4270DC"/>
    <w:rsid w:val="2E450300"/>
    <w:rsid w:val="2E467F1A"/>
    <w:rsid w:val="2E4C5B33"/>
    <w:rsid w:val="2E4D0D09"/>
    <w:rsid w:val="2E4D203A"/>
    <w:rsid w:val="2E4E18AB"/>
    <w:rsid w:val="2E505623"/>
    <w:rsid w:val="2E5549E7"/>
    <w:rsid w:val="2E5B7B24"/>
    <w:rsid w:val="2E5D3215"/>
    <w:rsid w:val="2E6510BB"/>
    <w:rsid w:val="2E7066E7"/>
    <w:rsid w:val="2E7110F5"/>
    <w:rsid w:val="2E725599"/>
    <w:rsid w:val="2E744724"/>
    <w:rsid w:val="2E7A61FC"/>
    <w:rsid w:val="2E7B0EC8"/>
    <w:rsid w:val="2E7B3D22"/>
    <w:rsid w:val="2E7C2141"/>
    <w:rsid w:val="2E7C28D5"/>
    <w:rsid w:val="2E7C66DE"/>
    <w:rsid w:val="2E7D7A9A"/>
    <w:rsid w:val="2E81758A"/>
    <w:rsid w:val="2E8B0409"/>
    <w:rsid w:val="2E8B21B7"/>
    <w:rsid w:val="2E8C7BEE"/>
    <w:rsid w:val="2E8E0627"/>
    <w:rsid w:val="2E8E1840"/>
    <w:rsid w:val="2E954DE4"/>
    <w:rsid w:val="2EA046D5"/>
    <w:rsid w:val="2EA76FFF"/>
    <w:rsid w:val="2EA9088F"/>
    <w:rsid w:val="2EB23BE8"/>
    <w:rsid w:val="2EB84F76"/>
    <w:rsid w:val="2EBA6F40"/>
    <w:rsid w:val="2EBE07DF"/>
    <w:rsid w:val="2EC27BA3"/>
    <w:rsid w:val="2EC51F66"/>
    <w:rsid w:val="2EC851B9"/>
    <w:rsid w:val="2EC97183"/>
    <w:rsid w:val="2ED1017B"/>
    <w:rsid w:val="2ED34D81"/>
    <w:rsid w:val="2ED3590C"/>
    <w:rsid w:val="2ED7364E"/>
    <w:rsid w:val="2EE23DA1"/>
    <w:rsid w:val="2EE61AE3"/>
    <w:rsid w:val="2EE8585B"/>
    <w:rsid w:val="2EE95AD8"/>
    <w:rsid w:val="2EE96D84"/>
    <w:rsid w:val="2EEC76EC"/>
    <w:rsid w:val="2EF44200"/>
    <w:rsid w:val="2EF75A9F"/>
    <w:rsid w:val="2F01691D"/>
    <w:rsid w:val="2F0B32F8"/>
    <w:rsid w:val="2F0F3D19"/>
    <w:rsid w:val="2F1523C9"/>
    <w:rsid w:val="2F1C3757"/>
    <w:rsid w:val="2F1E10E7"/>
    <w:rsid w:val="2F204FF5"/>
    <w:rsid w:val="2F222494"/>
    <w:rsid w:val="2F237C87"/>
    <w:rsid w:val="2F2A5E74"/>
    <w:rsid w:val="2F2B5748"/>
    <w:rsid w:val="2F2D14C0"/>
    <w:rsid w:val="2F2F5238"/>
    <w:rsid w:val="2F320885"/>
    <w:rsid w:val="2F353376"/>
    <w:rsid w:val="2F3668F4"/>
    <w:rsid w:val="2F370591"/>
    <w:rsid w:val="2F3960B7"/>
    <w:rsid w:val="2F3A4412"/>
    <w:rsid w:val="2F3F11F4"/>
    <w:rsid w:val="2F3F442B"/>
    <w:rsid w:val="2F3F5601"/>
    <w:rsid w:val="2F3F76F3"/>
    <w:rsid w:val="2F417DB9"/>
    <w:rsid w:val="2F43624E"/>
    <w:rsid w:val="2F4B5DEA"/>
    <w:rsid w:val="2F4C1EBE"/>
    <w:rsid w:val="2F4F1F81"/>
    <w:rsid w:val="2F572D0F"/>
    <w:rsid w:val="2F5922B5"/>
    <w:rsid w:val="2F5C1DA5"/>
    <w:rsid w:val="2F603644"/>
    <w:rsid w:val="2F642B9D"/>
    <w:rsid w:val="2F6C023B"/>
    <w:rsid w:val="2F6E21FC"/>
    <w:rsid w:val="2F715851"/>
    <w:rsid w:val="2F735481"/>
    <w:rsid w:val="2F7C5FA4"/>
    <w:rsid w:val="2F803CE6"/>
    <w:rsid w:val="2F807842"/>
    <w:rsid w:val="2F844B71"/>
    <w:rsid w:val="2F880DEC"/>
    <w:rsid w:val="2F8A06C1"/>
    <w:rsid w:val="2F8A35B4"/>
    <w:rsid w:val="2F92147C"/>
    <w:rsid w:val="2F9939F3"/>
    <w:rsid w:val="2FAB079C"/>
    <w:rsid w:val="2FAC6889"/>
    <w:rsid w:val="2FAF6379"/>
    <w:rsid w:val="2FBC0CA1"/>
    <w:rsid w:val="2FBC1B76"/>
    <w:rsid w:val="2FBC2096"/>
    <w:rsid w:val="2FBC2844"/>
    <w:rsid w:val="2FBE1AFD"/>
    <w:rsid w:val="2FC11C09"/>
    <w:rsid w:val="2FC17E5A"/>
    <w:rsid w:val="2FC46791"/>
    <w:rsid w:val="2FCC0CD9"/>
    <w:rsid w:val="2FCD1C26"/>
    <w:rsid w:val="2FCE2661"/>
    <w:rsid w:val="2FCF3657"/>
    <w:rsid w:val="2FDA518C"/>
    <w:rsid w:val="2FDE3D41"/>
    <w:rsid w:val="2FF56B39"/>
    <w:rsid w:val="2FF95846"/>
    <w:rsid w:val="2FFD5337"/>
    <w:rsid w:val="2FFF10AF"/>
    <w:rsid w:val="300246FB"/>
    <w:rsid w:val="30047496"/>
    <w:rsid w:val="300C557A"/>
    <w:rsid w:val="30110DE2"/>
    <w:rsid w:val="30112B90"/>
    <w:rsid w:val="30130D15"/>
    <w:rsid w:val="301461DC"/>
    <w:rsid w:val="30182170"/>
    <w:rsid w:val="301C571D"/>
    <w:rsid w:val="301F52AD"/>
    <w:rsid w:val="301F6F24"/>
    <w:rsid w:val="302E54F0"/>
    <w:rsid w:val="303045DB"/>
    <w:rsid w:val="303651EF"/>
    <w:rsid w:val="303B24C1"/>
    <w:rsid w:val="303F591A"/>
    <w:rsid w:val="30404026"/>
    <w:rsid w:val="30405223"/>
    <w:rsid w:val="30406FD1"/>
    <w:rsid w:val="30446AC1"/>
    <w:rsid w:val="30455DA2"/>
    <w:rsid w:val="304A60A2"/>
    <w:rsid w:val="304D122A"/>
    <w:rsid w:val="305807BF"/>
    <w:rsid w:val="305B205D"/>
    <w:rsid w:val="305B7A51"/>
    <w:rsid w:val="30677CC3"/>
    <w:rsid w:val="306A22A0"/>
    <w:rsid w:val="306D731C"/>
    <w:rsid w:val="30760C45"/>
    <w:rsid w:val="307A0735"/>
    <w:rsid w:val="307A5FA5"/>
    <w:rsid w:val="307B44AD"/>
    <w:rsid w:val="307D0225"/>
    <w:rsid w:val="30801AC4"/>
    <w:rsid w:val="30837A14"/>
    <w:rsid w:val="308710A4"/>
    <w:rsid w:val="3087275D"/>
    <w:rsid w:val="308A7FEF"/>
    <w:rsid w:val="3091214E"/>
    <w:rsid w:val="309317F7"/>
    <w:rsid w:val="309537C1"/>
    <w:rsid w:val="30980BBB"/>
    <w:rsid w:val="309A4933"/>
    <w:rsid w:val="309D08C8"/>
    <w:rsid w:val="30A21A3A"/>
    <w:rsid w:val="30A43A04"/>
    <w:rsid w:val="30A6152A"/>
    <w:rsid w:val="30AB4D93"/>
    <w:rsid w:val="30AE03DF"/>
    <w:rsid w:val="30B115B8"/>
    <w:rsid w:val="30B47F62"/>
    <w:rsid w:val="30B80CAC"/>
    <w:rsid w:val="30BC0D4E"/>
    <w:rsid w:val="30C329C2"/>
    <w:rsid w:val="30C35DBF"/>
    <w:rsid w:val="30C96FC7"/>
    <w:rsid w:val="30CB71E3"/>
    <w:rsid w:val="30D00C23"/>
    <w:rsid w:val="30D065A7"/>
    <w:rsid w:val="30D37E45"/>
    <w:rsid w:val="30D616E4"/>
    <w:rsid w:val="30DD6F16"/>
    <w:rsid w:val="30E16343"/>
    <w:rsid w:val="30E6401D"/>
    <w:rsid w:val="30E87D95"/>
    <w:rsid w:val="30EB1633"/>
    <w:rsid w:val="30ED7159"/>
    <w:rsid w:val="30EE4963"/>
    <w:rsid w:val="30F07F5D"/>
    <w:rsid w:val="30F134CA"/>
    <w:rsid w:val="30F304E8"/>
    <w:rsid w:val="30F367C3"/>
    <w:rsid w:val="30F524B2"/>
    <w:rsid w:val="30FD3EF5"/>
    <w:rsid w:val="30FE2DDD"/>
    <w:rsid w:val="310149A7"/>
    <w:rsid w:val="3106646D"/>
    <w:rsid w:val="31091BCD"/>
    <w:rsid w:val="310B3146"/>
    <w:rsid w:val="310F3573"/>
    <w:rsid w:val="31124E12"/>
    <w:rsid w:val="31191C5C"/>
    <w:rsid w:val="31283842"/>
    <w:rsid w:val="312863E3"/>
    <w:rsid w:val="312E1BDA"/>
    <w:rsid w:val="313C3C3D"/>
    <w:rsid w:val="313E79B5"/>
    <w:rsid w:val="313F09F9"/>
    <w:rsid w:val="313F2AD3"/>
    <w:rsid w:val="31434FCB"/>
    <w:rsid w:val="31466937"/>
    <w:rsid w:val="31486DB5"/>
    <w:rsid w:val="31490108"/>
    <w:rsid w:val="314D19A6"/>
    <w:rsid w:val="31501496"/>
    <w:rsid w:val="315C1126"/>
    <w:rsid w:val="315F792B"/>
    <w:rsid w:val="31603DCF"/>
    <w:rsid w:val="31634333"/>
    <w:rsid w:val="31657184"/>
    <w:rsid w:val="316771C6"/>
    <w:rsid w:val="317653A0"/>
    <w:rsid w:val="317A3A13"/>
    <w:rsid w:val="317B29B7"/>
    <w:rsid w:val="317E24A7"/>
    <w:rsid w:val="31807FCD"/>
    <w:rsid w:val="3184234B"/>
    <w:rsid w:val="318444C8"/>
    <w:rsid w:val="3187008D"/>
    <w:rsid w:val="318F3BDF"/>
    <w:rsid w:val="31997FAC"/>
    <w:rsid w:val="319C645D"/>
    <w:rsid w:val="319E422D"/>
    <w:rsid w:val="31A041CB"/>
    <w:rsid w:val="31A11CF2"/>
    <w:rsid w:val="31A32868"/>
    <w:rsid w:val="31A517E2"/>
    <w:rsid w:val="31A53A5B"/>
    <w:rsid w:val="31A812D2"/>
    <w:rsid w:val="31AA329C"/>
    <w:rsid w:val="31AA6DF8"/>
    <w:rsid w:val="31AD298A"/>
    <w:rsid w:val="31AD3B9E"/>
    <w:rsid w:val="31AF0B33"/>
    <w:rsid w:val="31AF1307"/>
    <w:rsid w:val="31B41A25"/>
    <w:rsid w:val="31BA1C29"/>
    <w:rsid w:val="31BA266A"/>
    <w:rsid w:val="31BB1031"/>
    <w:rsid w:val="31BB2DB3"/>
    <w:rsid w:val="31C14142"/>
    <w:rsid w:val="31C143D8"/>
    <w:rsid w:val="31C75B74"/>
    <w:rsid w:val="31C86712"/>
    <w:rsid w:val="31C87F18"/>
    <w:rsid w:val="31C902F1"/>
    <w:rsid w:val="31C94250"/>
    <w:rsid w:val="31CA60F3"/>
    <w:rsid w:val="31CB0666"/>
    <w:rsid w:val="31D1187C"/>
    <w:rsid w:val="31D65E3F"/>
    <w:rsid w:val="31D82DA0"/>
    <w:rsid w:val="31D85FEC"/>
    <w:rsid w:val="31D9148B"/>
    <w:rsid w:val="31D92BDB"/>
    <w:rsid w:val="31E2144B"/>
    <w:rsid w:val="31E51E01"/>
    <w:rsid w:val="31E57E30"/>
    <w:rsid w:val="31E970A4"/>
    <w:rsid w:val="31EA3699"/>
    <w:rsid w:val="31EA5447"/>
    <w:rsid w:val="31ED3189"/>
    <w:rsid w:val="31EE4B36"/>
    <w:rsid w:val="31F17011"/>
    <w:rsid w:val="31F6028F"/>
    <w:rsid w:val="31F8639A"/>
    <w:rsid w:val="31F87964"/>
    <w:rsid w:val="31F91B2E"/>
    <w:rsid w:val="31F938DC"/>
    <w:rsid w:val="31F97D80"/>
    <w:rsid w:val="31FA3731"/>
    <w:rsid w:val="31FD161E"/>
    <w:rsid w:val="32035AEE"/>
    <w:rsid w:val="3206472E"/>
    <w:rsid w:val="3207424B"/>
    <w:rsid w:val="32081D71"/>
    <w:rsid w:val="32130E41"/>
    <w:rsid w:val="32146967"/>
    <w:rsid w:val="3216448E"/>
    <w:rsid w:val="32180206"/>
    <w:rsid w:val="32181796"/>
    <w:rsid w:val="32186458"/>
    <w:rsid w:val="32193F7E"/>
    <w:rsid w:val="321B2412"/>
    <w:rsid w:val="32207918"/>
    <w:rsid w:val="322748ED"/>
    <w:rsid w:val="322A67FD"/>
    <w:rsid w:val="322A7FAB"/>
    <w:rsid w:val="322C369A"/>
    <w:rsid w:val="322F3E24"/>
    <w:rsid w:val="3230372C"/>
    <w:rsid w:val="323A04B7"/>
    <w:rsid w:val="323B36A0"/>
    <w:rsid w:val="323B3EF4"/>
    <w:rsid w:val="323C53BB"/>
    <w:rsid w:val="323F5BF0"/>
    <w:rsid w:val="32427031"/>
    <w:rsid w:val="32517EDF"/>
    <w:rsid w:val="325468B5"/>
    <w:rsid w:val="32546D64"/>
    <w:rsid w:val="32562ADC"/>
    <w:rsid w:val="32574CED"/>
    <w:rsid w:val="32593FDB"/>
    <w:rsid w:val="325C6899"/>
    <w:rsid w:val="3260395B"/>
    <w:rsid w:val="32617BCD"/>
    <w:rsid w:val="3264344B"/>
    <w:rsid w:val="326F1DF0"/>
    <w:rsid w:val="32757321"/>
    <w:rsid w:val="3276317E"/>
    <w:rsid w:val="32780CA4"/>
    <w:rsid w:val="32821B23"/>
    <w:rsid w:val="32870EE7"/>
    <w:rsid w:val="328716F8"/>
    <w:rsid w:val="32891103"/>
    <w:rsid w:val="328B6118"/>
    <w:rsid w:val="3291620A"/>
    <w:rsid w:val="329448A6"/>
    <w:rsid w:val="32966D9A"/>
    <w:rsid w:val="32981347"/>
    <w:rsid w:val="32992A96"/>
    <w:rsid w:val="32997C61"/>
    <w:rsid w:val="329B4993"/>
    <w:rsid w:val="329D394F"/>
    <w:rsid w:val="329F4483"/>
    <w:rsid w:val="32A102BD"/>
    <w:rsid w:val="32A41A99"/>
    <w:rsid w:val="32A8039A"/>
    <w:rsid w:val="32B1215D"/>
    <w:rsid w:val="32B6615F"/>
    <w:rsid w:val="32B84DD7"/>
    <w:rsid w:val="32BA306B"/>
    <w:rsid w:val="32BF6AD3"/>
    <w:rsid w:val="32C03D43"/>
    <w:rsid w:val="32C33F44"/>
    <w:rsid w:val="32C84DCE"/>
    <w:rsid w:val="32C97752"/>
    <w:rsid w:val="32CB34CA"/>
    <w:rsid w:val="32CE7302"/>
    <w:rsid w:val="32D14858"/>
    <w:rsid w:val="32D56359"/>
    <w:rsid w:val="32DB3393"/>
    <w:rsid w:val="32DC48DF"/>
    <w:rsid w:val="32DE4626"/>
    <w:rsid w:val="32E91BA2"/>
    <w:rsid w:val="32E97DF4"/>
    <w:rsid w:val="32EA443C"/>
    <w:rsid w:val="32EB3324"/>
    <w:rsid w:val="32EB3845"/>
    <w:rsid w:val="32EB3B6C"/>
    <w:rsid w:val="32EC51EE"/>
    <w:rsid w:val="32EC5C70"/>
    <w:rsid w:val="32EC5E34"/>
    <w:rsid w:val="32EE0F67"/>
    <w:rsid w:val="32F55942"/>
    <w:rsid w:val="32FA53DD"/>
    <w:rsid w:val="32FC7B27"/>
    <w:rsid w:val="33022C64"/>
    <w:rsid w:val="33025375"/>
    <w:rsid w:val="33057FF1"/>
    <w:rsid w:val="330709B5"/>
    <w:rsid w:val="33092244"/>
    <w:rsid w:val="330B7B68"/>
    <w:rsid w:val="331358BF"/>
    <w:rsid w:val="33150BE9"/>
    <w:rsid w:val="33162E27"/>
    <w:rsid w:val="33163F6E"/>
    <w:rsid w:val="331F690B"/>
    <w:rsid w:val="3323670F"/>
    <w:rsid w:val="332D6DAC"/>
    <w:rsid w:val="332F677D"/>
    <w:rsid w:val="333164AF"/>
    <w:rsid w:val="333358E4"/>
    <w:rsid w:val="333429AC"/>
    <w:rsid w:val="33346D8D"/>
    <w:rsid w:val="33353039"/>
    <w:rsid w:val="333E1891"/>
    <w:rsid w:val="33467F45"/>
    <w:rsid w:val="33501C21"/>
    <w:rsid w:val="33574D5E"/>
    <w:rsid w:val="335A2AA0"/>
    <w:rsid w:val="335B756D"/>
    <w:rsid w:val="335C2F85"/>
    <w:rsid w:val="335F3C12"/>
    <w:rsid w:val="3364747B"/>
    <w:rsid w:val="33690A7D"/>
    <w:rsid w:val="336D4581"/>
    <w:rsid w:val="336D632F"/>
    <w:rsid w:val="336E3E55"/>
    <w:rsid w:val="33704071"/>
    <w:rsid w:val="33745910"/>
    <w:rsid w:val="337D24A6"/>
    <w:rsid w:val="337E6EFA"/>
    <w:rsid w:val="33802506"/>
    <w:rsid w:val="3386428F"/>
    <w:rsid w:val="33881735"/>
    <w:rsid w:val="338D1533"/>
    <w:rsid w:val="33906144"/>
    <w:rsid w:val="33925D96"/>
    <w:rsid w:val="339757C4"/>
    <w:rsid w:val="339A4C4A"/>
    <w:rsid w:val="33A06705"/>
    <w:rsid w:val="33A960A0"/>
    <w:rsid w:val="33AB32FB"/>
    <w:rsid w:val="33AC25F0"/>
    <w:rsid w:val="33AE0262"/>
    <w:rsid w:val="33AF4B9A"/>
    <w:rsid w:val="33B731A1"/>
    <w:rsid w:val="33BA52ED"/>
    <w:rsid w:val="33BB353F"/>
    <w:rsid w:val="33BE302F"/>
    <w:rsid w:val="33C06DA7"/>
    <w:rsid w:val="33C323F3"/>
    <w:rsid w:val="33C63C91"/>
    <w:rsid w:val="33CA11F3"/>
    <w:rsid w:val="33CF62A2"/>
    <w:rsid w:val="33D57876"/>
    <w:rsid w:val="33D83EFD"/>
    <w:rsid w:val="33E227CC"/>
    <w:rsid w:val="33E54F7B"/>
    <w:rsid w:val="33E67CAE"/>
    <w:rsid w:val="33F407FF"/>
    <w:rsid w:val="33F52B8E"/>
    <w:rsid w:val="33F64577"/>
    <w:rsid w:val="33F7209D"/>
    <w:rsid w:val="33F82B82"/>
    <w:rsid w:val="34007CA1"/>
    <w:rsid w:val="340253AB"/>
    <w:rsid w:val="34032CB9"/>
    <w:rsid w:val="34061838"/>
    <w:rsid w:val="34062997"/>
    <w:rsid w:val="340B78F6"/>
    <w:rsid w:val="340C5B48"/>
    <w:rsid w:val="340D18C0"/>
    <w:rsid w:val="340D25AE"/>
    <w:rsid w:val="341B4A8C"/>
    <w:rsid w:val="342067E5"/>
    <w:rsid w:val="3422555A"/>
    <w:rsid w:val="34237336"/>
    <w:rsid w:val="34260A9A"/>
    <w:rsid w:val="34270BD4"/>
    <w:rsid w:val="342B5D7A"/>
    <w:rsid w:val="34321BC6"/>
    <w:rsid w:val="343C4033"/>
    <w:rsid w:val="343D57A7"/>
    <w:rsid w:val="343E0F12"/>
    <w:rsid w:val="34401C96"/>
    <w:rsid w:val="344F4CB9"/>
    <w:rsid w:val="3458408E"/>
    <w:rsid w:val="346040E6"/>
    <w:rsid w:val="34637732"/>
    <w:rsid w:val="346A0AC1"/>
    <w:rsid w:val="34733E19"/>
    <w:rsid w:val="3474308C"/>
    <w:rsid w:val="34822CFB"/>
    <w:rsid w:val="348A2F11"/>
    <w:rsid w:val="348C0915"/>
    <w:rsid w:val="348F0527"/>
    <w:rsid w:val="3491429F"/>
    <w:rsid w:val="34915851"/>
    <w:rsid w:val="34916A44"/>
    <w:rsid w:val="34936269"/>
    <w:rsid w:val="34952B9F"/>
    <w:rsid w:val="34977F25"/>
    <w:rsid w:val="34983880"/>
    <w:rsid w:val="349B511E"/>
    <w:rsid w:val="349F4C0E"/>
    <w:rsid w:val="349F69BC"/>
    <w:rsid w:val="34A57D4B"/>
    <w:rsid w:val="34A75871"/>
    <w:rsid w:val="34AE2A9C"/>
    <w:rsid w:val="34AF2977"/>
    <w:rsid w:val="34B432CE"/>
    <w:rsid w:val="34BA1A48"/>
    <w:rsid w:val="34BA7DF3"/>
    <w:rsid w:val="34BC33E9"/>
    <w:rsid w:val="34BD5094"/>
    <w:rsid w:val="34C74165"/>
    <w:rsid w:val="34C91C8B"/>
    <w:rsid w:val="34C957E7"/>
    <w:rsid w:val="34CB7535"/>
    <w:rsid w:val="34CD641D"/>
    <w:rsid w:val="34D04DC8"/>
    <w:rsid w:val="34D36666"/>
    <w:rsid w:val="34DB0F65"/>
    <w:rsid w:val="34DB376C"/>
    <w:rsid w:val="34DC4B46"/>
    <w:rsid w:val="34E20222"/>
    <w:rsid w:val="34E46AC5"/>
    <w:rsid w:val="34EB5A9A"/>
    <w:rsid w:val="34EC07B5"/>
    <w:rsid w:val="34F012EF"/>
    <w:rsid w:val="34F07F77"/>
    <w:rsid w:val="34F673A3"/>
    <w:rsid w:val="35042CC3"/>
    <w:rsid w:val="35044A71"/>
    <w:rsid w:val="35060026"/>
    <w:rsid w:val="350727B3"/>
    <w:rsid w:val="35073504"/>
    <w:rsid w:val="350D1A55"/>
    <w:rsid w:val="35123FE1"/>
    <w:rsid w:val="35154ED0"/>
    <w:rsid w:val="35170C48"/>
    <w:rsid w:val="351729F7"/>
    <w:rsid w:val="352073D1"/>
    <w:rsid w:val="35266C07"/>
    <w:rsid w:val="35290678"/>
    <w:rsid w:val="3529633C"/>
    <w:rsid w:val="35301D0A"/>
    <w:rsid w:val="35310049"/>
    <w:rsid w:val="35352E7D"/>
    <w:rsid w:val="3538385A"/>
    <w:rsid w:val="3538471B"/>
    <w:rsid w:val="353A56DB"/>
    <w:rsid w:val="35417A73"/>
    <w:rsid w:val="35424C9F"/>
    <w:rsid w:val="3543355E"/>
    <w:rsid w:val="35472BB0"/>
    <w:rsid w:val="35496928"/>
    <w:rsid w:val="354D5A45"/>
    <w:rsid w:val="355557CB"/>
    <w:rsid w:val="355C183C"/>
    <w:rsid w:val="355E6877"/>
    <w:rsid w:val="356035C6"/>
    <w:rsid w:val="35617DBE"/>
    <w:rsid w:val="35633E8E"/>
    <w:rsid w:val="356674DA"/>
    <w:rsid w:val="35676BCD"/>
    <w:rsid w:val="356A2DE7"/>
    <w:rsid w:val="356D6ABA"/>
    <w:rsid w:val="356E45E1"/>
    <w:rsid w:val="356E64B4"/>
    <w:rsid w:val="35717D1D"/>
    <w:rsid w:val="3574290A"/>
    <w:rsid w:val="3575771D"/>
    <w:rsid w:val="357B225F"/>
    <w:rsid w:val="35812566"/>
    <w:rsid w:val="358160C2"/>
    <w:rsid w:val="35845BB2"/>
    <w:rsid w:val="35867B7C"/>
    <w:rsid w:val="35885AF5"/>
    <w:rsid w:val="358874BC"/>
    <w:rsid w:val="358D4A67"/>
    <w:rsid w:val="359330B7"/>
    <w:rsid w:val="35986C99"/>
    <w:rsid w:val="359B6AF0"/>
    <w:rsid w:val="359F29EC"/>
    <w:rsid w:val="35A26F02"/>
    <w:rsid w:val="35A41734"/>
    <w:rsid w:val="35A41DB0"/>
    <w:rsid w:val="35A42CAC"/>
    <w:rsid w:val="35A81066"/>
    <w:rsid w:val="35AA386B"/>
    <w:rsid w:val="35AF0E81"/>
    <w:rsid w:val="35AF70D3"/>
    <w:rsid w:val="35B16640"/>
    <w:rsid w:val="35B53FBD"/>
    <w:rsid w:val="35B71AE4"/>
    <w:rsid w:val="35B775F6"/>
    <w:rsid w:val="35C13564"/>
    <w:rsid w:val="35C44201"/>
    <w:rsid w:val="35C83575"/>
    <w:rsid w:val="35C83CF1"/>
    <w:rsid w:val="35CA5CBB"/>
    <w:rsid w:val="35CF32D1"/>
    <w:rsid w:val="35D00DF7"/>
    <w:rsid w:val="35D02BA5"/>
    <w:rsid w:val="35D05C27"/>
    <w:rsid w:val="35D46B3A"/>
    <w:rsid w:val="35D54660"/>
    <w:rsid w:val="35DA5322"/>
    <w:rsid w:val="35E612D0"/>
    <w:rsid w:val="35E83ED1"/>
    <w:rsid w:val="35E87EEF"/>
    <w:rsid w:val="35EB79DF"/>
    <w:rsid w:val="35EF0DFB"/>
    <w:rsid w:val="35EF4C65"/>
    <w:rsid w:val="35F26FC0"/>
    <w:rsid w:val="35F920FC"/>
    <w:rsid w:val="35FC0DE6"/>
    <w:rsid w:val="35FE6F21"/>
    <w:rsid w:val="3601727A"/>
    <w:rsid w:val="36034F57"/>
    <w:rsid w:val="36047377"/>
    <w:rsid w:val="360C18B4"/>
    <w:rsid w:val="360F1920"/>
    <w:rsid w:val="36107446"/>
    <w:rsid w:val="36187EB7"/>
    <w:rsid w:val="361909F0"/>
    <w:rsid w:val="361B6516"/>
    <w:rsid w:val="36237179"/>
    <w:rsid w:val="36257395"/>
    <w:rsid w:val="36274EBB"/>
    <w:rsid w:val="36286772"/>
    <w:rsid w:val="362B222E"/>
    <w:rsid w:val="362E3F37"/>
    <w:rsid w:val="362E54AE"/>
    <w:rsid w:val="36315B6F"/>
    <w:rsid w:val="36315D3A"/>
    <w:rsid w:val="3638291B"/>
    <w:rsid w:val="363B7262"/>
    <w:rsid w:val="363C41B4"/>
    <w:rsid w:val="36400067"/>
    <w:rsid w:val="364315C9"/>
    <w:rsid w:val="364C10C0"/>
    <w:rsid w:val="364C66D0"/>
    <w:rsid w:val="364E0879"/>
    <w:rsid w:val="364F57B2"/>
    <w:rsid w:val="36545584"/>
    <w:rsid w:val="365657A0"/>
    <w:rsid w:val="365732C7"/>
    <w:rsid w:val="365B5DC1"/>
    <w:rsid w:val="365B6913"/>
    <w:rsid w:val="365E28A7"/>
    <w:rsid w:val="365E4655"/>
    <w:rsid w:val="365F74DC"/>
    <w:rsid w:val="3660217B"/>
    <w:rsid w:val="366854D4"/>
    <w:rsid w:val="36730100"/>
    <w:rsid w:val="36770937"/>
    <w:rsid w:val="36781CEB"/>
    <w:rsid w:val="367A1A87"/>
    <w:rsid w:val="367B6FB5"/>
    <w:rsid w:val="367D350B"/>
    <w:rsid w:val="367D7C87"/>
    <w:rsid w:val="36835E6A"/>
    <w:rsid w:val="3684230E"/>
    <w:rsid w:val="36897924"/>
    <w:rsid w:val="368C11C2"/>
    <w:rsid w:val="368E7383"/>
    <w:rsid w:val="36997771"/>
    <w:rsid w:val="369B1405"/>
    <w:rsid w:val="369C25A1"/>
    <w:rsid w:val="369D24B9"/>
    <w:rsid w:val="369D6F2B"/>
    <w:rsid w:val="369E0892"/>
    <w:rsid w:val="36BA2093"/>
    <w:rsid w:val="36BD312A"/>
    <w:rsid w:val="36C24BE4"/>
    <w:rsid w:val="36C56482"/>
    <w:rsid w:val="36C721FA"/>
    <w:rsid w:val="36C93E4F"/>
    <w:rsid w:val="36C94D6E"/>
    <w:rsid w:val="36C95F72"/>
    <w:rsid w:val="36D0282A"/>
    <w:rsid w:val="36D77E68"/>
    <w:rsid w:val="36D87F64"/>
    <w:rsid w:val="36E0506A"/>
    <w:rsid w:val="36E46467"/>
    <w:rsid w:val="36E46988"/>
    <w:rsid w:val="36E80F78"/>
    <w:rsid w:val="36EC7002"/>
    <w:rsid w:val="36EF34FF"/>
    <w:rsid w:val="36F30A8E"/>
    <w:rsid w:val="36F54FB9"/>
    <w:rsid w:val="36F6034A"/>
    <w:rsid w:val="36F62AE0"/>
    <w:rsid w:val="36F6488E"/>
    <w:rsid w:val="36FA71C5"/>
    <w:rsid w:val="3701326B"/>
    <w:rsid w:val="370451FC"/>
    <w:rsid w:val="37074CED"/>
    <w:rsid w:val="370B658B"/>
    <w:rsid w:val="370C2303"/>
    <w:rsid w:val="371056DD"/>
    <w:rsid w:val="37113475"/>
    <w:rsid w:val="37117919"/>
    <w:rsid w:val="3715740A"/>
    <w:rsid w:val="37172212"/>
    <w:rsid w:val="37176879"/>
    <w:rsid w:val="37187DD0"/>
    <w:rsid w:val="371D15F5"/>
    <w:rsid w:val="371E7D05"/>
    <w:rsid w:val="371F3DE4"/>
    <w:rsid w:val="37225683"/>
    <w:rsid w:val="37246D81"/>
    <w:rsid w:val="37272C99"/>
    <w:rsid w:val="372938E0"/>
    <w:rsid w:val="372D1FC1"/>
    <w:rsid w:val="373041C3"/>
    <w:rsid w:val="373158C6"/>
    <w:rsid w:val="37335AE2"/>
    <w:rsid w:val="37353608"/>
    <w:rsid w:val="373873CF"/>
    <w:rsid w:val="37397F6D"/>
    <w:rsid w:val="373B1322"/>
    <w:rsid w:val="373B6744"/>
    <w:rsid w:val="373C383C"/>
    <w:rsid w:val="373E35FE"/>
    <w:rsid w:val="37405B09"/>
    <w:rsid w:val="374324BD"/>
    <w:rsid w:val="374730CF"/>
    <w:rsid w:val="3751603C"/>
    <w:rsid w:val="375310BE"/>
    <w:rsid w:val="375810A4"/>
    <w:rsid w:val="375F0305"/>
    <w:rsid w:val="37643EED"/>
    <w:rsid w:val="37667C65"/>
    <w:rsid w:val="3769496C"/>
    <w:rsid w:val="376B3E33"/>
    <w:rsid w:val="376E08C8"/>
    <w:rsid w:val="376E7C50"/>
    <w:rsid w:val="37751C56"/>
    <w:rsid w:val="377A0694"/>
    <w:rsid w:val="377C2FB4"/>
    <w:rsid w:val="377D1FF4"/>
    <w:rsid w:val="377D6D5D"/>
    <w:rsid w:val="37826121"/>
    <w:rsid w:val="3787198A"/>
    <w:rsid w:val="379326B9"/>
    <w:rsid w:val="37A12A4B"/>
    <w:rsid w:val="37A227D6"/>
    <w:rsid w:val="37A317F0"/>
    <w:rsid w:val="37A367C3"/>
    <w:rsid w:val="37AD49B3"/>
    <w:rsid w:val="37B2058C"/>
    <w:rsid w:val="37B409D1"/>
    <w:rsid w:val="37B54749"/>
    <w:rsid w:val="37B81B43"/>
    <w:rsid w:val="37BC7885"/>
    <w:rsid w:val="37C354C8"/>
    <w:rsid w:val="37C624B2"/>
    <w:rsid w:val="37CF2144"/>
    <w:rsid w:val="37D3701C"/>
    <w:rsid w:val="37D62C7B"/>
    <w:rsid w:val="37D67F12"/>
    <w:rsid w:val="37D746BF"/>
    <w:rsid w:val="37DC7F27"/>
    <w:rsid w:val="37DD15AA"/>
    <w:rsid w:val="37E868CC"/>
    <w:rsid w:val="37EB1F18"/>
    <w:rsid w:val="37EC5DE5"/>
    <w:rsid w:val="37F47526"/>
    <w:rsid w:val="37F952C8"/>
    <w:rsid w:val="37FA18DB"/>
    <w:rsid w:val="3805122C"/>
    <w:rsid w:val="380A1955"/>
    <w:rsid w:val="3811655F"/>
    <w:rsid w:val="38141050"/>
    <w:rsid w:val="381725CA"/>
    <w:rsid w:val="381E409C"/>
    <w:rsid w:val="382F44FB"/>
    <w:rsid w:val="382F62A9"/>
    <w:rsid w:val="38301C48"/>
    <w:rsid w:val="38327B47"/>
    <w:rsid w:val="383334E4"/>
    <w:rsid w:val="38341B11"/>
    <w:rsid w:val="38353B9E"/>
    <w:rsid w:val="38367638"/>
    <w:rsid w:val="38384085"/>
    <w:rsid w:val="383A3E47"/>
    <w:rsid w:val="383A69FC"/>
    <w:rsid w:val="384004B6"/>
    <w:rsid w:val="38417D8A"/>
    <w:rsid w:val="38455ACD"/>
    <w:rsid w:val="384635F3"/>
    <w:rsid w:val="384A7527"/>
    <w:rsid w:val="384C2463"/>
    <w:rsid w:val="3850049E"/>
    <w:rsid w:val="38507FCD"/>
    <w:rsid w:val="3860148D"/>
    <w:rsid w:val="38704532"/>
    <w:rsid w:val="38743CBC"/>
    <w:rsid w:val="387B1555"/>
    <w:rsid w:val="387B3FB2"/>
    <w:rsid w:val="387E6AA8"/>
    <w:rsid w:val="3882287D"/>
    <w:rsid w:val="38832151"/>
    <w:rsid w:val="388A212E"/>
    <w:rsid w:val="388E2D3B"/>
    <w:rsid w:val="388F4F9A"/>
    <w:rsid w:val="38994363"/>
    <w:rsid w:val="38A92684"/>
    <w:rsid w:val="38AC78FA"/>
    <w:rsid w:val="38B00927"/>
    <w:rsid w:val="38B247E4"/>
    <w:rsid w:val="38B53DA1"/>
    <w:rsid w:val="38BC03FA"/>
    <w:rsid w:val="38BD38B5"/>
    <w:rsid w:val="38BD3983"/>
    <w:rsid w:val="38C028D3"/>
    <w:rsid w:val="38C05153"/>
    <w:rsid w:val="38C13367"/>
    <w:rsid w:val="38C34C43"/>
    <w:rsid w:val="38C61715"/>
    <w:rsid w:val="38C904AC"/>
    <w:rsid w:val="38CB36BA"/>
    <w:rsid w:val="38CC1E2F"/>
    <w:rsid w:val="38CF5396"/>
    <w:rsid w:val="38CF62F2"/>
    <w:rsid w:val="38D01F6D"/>
    <w:rsid w:val="38D17360"/>
    <w:rsid w:val="38D62E2B"/>
    <w:rsid w:val="38DD5D05"/>
    <w:rsid w:val="38E36F5A"/>
    <w:rsid w:val="38E47673"/>
    <w:rsid w:val="38E86458"/>
    <w:rsid w:val="38EE7F12"/>
    <w:rsid w:val="38F44DFD"/>
    <w:rsid w:val="38F75933"/>
    <w:rsid w:val="38F848ED"/>
    <w:rsid w:val="38F8669B"/>
    <w:rsid w:val="390C0398"/>
    <w:rsid w:val="391B4A01"/>
    <w:rsid w:val="391B4A7F"/>
    <w:rsid w:val="391F5588"/>
    <w:rsid w:val="39253208"/>
    <w:rsid w:val="392C0A3B"/>
    <w:rsid w:val="392C27E9"/>
    <w:rsid w:val="392E030F"/>
    <w:rsid w:val="39363667"/>
    <w:rsid w:val="39365415"/>
    <w:rsid w:val="393755D6"/>
    <w:rsid w:val="393D49F6"/>
    <w:rsid w:val="393D67A4"/>
    <w:rsid w:val="394538AA"/>
    <w:rsid w:val="3949339B"/>
    <w:rsid w:val="394A4DFF"/>
    <w:rsid w:val="395123E3"/>
    <w:rsid w:val="395125A7"/>
    <w:rsid w:val="39551D3F"/>
    <w:rsid w:val="3958538C"/>
    <w:rsid w:val="395C774A"/>
    <w:rsid w:val="395D0716"/>
    <w:rsid w:val="39605333"/>
    <w:rsid w:val="39691347"/>
    <w:rsid w:val="397228F1"/>
    <w:rsid w:val="39755F3E"/>
    <w:rsid w:val="39763A64"/>
    <w:rsid w:val="39795027"/>
    <w:rsid w:val="397D3044"/>
    <w:rsid w:val="39825B3D"/>
    <w:rsid w:val="39837B1F"/>
    <w:rsid w:val="39842625"/>
    <w:rsid w:val="3986014B"/>
    <w:rsid w:val="398E6FFF"/>
    <w:rsid w:val="39924D42"/>
    <w:rsid w:val="3992657B"/>
    <w:rsid w:val="39946E50"/>
    <w:rsid w:val="3995038E"/>
    <w:rsid w:val="39965FD1"/>
    <w:rsid w:val="39A601A4"/>
    <w:rsid w:val="39A93E39"/>
    <w:rsid w:val="39AC2DE9"/>
    <w:rsid w:val="39AE31FE"/>
    <w:rsid w:val="39B02BFA"/>
    <w:rsid w:val="39B0341A"/>
    <w:rsid w:val="39B30983"/>
    <w:rsid w:val="39B35FB4"/>
    <w:rsid w:val="39B72DD3"/>
    <w:rsid w:val="39B747A8"/>
    <w:rsid w:val="39B76556"/>
    <w:rsid w:val="39B822CE"/>
    <w:rsid w:val="39BF7436"/>
    <w:rsid w:val="39C66799"/>
    <w:rsid w:val="39C72023"/>
    <w:rsid w:val="39D030B9"/>
    <w:rsid w:val="39D72754"/>
    <w:rsid w:val="39DA6512"/>
    <w:rsid w:val="39DE1D35"/>
    <w:rsid w:val="39E6508D"/>
    <w:rsid w:val="39E713E1"/>
    <w:rsid w:val="39E80B55"/>
    <w:rsid w:val="39E94041"/>
    <w:rsid w:val="39EC63BE"/>
    <w:rsid w:val="39ED7FCB"/>
    <w:rsid w:val="39EE7A9E"/>
    <w:rsid w:val="39F06DAC"/>
    <w:rsid w:val="39F2758E"/>
    <w:rsid w:val="39F41558"/>
    <w:rsid w:val="39F63BBE"/>
    <w:rsid w:val="39F8091D"/>
    <w:rsid w:val="39F966B7"/>
    <w:rsid w:val="39FA2880"/>
    <w:rsid w:val="39FC7BE4"/>
    <w:rsid w:val="39FE4185"/>
    <w:rsid w:val="3A0349B2"/>
    <w:rsid w:val="3A0A0D7C"/>
    <w:rsid w:val="3A0E34E6"/>
    <w:rsid w:val="3A0E4E10"/>
    <w:rsid w:val="3A1514CF"/>
    <w:rsid w:val="3A1E0383"/>
    <w:rsid w:val="3A2837F6"/>
    <w:rsid w:val="3A2A4F7A"/>
    <w:rsid w:val="3A2D4A6A"/>
    <w:rsid w:val="3A3000B7"/>
    <w:rsid w:val="3A3050F0"/>
    <w:rsid w:val="3A3B7187"/>
    <w:rsid w:val="3A3E027C"/>
    <w:rsid w:val="3A421FB2"/>
    <w:rsid w:val="3A43603C"/>
    <w:rsid w:val="3A4A73CA"/>
    <w:rsid w:val="3A4D2A17"/>
    <w:rsid w:val="3A4D74C0"/>
    <w:rsid w:val="3A5124ED"/>
    <w:rsid w:val="3A5320BE"/>
    <w:rsid w:val="3A552892"/>
    <w:rsid w:val="3A563FC1"/>
    <w:rsid w:val="3A572F6B"/>
    <w:rsid w:val="3A655FB2"/>
    <w:rsid w:val="3A6A62B8"/>
    <w:rsid w:val="3A6C475E"/>
    <w:rsid w:val="3A6C5593"/>
    <w:rsid w:val="3A744447"/>
    <w:rsid w:val="3A7A47BA"/>
    <w:rsid w:val="3A7B3A28"/>
    <w:rsid w:val="3A7C5722"/>
    <w:rsid w:val="3A7D68D2"/>
    <w:rsid w:val="3A7D77A0"/>
    <w:rsid w:val="3A7F0825"/>
    <w:rsid w:val="3A856654"/>
    <w:rsid w:val="3A873428"/>
    <w:rsid w:val="3A88267B"/>
    <w:rsid w:val="3A886145"/>
    <w:rsid w:val="3A896366"/>
    <w:rsid w:val="3A8A5A19"/>
    <w:rsid w:val="3A95706C"/>
    <w:rsid w:val="3A96589A"/>
    <w:rsid w:val="3A970136"/>
    <w:rsid w:val="3AA27206"/>
    <w:rsid w:val="3AA328F4"/>
    <w:rsid w:val="3AA36ADA"/>
    <w:rsid w:val="3AA50AA5"/>
    <w:rsid w:val="3AA60379"/>
    <w:rsid w:val="3AA70E2C"/>
    <w:rsid w:val="3AA82343"/>
    <w:rsid w:val="3AA8505A"/>
    <w:rsid w:val="3AAC17D9"/>
    <w:rsid w:val="3AAD1707"/>
    <w:rsid w:val="3AAF36D1"/>
    <w:rsid w:val="3AB02FA5"/>
    <w:rsid w:val="3AB263DB"/>
    <w:rsid w:val="3AB42A96"/>
    <w:rsid w:val="3ABB218D"/>
    <w:rsid w:val="3ABE56C2"/>
    <w:rsid w:val="3AC16F61"/>
    <w:rsid w:val="3AC21656"/>
    <w:rsid w:val="3AC30F2B"/>
    <w:rsid w:val="3AC32CD9"/>
    <w:rsid w:val="3AC54CA3"/>
    <w:rsid w:val="3AC70A1B"/>
    <w:rsid w:val="3AC75726"/>
    <w:rsid w:val="3ACA22B9"/>
    <w:rsid w:val="3ACC1BCC"/>
    <w:rsid w:val="3ACF78CF"/>
    <w:rsid w:val="3AD24D52"/>
    <w:rsid w:val="3AD31696"/>
    <w:rsid w:val="3AD44EE6"/>
    <w:rsid w:val="3AD751D5"/>
    <w:rsid w:val="3AD9675A"/>
    <w:rsid w:val="3ADE3FB6"/>
    <w:rsid w:val="3AE13B36"/>
    <w:rsid w:val="3AEF1D20"/>
    <w:rsid w:val="3AEF47CB"/>
    <w:rsid w:val="3AF235BE"/>
    <w:rsid w:val="3AF630AE"/>
    <w:rsid w:val="3AF6772F"/>
    <w:rsid w:val="3AFA0DF0"/>
    <w:rsid w:val="3AFD44E9"/>
    <w:rsid w:val="3AFE1F63"/>
    <w:rsid w:val="3AFE4FBA"/>
    <w:rsid w:val="3B005CDB"/>
    <w:rsid w:val="3B037579"/>
    <w:rsid w:val="3B05373E"/>
    <w:rsid w:val="3B067584"/>
    <w:rsid w:val="3B0B75E8"/>
    <w:rsid w:val="3B0D3243"/>
    <w:rsid w:val="3B0F23C2"/>
    <w:rsid w:val="3B0F4170"/>
    <w:rsid w:val="3B133C60"/>
    <w:rsid w:val="3B1654FE"/>
    <w:rsid w:val="3B194FEF"/>
    <w:rsid w:val="3B1E778E"/>
    <w:rsid w:val="3B206767"/>
    <w:rsid w:val="3B2220F5"/>
    <w:rsid w:val="3B2466B4"/>
    <w:rsid w:val="3B253993"/>
    <w:rsid w:val="3B2733AE"/>
    <w:rsid w:val="3B295232"/>
    <w:rsid w:val="3B2D0190"/>
    <w:rsid w:val="3B2E2848"/>
    <w:rsid w:val="3B2F5CDC"/>
    <w:rsid w:val="3B3028C8"/>
    <w:rsid w:val="3B32066D"/>
    <w:rsid w:val="3B334302"/>
    <w:rsid w:val="3B3E6A81"/>
    <w:rsid w:val="3B4402BD"/>
    <w:rsid w:val="3B443E1A"/>
    <w:rsid w:val="3B451EB9"/>
    <w:rsid w:val="3B455DE4"/>
    <w:rsid w:val="3B4756B8"/>
    <w:rsid w:val="3B5129DA"/>
    <w:rsid w:val="3B516536"/>
    <w:rsid w:val="3B5322AF"/>
    <w:rsid w:val="3B5712BF"/>
    <w:rsid w:val="3B5953EB"/>
    <w:rsid w:val="3B5E2A01"/>
    <w:rsid w:val="3B5F40A8"/>
    <w:rsid w:val="3B5F6EA5"/>
    <w:rsid w:val="3B6224F2"/>
    <w:rsid w:val="3B633EE6"/>
    <w:rsid w:val="3B692505"/>
    <w:rsid w:val="3B6B3A9C"/>
    <w:rsid w:val="3B6C2647"/>
    <w:rsid w:val="3B81506E"/>
    <w:rsid w:val="3B8C756F"/>
    <w:rsid w:val="3B8E778B"/>
    <w:rsid w:val="3B9528C7"/>
    <w:rsid w:val="3B95737F"/>
    <w:rsid w:val="3B9A1C8B"/>
    <w:rsid w:val="3B9D279F"/>
    <w:rsid w:val="3B9D5AEF"/>
    <w:rsid w:val="3BA448B8"/>
    <w:rsid w:val="3BAB07ED"/>
    <w:rsid w:val="3BAC7DAB"/>
    <w:rsid w:val="3BAD49F3"/>
    <w:rsid w:val="3BB50788"/>
    <w:rsid w:val="3BBF4590"/>
    <w:rsid w:val="3BC92571"/>
    <w:rsid w:val="3BCB0097"/>
    <w:rsid w:val="3BCE402B"/>
    <w:rsid w:val="3BCE6DE3"/>
    <w:rsid w:val="3BD038FF"/>
    <w:rsid w:val="3BD14849"/>
    <w:rsid w:val="3BD2244B"/>
    <w:rsid w:val="3BD258C9"/>
    <w:rsid w:val="3BD50D31"/>
    <w:rsid w:val="3BD74C8E"/>
    <w:rsid w:val="3BD865E0"/>
    <w:rsid w:val="3BDC3DCD"/>
    <w:rsid w:val="3BE15B0C"/>
    <w:rsid w:val="3BE61128"/>
    <w:rsid w:val="3BE850ED"/>
    <w:rsid w:val="3BEC3B6B"/>
    <w:rsid w:val="3BF5780A"/>
    <w:rsid w:val="3BF910A8"/>
    <w:rsid w:val="3BFA097C"/>
    <w:rsid w:val="3BFC3740"/>
    <w:rsid w:val="3BFE66BE"/>
    <w:rsid w:val="3BFE6D33"/>
    <w:rsid w:val="3BFF5F92"/>
    <w:rsid w:val="3C0117E4"/>
    <w:rsid w:val="3C0D3EE7"/>
    <w:rsid w:val="3C0F78A5"/>
    <w:rsid w:val="3C1934F8"/>
    <w:rsid w:val="3C195A73"/>
    <w:rsid w:val="3C1E0B0E"/>
    <w:rsid w:val="3C1F2837"/>
    <w:rsid w:val="3C20271F"/>
    <w:rsid w:val="3C2105FF"/>
    <w:rsid w:val="3C2D0D52"/>
    <w:rsid w:val="3C2D2B00"/>
    <w:rsid w:val="3C2E0626"/>
    <w:rsid w:val="3C2E51A3"/>
    <w:rsid w:val="3C300842"/>
    <w:rsid w:val="3C325CDA"/>
    <w:rsid w:val="3C355684"/>
    <w:rsid w:val="3C395948"/>
    <w:rsid w:val="3C3F3CD9"/>
    <w:rsid w:val="3C4340D1"/>
    <w:rsid w:val="3C447E49"/>
    <w:rsid w:val="3C4D400B"/>
    <w:rsid w:val="3C4D4F50"/>
    <w:rsid w:val="3C5207B8"/>
    <w:rsid w:val="3C552056"/>
    <w:rsid w:val="3C591B47"/>
    <w:rsid w:val="3C594E5B"/>
    <w:rsid w:val="3C597D99"/>
    <w:rsid w:val="3C5D7B3F"/>
    <w:rsid w:val="3C5E53AF"/>
    <w:rsid w:val="3C5F1DD5"/>
    <w:rsid w:val="3C5F6A31"/>
    <w:rsid w:val="3C6312D9"/>
    <w:rsid w:val="3C6504EB"/>
    <w:rsid w:val="3C667DC0"/>
    <w:rsid w:val="3C6B3490"/>
    <w:rsid w:val="3C6D114E"/>
    <w:rsid w:val="3C720E5A"/>
    <w:rsid w:val="3C724B98"/>
    <w:rsid w:val="3C733D50"/>
    <w:rsid w:val="3C771698"/>
    <w:rsid w:val="3C7802BC"/>
    <w:rsid w:val="3C795D45"/>
    <w:rsid w:val="3C797AF3"/>
    <w:rsid w:val="3C7F0E81"/>
    <w:rsid w:val="3C833CE0"/>
    <w:rsid w:val="3C834E15"/>
    <w:rsid w:val="3C86394E"/>
    <w:rsid w:val="3C8D7A42"/>
    <w:rsid w:val="3C917532"/>
    <w:rsid w:val="3C936544"/>
    <w:rsid w:val="3C937406"/>
    <w:rsid w:val="3C9E2725"/>
    <w:rsid w:val="3CA1704A"/>
    <w:rsid w:val="3CA4693B"/>
    <w:rsid w:val="3CA54C39"/>
    <w:rsid w:val="3CA9590C"/>
    <w:rsid w:val="3CAF3A1F"/>
    <w:rsid w:val="3CAF5C0A"/>
    <w:rsid w:val="3CB036B4"/>
    <w:rsid w:val="3CBE5CDB"/>
    <w:rsid w:val="3CBF0F6A"/>
    <w:rsid w:val="3CBF5605"/>
    <w:rsid w:val="3CBF57BA"/>
    <w:rsid w:val="3CC040C5"/>
    <w:rsid w:val="3CC045B7"/>
    <w:rsid w:val="3CC44087"/>
    <w:rsid w:val="3CC52D38"/>
    <w:rsid w:val="3CC9795E"/>
    <w:rsid w:val="3CCF59FC"/>
    <w:rsid w:val="3CD218F9"/>
    <w:rsid w:val="3CD236A7"/>
    <w:rsid w:val="3CD92F92"/>
    <w:rsid w:val="3CDC4526"/>
    <w:rsid w:val="3CE06FFA"/>
    <w:rsid w:val="3CE27D8E"/>
    <w:rsid w:val="3CE75344"/>
    <w:rsid w:val="3CE86A81"/>
    <w:rsid w:val="3CEA279F"/>
    <w:rsid w:val="3CF17FD1"/>
    <w:rsid w:val="3CFB2BFE"/>
    <w:rsid w:val="3D052D63"/>
    <w:rsid w:val="3D080568"/>
    <w:rsid w:val="3D085E9A"/>
    <w:rsid w:val="3D0870C9"/>
    <w:rsid w:val="3D157871"/>
    <w:rsid w:val="3D1B6DFC"/>
    <w:rsid w:val="3D1C447A"/>
    <w:rsid w:val="3D1E069A"/>
    <w:rsid w:val="3D2263DC"/>
    <w:rsid w:val="3D25335F"/>
    <w:rsid w:val="3D255ECD"/>
    <w:rsid w:val="3D257C7B"/>
    <w:rsid w:val="3D2959BD"/>
    <w:rsid w:val="3D2A009E"/>
    <w:rsid w:val="3D2F0AF9"/>
    <w:rsid w:val="3D3103CE"/>
    <w:rsid w:val="3D332398"/>
    <w:rsid w:val="3D35635B"/>
    <w:rsid w:val="3D382461"/>
    <w:rsid w:val="3D3F6F8E"/>
    <w:rsid w:val="3D42082D"/>
    <w:rsid w:val="3D4313C4"/>
    <w:rsid w:val="3D484A54"/>
    <w:rsid w:val="3D4F6AA6"/>
    <w:rsid w:val="3D516E1C"/>
    <w:rsid w:val="3D536596"/>
    <w:rsid w:val="3D5567B2"/>
    <w:rsid w:val="3D5B18EE"/>
    <w:rsid w:val="3D5D11C3"/>
    <w:rsid w:val="3D5F4274"/>
    <w:rsid w:val="3D5F6C0A"/>
    <w:rsid w:val="3D605157"/>
    <w:rsid w:val="3D6469F5"/>
    <w:rsid w:val="3D670293"/>
    <w:rsid w:val="3D690C31"/>
    <w:rsid w:val="3D6A779E"/>
    <w:rsid w:val="3D6F6D62"/>
    <w:rsid w:val="3D74475E"/>
    <w:rsid w:val="3D7604D6"/>
    <w:rsid w:val="3D7804FA"/>
    <w:rsid w:val="3D7E1B4A"/>
    <w:rsid w:val="3D8175A7"/>
    <w:rsid w:val="3D8449A1"/>
    <w:rsid w:val="3D891FB8"/>
    <w:rsid w:val="3D8A3F82"/>
    <w:rsid w:val="3D8E5820"/>
    <w:rsid w:val="3D9E7915"/>
    <w:rsid w:val="3DA05553"/>
    <w:rsid w:val="3DA52B6A"/>
    <w:rsid w:val="3DA77592"/>
    <w:rsid w:val="3DAC214A"/>
    <w:rsid w:val="3DAE2C6C"/>
    <w:rsid w:val="3DB039E8"/>
    <w:rsid w:val="3DB7434A"/>
    <w:rsid w:val="3DB82EC7"/>
    <w:rsid w:val="3DBF59D9"/>
    <w:rsid w:val="3DC00139"/>
    <w:rsid w:val="3DC47569"/>
    <w:rsid w:val="3DC72AE0"/>
    <w:rsid w:val="3DCB25D0"/>
    <w:rsid w:val="3DD22E3D"/>
    <w:rsid w:val="3DD516A1"/>
    <w:rsid w:val="3DD82F3F"/>
    <w:rsid w:val="3DD97882"/>
    <w:rsid w:val="3DDA0A65"/>
    <w:rsid w:val="3DDF3C75"/>
    <w:rsid w:val="3DDF42CD"/>
    <w:rsid w:val="3DE141B8"/>
    <w:rsid w:val="3DE6740A"/>
    <w:rsid w:val="3DEE759F"/>
    <w:rsid w:val="3DF133CD"/>
    <w:rsid w:val="3DF6228E"/>
    <w:rsid w:val="3DFA4C63"/>
    <w:rsid w:val="3E027FBC"/>
    <w:rsid w:val="3E06185A"/>
    <w:rsid w:val="3E077380"/>
    <w:rsid w:val="3E0C3E0E"/>
    <w:rsid w:val="3E0D35E4"/>
    <w:rsid w:val="3E0D4FFF"/>
    <w:rsid w:val="3E0E070F"/>
    <w:rsid w:val="3E1877DF"/>
    <w:rsid w:val="3E2145BE"/>
    <w:rsid w:val="3E295549"/>
    <w:rsid w:val="3E2972F7"/>
    <w:rsid w:val="3E2C6DE7"/>
    <w:rsid w:val="3E3143FD"/>
    <w:rsid w:val="3E320C4C"/>
    <w:rsid w:val="3E3363C7"/>
    <w:rsid w:val="3E344619"/>
    <w:rsid w:val="3E391222"/>
    <w:rsid w:val="3E3916A1"/>
    <w:rsid w:val="3E3A59A8"/>
    <w:rsid w:val="3E3C17F0"/>
    <w:rsid w:val="3E4112E1"/>
    <w:rsid w:val="3E425114"/>
    <w:rsid w:val="3E432AAE"/>
    <w:rsid w:val="3E471BD9"/>
    <w:rsid w:val="3E4811F1"/>
    <w:rsid w:val="3E482D50"/>
    <w:rsid w:val="3E487C2B"/>
    <w:rsid w:val="3E4E3840"/>
    <w:rsid w:val="3E521070"/>
    <w:rsid w:val="3E5527E2"/>
    <w:rsid w:val="3E552D1B"/>
    <w:rsid w:val="3E5720B6"/>
    <w:rsid w:val="3E57527A"/>
    <w:rsid w:val="3E5844CD"/>
    <w:rsid w:val="3E5C591E"/>
    <w:rsid w:val="3E6017B4"/>
    <w:rsid w:val="3E611186"/>
    <w:rsid w:val="3E636CAD"/>
    <w:rsid w:val="3E6807DB"/>
    <w:rsid w:val="3E680921"/>
    <w:rsid w:val="3E6908B6"/>
    <w:rsid w:val="3E691DE9"/>
    <w:rsid w:val="3E693B97"/>
    <w:rsid w:val="3E6B790F"/>
    <w:rsid w:val="3E6D18D9"/>
    <w:rsid w:val="3E703177"/>
    <w:rsid w:val="3E732E2B"/>
    <w:rsid w:val="3E7341AD"/>
    <w:rsid w:val="3E83433A"/>
    <w:rsid w:val="3E834C59"/>
    <w:rsid w:val="3E8613EA"/>
    <w:rsid w:val="3E877DCB"/>
    <w:rsid w:val="3E8F04BB"/>
    <w:rsid w:val="3E9C21BE"/>
    <w:rsid w:val="3E9F082A"/>
    <w:rsid w:val="3E9F580B"/>
    <w:rsid w:val="3EA01CAF"/>
    <w:rsid w:val="3EA0270D"/>
    <w:rsid w:val="3EA3354D"/>
    <w:rsid w:val="3EAA48DB"/>
    <w:rsid w:val="3EAB526A"/>
    <w:rsid w:val="3EB94B1E"/>
    <w:rsid w:val="3EBD4FE1"/>
    <w:rsid w:val="3EBE490B"/>
    <w:rsid w:val="3EC66A11"/>
    <w:rsid w:val="3ECA1162"/>
    <w:rsid w:val="3ECC295E"/>
    <w:rsid w:val="3ED100BA"/>
    <w:rsid w:val="3ED161B3"/>
    <w:rsid w:val="3ED23E32"/>
    <w:rsid w:val="3ED25BE0"/>
    <w:rsid w:val="3ED50CA5"/>
    <w:rsid w:val="3ED61844"/>
    <w:rsid w:val="3ED94336"/>
    <w:rsid w:val="3ED96F6F"/>
    <w:rsid w:val="3EE23869"/>
    <w:rsid w:val="3EE97E24"/>
    <w:rsid w:val="3EEC54CF"/>
    <w:rsid w:val="3EEF6792"/>
    <w:rsid w:val="3EF142B8"/>
    <w:rsid w:val="3EF76727"/>
    <w:rsid w:val="3EF773F5"/>
    <w:rsid w:val="3EFA4424"/>
    <w:rsid w:val="3F0424DF"/>
    <w:rsid w:val="3F0538C0"/>
    <w:rsid w:val="3F0607D0"/>
    <w:rsid w:val="3F073ADC"/>
    <w:rsid w:val="3F081602"/>
    <w:rsid w:val="3F147FA7"/>
    <w:rsid w:val="3F1B7587"/>
    <w:rsid w:val="3F1E4982"/>
    <w:rsid w:val="3F214472"/>
    <w:rsid w:val="3F235CAB"/>
    <w:rsid w:val="3F2521B4"/>
    <w:rsid w:val="3F261961"/>
    <w:rsid w:val="3F277CDA"/>
    <w:rsid w:val="3F284110"/>
    <w:rsid w:val="3F2F6B8F"/>
    <w:rsid w:val="3F312907"/>
    <w:rsid w:val="3F3339B3"/>
    <w:rsid w:val="3F3348D1"/>
    <w:rsid w:val="3F3A21A7"/>
    <w:rsid w:val="3F4023D9"/>
    <w:rsid w:val="3F423F29"/>
    <w:rsid w:val="3F43263A"/>
    <w:rsid w:val="3F5274EE"/>
    <w:rsid w:val="3F5B3E28"/>
    <w:rsid w:val="3F5B7984"/>
    <w:rsid w:val="3F636838"/>
    <w:rsid w:val="3F6738EF"/>
    <w:rsid w:val="3F68157E"/>
    <w:rsid w:val="3F687097"/>
    <w:rsid w:val="3F6C0F7A"/>
    <w:rsid w:val="3F742F66"/>
    <w:rsid w:val="3F76656C"/>
    <w:rsid w:val="3F7C7AA2"/>
    <w:rsid w:val="3F8447FA"/>
    <w:rsid w:val="3F852C53"/>
    <w:rsid w:val="3F8867C0"/>
    <w:rsid w:val="3F892743"/>
    <w:rsid w:val="3F8A2017"/>
    <w:rsid w:val="3F8A5D66"/>
    <w:rsid w:val="3F935EFE"/>
    <w:rsid w:val="3F9609BC"/>
    <w:rsid w:val="3F993190"/>
    <w:rsid w:val="3F9F0074"/>
    <w:rsid w:val="3FA05CDE"/>
    <w:rsid w:val="3FA550A3"/>
    <w:rsid w:val="3FA70E1B"/>
    <w:rsid w:val="3FAE03FB"/>
    <w:rsid w:val="3FB13A48"/>
    <w:rsid w:val="3FB452E6"/>
    <w:rsid w:val="3FB53538"/>
    <w:rsid w:val="3FBA6DA0"/>
    <w:rsid w:val="3FCB4391"/>
    <w:rsid w:val="3FCC6AD3"/>
    <w:rsid w:val="3FD307D1"/>
    <w:rsid w:val="3FD429AC"/>
    <w:rsid w:val="3FD61700"/>
    <w:rsid w:val="3FE200A5"/>
    <w:rsid w:val="3FE45BCB"/>
    <w:rsid w:val="3FE6171A"/>
    <w:rsid w:val="3FEC0F24"/>
    <w:rsid w:val="3FEE61BC"/>
    <w:rsid w:val="3FF1653A"/>
    <w:rsid w:val="3FF22480"/>
    <w:rsid w:val="3FF322B2"/>
    <w:rsid w:val="3FF56F7C"/>
    <w:rsid w:val="3FFB14D7"/>
    <w:rsid w:val="3FFC1167"/>
    <w:rsid w:val="4001677D"/>
    <w:rsid w:val="400675C3"/>
    <w:rsid w:val="40072194"/>
    <w:rsid w:val="40112738"/>
    <w:rsid w:val="4014414F"/>
    <w:rsid w:val="40181D19"/>
    <w:rsid w:val="40185875"/>
    <w:rsid w:val="401968B6"/>
    <w:rsid w:val="401E68CA"/>
    <w:rsid w:val="4021297B"/>
    <w:rsid w:val="40226D9C"/>
    <w:rsid w:val="40267AC6"/>
    <w:rsid w:val="4028409E"/>
    <w:rsid w:val="402860CC"/>
    <w:rsid w:val="402B55A8"/>
    <w:rsid w:val="402C27F3"/>
    <w:rsid w:val="40356427"/>
    <w:rsid w:val="4036334F"/>
    <w:rsid w:val="40363F4D"/>
    <w:rsid w:val="403A1C8F"/>
    <w:rsid w:val="403C5A07"/>
    <w:rsid w:val="403C77B5"/>
    <w:rsid w:val="403D62AF"/>
    <w:rsid w:val="403F1053"/>
    <w:rsid w:val="404F0C0B"/>
    <w:rsid w:val="40534AFF"/>
    <w:rsid w:val="40537712"/>
    <w:rsid w:val="4057639D"/>
    <w:rsid w:val="405A5E8D"/>
    <w:rsid w:val="40624EF6"/>
    <w:rsid w:val="406B009A"/>
    <w:rsid w:val="406B0CEB"/>
    <w:rsid w:val="40752CC7"/>
    <w:rsid w:val="40754A75"/>
    <w:rsid w:val="40776A3F"/>
    <w:rsid w:val="40857ACF"/>
    <w:rsid w:val="408E056E"/>
    <w:rsid w:val="408E7CE2"/>
    <w:rsid w:val="409018AF"/>
    <w:rsid w:val="4093139F"/>
    <w:rsid w:val="40935ABC"/>
    <w:rsid w:val="409422E8"/>
    <w:rsid w:val="40963817"/>
    <w:rsid w:val="4099592E"/>
    <w:rsid w:val="409C584F"/>
    <w:rsid w:val="40A04B3B"/>
    <w:rsid w:val="40A84E4B"/>
    <w:rsid w:val="40A90A86"/>
    <w:rsid w:val="40AD2461"/>
    <w:rsid w:val="40B21825"/>
    <w:rsid w:val="40B437EF"/>
    <w:rsid w:val="40B557B9"/>
    <w:rsid w:val="40B71126"/>
    <w:rsid w:val="40B90226"/>
    <w:rsid w:val="40BA4B7E"/>
    <w:rsid w:val="40BB5E41"/>
    <w:rsid w:val="40C31C84"/>
    <w:rsid w:val="40C33A32"/>
    <w:rsid w:val="40C5420B"/>
    <w:rsid w:val="40CD48B1"/>
    <w:rsid w:val="40D36218"/>
    <w:rsid w:val="40D45C40"/>
    <w:rsid w:val="40D479EE"/>
    <w:rsid w:val="40D8213A"/>
    <w:rsid w:val="40DA3548"/>
    <w:rsid w:val="40DC2D46"/>
    <w:rsid w:val="40DC581F"/>
    <w:rsid w:val="40DE261A"/>
    <w:rsid w:val="40E4515D"/>
    <w:rsid w:val="40E51BFB"/>
    <w:rsid w:val="40E65CAF"/>
    <w:rsid w:val="40E83987"/>
    <w:rsid w:val="40EC27D7"/>
    <w:rsid w:val="40F1606E"/>
    <w:rsid w:val="40F312F5"/>
    <w:rsid w:val="40F40121"/>
    <w:rsid w:val="40F45421"/>
    <w:rsid w:val="40F57DFC"/>
    <w:rsid w:val="40F942DC"/>
    <w:rsid w:val="40FB7670"/>
    <w:rsid w:val="4104473A"/>
    <w:rsid w:val="41090B2D"/>
    <w:rsid w:val="410E5A33"/>
    <w:rsid w:val="410E7C60"/>
    <w:rsid w:val="41164F9A"/>
    <w:rsid w:val="411C3143"/>
    <w:rsid w:val="411D5025"/>
    <w:rsid w:val="41210759"/>
    <w:rsid w:val="41215C50"/>
    <w:rsid w:val="412242F0"/>
    <w:rsid w:val="41250249"/>
    <w:rsid w:val="4125402D"/>
    <w:rsid w:val="412838DC"/>
    <w:rsid w:val="4134747D"/>
    <w:rsid w:val="41347641"/>
    <w:rsid w:val="413606A8"/>
    <w:rsid w:val="41371482"/>
    <w:rsid w:val="41377F7D"/>
    <w:rsid w:val="41382CD2"/>
    <w:rsid w:val="413A0E6C"/>
    <w:rsid w:val="413B7A6D"/>
    <w:rsid w:val="413D56C7"/>
    <w:rsid w:val="41434B73"/>
    <w:rsid w:val="41450FD9"/>
    <w:rsid w:val="41452699"/>
    <w:rsid w:val="41466412"/>
    <w:rsid w:val="414B660D"/>
    <w:rsid w:val="414C7ECC"/>
    <w:rsid w:val="414D59F2"/>
    <w:rsid w:val="41515AF9"/>
    <w:rsid w:val="41526B64"/>
    <w:rsid w:val="41547429"/>
    <w:rsid w:val="415820B8"/>
    <w:rsid w:val="415B56A6"/>
    <w:rsid w:val="415B7967"/>
    <w:rsid w:val="415E19AD"/>
    <w:rsid w:val="41623641"/>
    <w:rsid w:val="416D1BF0"/>
    <w:rsid w:val="416F5968"/>
    <w:rsid w:val="41713E9C"/>
    <w:rsid w:val="41720FB5"/>
    <w:rsid w:val="41766110"/>
    <w:rsid w:val="417756CE"/>
    <w:rsid w:val="41790C64"/>
    <w:rsid w:val="417B7B31"/>
    <w:rsid w:val="417D3794"/>
    <w:rsid w:val="417F0638"/>
    <w:rsid w:val="4185518C"/>
    <w:rsid w:val="41874A60"/>
    <w:rsid w:val="418807D8"/>
    <w:rsid w:val="41885D55"/>
    <w:rsid w:val="41886A2A"/>
    <w:rsid w:val="418E2292"/>
    <w:rsid w:val="418F600A"/>
    <w:rsid w:val="41941FB2"/>
    <w:rsid w:val="41960106"/>
    <w:rsid w:val="419A2BA7"/>
    <w:rsid w:val="41A42FA1"/>
    <w:rsid w:val="41A878FC"/>
    <w:rsid w:val="41B54B08"/>
    <w:rsid w:val="41BD0482"/>
    <w:rsid w:val="41BD2B78"/>
    <w:rsid w:val="41BE3263"/>
    <w:rsid w:val="41C10754"/>
    <w:rsid w:val="41C21F3C"/>
    <w:rsid w:val="41CE2FC4"/>
    <w:rsid w:val="41CE3BF4"/>
    <w:rsid w:val="41CF1D2F"/>
    <w:rsid w:val="41CF4659"/>
    <w:rsid w:val="41D1217F"/>
    <w:rsid w:val="41D7769B"/>
    <w:rsid w:val="41D86F43"/>
    <w:rsid w:val="41DB6DDA"/>
    <w:rsid w:val="41E2438C"/>
    <w:rsid w:val="41E33C60"/>
    <w:rsid w:val="41E719A3"/>
    <w:rsid w:val="41EA162A"/>
    <w:rsid w:val="41F5609E"/>
    <w:rsid w:val="41F8770C"/>
    <w:rsid w:val="41FA7E00"/>
    <w:rsid w:val="41FC2CE3"/>
    <w:rsid w:val="42016373"/>
    <w:rsid w:val="42023522"/>
    <w:rsid w:val="42034619"/>
    <w:rsid w:val="42051A04"/>
    <w:rsid w:val="420B5DF7"/>
    <w:rsid w:val="420F2056"/>
    <w:rsid w:val="4216571C"/>
    <w:rsid w:val="42167715"/>
    <w:rsid w:val="421B75A9"/>
    <w:rsid w:val="421D3616"/>
    <w:rsid w:val="42204EB5"/>
    <w:rsid w:val="42226EC9"/>
    <w:rsid w:val="42274495"/>
    <w:rsid w:val="422A7C43"/>
    <w:rsid w:val="422D4178"/>
    <w:rsid w:val="423170C2"/>
    <w:rsid w:val="42332E3A"/>
    <w:rsid w:val="423F358D"/>
    <w:rsid w:val="4241698C"/>
    <w:rsid w:val="42436E81"/>
    <w:rsid w:val="42437045"/>
    <w:rsid w:val="42451376"/>
    <w:rsid w:val="4246491B"/>
    <w:rsid w:val="42472441"/>
    <w:rsid w:val="424B1F31"/>
    <w:rsid w:val="424C018D"/>
    <w:rsid w:val="424D6905"/>
    <w:rsid w:val="42576B28"/>
    <w:rsid w:val="425C413F"/>
    <w:rsid w:val="425C6664"/>
    <w:rsid w:val="42614D21"/>
    <w:rsid w:val="42642FF3"/>
    <w:rsid w:val="4267598A"/>
    <w:rsid w:val="4269060A"/>
    <w:rsid w:val="426D6123"/>
    <w:rsid w:val="42725710"/>
    <w:rsid w:val="42734FE4"/>
    <w:rsid w:val="427A6373"/>
    <w:rsid w:val="427D0F8D"/>
    <w:rsid w:val="427E6525"/>
    <w:rsid w:val="427F1BDB"/>
    <w:rsid w:val="42814E9C"/>
    <w:rsid w:val="42836415"/>
    <w:rsid w:val="429544E4"/>
    <w:rsid w:val="42957651"/>
    <w:rsid w:val="42997141"/>
    <w:rsid w:val="429A07C3"/>
    <w:rsid w:val="429A3BAB"/>
    <w:rsid w:val="42A8296F"/>
    <w:rsid w:val="42AC04F6"/>
    <w:rsid w:val="42B8752D"/>
    <w:rsid w:val="42BF647C"/>
    <w:rsid w:val="42C43863"/>
    <w:rsid w:val="42C63A43"/>
    <w:rsid w:val="42C846CE"/>
    <w:rsid w:val="42D261AF"/>
    <w:rsid w:val="42D362BB"/>
    <w:rsid w:val="42D57A4D"/>
    <w:rsid w:val="42D812EB"/>
    <w:rsid w:val="42DD36C4"/>
    <w:rsid w:val="42E02E70"/>
    <w:rsid w:val="42E303BC"/>
    <w:rsid w:val="42E41A4D"/>
    <w:rsid w:val="42E65F45"/>
    <w:rsid w:val="42E85D87"/>
    <w:rsid w:val="42E87780"/>
    <w:rsid w:val="42F00D2B"/>
    <w:rsid w:val="42F04887"/>
    <w:rsid w:val="42F44377"/>
    <w:rsid w:val="42FC7951"/>
    <w:rsid w:val="42FE0D52"/>
    <w:rsid w:val="42FF4875"/>
    <w:rsid w:val="43030A5E"/>
    <w:rsid w:val="4303280C"/>
    <w:rsid w:val="430B346F"/>
    <w:rsid w:val="430B5375"/>
    <w:rsid w:val="430D16F4"/>
    <w:rsid w:val="431247FD"/>
    <w:rsid w:val="43151776"/>
    <w:rsid w:val="43167B71"/>
    <w:rsid w:val="431F4C7A"/>
    <w:rsid w:val="43205F3B"/>
    <w:rsid w:val="432664FB"/>
    <w:rsid w:val="432A7D99"/>
    <w:rsid w:val="432C22FD"/>
    <w:rsid w:val="43326C4D"/>
    <w:rsid w:val="43346E69"/>
    <w:rsid w:val="43362122"/>
    <w:rsid w:val="433A4A4F"/>
    <w:rsid w:val="43432C09"/>
    <w:rsid w:val="434370AD"/>
    <w:rsid w:val="43454DA7"/>
    <w:rsid w:val="4348021A"/>
    <w:rsid w:val="43496F4C"/>
    <w:rsid w:val="434B7D0F"/>
    <w:rsid w:val="435272F0"/>
    <w:rsid w:val="43572B58"/>
    <w:rsid w:val="435B576A"/>
    <w:rsid w:val="435E3EE6"/>
    <w:rsid w:val="43602FBA"/>
    <w:rsid w:val="43615785"/>
    <w:rsid w:val="43617810"/>
    <w:rsid w:val="43670FED"/>
    <w:rsid w:val="43672D9B"/>
    <w:rsid w:val="43682ABD"/>
    <w:rsid w:val="436F1C50"/>
    <w:rsid w:val="43713C1A"/>
    <w:rsid w:val="43727D1C"/>
    <w:rsid w:val="43727ED2"/>
    <w:rsid w:val="4374370A"/>
    <w:rsid w:val="43776D56"/>
    <w:rsid w:val="437B56B8"/>
    <w:rsid w:val="437C436D"/>
    <w:rsid w:val="43811983"/>
    <w:rsid w:val="43820B56"/>
    <w:rsid w:val="43827BD5"/>
    <w:rsid w:val="43835F5C"/>
    <w:rsid w:val="43870F88"/>
    <w:rsid w:val="4387343D"/>
    <w:rsid w:val="438A4CDB"/>
    <w:rsid w:val="438A6A89"/>
    <w:rsid w:val="438C0A54"/>
    <w:rsid w:val="438D657A"/>
    <w:rsid w:val="438F15EB"/>
    <w:rsid w:val="43925C75"/>
    <w:rsid w:val="43943645"/>
    <w:rsid w:val="43A31022"/>
    <w:rsid w:val="43A82C10"/>
    <w:rsid w:val="43AF64F0"/>
    <w:rsid w:val="43B6162D"/>
    <w:rsid w:val="43B753A5"/>
    <w:rsid w:val="43BD2A9F"/>
    <w:rsid w:val="43C0540E"/>
    <w:rsid w:val="43C55D14"/>
    <w:rsid w:val="43C8283F"/>
    <w:rsid w:val="43C95804"/>
    <w:rsid w:val="43CB4A1B"/>
    <w:rsid w:val="43CC05E0"/>
    <w:rsid w:val="43CF26EE"/>
    <w:rsid w:val="43D338BF"/>
    <w:rsid w:val="43D63A7D"/>
    <w:rsid w:val="43D76A75"/>
    <w:rsid w:val="43D971F8"/>
    <w:rsid w:val="43DB1093"/>
    <w:rsid w:val="43DC279C"/>
    <w:rsid w:val="43DD12AF"/>
    <w:rsid w:val="43E268C5"/>
    <w:rsid w:val="43E90031"/>
    <w:rsid w:val="43E9461E"/>
    <w:rsid w:val="43F03A01"/>
    <w:rsid w:val="43F73771"/>
    <w:rsid w:val="43F87E97"/>
    <w:rsid w:val="44051EF5"/>
    <w:rsid w:val="44082166"/>
    <w:rsid w:val="440A7BCA"/>
    <w:rsid w:val="440B5E1C"/>
    <w:rsid w:val="440E1469"/>
    <w:rsid w:val="44143923"/>
    <w:rsid w:val="44147CE9"/>
    <w:rsid w:val="44166896"/>
    <w:rsid w:val="441B5933"/>
    <w:rsid w:val="441D78FE"/>
    <w:rsid w:val="442A3DC9"/>
    <w:rsid w:val="44307631"/>
    <w:rsid w:val="44352E99"/>
    <w:rsid w:val="44386209"/>
    <w:rsid w:val="443864E5"/>
    <w:rsid w:val="443B7D84"/>
    <w:rsid w:val="443E0078"/>
    <w:rsid w:val="443F2DD4"/>
    <w:rsid w:val="444A259C"/>
    <w:rsid w:val="444A51B6"/>
    <w:rsid w:val="444D2A0A"/>
    <w:rsid w:val="445157F9"/>
    <w:rsid w:val="44557097"/>
    <w:rsid w:val="44565E2A"/>
    <w:rsid w:val="445A2900"/>
    <w:rsid w:val="445B21D4"/>
    <w:rsid w:val="446077EA"/>
    <w:rsid w:val="44683942"/>
    <w:rsid w:val="446E7B05"/>
    <w:rsid w:val="446F063A"/>
    <w:rsid w:val="44743CCA"/>
    <w:rsid w:val="4475405A"/>
    <w:rsid w:val="44760DBC"/>
    <w:rsid w:val="447A76E6"/>
    <w:rsid w:val="447E4B76"/>
    <w:rsid w:val="447F5EC2"/>
    <w:rsid w:val="448160DE"/>
    <w:rsid w:val="448636F5"/>
    <w:rsid w:val="448654A3"/>
    <w:rsid w:val="44872FC9"/>
    <w:rsid w:val="44882904"/>
    <w:rsid w:val="4488739C"/>
    <w:rsid w:val="448874A3"/>
    <w:rsid w:val="44892078"/>
    <w:rsid w:val="44894F93"/>
    <w:rsid w:val="448B2AB9"/>
    <w:rsid w:val="44903D25"/>
    <w:rsid w:val="449D218D"/>
    <w:rsid w:val="44A1408B"/>
    <w:rsid w:val="44A14AA8"/>
    <w:rsid w:val="44A361F7"/>
    <w:rsid w:val="44A43B7B"/>
    <w:rsid w:val="44AB66EF"/>
    <w:rsid w:val="44AD6081"/>
    <w:rsid w:val="44AE49FA"/>
    <w:rsid w:val="44B30262"/>
    <w:rsid w:val="44B33DBE"/>
    <w:rsid w:val="44BB226E"/>
    <w:rsid w:val="44BD15A5"/>
    <w:rsid w:val="44BD176A"/>
    <w:rsid w:val="44C10289"/>
    <w:rsid w:val="44C304A5"/>
    <w:rsid w:val="44C71617"/>
    <w:rsid w:val="44CA0F93"/>
    <w:rsid w:val="44CB735A"/>
    <w:rsid w:val="44CE67D1"/>
    <w:rsid w:val="44CF2979"/>
    <w:rsid w:val="44D02BC2"/>
    <w:rsid w:val="44D501D8"/>
    <w:rsid w:val="44DC3315"/>
    <w:rsid w:val="44E201DE"/>
    <w:rsid w:val="44E623E5"/>
    <w:rsid w:val="44E80E1C"/>
    <w:rsid w:val="44E95A32"/>
    <w:rsid w:val="44EB3558"/>
    <w:rsid w:val="44ED5522"/>
    <w:rsid w:val="44F3122C"/>
    <w:rsid w:val="44F52628"/>
    <w:rsid w:val="44F7786D"/>
    <w:rsid w:val="44FC39B7"/>
    <w:rsid w:val="44FE14DD"/>
    <w:rsid w:val="4504286C"/>
    <w:rsid w:val="45053953"/>
    <w:rsid w:val="45056908"/>
    <w:rsid w:val="450B16DB"/>
    <w:rsid w:val="451513DE"/>
    <w:rsid w:val="451F3201"/>
    <w:rsid w:val="451F7C61"/>
    <w:rsid w:val="45244CBC"/>
    <w:rsid w:val="452456FB"/>
    <w:rsid w:val="45264590"/>
    <w:rsid w:val="453018B3"/>
    <w:rsid w:val="45303661"/>
    <w:rsid w:val="4531174B"/>
    <w:rsid w:val="4535008B"/>
    <w:rsid w:val="45350C77"/>
    <w:rsid w:val="45352A25"/>
    <w:rsid w:val="453727C7"/>
    <w:rsid w:val="45392515"/>
    <w:rsid w:val="453C3A68"/>
    <w:rsid w:val="453C76F4"/>
    <w:rsid w:val="453E7B2C"/>
    <w:rsid w:val="454113CA"/>
    <w:rsid w:val="454315E6"/>
    <w:rsid w:val="45444E9C"/>
    <w:rsid w:val="45464C32"/>
    <w:rsid w:val="454F1FCE"/>
    <w:rsid w:val="45505AB1"/>
    <w:rsid w:val="455247B9"/>
    <w:rsid w:val="455336A1"/>
    <w:rsid w:val="45533BC2"/>
    <w:rsid w:val="455410FD"/>
    <w:rsid w:val="455455A1"/>
    <w:rsid w:val="45592BB7"/>
    <w:rsid w:val="455A5DF8"/>
    <w:rsid w:val="4567473B"/>
    <w:rsid w:val="456A0FF9"/>
    <w:rsid w:val="456A1083"/>
    <w:rsid w:val="456A6B72"/>
    <w:rsid w:val="45707D87"/>
    <w:rsid w:val="457277D5"/>
    <w:rsid w:val="45735C54"/>
    <w:rsid w:val="4574354D"/>
    <w:rsid w:val="457479F1"/>
    <w:rsid w:val="457F003D"/>
    <w:rsid w:val="457F2E38"/>
    <w:rsid w:val="45800144"/>
    <w:rsid w:val="458019B5"/>
    <w:rsid w:val="458241E7"/>
    <w:rsid w:val="45843F2E"/>
    <w:rsid w:val="458539AC"/>
    <w:rsid w:val="45890D2E"/>
    <w:rsid w:val="458D2861"/>
    <w:rsid w:val="459145B2"/>
    <w:rsid w:val="45915F6D"/>
    <w:rsid w:val="45950735"/>
    <w:rsid w:val="459534C4"/>
    <w:rsid w:val="45961716"/>
    <w:rsid w:val="45974ED1"/>
    <w:rsid w:val="459900DD"/>
    <w:rsid w:val="459913E7"/>
    <w:rsid w:val="459A4484"/>
    <w:rsid w:val="459B4F7E"/>
    <w:rsid w:val="45A00B94"/>
    <w:rsid w:val="45A55DFD"/>
    <w:rsid w:val="45A71B75"/>
    <w:rsid w:val="45A75961"/>
    <w:rsid w:val="45A831F7"/>
    <w:rsid w:val="45B00645"/>
    <w:rsid w:val="45B02A86"/>
    <w:rsid w:val="45B1654F"/>
    <w:rsid w:val="45B20519"/>
    <w:rsid w:val="45B25BFB"/>
    <w:rsid w:val="45B25DBF"/>
    <w:rsid w:val="45B93656"/>
    <w:rsid w:val="45BB117C"/>
    <w:rsid w:val="45C142B9"/>
    <w:rsid w:val="45C2075D"/>
    <w:rsid w:val="45C36283"/>
    <w:rsid w:val="45C437F4"/>
    <w:rsid w:val="45C53DA9"/>
    <w:rsid w:val="45CD269C"/>
    <w:rsid w:val="45D3149C"/>
    <w:rsid w:val="45E50D29"/>
    <w:rsid w:val="45ED7EBD"/>
    <w:rsid w:val="45EE269E"/>
    <w:rsid w:val="45F97EF6"/>
    <w:rsid w:val="45FE72BB"/>
    <w:rsid w:val="46003033"/>
    <w:rsid w:val="46027639"/>
    <w:rsid w:val="460739B2"/>
    <w:rsid w:val="4607430F"/>
    <w:rsid w:val="4607616F"/>
    <w:rsid w:val="4608729B"/>
    <w:rsid w:val="460A3EB2"/>
    <w:rsid w:val="460C19D8"/>
    <w:rsid w:val="46106E01"/>
    <w:rsid w:val="46160AA8"/>
    <w:rsid w:val="461E795D"/>
    <w:rsid w:val="46213DCD"/>
    <w:rsid w:val="4623010C"/>
    <w:rsid w:val="46236D21"/>
    <w:rsid w:val="46252F12"/>
    <w:rsid w:val="462C02CC"/>
    <w:rsid w:val="462C5DC1"/>
    <w:rsid w:val="462E7BA0"/>
    <w:rsid w:val="46317690"/>
    <w:rsid w:val="46357180"/>
    <w:rsid w:val="463A174C"/>
    <w:rsid w:val="463D7DE3"/>
    <w:rsid w:val="463E35D3"/>
    <w:rsid w:val="46401681"/>
    <w:rsid w:val="464078D3"/>
    <w:rsid w:val="4642189D"/>
    <w:rsid w:val="4642364B"/>
    <w:rsid w:val="46442BF4"/>
    <w:rsid w:val="46484442"/>
    <w:rsid w:val="464A0752"/>
    <w:rsid w:val="464C6278"/>
    <w:rsid w:val="464D6726"/>
    <w:rsid w:val="464E1FF0"/>
    <w:rsid w:val="464E3D9E"/>
    <w:rsid w:val="465854C9"/>
    <w:rsid w:val="465869CB"/>
    <w:rsid w:val="46587F31"/>
    <w:rsid w:val="465A6BE7"/>
    <w:rsid w:val="465B470D"/>
    <w:rsid w:val="465F5FAB"/>
    <w:rsid w:val="46616CD5"/>
    <w:rsid w:val="46623CEE"/>
    <w:rsid w:val="46640BA5"/>
    <w:rsid w:val="46640D69"/>
    <w:rsid w:val="4665558C"/>
    <w:rsid w:val="46696960"/>
    <w:rsid w:val="466B0DF4"/>
    <w:rsid w:val="46713F31"/>
    <w:rsid w:val="46745ABF"/>
    <w:rsid w:val="467569B6"/>
    <w:rsid w:val="467C2B9E"/>
    <w:rsid w:val="467D28D5"/>
    <w:rsid w:val="46841EB6"/>
    <w:rsid w:val="468679DC"/>
    <w:rsid w:val="468C0D6B"/>
    <w:rsid w:val="468E3583"/>
    <w:rsid w:val="46905A4C"/>
    <w:rsid w:val="46957C1F"/>
    <w:rsid w:val="469A7C8E"/>
    <w:rsid w:val="46A303B3"/>
    <w:rsid w:val="46A56E03"/>
    <w:rsid w:val="46A61E2C"/>
    <w:rsid w:val="46A75BA4"/>
    <w:rsid w:val="46AC58E1"/>
    <w:rsid w:val="46B124BA"/>
    <w:rsid w:val="46B30AAC"/>
    <w:rsid w:val="46B5206F"/>
    <w:rsid w:val="46B8401E"/>
    <w:rsid w:val="46BC35F7"/>
    <w:rsid w:val="46BF0611"/>
    <w:rsid w:val="46BF2EEE"/>
    <w:rsid w:val="46BF6A4A"/>
    <w:rsid w:val="46C0585D"/>
    <w:rsid w:val="46C422B2"/>
    <w:rsid w:val="46C531FB"/>
    <w:rsid w:val="46C71DA3"/>
    <w:rsid w:val="46C978C9"/>
    <w:rsid w:val="46CB1893"/>
    <w:rsid w:val="46CE1383"/>
    <w:rsid w:val="46D0054F"/>
    <w:rsid w:val="46D04AB3"/>
    <w:rsid w:val="46D23620"/>
    <w:rsid w:val="46D67190"/>
    <w:rsid w:val="46D70238"/>
    <w:rsid w:val="46D71FE6"/>
    <w:rsid w:val="46DB13AA"/>
    <w:rsid w:val="46DC584E"/>
    <w:rsid w:val="46DD3523"/>
    <w:rsid w:val="46E12E64"/>
    <w:rsid w:val="46E13DEB"/>
    <w:rsid w:val="46E26BDC"/>
    <w:rsid w:val="46E97F6B"/>
    <w:rsid w:val="46EB4F16"/>
    <w:rsid w:val="46F41EA9"/>
    <w:rsid w:val="46F7608A"/>
    <w:rsid w:val="46FA2178"/>
    <w:rsid w:val="46FF778E"/>
    <w:rsid w:val="47002110"/>
    <w:rsid w:val="47013FF5"/>
    <w:rsid w:val="47020F98"/>
    <w:rsid w:val="47022DDB"/>
    <w:rsid w:val="47085548"/>
    <w:rsid w:val="47094169"/>
    <w:rsid w:val="470D1EAB"/>
    <w:rsid w:val="47136D96"/>
    <w:rsid w:val="4716385A"/>
    <w:rsid w:val="471823D7"/>
    <w:rsid w:val="4719083F"/>
    <w:rsid w:val="471A6804"/>
    <w:rsid w:val="471E40C9"/>
    <w:rsid w:val="47207CAA"/>
    <w:rsid w:val="47222197"/>
    <w:rsid w:val="47240FA3"/>
    <w:rsid w:val="472A0F19"/>
    <w:rsid w:val="472B0583"/>
    <w:rsid w:val="472B5399"/>
    <w:rsid w:val="472D60AA"/>
    <w:rsid w:val="472E597E"/>
    <w:rsid w:val="473200AB"/>
    <w:rsid w:val="4733013E"/>
    <w:rsid w:val="473518A9"/>
    <w:rsid w:val="4735270B"/>
    <w:rsid w:val="47356B05"/>
    <w:rsid w:val="47385407"/>
    <w:rsid w:val="47392CA0"/>
    <w:rsid w:val="473A41AE"/>
    <w:rsid w:val="4741387D"/>
    <w:rsid w:val="47421D71"/>
    <w:rsid w:val="4743164D"/>
    <w:rsid w:val="474D75D6"/>
    <w:rsid w:val="474F4272"/>
    <w:rsid w:val="47520125"/>
    <w:rsid w:val="47531190"/>
    <w:rsid w:val="475413A4"/>
    <w:rsid w:val="47573C81"/>
    <w:rsid w:val="47576591"/>
    <w:rsid w:val="476067BD"/>
    <w:rsid w:val="47607B4F"/>
    <w:rsid w:val="4763045A"/>
    <w:rsid w:val="47637D1D"/>
    <w:rsid w:val="47653A95"/>
    <w:rsid w:val="476A1A4C"/>
    <w:rsid w:val="476D19DC"/>
    <w:rsid w:val="47705F96"/>
    <w:rsid w:val="477172D9"/>
    <w:rsid w:val="47746789"/>
    <w:rsid w:val="477535AD"/>
    <w:rsid w:val="4777042C"/>
    <w:rsid w:val="477912EF"/>
    <w:rsid w:val="477C35C2"/>
    <w:rsid w:val="47814935"/>
    <w:rsid w:val="4782671A"/>
    <w:rsid w:val="47833F1C"/>
    <w:rsid w:val="47860FA0"/>
    <w:rsid w:val="478A1816"/>
    <w:rsid w:val="47906638"/>
    <w:rsid w:val="479733DA"/>
    <w:rsid w:val="479779C7"/>
    <w:rsid w:val="479904D3"/>
    <w:rsid w:val="47A125F4"/>
    <w:rsid w:val="47A143A2"/>
    <w:rsid w:val="47A54BED"/>
    <w:rsid w:val="47A83982"/>
    <w:rsid w:val="47A8638A"/>
    <w:rsid w:val="47A91DF7"/>
    <w:rsid w:val="47AA594C"/>
    <w:rsid w:val="47AE7B36"/>
    <w:rsid w:val="47AF2F63"/>
    <w:rsid w:val="47AF4ADF"/>
    <w:rsid w:val="47B13127"/>
    <w:rsid w:val="47B223B3"/>
    <w:rsid w:val="47B658A1"/>
    <w:rsid w:val="47B70069"/>
    <w:rsid w:val="47BE6D02"/>
    <w:rsid w:val="47BF1580"/>
    <w:rsid w:val="47C562E2"/>
    <w:rsid w:val="47CA56A6"/>
    <w:rsid w:val="47CA7D9C"/>
    <w:rsid w:val="47CF617B"/>
    <w:rsid w:val="47D227AD"/>
    <w:rsid w:val="47D3493F"/>
    <w:rsid w:val="47D429C9"/>
    <w:rsid w:val="47D604EF"/>
    <w:rsid w:val="47D91D8D"/>
    <w:rsid w:val="47D93B3C"/>
    <w:rsid w:val="47E151EE"/>
    <w:rsid w:val="47E32FBE"/>
    <w:rsid w:val="47E36768"/>
    <w:rsid w:val="47E56984"/>
    <w:rsid w:val="47E86474"/>
    <w:rsid w:val="47ED4C61"/>
    <w:rsid w:val="47EF7803"/>
    <w:rsid w:val="47F44E19"/>
    <w:rsid w:val="47F470D2"/>
    <w:rsid w:val="47FB61A8"/>
    <w:rsid w:val="47FE17F4"/>
    <w:rsid w:val="48017D2A"/>
    <w:rsid w:val="48026188"/>
    <w:rsid w:val="48036E97"/>
    <w:rsid w:val="48053C0F"/>
    <w:rsid w:val="480542FE"/>
    <w:rsid w:val="48054931"/>
    <w:rsid w:val="4807769E"/>
    <w:rsid w:val="48084421"/>
    <w:rsid w:val="480C2163"/>
    <w:rsid w:val="481132D5"/>
    <w:rsid w:val="48136DCD"/>
    <w:rsid w:val="48147846"/>
    <w:rsid w:val="481B23A6"/>
    <w:rsid w:val="481B494B"/>
    <w:rsid w:val="481E1E96"/>
    <w:rsid w:val="482C010F"/>
    <w:rsid w:val="482F7BFF"/>
    <w:rsid w:val="483376F0"/>
    <w:rsid w:val="48362D3C"/>
    <w:rsid w:val="483F1EBC"/>
    <w:rsid w:val="4841181A"/>
    <w:rsid w:val="48427933"/>
    <w:rsid w:val="48442A57"/>
    <w:rsid w:val="48460C82"/>
    <w:rsid w:val="484728EE"/>
    <w:rsid w:val="48480CC1"/>
    <w:rsid w:val="48482A6F"/>
    <w:rsid w:val="484E277B"/>
    <w:rsid w:val="48502229"/>
    <w:rsid w:val="485B3227"/>
    <w:rsid w:val="485E2293"/>
    <w:rsid w:val="48606A7C"/>
    <w:rsid w:val="48636AE9"/>
    <w:rsid w:val="4864156E"/>
    <w:rsid w:val="48645AFB"/>
    <w:rsid w:val="4866384A"/>
    <w:rsid w:val="486755EB"/>
    <w:rsid w:val="486E697A"/>
    <w:rsid w:val="48753AF6"/>
    <w:rsid w:val="48757D08"/>
    <w:rsid w:val="487877F8"/>
    <w:rsid w:val="487E46E3"/>
    <w:rsid w:val="48803022"/>
    <w:rsid w:val="48825F81"/>
    <w:rsid w:val="4884619D"/>
    <w:rsid w:val="488E2B78"/>
    <w:rsid w:val="48902522"/>
    <w:rsid w:val="48904B42"/>
    <w:rsid w:val="48916DA1"/>
    <w:rsid w:val="48931F3C"/>
    <w:rsid w:val="48943C93"/>
    <w:rsid w:val="489566CB"/>
    <w:rsid w:val="48957797"/>
    <w:rsid w:val="489C5B58"/>
    <w:rsid w:val="489D3B7B"/>
    <w:rsid w:val="489D725F"/>
    <w:rsid w:val="48A04659"/>
    <w:rsid w:val="48A56BCE"/>
    <w:rsid w:val="48AD5029"/>
    <w:rsid w:val="48B22EB4"/>
    <w:rsid w:val="48B266BF"/>
    <w:rsid w:val="48B36292"/>
    <w:rsid w:val="48B5643D"/>
    <w:rsid w:val="48BB7D26"/>
    <w:rsid w:val="48BD345D"/>
    <w:rsid w:val="48CA1FE3"/>
    <w:rsid w:val="48CB5B7A"/>
    <w:rsid w:val="48CC6426"/>
    <w:rsid w:val="48D03190"/>
    <w:rsid w:val="48D04F3E"/>
    <w:rsid w:val="48D10B55"/>
    <w:rsid w:val="48D10CB7"/>
    <w:rsid w:val="48D250C5"/>
    <w:rsid w:val="48D545A8"/>
    <w:rsid w:val="48D8427B"/>
    <w:rsid w:val="48DC5F39"/>
    <w:rsid w:val="48DD3AFF"/>
    <w:rsid w:val="48E55E10"/>
    <w:rsid w:val="48E85E85"/>
    <w:rsid w:val="48E914E7"/>
    <w:rsid w:val="48EE12E8"/>
    <w:rsid w:val="48EE6DB8"/>
    <w:rsid w:val="48F61EBE"/>
    <w:rsid w:val="48F74203"/>
    <w:rsid w:val="48F77700"/>
    <w:rsid w:val="48FA645F"/>
    <w:rsid w:val="48FD7CFE"/>
    <w:rsid w:val="49025314"/>
    <w:rsid w:val="49035BA5"/>
    <w:rsid w:val="49057E75"/>
    <w:rsid w:val="490746D8"/>
    <w:rsid w:val="490C4C58"/>
    <w:rsid w:val="49115557"/>
    <w:rsid w:val="49134BDB"/>
    <w:rsid w:val="491C1C6B"/>
    <w:rsid w:val="491F5EC6"/>
    <w:rsid w:val="491F7C74"/>
    <w:rsid w:val="49246A8D"/>
    <w:rsid w:val="49276B29"/>
    <w:rsid w:val="492A6BC9"/>
    <w:rsid w:val="492B43F9"/>
    <w:rsid w:val="493351F5"/>
    <w:rsid w:val="49361334"/>
    <w:rsid w:val="49373210"/>
    <w:rsid w:val="493C08C2"/>
    <w:rsid w:val="493E459E"/>
    <w:rsid w:val="49402EEF"/>
    <w:rsid w:val="49453635"/>
    <w:rsid w:val="494D47E1"/>
    <w:rsid w:val="494D64E5"/>
    <w:rsid w:val="494E267E"/>
    <w:rsid w:val="495059C6"/>
    <w:rsid w:val="49555444"/>
    <w:rsid w:val="495B0FC1"/>
    <w:rsid w:val="495C0AA0"/>
    <w:rsid w:val="495D7467"/>
    <w:rsid w:val="496B7097"/>
    <w:rsid w:val="496C0591"/>
    <w:rsid w:val="4970227E"/>
    <w:rsid w:val="4970701E"/>
    <w:rsid w:val="49733DE6"/>
    <w:rsid w:val="49793828"/>
    <w:rsid w:val="49794AF8"/>
    <w:rsid w:val="497955D6"/>
    <w:rsid w:val="497A75A0"/>
    <w:rsid w:val="49843F7B"/>
    <w:rsid w:val="49877D17"/>
    <w:rsid w:val="498C3781"/>
    <w:rsid w:val="49973CAE"/>
    <w:rsid w:val="499A554C"/>
    <w:rsid w:val="499C12C5"/>
    <w:rsid w:val="49A447B0"/>
    <w:rsid w:val="49A53F24"/>
    <w:rsid w:val="49B208EF"/>
    <w:rsid w:val="49BB5BEF"/>
    <w:rsid w:val="49BC1967"/>
    <w:rsid w:val="49C03205"/>
    <w:rsid w:val="49C10D2B"/>
    <w:rsid w:val="49CE226D"/>
    <w:rsid w:val="49D11ECD"/>
    <w:rsid w:val="49D24CE6"/>
    <w:rsid w:val="49D567B9"/>
    <w:rsid w:val="49D6749A"/>
    <w:rsid w:val="49D70887"/>
    <w:rsid w:val="49D767A1"/>
    <w:rsid w:val="49D96075"/>
    <w:rsid w:val="49DC5B65"/>
    <w:rsid w:val="49DE0BDC"/>
    <w:rsid w:val="49DE7B2F"/>
    <w:rsid w:val="49DF3CFD"/>
    <w:rsid w:val="49E47D09"/>
    <w:rsid w:val="49E52C6C"/>
    <w:rsid w:val="49E5379C"/>
    <w:rsid w:val="49E75C64"/>
    <w:rsid w:val="49EA0BB5"/>
    <w:rsid w:val="49EC212E"/>
    <w:rsid w:val="49EC22F3"/>
    <w:rsid w:val="49EE386C"/>
    <w:rsid w:val="49F04409"/>
    <w:rsid w:val="49F47107"/>
    <w:rsid w:val="49F47A9B"/>
    <w:rsid w:val="49FA2057"/>
    <w:rsid w:val="49FB5018"/>
    <w:rsid w:val="4A031344"/>
    <w:rsid w:val="4A0A4883"/>
    <w:rsid w:val="4A0B78D0"/>
    <w:rsid w:val="4A0C644A"/>
    <w:rsid w:val="4A104F60"/>
    <w:rsid w:val="4A1264D9"/>
    <w:rsid w:val="4A14005E"/>
    <w:rsid w:val="4A1452FF"/>
    <w:rsid w:val="4A1470AD"/>
    <w:rsid w:val="4A1952BF"/>
    <w:rsid w:val="4A2117CA"/>
    <w:rsid w:val="4A2127BB"/>
    <w:rsid w:val="4A225C6E"/>
    <w:rsid w:val="4A233B0E"/>
    <w:rsid w:val="4A2509B6"/>
    <w:rsid w:val="4A253068"/>
    <w:rsid w:val="4A273284"/>
    <w:rsid w:val="4A2A4B22"/>
    <w:rsid w:val="4A2F3EE7"/>
    <w:rsid w:val="4A325785"/>
    <w:rsid w:val="4A407EA2"/>
    <w:rsid w:val="4A445C00"/>
    <w:rsid w:val="4A44648C"/>
    <w:rsid w:val="4A4C4A99"/>
    <w:rsid w:val="4A4E6A63"/>
    <w:rsid w:val="4A4F27DB"/>
    <w:rsid w:val="4A4F4589"/>
    <w:rsid w:val="4A503792"/>
    <w:rsid w:val="4A510301"/>
    <w:rsid w:val="4A5122E5"/>
    <w:rsid w:val="4A52149E"/>
    <w:rsid w:val="4A5255CB"/>
    <w:rsid w:val="4A547DF1"/>
    <w:rsid w:val="4A55007C"/>
    <w:rsid w:val="4A557B85"/>
    <w:rsid w:val="4A560560"/>
    <w:rsid w:val="4A5D0A54"/>
    <w:rsid w:val="4A5D532D"/>
    <w:rsid w:val="4A5E5ECC"/>
    <w:rsid w:val="4A62232E"/>
    <w:rsid w:val="4A6313CC"/>
    <w:rsid w:val="4A655B5A"/>
    <w:rsid w:val="4A6873F9"/>
    <w:rsid w:val="4A693130"/>
    <w:rsid w:val="4A6A13C3"/>
    <w:rsid w:val="4A6E3459"/>
    <w:rsid w:val="4A6F4C2B"/>
    <w:rsid w:val="4A712751"/>
    <w:rsid w:val="4A7465C4"/>
    <w:rsid w:val="4A7B35D0"/>
    <w:rsid w:val="4A7B712C"/>
    <w:rsid w:val="4A7F255D"/>
    <w:rsid w:val="4A83134F"/>
    <w:rsid w:val="4A842484"/>
    <w:rsid w:val="4A894903"/>
    <w:rsid w:val="4A8B46DC"/>
    <w:rsid w:val="4A8F0E29"/>
    <w:rsid w:val="4A914BA1"/>
    <w:rsid w:val="4A934476"/>
    <w:rsid w:val="4A9B275A"/>
    <w:rsid w:val="4A9B70AD"/>
    <w:rsid w:val="4A9D2073"/>
    <w:rsid w:val="4A9D70A2"/>
    <w:rsid w:val="4AA26FEC"/>
    <w:rsid w:val="4AA56022"/>
    <w:rsid w:val="4AAD305D"/>
    <w:rsid w:val="4AB07EAF"/>
    <w:rsid w:val="4AB12B4E"/>
    <w:rsid w:val="4AB24F2C"/>
    <w:rsid w:val="4AB42243"/>
    <w:rsid w:val="4AC15382"/>
    <w:rsid w:val="4AC22EF1"/>
    <w:rsid w:val="4AC30702"/>
    <w:rsid w:val="4AC328A1"/>
    <w:rsid w:val="4AC408E4"/>
    <w:rsid w:val="4AC61C7C"/>
    <w:rsid w:val="4AC62A9D"/>
    <w:rsid w:val="4ACB4CAD"/>
    <w:rsid w:val="4AD36F68"/>
    <w:rsid w:val="4AD8323A"/>
    <w:rsid w:val="4ADE2F2D"/>
    <w:rsid w:val="4ADF590D"/>
    <w:rsid w:val="4AE63C52"/>
    <w:rsid w:val="4AE65BCD"/>
    <w:rsid w:val="4AE723DD"/>
    <w:rsid w:val="4AE9189F"/>
    <w:rsid w:val="4AE922E8"/>
    <w:rsid w:val="4AEA0AE6"/>
    <w:rsid w:val="4AEC0102"/>
    <w:rsid w:val="4AEC1DD8"/>
    <w:rsid w:val="4AF07B1A"/>
    <w:rsid w:val="4AF31F03"/>
    <w:rsid w:val="4AF97BDF"/>
    <w:rsid w:val="4B005883"/>
    <w:rsid w:val="4B010A80"/>
    <w:rsid w:val="4B0215FB"/>
    <w:rsid w:val="4B047121"/>
    <w:rsid w:val="4B052E99"/>
    <w:rsid w:val="4B076C12"/>
    <w:rsid w:val="4B101F6A"/>
    <w:rsid w:val="4B1151AE"/>
    <w:rsid w:val="4B180E1F"/>
    <w:rsid w:val="4B210B7E"/>
    <w:rsid w:val="4B215F25"/>
    <w:rsid w:val="4B222724"/>
    <w:rsid w:val="4B23669C"/>
    <w:rsid w:val="4B2A1534"/>
    <w:rsid w:val="4B2A4224"/>
    <w:rsid w:val="4B2B1C03"/>
    <w:rsid w:val="4B2C6606"/>
    <w:rsid w:val="4B2E0642"/>
    <w:rsid w:val="4B315A3D"/>
    <w:rsid w:val="4B33705B"/>
    <w:rsid w:val="4B350299"/>
    <w:rsid w:val="4B3A0D95"/>
    <w:rsid w:val="4B3A2B43"/>
    <w:rsid w:val="4B3D4425"/>
    <w:rsid w:val="4B3D6AD7"/>
    <w:rsid w:val="4B400B9A"/>
    <w:rsid w:val="4B4345C3"/>
    <w:rsid w:val="4B43686F"/>
    <w:rsid w:val="4B441C14"/>
    <w:rsid w:val="4B4B2FA2"/>
    <w:rsid w:val="4B4C0AC8"/>
    <w:rsid w:val="4B4E4840"/>
    <w:rsid w:val="4B531E57"/>
    <w:rsid w:val="4B5538D6"/>
    <w:rsid w:val="4B55797D"/>
    <w:rsid w:val="4B560A3D"/>
    <w:rsid w:val="4B58121B"/>
    <w:rsid w:val="4B591FD6"/>
    <w:rsid w:val="4B5A1437"/>
    <w:rsid w:val="4B5C51AF"/>
    <w:rsid w:val="4B5F25AA"/>
    <w:rsid w:val="4B647BC0"/>
    <w:rsid w:val="4B663938"/>
    <w:rsid w:val="4B6716A1"/>
    <w:rsid w:val="4B6776B0"/>
    <w:rsid w:val="4B734BA8"/>
    <w:rsid w:val="4B75001F"/>
    <w:rsid w:val="4B7D0C82"/>
    <w:rsid w:val="4B8244EA"/>
    <w:rsid w:val="4B8A2BD1"/>
    <w:rsid w:val="4B8E2E8F"/>
    <w:rsid w:val="4B937BFB"/>
    <w:rsid w:val="4B942AC7"/>
    <w:rsid w:val="4B944360"/>
    <w:rsid w:val="4B95246F"/>
    <w:rsid w:val="4B95421D"/>
    <w:rsid w:val="4B9B4365"/>
    <w:rsid w:val="4B9C55AC"/>
    <w:rsid w:val="4B9E1324"/>
    <w:rsid w:val="4BA24F39"/>
    <w:rsid w:val="4BA6642B"/>
    <w:rsid w:val="4BAB5FDC"/>
    <w:rsid w:val="4BB02E05"/>
    <w:rsid w:val="4BB072A9"/>
    <w:rsid w:val="4BB24DCF"/>
    <w:rsid w:val="4BB26449"/>
    <w:rsid w:val="4BB40B47"/>
    <w:rsid w:val="4BB46D99"/>
    <w:rsid w:val="4BBA0128"/>
    <w:rsid w:val="4BBD5522"/>
    <w:rsid w:val="4BC0573E"/>
    <w:rsid w:val="4BC07677"/>
    <w:rsid w:val="4BC30D8B"/>
    <w:rsid w:val="4BC468B1"/>
    <w:rsid w:val="4BC55F37"/>
    <w:rsid w:val="4BC845F3"/>
    <w:rsid w:val="4BC92119"/>
    <w:rsid w:val="4BCB40E3"/>
    <w:rsid w:val="4BCD39B7"/>
    <w:rsid w:val="4BD15B75"/>
    <w:rsid w:val="4BDB73CE"/>
    <w:rsid w:val="4BDE3E16"/>
    <w:rsid w:val="4BDF0021"/>
    <w:rsid w:val="4BDF36EB"/>
    <w:rsid w:val="4BE07D96"/>
    <w:rsid w:val="4BE163CB"/>
    <w:rsid w:val="4BE551A5"/>
    <w:rsid w:val="4BEB03BD"/>
    <w:rsid w:val="4BEB0A94"/>
    <w:rsid w:val="4BEC2AF7"/>
    <w:rsid w:val="4BEF7421"/>
    <w:rsid w:val="4BF13BDC"/>
    <w:rsid w:val="4BF278C2"/>
    <w:rsid w:val="4BF40808"/>
    <w:rsid w:val="4BF4363A"/>
    <w:rsid w:val="4BF453E8"/>
    <w:rsid w:val="4BF929FE"/>
    <w:rsid w:val="4BFA1DED"/>
    <w:rsid w:val="4C03562B"/>
    <w:rsid w:val="4C053783"/>
    <w:rsid w:val="4C07648F"/>
    <w:rsid w:val="4C0C0983"/>
    <w:rsid w:val="4C0D2006"/>
    <w:rsid w:val="4C0F5D7E"/>
    <w:rsid w:val="4C13787D"/>
    <w:rsid w:val="4C167B54"/>
    <w:rsid w:val="4C193FAB"/>
    <w:rsid w:val="4C1E2465"/>
    <w:rsid w:val="4C26756B"/>
    <w:rsid w:val="4C2D4456"/>
    <w:rsid w:val="4C30539D"/>
    <w:rsid w:val="4C312198"/>
    <w:rsid w:val="4C32539B"/>
    <w:rsid w:val="4C327085"/>
    <w:rsid w:val="4C34134A"/>
    <w:rsid w:val="4C387642"/>
    <w:rsid w:val="4C416153"/>
    <w:rsid w:val="4C43011D"/>
    <w:rsid w:val="4C50123D"/>
    <w:rsid w:val="4C5E258C"/>
    <w:rsid w:val="4C650094"/>
    <w:rsid w:val="4C677DF8"/>
    <w:rsid w:val="4C691FD5"/>
    <w:rsid w:val="4C6C31D0"/>
    <w:rsid w:val="4C6D68CD"/>
    <w:rsid w:val="4C7277D3"/>
    <w:rsid w:val="4C7311D9"/>
    <w:rsid w:val="4C7622A1"/>
    <w:rsid w:val="4C78532C"/>
    <w:rsid w:val="4C7958ED"/>
    <w:rsid w:val="4C7D53DD"/>
    <w:rsid w:val="4C7E5F8E"/>
    <w:rsid w:val="4C806C7C"/>
    <w:rsid w:val="4C821F13"/>
    <w:rsid w:val="4C8A31B1"/>
    <w:rsid w:val="4C911DCC"/>
    <w:rsid w:val="4CA0731E"/>
    <w:rsid w:val="4CA27DCB"/>
    <w:rsid w:val="4CA54934"/>
    <w:rsid w:val="4CA962A7"/>
    <w:rsid w:val="4CAC7A71"/>
    <w:rsid w:val="4CAE3C21"/>
    <w:rsid w:val="4CAE5C46"/>
    <w:rsid w:val="4CAE645F"/>
    <w:rsid w:val="4CB70718"/>
    <w:rsid w:val="4CB95B17"/>
    <w:rsid w:val="4CBA00AB"/>
    <w:rsid w:val="4CBA258C"/>
    <w:rsid w:val="4CBB19EC"/>
    <w:rsid w:val="4CBD59F2"/>
    <w:rsid w:val="4CBD7ED0"/>
    <w:rsid w:val="4CBE77A4"/>
    <w:rsid w:val="4CC21042"/>
    <w:rsid w:val="4CC34DBA"/>
    <w:rsid w:val="4CC53261"/>
    <w:rsid w:val="4CC72AFC"/>
    <w:rsid w:val="4CC90623"/>
    <w:rsid w:val="4CC96874"/>
    <w:rsid w:val="4CCA5ABE"/>
    <w:rsid w:val="4CCC1EC1"/>
    <w:rsid w:val="4CCD0FCE"/>
    <w:rsid w:val="4CCE5C39"/>
    <w:rsid w:val="4CCF19B1"/>
    <w:rsid w:val="4CCF550D"/>
    <w:rsid w:val="4CD9690C"/>
    <w:rsid w:val="4CE114E8"/>
    <w:rsid w:val="4CEA0599"/>
    <w:rsid w:val="4CEA2B04"/>
    <w:rsid w:val="4CEA6032"/>
    <w:rsid w:val="4CEC2563"/>
    <w:rsid w:val="4CEF3930"/>
    <w:rsid w:val="4CEF3CC5"/>
    <w:rsid w:val="4CF02BAE"/>
    <w:rsid w:val="4CF03284"/>
    <w:rsid w:val="4CF36A7B"/>
    <w:rsid w:val="4CF60CEC"/>
    <w:rsid w:val="4CF65190"/>
    <w:rsid w:val="4CF907DC"/>
    <w:rsid w:val="4CFD732C"/>
    <w:rsid w:val="4D021D86"/>
    <w:rsid w:val="4D072EF9"/>
    <w:rsid w:val="4D0831B7"/>
    <w:rsid w:val="4D0E4287"/>
    <w:rsid w:val="4D0F7FFF"/>
    <w:rsid w:val="4D105682"/>
    <w:rsid w:val="4D111FCA"/>
    <w:rsid w:val="4D137AF0"/>
    <w:rsid w:val="4D152D77"/>
    <w:rsid w:val="4D16138E"/>
    <w:rsid w:val="4D185106"/>
    <w:rsid w:val="4D1A48D6"/>
    <w:rsid w:val="4D1B1AD8"/>
    <w:rsid w:val="4D1C174E"/>
    <w:rsid w:val="4D203FBB"/>
    <w:rsid w:val="4D21422F"/>
    <w:rsid w:val="4D241CFD"/>
    <w:rsid w:val="4D2770F7"/>
    <w:rsid w:val="4D2A4601"/>
    <w:rsid w:val="4D2E0486"/>
    <w:rsid w:val="4D322D6F"/>
    <w:rsid w:val="4D360ADE"/>
    <w:rsid w:val="4D3C7E3F"/>
    <w:rsid w:val="4D42685E"/>
    <w:rsid w:val="4D461DD8"/>
    <w:rsid w:val="4D467EC5"/>
    <w:rsid w:val="4D491763"/>
    <w:rsid w:val="4D50664E"/>
    <w:rsid w:val="4D537EEC"/>
    <w:rsid w:val="4D550108"/>
    <w:rsid w:val="4D556D38"/>
    <w:rsid w:val="4D5A127B"/>
    <w:rsid w:val="4D5A3970"/>
    <w:rsid w:val="4D5C3245"/>
    <w:rsid w:val="4D5C52D0"/>
    <w:rsid w:val="4D6245D3"/>
    <w:rsid w:val="4D6E536B"/>
    <w:rsid w:val="4D720832"/>
    <w:rsid w:val="4D720CBA"/>
    <w:rsid w:val="4D722A68"/>
    <w:rsid w:val="4D754306"/>
    <w:rsid w:val="4D75441B"/>
    <w:rsid w:val="4D7B5BF9"/>
    <w:rsid w:val="4D7D0BF5"/>
    <w:rsid w:val="4D7F5185"/>
    <w:rsid w:val="4D807BBD"/>
    <w:rsid w:val="4D816BCF"/>
    <w:rsid w:val="4D8276A6"/>
    <w:rsid w:val="4D896607"/>
    <w:rsid w:val="4D9218E1"/>
    <w:rsid w:val="4D922EE6"/>
    <w:rsid w:val="4D930C30"/>
    <w:rsid w:val="4D9329DF"/>
    <w:rsid w:val="4D93478D"/>
    <w:rsid w:val="4D934966"/>
    <w:rsid w:val="4D9549A9"/>
    <w:rsid w:val="4D9725D8"/>
    <w:rsid w:val="4D9B019C"/>
    <w:rsid w:val="4D9E7067"/>
    <w:rsid w:val="4DA1635B"/>
    <w:rsid w:val="4DAB1AD6"/>
    <w:rsid w:val="4DAB4BAF"/>
    <w:rsid w:val="4DAF7B35"/>
    <w:rsid w:val="4DB52955"/>
    <w:rsid w:val="4DB56DF9"/>
    <w:rsid w:val="4DB63120"/>
    <w:rsid w:val="4DB81F05"/>
    <w:rsid w:val="4DB84D64"/>
    <w:rsid w:val="4DB946B3"/>
    <w:rsid w:val="4DC35387"/>
    <w:rsid w:val="4DC5090D"/>
    <w:rsid w:val="4DC932F8"/>
    <w:rsid w:val="4DCB2F70"/>
    <w:rsid w:val="4DD17574"/>
    <w:rsid w:val="4DD43DBB"/>
    <w:rsid w:val="4DD728CB"/>
    <w:rsid w:val="4DD97632"/>
    <w:rsid w:val="4DDF5C24"/>
    <w:rsid w:val="4DE21A93"/>
    <w:rsid w:val="4DE4148C"/>
    <w:rsid w:val="4DE67456"/>
    <w:rsid w:val="4DEA3EC4"/>
    <w:rsid w:val="4DED20EF"/>
    <w:rsid w:val="4DF53699"/>
    <w:rsid w:val="4DF94F37"/>
    <w:rsid w:val="4DFC0EB1"/>
    <w:rsid w:val="4DFC67D6"/>
    <w:rsid w:val="4E06597B"/>
    <w:rsid w:val="4E083F33"/>
    <w:rsid w:val="4E091525"/>
    <w:rsid w:val="4E0D2791"/>
    <w:rsid w:val="4E121FED"/>
    <w:rsid w:val="4E125FF9"/>
    <w:rsid w:val="4E135133"/>
    <w:rsid w:val="4E140C20"/>
    <w:rsid w:val="4E1458CD"/>
    <w:rsid w:val="4E1C6E78"/>
    <w:rsid w:val="4E1C712B"/>
    <w:rsid w:val="4E204980"/>
    <w:rsid w:val="4E231EC4"/>
    <w:rsid w:val="4E263853"/>
    <w:rsid w:val="4E2A50F1"/>
    <w:rsid w:val="4E2E602A"/>
    <w:rsid w:val="4E3063B0"/>
    <w:rsid w:val="4E37780E"/>
    <w:rsid w:val="4E3907E2"/>
    <w:rsid w:val="4E3E6DEE"/>
    <w:rsid w:val="4E3F66C2"/>
    <w:rsid w:val="4E45017D"/>
    <w:rsid w:val="4E453CD9"/>
    <w:rsid w:val="4E4A5793"/>
    <w:rsid w:val="4E4F2DA9"/>
    <w:rsid w:val="4E531F84"/>
    <w:rsid w:val="4E5934FB"/>
    <w:rsid w:val="4E5C64FB"/>
    <w:rsid w:val="4E683E6B"/>
    <w:rsid w:val="4E6A1153"/>
    <w:rsid w:val="4E6C289E"/>
    <w:rsid w:val="4E6E4FE2"/>
    <w:rsid w:val="4E736BF3"/>
    <w:rsid w:val="4E772F0B"/>
    <w:rsid w:val="4E7779FC"/>
    <w:rsid w:val="4E7A03FC"/>
    <w:rsid w:val="4E7B3B9E"/>
    <w:rsid w:val="4E7E2C5D"/>
    <w:rsid w:val="4E7E368F"/>
    <w:rsid w:val="4E7F7BF0"/>
    <w:rsid w:val="4E8309B6"/>
    <w:rsid w:val="4E8642F1"/>
    <w:rsid w:val="4E86609F"/>
    <w:rsid w:val="4E8D6FA3"/>
    <w:rsid w:val="4E8F02DB"/>
    <w:rsid w:val="4E920EE8"/>
    <w:rsid w:val="4E922C96"/>
    <w:rsid w:val="4E962786"/>
    <w:rsid w:val="4E984750"/>
    <w:rsid w:val="4E9B49DC"/>
    <w:rsid w:val="4E9B7D9D"/>
    <w:rsid w:val="4E9C58C3"/>
    <w:rsid w:val="4E9E646A"/>
    <w:rsid w:val="4E9E788D"/>
    <w:rsid w:val="4EA01F04"/>
    <w:rsid w:val="4EA50589"/>
    <w:rsid w:val="4EA50C1B"/>
    <w:rsid w:val="4EA824BA"/>
    <w:rsid w:val="4EAC3C20"/>
    <w:rsid w:val="4EB3120B"/>
    <w:rsid w:val="4EB3343D"/>
    <w:rsid w:val="4EB42C0C"/>
    <w:rsid w:val="4EB431EE"/>
    <w:rsid w:val="4EBA7ACC"/>
    <w:rsid w:val="4EBB21ED"/>
    <w:rsid w:val="4EBB3F9B"/>
    <w:rsid w:val="4EBB69BD"/>
    <w:rsid w:val="4EBF69A3"/>
    <w:rsid w:val="4EC46C7C"/>
    <w:rsid w:val="4EC56AEB"/>
    <w:rsid w:val="4ECA458F"/>
    <w:rsid w:val="4ECA5BDC"/>
    <w:rsid w:val="4ECC2FB2"/>
    <w:rsid w:val="4ED27537"/>
    <w:rsid w:val="4ED35788"/>
    <w:rsid w:val="4ED91B13"/>
    <w:rsid w:val="4ED93443"/>
    <w:rsid w:val="4ED955FE"/>
    <w:rsid w:val="4EDA2F0D"/>
    <w:rsid w:val="4EDB288F"/>
    <w:rsid w:val="4EE227A6"/>
    <w:rsid w:val="4EE748E4"/>
    <w:rsid w:val="4EEA4880"/>
    <w:rsid w:val="4EEF47DB"/>
    <w:rsid w:val="4EF120B3"/>
    <w:rsid w:val="4EF43951"/>
    <w:rsid w:val="4EF70D4B"/>
    <w:rsid w:val="4EF851EF"/>
    <w:rsid w:val="4F075432"/>
    <w:rsid w:val="4F097C45"/>
    <w:rsid w:val="4F1032C9"/>
    <w:rsid w:val="4F1162B1"/>
    <w:rsid w:val="4F1418FD"/>
    <w:rsid w:val="4F183057"/>
    <w:rsid w:val="4F19549B"/>
    <w:rsid w:val="4F2064F4"/>
    <w:rsid w:val="4F233D27"/>
    <w:rsid w:val="4F253B0A"/>
    <w:rsid w:val="4F271630"/>
    <w:rsid w:val="4F275616"/>
    <w:rsid w:val="4F275EA2"/>
    <w:rsid w:val="4F2C6C47"/>
    <w:rsid w:val="4F363F69"/>
    <w:rsid w:val="4F367AC5"/>
    <w:rsid w:val="4F377967"/>
    <w:rsid w:val="4F3855EC"/>
    <w:rsid w:val="4F3B2459"/>
    <w:rsid w:val="4F4950D8"/>
    <w:rsid w:val="4F4F2935"/>
    <w:rsid w:val="4F50355D"/>
    <w:rsid w:val="4F610ED6"/>
    <w:rsid w:val="4F617D93"/>
    <w:rsid w:val="4F626B0C"/>
    <w:rsid w:val="4F63535B"/>
    <w:rsid w:val="4F686B17"/>
    <w:rsid w:val="4F6E54B1"/>
    <w:rsid w:val="4F730996"/>
    <w:rsid w:val="4F7F2F83"/>
    <w:rsid w:val="4F820F5D"/>
    <w:rsid w:val="4F833B36"/>
    <w:rsid w:val="4F894099"/>
    <w:rsid w:val="4F8B1BBF"/>
    <w:rsid w:val="4F8C6496"/>
    <w:rsid w:val="4F925C38"/>
    <w:rsid w:val="4F93316A"/>
    <w:rsid w:val="4F985FFF"/>
    <w:rsid w:val="4F9A62A6"/>
    <w:rsid w:val="4F9B0C73"/>
    <w:rsid w:val="4F9D688E"/>
    <w:rsid w:val="4F9E57D4"/>
    <w:rsid w:val="4FA04497"/>
    <w:rsid w:val="4FA17635"/>
    <w:rsid w:val="4FA233AD"/>
    <w:rsid w:val="4FA62E2C"/>
    <w:rsid w:val="4FA709C3"/>
    <w:rsid w:val="4FA7106A"/>
    <w:rsid w:val="4FAC758B"/>
    <w:rsid w:val="4FAD422B"/>
    <w:rsid w:val="4FB01DF8"/>
    <w:rsid w:val="4FB541B4"/>
    <w:rsid w:val="4FB57D2A"/>
    <w:rsid w:val="4FBC1534"/>
    <w:rsid w:val="4FC43323"/>
    <w:rsid w:val="4FC57CA3"/>
    <w:rsid w:val="4FC77B7E"/>
    <w:rsid w:val="4FD23C92"/>
    <w:rsid w:val="4FD712A8"/>
    <w:rsid w:val="4FDB162F"/>
    <w:rsid w:val="4FE237A9"/>
    <w:rsid w:val="4FE26BA7"/>
    <w:rsid w:val="4FE442AD"/>
    <w:rsid w:val="4FE52E29"/>
    <w:rsid w:val="4FE87012"/>
    <w:rsid w:val="4FEB3E89"/>
    <w:rsid w:val="4FEE03A0"/>
    <w:rsid w:val="4FEF46F5"/>
    <w:rsid w:val="4FF0236A"/>
    <w:rsid w:val="4FF04EC5"/>
    <w:rsid w:val="4FF202B4"/>
    <w:rsid w:val="4FF260E2"/>
    <w:rsid w:val="4FF2671E"/>
    <w:rsid w:val="4FF45496"/>
    <w:rsid w:val="4FF534DD"/>
    <w:rsid w:val="4FF97A0F"/>
    <w:rsid w:val="4FFA4F97"/>
    <w:rsid w:val="4FFB326C"/>
    <w:rsid w:val="4FFD05E3"/>
    <w:rsid w:val="50041972"/>
    <w:rsid w:val="50067498"/>
    <w:rsid w:val="50067DD6"/>
    <w:rsid w:val="500C15DE"/>
    <w:rsid w:val="500C51B1"/>
    <w:rsid w:val="500D2612"/>
    <w:rsid w:val="500E4A46"/>
    <w:rsid w:val="50106568"/>
    <w:rsid w:val="5019541D"/>
    <w:rsid w:val="501C6CBB"/>
    <w:rsid w:val="501E4BE7"/>
    <w:rsid w:val="501F49FD"/>
    <w:rsid w:val="50243DC2"/>
    <w:rsid w:val="502617E8"/>
    <w:rsid w:val="50267B3A"/>
    <w:rsid w:val="50334005"/>
    <w:rsid w:val="503404A9"/>
    <w:rsid w:val="50354221"/>
    <w:rsid w:val="50357D7D"/>
    <w:rsid w:val="50395ABF"/>
    <w:rsid w:val="503D08D5"/>
    <w:rsid w:val="503E1327"/>
    <w:rsid w:val="503E640A"/>
    <w:rsid w:val="503E6C32"/>
    <w:rsid w:val="503F3BEF"/>
    <w:rsid w:val="5040259D"/>
    <w:rsid w:val="50416722"/>
    <w:rsid w:val="50486633"/>
    <w:rsid w:val="504B57F2"/>
    <w:rsid w:val="504D50C7"/>
    <w:rsid w:val="50502E09"/>
    <w:rsid w:val="50533BEF"/>
    <w:rsid w:val="50546455"/>
    <w:rsid w:val="505712CA"/>
    <w:rsid w:val="50587233"/>
    <w:rsid w:val="505D789E"/>
    <w:rsid w:val="505E1082"/>
    <w:rsid w:val="505E5526"/>
    <w:rsid w:val="50602E38"/>
    <w:rsid w:val="50650662"/>
    <w:rsid w:val="506858AC"/>
    <w:rsid w:val="506972BF"/>
    <w:rsid w:val="506A1275"/>
    <w:rsid w:val="506D2DA8"/>
    <w:rsid w:val="506D5769"/>
    <w:rsid w:val="50722D7F"/>
    <w:rsid w:val="50753440"/>
    <w:rsid w:val="5079410E"/>
    <w:rsid w:val="507B7E86"/>
    <w:rsid w:val="508036EE"/>
    <w:rsid w:val="50811214"/>
    <w:rsid w:val="50830AE8"/>
    <w:rsid w:val="508B5BEF"/>
    <w:rsid w:val="50923421"/>
    <w:rsid w:val="50940F47"/>
    <w:rsid w:val="5095081C"/>
    <w:rsid w:val="50987316"/>
    <w:rsid w:val="509947B0"/>
    <w:rsid w:val="509C1BAA"/>
    <w:rsid w:val="50A218B6"/>
    <w:rsid w:val="50A302D1"/>
    <w:rsid w:val="50A3118B"/>
    <w:rsid w:val="50A373DC"/>
    <w:rsid w:val="50A4517F"/>
    <w:rsid w:val="50A76ECD"/>
    <w:rsid w:val="50A941CF"/>
    <w:rsid w:val="50AD025B"/>
    <w:rsid w:val="50AD3DB7"/>
    <w:rsid w:val="50B040E7"/>
    <w:rsid w:val="50B228F9"/>
    <w:rsid w:val="50B27620"/>
    <w:rsid w:val="50B60EBE"/>
    <w:rsid w:val="50B924A0"/>
    <w:rsid w:val="50B9275C"/>
    <w:rsid w:val="50B96C00"/>
    <w:rsid w:val="50BA20AD"/>
    <w:rsid w:val="50BE4216"/>
    <w:rsid w:val="50BF6133"/>
    <w:rsid w:val="50C07F8E"/>
    <w:rsid w:val="50C11611"/>
    <w:rsid w:val="50C75CD0"/>
    <w:rsid w:val="50C80BF1"/>
    <w:rsid w:val="50CB1199"/>
    <w:rsid w:val="50CF01D2"/>
    <w:rsid w:val="50CF4577"/>
    <w:rsid w:val="50D107DF"/>
    <w:rsid w:val="50D96D6D"/>
    <w:rsid w:val="50DC2766"/>
    <w:rsid w:val="50DF6D04"/>
    <w:rsid w:val="50E05F3B"/>
    <w:rsid w:val="50E066F5"/>
    <w:rsid w:val="50E41B87"/>
    <w:rsid w:val="50EA5985"/>
    <w:rsid w:val="50EA7D1F"/>
    <w:rsid w:val="50EC30E0"/>
    <w:rsid w:val="50ED0658"/>
    <w:rsid w:val="50F57B51"/>
    <w:rsid w:val="50F73284"/>
    <w:rsid w:val="50F96FFC"/>
    <w:rsid w:val="50F97A8C"/>
    <w:rsid w:val="50FC7F78"/>
    <w:rsid w:val="5100038B"/>
    <w:rsid w:val="51011DE6"/>
    <w:rsid w:val="51071719"/>
    <w:rsid w:val="510936E3"/>
    <w:rsid w:val="510A745C"/>
    <w:rsid w:val="510E319D"/>
    <w:rsid w:val="510F05CE"/>
    <w:rsid w:val="510F6820"/>
    <w:rsid w:val="5115563D"/>
    <w:rsid w:val="51165165"/>
    <w:rsid w:val="51180B8E"/>
    <w:rsid w:val="51217A74"/>
    <w:rsid w:val="51231542"/>
    <w:rsid w:val="51237AAF"/>
    <w:rsid w:val="51244462"/>
    <w:rsid w:val="51247F7F"/>
    <w:rsid w:val="51274846"/>
    <w:rsid w:val="512C5624"/>
    <w:rsid w:val="513314DF"/>
    <w:rsid w:val="51340035"/>
    <w:rsid w:val="513454B5"/>
    <w:rsid w:val="513577D0"/>
    <w:rsid w:val="51370395"/>
    <w:rsid w:val="513D316C"/>
    <w:rsid w:val="513D513B"/>
    <w:rsid w:val="514135E6"/>
    <w:rsid w:val="514318D7"/>
    <w:rsid w:val="5144471C"/>
    <w:rsid w:val="51450494"/>
    <w:rsid w:val="5148075E"/>
    <w:rsid w:val="514F460F"/>
    <w:rsid w:val="51505381"/>
    <w:rsid w:val="51510BE7"/>
    <w:rsid w:val="5153495F"/>
    <w:rsid w:val="515626A1"/>
    <w:rsid w:val="515A286A"/>
    <w:rsid w:val="515B3813"/>
    <w:rsid w:val="51631648"/>
    <w:rsid w:val="516B614C"/>
    <w:rsid w:val="516E106E"/>
    <w:rsid w:val="516E18FA"/>
    <w:rsid w:val="51701F58"/>
    <w:rsid w:val="517174DB"/>
    <w:rsid w:val="51735001"/>
    <w:rsid w:val="51740E41"/>
    <w:rsid w:val="51791EEB"/>
    <w:rsid w:val="5179376F"/>
    <w:rsid w:val="517B2107"/>
    <w:rsid w:val="517C3F22"/>
    <w:rsid w:val="518014CC"/>
    <w:rsid w:val="5181771E"/>
    <w:rsid w:val="518460E1"/>
    <w:rsid w:val="51874EC9"/>
    <w:rsid w:val="5190671B"/>
    <w:rsid w:val="51937451"/>
    <w:rsid w:val="519928F5"/>
    <w:rsid w:val="519A2DB6"/>
    <w:rsid w:val="519F5DF6"/>
    <w:rsid w:val="51A27694"/>
    <w:rsid w:val="51A67184"/>
    <w:rsid w:val="51A72314"/>
    <w:rsid w:val="51A74466"/>
    <w:rsid w:val="51A74CAA"/>
    <w:rsid w:val="51AB6549"/>
    <w:rsid w:val="51B573C7"/>
    <w:rsid w:val="51BC0756"/>
    <w:rsid w:val="51BF3DA2"/>
    <w:rsid w:val="51C25640"/>
    <w:rsid w:val="51C413B8"/>
    <w:rsid w:val="51C8534D"/>
    <w:rsid w:val="51CE66DB"/>
    <w:rsid w:val="51D27F79"/>
    <w:rsid w:val="51D35AC9"/>
    <w:rsid w:val="51D50F8B"/>
    <w:rsid w:val="51D57A6A"/>
    <w:rsid w:val="51DA5080"/>
    <w:rsid w:val="51DA7EE3"/>
    <w:rsid w:val="51DD06CC"/>
    <w:rsid w:val="51DD3FF8"/>
    <w:rsid w:val="51E073BF"/>
    <w:rsid w:val="51E57A85"/>
    <w:rsid w:val="51EE3729"/>
    <w:rsid w:val="51EE4687"/>
    <w:rsid w:val="51F223CA"/>
    <w:rsid w:val="51F24178"/>
    <w:rsid w:val="51F53C68"/>
    <w:rsid w:val="51F57763"/>
    <w:rsid w:val="51F577C4"/>
    <w:rsid w:val="52004C8D"/>
    <w:rsid w:val="52045C59"/>
    <w:rsid w:val="5208399B"/>
    <w:rsid w:val="520E066F"/>
    <w:rsid w:val="520E31AE"/>
    <w:rsid w:val="5212481A"/>
    <w:rsid w:val="52140DCB"/>
    <w:rsid w:val="52156A3A"/>
    <w:rsid w:val="521A36CE"/>
    <w:rsid w:val="521A722A"/>
    <w:rsid w:val="521C2FA3"/>
    <w:rsid w:val="521E31BF"/>
    <w:rsid w:val="52214528"/>
    <w:rsid w:val="52224331"/>
    <w:rsid w:val="52232583"/>
    <w:rsid w:val="5224454D"/>
    <w:rsid w:val="522B7D04"/>
    <w:rsid w:val="522D3402"/>
    <w:rsid w:val="522E5D3A"/>
    <w:rsid w:val="523522B6"/>
    <w:rsid w:val="52354064"/>
    <w:rsid w:val="5237602E"/>
    <w:rsid w:val="523C1897"/>
    <w:rsid w:val="52423116"/>
    <w:rsid w:val="52495D62"/>
    <w:rsid w:val="524D5852"/>
    <w:rsid w:val="52576C0F"/>
    <w:rsid w:val="525D4D14"/>
    <w:rsid w:val="525E7A5F"/>
    <w:rsid w:val="52623ABC"/>
    <w:rsid w:val="52636E23"/>
    <w:rsid w:val="52642B9B"/>
    <w:rsid w:val="52656939"/>
    <w:rsid w:val="526B27DD"/>
    <w:rsid w:val="526E7576"/>
    <w:rsid w:val="5272350A"/>
    <w:rsid w:val="527A416D"/>
    <w:rsid w:val="527E1DD3"/>
    <w:rsid w:val="528F14F0"/>
    <w:rsid w:val="52913A78"/>
    <w:rsid w:val="529A65BD"/>
    <w:rsid w:val="529C0587"/>
    <w:rsid w:val="529E3A37"/>
    <w:rsid w:val="529F2FF6"/>
    <w:rsid w:val="52A66D10"/>
    <w:rsid w:val="52A6754F"/>
    <w:rsid w:val="52A87943"/>
    <w:rsid w:val="52AD4542"/>
    <w:rsid w:val="52AD62F0"/>
    <w:rsid w:val="52B6146D"/>
    <w:rsid w:val="52B61649"/>
    <w:rsid w:val="52B86C7A"/>
    <w:rsid w:val="52BA27BB"/>
    <w:rsid w:val="52BD67C2"/>
    <w:rsid w:val="52BE22AC"/>
    <w:rsid w:val="52BF7164"/>
    <w:rsid w:val="52C13B4A"/>
    <w:rsid w:val="52C71543"/>
    <w:rsid w:val="52CA0C50"/>
    <w:rsid w:val="52CA29FF"/>
    <w:rsid w:val="52CF270B"/>
    <w:rsid w:val="52D03D8D"/>
    <w:rsid w:val="52D20F6E"/>
    <w:rsid w:val="52D23FA9"/>
    <w:rsid w:val="52D25D57"/>
    <w:rsid w:val="52D41ACF"/>
    <w:rsid w:val="52D4387D"/>
    <w:rsid w:val="52D70DD9"/>
    <w:rsid w:val="52D94373"/>
    <w:rsid w:val="52DC2732"/>
    <w:rsid w:val="52DE64AA"/>
    <w:rsid w:val="52E15F9A"/>
    <w:rsid w:val="52E53CDC"/>
    <w:rsid w:val="52E60D9C"/>
    <w:rsid w:val="52E85A38"/>
    <w:rsid w:val="52E87329"/>
    <w:rsid w:val="52EC506B"/>
    <w:rsid w:val="52F201A7"/>
    <w:rsid w:val="52F61177"/>
    <w:rsid w:val="52F61E12"/>
    <w:rsid w:val="52FA36B8"/>
    <w:rsid w:val="52FF43E5"/>
    <w:rsid w:val="5302488E"/>
    <w:rsid w:val="53026AF8"/>
    <w:rsid w:val="53043B0A"/>
    <w:rsid w:val="53081779"/>
    <w:rsid w:val="530C4615"/>
    <w:rsid w:val="530E421F"/>
    <w:rsid w:val="5311478A"/>
    <w:rsid w:val="531B76FE"/>
    <w:rsid w:val="531D5224"/>
    <w:rsid w:val="53226CDE"/>
    <w:rsid w:val="5325057D"/>
    <w:rsid w:val="5325232B"/>
    <w:rsid w:val="53285977"/>
    <w:rsid w:val="532B7B38"/>
    <w:rsid w:val="53316F22"/>
    <w:rsid w:val="533802B0"/>
    <w:rsid w:val="53395DD6"/>
    <w:rsid w:val="533B614E"/>
    <w:rsid w:val="533C04B9"/>
    <w:rsid w:val="533C1422"/>
    <w:rsid w:val="533D58C6"/>
    <w:rsid w:val="533E0D5C"/>
    <w:rsid w:val="533F7664"/>
    <w:rsid w:val="53426A39"/>
    <w:rsid w:val="534B4DEF"/>
    <w:rsid w:val="534C6EE3"/>
    <w:rsid w:val="534E7AD3"/>
    <w:rsid w:val="534F5434"/>
    <w:rsid w:val="53560736"/>
    <w:rsid w:val="53560FB1"/>
    <w:rsid w:val="53581D0C"/>
    <w:rsid w:val="53590226"/>
    <w:rsid w:val="535B6E14"/>
    <w:rsid w:val="53654E1D"/>
    <w:rsid w:val="536A36BC"/>
    <w:rsid w:val="536A40FE"/>
    <w:rsid w:val="536B1E47"/>
    <w:rsid w:val="536B6423"/>
    <w:rsid w:val="536C1D08"/>
    <w:rsid w:val="537214F1"/>
    <w:rsid w:val="53755060"/>
    <w:rsid w:val="53777F05"/>
    <w:rsid w:val="537806AC"/>
    <w:rsid w:val="5385247B"/>
    <w:rsid w:val="53877FA0"/>
    <w:rsid w:val="53884308"/>
    <w:rsid w:val="538C4158"/>
    <w:rsid w:val="53937294"/>
    <w:rsid w:val="5394125E"/>
    <w:rsid w:val="53952E53"/>
    <w:rsid w:val="53964FD7"/>
    <w:rsid w:val="539D45B7"/>
    <w:rsid w:val="53A2397B"/>
    <w:rsid w:val="53A476F3"/>
    <w:rsid w:val="53A51D38"/>
    <w:rsid w:val="53A56FC8"/>
    <w:rsid w:val="53A94D0A"/>
    <w:rsid w:val="53AA0A2F"/>
    <w:rsid w:val="53AD039C"/>
    <w:rsid w:val="53AE49D5"/>
    <w:rsid w:val="53B86CFB"/>
    <w:rsid w:val="53BF62DB"/>
    <w:rsid w:val="53C5766A"/>
    <w:rsid w:val="53CB5EC0"/>
    <w:rsid w:val="53CC27A6"/>
    <w:rsid w:val="53CD3DC9"/>
    <w:rsid w:val="53D004E8"/>
    <w:rsid w:val="53D02297"/>
    <w:rsid w:val="53D57B3F"/>
    <w:rsid w:val="53D6350A"/>
    <w:rsid w:val="53DC22CC"/>
    <w:rsid w:val="53DD49B3"/>
    <w:rsid w:val="53DF0DAF"/>
    <w:rsid w:val="53E961C4"/>
    <w:rsid w:val="53ED3EC7"/>
    <w:rsid w:val="53EE4E13"/>
    <w:rsid w:val="53F50F28"/>
    <w:rsid w:val="53FA37B7"/>
    <w:rsid w:val="53FD1AA3"/>
    <w:rsid w:val="53FE1884"/>
    <w:rsid w:val="53FF0DCE"/>
    <w:rsid w:val="540939FA"/>
    <w:rsid w:val="540977A6"/>
    <w:rsid w:val="540B1521"/>
    <w:rsid w:val="540C3BAA"/>
    <w:rsid w:val="540C5299"/>
    <w:rsid w:val="540C7047"/>
    <w:rsid w:val="540C7592"/>
    <w:rsid w:val="540E7263"/>
    <w:rsid w:val="54136627"/>
    <w:rsid w:val="54185403"/>
    <w:rsid w:val="5419426E"/>
    <w:rsid w:val="541972E9"/>
    <w:rsid w:val="541F4FCC"/>
    <w:rsid w:val="5420418E"/>
    <w:rsid w:val="54216F96"/>
    <w:rsid w:val="54273E81"/>
    <w:rsid w:val="542A0A9B"/>
    <w:rsid w:val="542B6C9B"/>
    <w:rsid w:val="542B6D24"/>
    <w:rsid w:val="542C2618"/>
    <w:rsid w:val="543071D9"/>
    <w:rsid w:val="543534D1"/>
    <w:rsid w:val="54434FD7"/>
    <w:rsid w:val="544629F7"/>
    <w:rsid w:val="54507DE4"/>
    <w:rsid w:val="54510997"/>
    <w:rsid w:val="54542260"/>
    <w:rsid w:val="54553B1F"/>
    <w:rsid w:val="545571E3"/>
    <w:rsid w:val="545A6004"/>
    <w:rsid w:val="545F70B3"/>
    <w:rsid w:val="54603F5B"/>
    <w:rsid w:val="546136CF"/>
    <w:rsid w:val="54640C31"/>
    <w:rsid w:val="54653376"/>
    <w:rsid w:val="54660E4D"/>
    <w:rsid w:val="54680721"/>
    <w:rsid w:val="546831BF"/>
    <w:rsid w:val="54696247"/>
    <w:rsid w:val="546D699A"/>
    <w:rsid w:val="546F6062"/>
    <w:rsid w:val="54752E3E"/>
    <w:rsid w:val="547D4D93"/>
    <w:rsid w:val="547D7033"/>
    <w:rsid w:val="548C4F25"/>
    <w:rsid w:val="548E15CC"/>
    <w:rsid w:val="548E5CAE"/>
    <w:rsid w:val="549239F0"/>
    <w:rsid w:val="54931516"/>
    <w:rsid w:val="549368AF"/>
    <w:rsid w:val="549A0AF6"/>
    <w:rsid w:val="549F7EAD"/>
    <w:rsid w:val="54A00034"/>
    <w:rsid w:val="54A017C4"/>
    <w:rsid w:val="54A11E85"/>
    <w:rsid w:val="54A76A67"/>
    <w:rsid w:val="54A90823"/>
    <w:rsid w:val="54AC51AF"/>
    <w:rsid w:val="54AD6A7C"/>
    <w:rsid w:val="54AE5838"/>
    <w:rsid w:val="54AF6350"/>
    <w:rsid w:val="54AF700B"/>
    <w:rsid w:val="54B41BB8"/>
    <w:rsid w:val="54B55930"/>
    <w:rsid w:val="54B855F1"/>
    <w:rsid w:val="54B90FC5"/>
    <w:rsid w:val="54BA77D7"/>
    <w:rsid w:val="54BF0D1B"/>
    <w:rsid w:val="54C3004D"/>
    <w:rsid w:val="54C621D2"/>
    <w:rsid w:val="54C664CE"/>
    <w:rsid w:val="54C73E79"/>
    <w:rsid w:val="54CC5154"/>
    <w:rsid w:val="54D1276A"/>
    <w:rsid w:val="54D24857"/>
    <w:rsid w:val="54D67D81"/>
    <w:rsid w:val="54D9161F"/>
    <w:rsid w:val="54D9517B"/>
    <w:rsid w:val="54DE0134"/>
    <w:rsid w:val="54E83610"/>
    <w:rsid w:val="54EA310D"/>
    <w:rsid w:val="54F00716"/>
    <w:rsid w:val="54F46459"/>
    <w:rsid w:val="54FC530D"/>
    <w:rsid w:val="55005A82"/>
    <w:rsid w:val="5501496A"/>
    <w:rsid w:val="5503669C"/>
    <w:rsid w:val="55037E7D"/>
    <w:rsid w:val="55052414"/>
    <w:rsid w:val="55095A1B"/>
    <w:rsid w:val="5509794D"/>
    <w:rsid w:val="550B3B7A"/>
    <w:rsid w:val="550D249D"/>
    <w:rsid w:val="550D751A"/>
    <w:rsid w:val="550E108F"/>
    <w:rsid w:val="550E7AF5"/>
    <w:rsid w:val="550F3BDA"/>
    <w:rsid w:val="55106F91"/>
    <w:rsid w:val="5511700B"/>
    <w:rsid w:val="55135E4F"/>
    <w:rsid w:val="551408A9"/>
    <w:rsid w:val="55144405"/>
    <w:rsid w:val="551C150B"/>
    <w:rsid w:val="551D28E5"/>
    <w:rsid w:val="5521784A"/>
    <w:rsid w:val="55254864"/>
    <w:rsid w:val="5527238A"/>
    <w:rsid w:val="55286102"/>
    <w:rsid w:val="552A1E7A"/>
    <w:rsid w:val="552E2FF3"/>
    <w:rsid w:val="55304730"/>
    <w:rsid w:val="55322ADD"/>
    <w:rsid w:val="55326354"/>
    <w:rsid w:val="55346855"/>
    <w:rsid w:val="553C5568"/>
    <w:rsid w:val="553E5926"/>
    <w:rsid w:val="554571AC"/>
    <w:rsid w:val="554B7C38"/>
    <w:rsid w:val="554C11A0"/>
    <w:rsid w:val="554E25D0"/>
    <w:rsid w:val="554F573D"/>
    <w:rsid w:val="55545149"/>
    <w:rsid w:val="555865A7"/>
    <w:rsid w:val="555C7B9D"/>
    <w:rsid w:val="55607637"/>
    <w:rsid w:val="5561087C"/>
    <w:rsid w:val="55620D75"/>
    <w:rsid w:val="55621614"/>
    <w:rsid w:val="556A04C9"/>
    <w:rsid w:val="556A2277"/>
    <w:rsid w:val="556F1F83"/>
    <w:rsid w:val="55733821"/>
    <w:rsid w:val="5579070C"/>
    <w:rsid w:val="557D52BF"/>
    <w:rsid w:val="55821CB6"/>
    <w:rsid w:val="55842E03"/>
    <w:rsid w:val="558477DD"/>
    <w:rsid w:val="55850574"/>
    <w:rsid w:val="55855788"/>
    <w:rsid w:val="5587107B"/>
    <w:rsid w:val="558A4C65"/>
    <w:rsid w:val="558C6691"/>
    <w:rsid w:val="558F1CDD"/>
    <w:rsid w:val="559231E7"/>
    <w:rsid w:val="55933948"/>
    <w:rsid w:val="559430BC"/>
    <w:rsid w:val="55943798"/>
    <w:rsid w:val="559D2A58"/>
    <w:rsid w:val="55A0213D"/>
    <w:rsid w:val="55A251C3"/>
    <w:rsid w:val="55AA4D69"/>
    <w:rsid w:val="55AF05D2"/>
    <w:rsid w:val="55B81234"/>
    <w:rsid w:val="55B84A5E"/>
    <w:rsid w:val="55B94FAC"/>
    <w:rsid w:val="55BB6F76"/>
    <w:rsid w:val="55C01065"/>
    <w:rsid w:val="55C0458D"/>
    <w:rsid w:val="55CB540B"/>
    <w:rsid w:val="55CE071F"/>
    <w:rsid w:val="55CF47D0"/>
    <w:rsid w:val="55D1679A"/>
    <w:rsid w:val="55D72621"/>
    <w:rsid w:val="55DA38A0"/>
    <w:rsid w:val="55DD513F"/>
    <w:rsid w:val="55DD5CB4"/>
    <w:rsid w:val="55DF7DF0"/>
    <w:rsid w:val="55E02539"/>
    <w:rsid w:val="55E30278"/>
    <w:rsid w:val="55E31AFA"/>
    <w:rsid w:val="55E4027B"/>
    <w:rsid w:val="55EB785C"/>
    <w:rsid w:val="55EF09CE"/>
    <w:rsid w:val="55FB134A"/>
    <w:rsid w:val="55FB55C5"/>
    <w:rsid w:val="55FD2D5A"/>
    <w:rsid w:val="55FD3462"/>
    <w:rsid w:val="560977E5"/>
    <w:rsid w:val="560B1C91"/>
    <w:rsid w:val="560F7A20"/>
    <w:rsid w:val="56116B96"/>
    <w:rsid w:val="5613290E"/>
    <w:rsid w:val="561A3C9D"/>
    <w:rsid w:val="561F3061"/>
    <w:rsid w:val="561F751D"/>
    <w:rsid w:val="56233DA9"/>
    <w:rsid w:val="56242D6E"/>
    <w:rsid w:val="56242FFC"/>
    <w:rsid w:val="562436D3"/>
    <w:rsid w:val="56247D02"/>
    <w:rsid w:val="56270168"/>
    <w:rsid w:val="56272B59"/>
    <w:rsid w:val="5627460C"/>
    <w:rsid w:val="5633598F"/>
    <w:rsid w:val="56343E36"/>
    <w:rsid w:val="56352885"/>
    <w:rsid w:val="56364FBB"/>
    <w:rsid w:val="564009F8"/>
    <w:rsid w:val="5640122A"/>
    <w:rsid w:val="564751D9"/>
    <w:rsid w:val="56484170"/>
    <w:rsid w:val="564927D4"/>
    <w:rsid w:val="564B02FA"/>
    <w:rsid w:val="564B3E56"/>
    <w:rsid w:val="564F2AFF"/>
    <w:rsid w:val="564F7942"/>
    <w:rsid w:val="56513437"/>
    <w:rsid w:val="56530959"/>
    <w:rsid w:val="5654684A"/>
    <w:rsid w:val="56574EF1"/>
    <w:rsid w:val="565916F9"/>
    <w:rsid w:val="565F7902"/>
    <w:rsid w:val="56614AC6"/>
    <w:rsid w:val="56636064"/>
    <w:rsid w:val="56666EE2"/>
    <w:rsid w:val="566762A9"/>
    <w:rsid w:val="56684E13"/>
    <w:rsid w:val="566B274A"/>
    <w:rsid w:val="566D5AC2"/>
    <w:rsid w:val="566D64C3"/>
    <w:rsid w:val="56712761"/>
    <w:rsid w:val="56777341"/>
    <w:rsid w:val="567A0BDF"/>
    <w:rsid w:val="567E11E9"/>
    <w:rsid w:val="567F61F6"/>
    <w:rsid w:val="56807EAD"/>
    <w:rsid w:val="56821842"/>
    <w:rsid w:val="56835CE6"/>
    <w:rsid w:val="56837A94"/>
    <w:rsid w:val="56854CB5"/>
    <w:rsid w:val="56867584"/>
    <w:rsid w:val="56880FB0"/>
    <w:rsid w:val="568B29F9"/>
    <w:rsid w:val="568B443F"/>
    <w:rsid w:val="568B6949"/>
    <w:rsid w:val="5697709C"/>
    <w:rsid w:val="569A6B8C"/>
    <w:rsid w:val="569C2904"/>
    <w:rsid w:val="56A12D4D"/>
    <w:rsid w:val="56A17F1A"/>
    <w:rsid w:val="56A25A40"/>
    <w:rsid w:val="56A507DD"/>
    <w:rsid w:val="56AB0D99"/>
    <w:rsid w:val="56AB2B47"/>
    <w:rsid w:val="56B178A8"/>
    <w:rsid w:val="56B21667"/>
    <w:rsid w:val="56B30B1A"/>
    <w:rsid w:val="56B57E6A"/>
    <w:rsid w:val="56B7773E"/>
    <w:rsid w:val="56BC6294"/>
    <w:rsid w:val="56BC6B02"/>
    <w:rsid w:val="56BE0ACC"/>
    <w:rsid w:val="56BF4844"/>
    <w:rsid w:val="56C06B80"/>
    <w:rsid w:val="56C105BC"/>
    <w:rsid w:val="56C82F94"/>
    <w:rsid w:val="56C836F9"/>
    <w:rsid w:val="56C854A7"/>
    <w:rsid w:val="56CC3A96"/>
    <w:rsid w:val="56D24578"/>
    <w:rsid w:val="56D4639E"/>
    <w:rsid w:val="56D7393C"/>
    <w:rsid w:val="56DE116E"/>
    <w:rsid w:val="56DE1DC9"/>
    <w:rsid w:val="56DF6C95"/>
    <w:rsid w:val="56E147BB"/>
    <w:rsid w:val="56EA6381"/>
    <w:rsid w:val="56EF4625"/>
    <w:rsid w:val="56F125AB"/>
    <w:rsid w:val="56F52014"/>
    <w:rsid w:val="56FE5EA0"/>
    <w:rsid w:val="570668EE"/>
    <w:rsid w:val="570B7A8A"/>
    <w:rsid w:val="570C5CDB"/>
    <w:rsid w:val="5714060E"/>
    <w:rsid w:val="57172725"/>
    <w:rsid w:val="57186B34"/>
    <w:rsid w:val="571B5F1F"/>
    <w:rsid w:val="571B78C4"/>
    <w:rsid w:val="571C1C97"/>
    <w:rsid w:val="571E5A0F"/>
    <w:rsid w:val="57250B4B"/>
    <w:rsid w:val="572528F9"/>
    <w:rsid w:val="5726041F"/>
    <w:rsid w:val="57284198"/>
    <w:rsid w:val="572B3C93"/>
    <w:rsid w:val="572B5833"/>
    <w:rsid w:val="572D7A00"/>
    <w:rsid w:val="572E462E"/>
    <w:rsid w:val="573214BA"/>
    <w:rsid w:val="57325016"/>
    <w:rsid w:val="57346FE0"/>
    <w:rsid w:val="574014E1"/>
    <w:rsid w:val="57465100"/>
    <w:rsid w:val="574719FA"/>
    <w:rsid w:val="57480E03"/>
    <w:rsid w:val="574B7E86"/>
    <w:rsid w:val="57572DFC"/>
    <w:rsid w:val="57574A7D"/>
    <w:rsid w:val="575E22AF"/>
    <w:rsid w:val="575E405D"/>
    <w:rsid w:val="57601B83"/>
    <w:rsid w:val="57633422"/>
    <w:rsid w:val="57671164"/>
    <w:rsid w:val="57680A38"/>
    <w:rsid w:val="57686C8A"/>
    <w:rsid w:val="57692B59"/>
    <w:rsid w:val="576B22D6"/>
    <w:rsid w:val="576C3494"/>
    <w:rsid w:val="576F2F50"/>
    <w:rsid w:val="577675F9"/>
    <w:rsid w:val="57833AC4"/>
    <w:rsid w:val="5785783C"/>
    <w:rsid w:val="578D0591"/>
    <w:rsid w:val="578F2469"/>
    <w:rsid w:val="579161E1"/>
    <w:rsid w:val="57923D07"/>
    <w:rsid w:val="57961A49"/>
    <w:rsid w:val="579E445A"/>
    <w:rsid w:val="57A31A70"/>
    <w:rsid w:val="57A50731"/>
    <w:rsid w:val="57A71560"/>
    <w:rsid w:val="57A726CA"/>
    <w:rsid w:val="57AE09B5"/>
    <w:rsid w:val="57AF2B0B"/>
    <w:rsid w:val="57B04EF3"/>
    <w:rsid w:val="57BA361A"/>
    <w:rsid w:val="57C069AE"/>
    <w:rsid w:val="57C2283E"/>
    <w:rsid w:val="57C540DC"/>
    <w:rsid w:val="57D14D78"/>
    <w:rsid w:val="57D5398D"/>
    <w:rsid w:val="57D6038B"/>
    <w:rsid w:val="57D63BF4"/>
    <w:rsid w:val="57D74558"/>
    <w:rsid w:val="57D77180"/>
    <w:rsid w:val="57DC6E84"/>
    <w:rsid w:val="57DD4F82"/>
    <w:rsid w:val="57DF403A"/>
    <w:rsid w:val="57E521BA"/>
    <w:rsid w:val="57E65D0E"/>
    <w:rsid w:val="57E74754"/>
    <w:rsid w:val="57E91B7D"/>
    <w:rsid w:val="57E9335A"/>
    <w:rsid w:val="57E96548"/>
    <w:rsid w:val="57EE33BC"/>
    <w:rsid w:val="57EF2F07"/>
    <w:rsid w:val="57F657DD"/>
    <w:rsid w:val="57FD5624"/>
    <w:rsid w:val="57FD640F"/>
    <w:rsid w:val="57FF117B"/>
    <w:rsid w:val="580249E9"/>
    <w:rsid w:val="58041C55"/>
    <w:rsid w:val="58051797"/>
    <w:rsid w:val="58093A0F"/>
    <w:rsid w:val="58094E28"/>
    <w:rsid w:val="580D5BF6"/>
    <w:rsid w:val="580E15DF"/>
    <w:rsid w:val="581001F8"/>
    <w:rsid w:val="581110D0"/>
    <w:rsid w:val="581D7E68"/>
    <w:rsid w:val="581F37ED"/>
    <w:rsid w:val="58247055"/>
    <w:rsid w:val="582726A1"/>
    <w:rsid w:val="5829790F"/>
    <w:rsid w:val="582D6EF7"/>
    <w:rsid w:val="582E1C82"/>
    <w:rsid w:val="582F1556"/>
    <w:rsid w:val="58313031"/>
    <w:rsid w:val="58331046"/>
    <w:rsid w:val="58365DDC"/>
    <w:rsid w:val="583A7B28"/>
    <w:rsid w:val="5842300D"/>
    <w:rsid w:val="58436B80"/>
    <w:rsid w:val="58443253"/>
    <w:rsid w:val="58472D43"/>
    <w:rsid w:val="584C035A"/>
    <w:rsid w:val="584D6EAE"/>
    <w:rsid w:val="584F5203"/>
    <w:rsid w:val="5853793A"/>
    <w:rsid w:val="585A4825"/>
    <w:rsid w:val="585A65D3"/>
    <w:rsid w:val="585A673D"/>
    <w:rsid w:val="585D60C3"/>
    <w:rsid w:val="586438F5"/>
    <w:rsid w:val="5866703A"/>
    <w:rsid w:val="58726012"/>
    <w:rsid w:val="58727DC0"/>
    <w:rsid w:val="58791ABD"/>
    <w:rsid w:val="5886386C"/>
    <w:rsid w:val="58873140"/>
    <w:rsid w:val="588B2C30"/>
    <w:rsid w:val="589046EA"/>
    <w:rsid w:val="58930705"/>
    <w:rsid w:val="58935F89"/>
    <w:rsid w:val="58937D37"/>
    <w:rsid w:val="58940432"/>
    <w:rsid w:val="58975328"/>
    <w:rsid w:val="589A10C5"/>
    <w:rsid w:val="589C2D50"/>
    <w:rsid w:val="589D0BB5"/>
    <w:rsid w:val="589F492D"/>
    <w:rsid w:val="58A20C30"/>
    <w:rsid w:val="58A261CC"/>
    <w:rsid w:val="58A3236C"/>
    <w:rsid w:val="58A3441E"/>
    <w:rsid w:val="58A57CE0"/>
    <w:rsid w:val="58AB0101"/>
    <w:rsid w:val="58AB32D2"/>
    <w:rsid w:val="58AF6F99"/>
    <w:rsid w:val="58BE1EE9"/>
    <w:rsid w:val="58C14000"/>
    <w:rsid w:val="58C148A4"/>
    <w:rsid w:val="58C66F15"/>
    <w:rsid w:val="58C7006B"/>
    <w:rsid w:val="58C817A8"/>
    <w:rsid w:val="58C86336"/>
    <w:rsid w:val="58CD149A"/>
    <w:rsid w:val="58CE0D6F"/>
    <w:rsid w:val="58CE6FC1"/>
    <w:rsid w:val="58D267BC"/>
    <w:rsid w:val="58D26AB1"/>
    <w:rsid w:val="58D520FD"/>
    <w:rsid w:val="58D77F77"/>
    <w:rsid w:val="58D8399B"/>
    <w:rsid w:val="58DE04A4"/>
    <w:rsid w:val="58E46CAF"/>
    <w:rsid w:val="58EB1921"/>
    <w:rsid w:val="58F72073"/>
    <w:rsid w:val="58FA1B64"/>
    <w:rsid w:val="58FD3402"/>
    <w:rsid w:val="5902026F"/>
    <w:rsid w:val="59046094"/>
    <w:rsid w:val="590B08E6"/>
    <w:rsid w:val="590B3D71"/>
    <w:rsid w:val="590C5C18"/>
    <w:rsid w:val="590F1AB3"/>
    <w:rsid w:val="59161570"/>
    <w:rsid w:val="591841DB"/>
    <w:rsid w:val="591F1CA1"/>
    <w:rsid w:val="59260BAB"/>
    <w:rsid w:val="59285535"/>
    <w:rsid w:val="59341B67"/>
    <w:rsid w:val="593705EE"/>
    <w:rsid w:val="593815B6"/>
    <w:rsid w:val="593A439E"/>
    <w:rsid w:val="593C6736"/>
    <w:rsid w:val="59404300"/>
    <w:rsid w:val="5943350B"/>
    <w:rsid w:val="594352B9"/>
    <w:rsid w:val="594A0E70"/>
    <w:rsid w:val="594B5590"/>
    <w:rsid w:val="594F0101"/>
    <w:rsid w:val="59511195"/>
    <w:rsid w:val="59554FEC"/>
    <w:rsid w:val="59592D2E"/>
    <w:rsid w:val="595E20F3"/>
    <w:rsid w:val="59633BAD"/>
    <w:rsid w:val="59680B5D"/>
    <w:rsid w:val="59727F77"/>
    <w:rsid w:val="597E3F42"/>
    <w:rsid w:val="59824D23"/>
    <w:rsid w:val="598558D1"/>
    <w:rsid w:val="59875AED"/>
    <w:rsid w:val="598C74CC"/>
    <w:rsid w:val="598D671F"/>
    <w:rsid w:val="598E2D32"/>
    <w:rsid w:val="59914276"/>
    <w:rsid w:val="59927FEE"/>
    <w:rsid w:val="59934492"/>
    <w:rsid w:val="59942309"/>
    <w:rsid w:val="5996123D"/>
    <w:rsid w:val="59995821"/>
    <w:rsid w:val="599975CF"/>
    <w:rsid w:val="599E186D"/>
    <w:rsid w:val="599E2E37"/>
    <w:rsid w:val="599E57DC"/>
    <w:rsid w:val="59A01A6B"/>
    <w:rsid w:val="59A31EB1"/>
    <w:rsid w:val="59A5323B"/>
    <w:rsid w:val="59A60ECE"/>
    <w:rsid w:val="59AA17DC"/>
    <w:rsid w:val="59AE12C1"/>
    <w:rsid w:val="59AE2CA7"/>
    <w:rsid w:val="59B01A05"/>
    <w:rsid w:val="59B60181"/>
    <w:rsid w:val="59B85EB7"/>
    <w:rsid w:val="59B9557B"/>
    <w:rsid w:val="59BB5797"/>
    <w:rsid w:val="59C04B5B"/>
    <w:rsid w:val="59C07F16"/>
    <w:rsid w:val="59C23447"/>
    <w:rsid w:val="59C26B25"/>
    <w:rsid w:val="59C7413C"/>
    <w:rsid w:val="59C77C52"/>
    <w:rsid w:val="59D35B1C"/>
    <w:rsid w:val="59D708D6"/>
    <w:rsid w:val="59DE60BF"/>
    <w:rsid w:val="59E06FAB"/>
    <w:rsid w:val="59E3796F"/>
    <w:rsid w:val="59E545C2"/>
    <w:rsid w:val="59E720E8"/>
    <w:rsid w:val="59EA431C"/>
    <w:rsid w:val="59EB253F"/>
    <w:rsid w:val="59F456DA"/>
    <w:rsid w:val="59FF38D6"/>
    <w:rsid w:val="5A00764E"/>
    <w:rsid w:val="5A0233C6"/>
    <w:rsid w:val="5A056A12"/>
    <w:rsid w:val="5A096502"/>
    <w:rsid w:val="5A0B2AA0"/>
    <w:rsid w:val="5A0B6D6A"/>
    <w:rsid w:val="5A0C7DA1"/>
    <w:rsid w:val="5A105AE3"/>
    <w:rsid w:val="5A113609"/>
    <w:rsid w:val="5A122E28"/>
    <w:rsid w:val="5A156629"/>
    <w:rsid w:val="5A180A5E"/>
    <w:rsid w:val="5A1D0200"/>
    <w:rsid w:val="5A1D3C0D"/>
    <w:rsid w:val="5A1E58B3"/>
    <w:rsid w:val="5A260E3A"/>
    <w:rsid w:val="5A2C5B56"/>
    <w:rsid w:val="5A36306F"/>
    <w:rsid w:val="5A364E1D"/>
    <w:rsid w:val="5A391297"/>
    <w:rsid w:val="5A3A05B6"/>
    <w:rsid w:val="5A3D04EE"/>
    <w:rsid w:val="5A3D573A"/>
    <w:rsid w:val="5A4A4CDF"/>
    <w:rsid w:val="5A4B29DD"/>
    <w:rsid w:val="5A4E03B9"/>
    <w:rsid w:val="5A5135E8"/>
    <w:rsid w:val="5A5261B1"/>
    <w:rsid w:val="5A527871"/>
    <w:rsid w:val="5A544645"/>
    <w:rsid w:val="5A581238"/>
    <w:rsid w:val="5A584D94"/>
    <w:rsid w:val="5A5A6D5E"/>
    <w:rsid w:val="5A5B2AD6"/>
    <w:rsid w:val="5A64198B"/>
    <w:rsid w:val="5A662004"/>
    <w:rsid w:val="5A672244"/>
    <w:rsid w:val="5A6776CD"/>
    <w:rsid w:val="5A6802F5"/>
    <w:rsid w:val="5A6A35AE"/>
    <w:rsid w:val="5A6B2D19"/>
    <w:rsid w:val="5A6D3ECB"/>
    <w:rsid w:val="5A737E20"/>
    <w:rsid w:val="5A76387F"/>
    <w:rsid w:val="5A7A2F5C"/>
    <w:rsid w:val="5A7D475C"/>
    <w:rsid w:val="5A827957"/>
    <w:rsid w:val="5A867B53"/>
    <w:rsid w:val="5A89319F"/>
    <w:rsid w:val="5A8A333E"/>
    <w:rsid w:val="5A8A5764"/>
    <w:rsid w:val="5A932E77"/>
    <w:rsid w:val="5A9A35FE"/>
    <w:rsid w:val="5AA50825"/>
    <w:rsid w:val="5AB50438"/>
    <w:rsid w:val="5AB521E6"/>
    <w:rsid w:val="5AB97222"/>
    <w:rsid w:val="5ABA15AB"/>
    <w:rsid w:val="5ABD553F"/>
    <w:rsid w:val="5ABF662D"/>
    <w:rsid w:val="5AC05A36"/>
    <w:rsid w:val="5AC40F40"/>
    <w:rsid w:val="5AD703AE"/>
    <w:rsid w:val="5AD83EA9"/>
    <w:rsid w:val="5ADA7E8A"/>
    <w:rsid w:val="5ADB7D78"/>
    <w:rsid w:val="5ADC7773"/>
    <w:rsid w:val="5ADF26A5"/>
    <w:rsid w:val="5AE20B01"/>
    <w:rsid w:val="5AE25520"/>
    <w:rsid w:val="5AE26D53"/>
    <w:rsid w:val="5AE42ACB"/>
    <w:rsid w:val="5AE76118"/>
    <w:rsid w:val="5AF43490"/>
    <w:rsid w:val="5AFA7190"/>
    <w:rsid w:val="5AFC6067"/>
    <w:rsid w:val="5AFC6389"/>
    <w:rsid w:val="5AFE3B8D"/>
    <w:rsid w:val="5AFF7905"/>
    <w:rsid w:val="5B024F63"/>
    <w:rsid w:val="5B046CCA"/>
    <w:rsid w:val="5B060C94"/>
    <w:rsid w:val="5B06360A"/>
    <w:rsid w:val="5B070DD5"/>
    <w:rsid w:val="5B081AB1"/>
    <w:rsid w:val="5B083319"/>
    <w:rsid w:val="5B092CA2"/>
    <w:rsid w:val="5B0C2913"/>
    <w:rsid w:val="5B0D2022"/>
    <w:rsid w:val="5B0D5F27"/>
    <w:rsid w:val="5B103BB4"/>
    <w:rsid w:val="5B157129"/>
    <w:rsid w:val="5B164E85"/>
    <w:rsid w:val="5B1B25F4"/>
    <w:rsid w:val="5B1D7906"/>
    <w:rsid w:val="5B21162A"/>
    <w:rsid w:val="5B21787C"/>
    <w:rsid w:val="5B2348F0"/>
    <w:rsid w:val="5B2630E4"/>
    <w:rsid w:val="5B280B1F"/>
    <w:rsid w:val="5B280C0A"/>
    <w:rsid w:val="5B2F29EF"/>
    <w:rsid w:val="5B3D3F8A"/>
    <w:rsid w:val="5B4134F3"/>
    <w:rsid w:val="5B423504"/>
    <w:rsid w:val="5B433C96"/>
    <w:rsid w:val="5B461090"/>
    <w:rsid w:val="5B463948"/>
    <w:rsid w:val="5B4B48F9"/>
    <w:rsid w:val="5B4B709A"/>
    <w:rsid w:val="5B4D0ECA"/>
    <w:rsid w:val="5B4D6AED"/>
    <w:rsid w:val="5B4F56E0"/>
    <w:rsid w:val="5B53337B"/>
    <w:rsid w:val="5B5C6B06"/>
    <w:rsid w:val="5B5D7539"/>
    <w:rsid w:val="5B5E10B5"/>
    <w:rsid w:val="5B606E86"/>
    <w:rsid w:val="5B61411C"/>
    <w:rsid w:val="5B630D18"/>
    <w:rsid w:val="5B667984"/>
    <w:rsid w:val="5B74661C"/>
    <w:rsid w:val="5B7B14BE"/>
    <w:rsid w:val="5B7B51DE"/>
    <w:rsid w:val="5B7C0D78"/>
    <w:rsid w:val="5B7C71A8"/>
    <w:rsid w:val="5B841BB9"/>
    <w:rsid w:val="5B8A0A45"/>
    <w:rsid w:val="5B8B5DA1"/>
    <w:rsid w:val="5B8C2182"/>
    <w:rsid w:val="5B90055D"/>
    <w:rsid w:val="5B9825E8"/>
    <w:rsid w:val="5B993B5A"/>
    <w:rsid w:val="5B9A1552"/>
    <w:rsid w:val="5B9B5880"/>
    <w:rsid w:val="5BA746EF"/>
    <w:rsid w:val="5BA97648"/>
    <w:rsid w:val="5BAA25E0"/>
    <w:rsid w:val="5BAF585C"/>
    <w:rsid w:val="5BB0223B"/>
    <w:rsid w:val="5BB87A74"/>
    <w:rsid w:val="5BBB7A1A"/>
    <w:rsid w:val="5BBD67C7"/>
    <w:rsid w:val="5BC31A14"/>
    <w:rsid w:val="5BC352FA"/>
    <w:rsid w:val="5BCB0D3D"/>
    <w:rsid w:val="5BCF0A61"/>
    <w:rsid w:val="5BD043CD"/>
    <w:rsid w:val="5BD743DE"/>
    <w:rsid w:val="5BD77037"/>
    <w:rsid w:val="5BD963A8"/>
    <w:rsid w:val="5BDC5041"/>
    <w:rsid w:val="5BE10896"/>
    <w:rsid w:val="5BE21242"/>
    <w:rsid w:val="5BEA5EBF"/>
    <w:rsid w:val="5BF60D08"/>
    <w:rsid w:val="5BF612EA"/>
    <w:rsid w:val="5BF8682E"/>
    <w:rsid w:val="5BFA30A6"/>
    <w:rsid w:val="5BFB631F"/>
    <w:rsid w:val="5BFC3B20"/>
    <w:rsid w:val="5BFF1C79"/>
    <w:rsid w:val="5C01084E"/>
    <w:rsid w:val="5C0276AD"/>
    <w:rsid w:val="5C05719D"/>
    <w:rsid w:val="5C06386F"/>
    <w:rsid w:val="5C074CC3"/>
    <w:rsid w:val="5C0D460C"/>
    <w:rsid w:val="5C1473E0"/>
    <w:rsid w:val="5C163158"/>
    <w:rsid w:val="5C1D5175"/>
    <w:rsid w:val="5C22062A"/>
    <w:rsid w:val="5C2632F7"/>
    <w:rsid w:val="5C284157"/>
    <w:rsid w:val="5C2869E8"/>
    <w:rsid w:val="5C294C3A"/>
    <w:rsid w:val="5C337866"/>
    <w:rsid w:val="5C3D06E5"/>
    <w:rsid w:val="5C3D6937"/>
    <w:rsid w:val="5C4001D5"/>
    <w:rsid w:val="5C45759A"/>
    <w:rsid w:val="5C4C6173"/>
    <w:rsid w:val="5C4F0CCE"/>
    <w:rsid w:val="5C50666A"/>
    <w:rsid w:val="5C525426"/>
    <w:rsid w:val="5C531CB7"/>
    <w:rsid w:val="5C5872CD"/>
    <w:rsid w:val="5C5B0B6B"/>
    <w:rsid w:val="5C601500"/>
    <w:rsid w:val="5C712CEA"/>
    <w:rsid w:val="5C743E98"/>
    <w:rsid w:val="5C7A0F63"/>
    <w:rsid w:val="5C7C3148"/>
    <w:rsid w:val="5C7D31D8"/>
    <w:rsid w:val="5C82610F"/>
    <w:rsid w:val="5C841E70"/>
    <w:rsid w:val="5C877BB2"/>
    <w:rsid w:val="5C8A31FF"/>
    <w:rsid w:val="5C8A3B89"/>
    <w:rsid w:val="5C8B1407"/>
    <w:rsid w:val="5C8B76A2"/>
    <w:rsid w:val="5C901CA9"/>
    <w:rsid w:val="5C9034FD"/>
    <w:rsid w:val="5C922DF8"/>
    <w:rsid w:val="5C9465BA"/>
    <w:rsid w:val="5C9A0A89"/>
    <w:rsid w:val="5C9C18B0"/>
    <w:rsid w:val="5C9E3521"/>
    <w:rsid w:val="5C9E4397"/>
    <w:rsid w:val="5CA50038"/>
    <w:rsid w:val="5CA72002"/>
    <w:rsid w:val="5CAB1C49"/>
    <w:rsid w:val="5CAB38A1"/>
    <w:rsid w:val="5CAE1F2B"/>
    <w:rsid w:val="5CAE513F"/>
    <w:rsid w:val="5CAE56F1"/>
    <w:rsid w:val="5CB36BF9"/>
    <w:rsid w:val="5CBA1D36"/>
    <w:rsid w:val="5CC03172"/>
    <w:rsid w:val="5CC22EF0"/>
    <w:rsid w:val="5CC46711"/>
    <w:rsid w:val="5CC47458"/>
    <w:rsid w:val="5CC74453"/>
    <w:rsid w:val="5CCB09AD"/>
    <w:rsid w:val="5CCB5CF1"/>
    <w:rsid w:val="5CCC562C"/>
    <w:rsid w:val="5CD01AE3"/>
    <w:rsid w:val="5CD050B5"/>
    <w:rsid w:val="5CD11697"/>
    <w:rsid w:val="5CD144ED"/>
    <w:rsid w:val="5CD526CC"/>
    <w:rsid w:val="5CD5739F"/>
    <w:rsid w:val="5CDA4186"/>
    <w:rsid w:val="5CDD5A24"/>
    <w:rsid w:val="5CE10A1D"/>
    <w:rsid w:val="5CE2128D"/>
    <w:rsid w:val="5CEB0141"/>
    <w:rsid w:val="5CEB1EEF"/>
    <w:rsid w:val="5CEF76FB"/>
    <w:rsid w:val="5CF36FF6"/>
    <w:rsid w:val="5CF54B1C"/>
    <w:rsid w:val="5CF60894"/>
    <w:rsid w:val="5CFB20F8"/>
    <w:rsid w:val="5CFB4131"/>
    <w:rsid w:val="5CFF3BED"/>
    <w:rsid w:val="5D074F71"/>
    <w:rsid w:val="5D086F45"/>
    <w:rsid w:val="5D0A3648"/>
    <w:rsid w:val="5D156F6C"/>
    <w:rsid w:val="5D167198"/>
    <w:rsid w:val="5D1E0517"/>
    <w:rsid w:val="5D211242"/>
    <w:rsid w:val="5D2329C6"/>
    <w:rsid w:val="5D261179"/>
    <w:rsid w:val="5D262745"/>
    <w:rsid w:val="5D26661C"/>
    <w:rsid w:val="5D272194"/>
    <w:rsid w:val="5D284799"/>
    <w:rsid w:val="5D292A17"/>
    <w:rsid w:val="5D2B6790"/>
    <w:rsid w:val="5D2E62B6"/>
    <w:rsid w:val="5D2F6C56"/>
    <w:rsid w:val="5D3631D8"/>
    <w:rsid w:val="5D39221B"/>
    <w:rsid w:val="5D3970FE"/>
    <w:rsid w:val="5D3C6BEF"/>
    <w:rsid w:val="5D3E2967"/>
    <w:rsid w:val="5D3F223B"/>
    <w:rsid w:val="5D3F4BF0"/>
    <w:rsid w:val="5D4014FF"/>
    <w:rsid w:val="5D423B96"/>
    <w:rsid w:val="5D445AA3"/>
    <w:rsid w:val="5D47477D"/>
    <w:rsid w:val="5D4A130C"/>
    <w:rsid w:val="5D4D4958"/>
    <w:rsid w:val="5D4E06D0"/>
    <w:rsid w:val="5D557CB0"/>
    <w:rsid w:val="5D577585"/>
    <w:rsid w:val="5D58169F"/>
    <w:rsid w:val="5D591D50"/>
    <w:rsid w:val="5D5B6EDC"/>
    <w:rsid w:val="5D5C0005"/>
    <w:rsid w:val="5D5C103F"/>
    <w:rsid w:val="5D5E6B65"/>
    <w:rsid w:val="5D663C6C"/>
    <w:rsid w:val="5D6677C8"/>
    <w:rsid w:val="5D677EDE"/>
    <w:rsid w:val="5D6972B8"/>
    <w:rsid w:val="5D6A375C"/>
    <w:rsid w:val="5D6B1282"/>
    <w:rsid w:val="5D6E48CE"/>
    <w:rsid w:val="5D796123"/>
    <w:rsid w:val="5D7F0889"/>
    <w:rsid w:val="5D7F6ADB"/>
    <w:rsid w:val="5D83037A"/>
    <w:rsid w:val="5D852344"/>
    <w:rsid w:val="5D891708"/>
    <w:rsid w:val="5D8A795A"/>
    <w:rsid w:val="5D8B36D2"/>
    <w:rsid w:val="5D900CE9"/>
    <w:rsid w:val="5D95403F"/>
    <w:rsid w:val="5D972DE5"/>
    <w:rsid w:val="5D994523"/>
    <w:rsid w:val="5D9F0F2C"/>
    <w:rsid w:val="5D9F2CDA"/>
    <w:rsid w:val="5DAC0C7A"/>
    <w:rsid w:val="5DAE0FAF"/>
    <w:rsid w:val="5DAF5613"/>
    <w:rsid w:val="5DAF73C1"/>
    <w:rsid w:val="5DB33D34"/>
    <w:rsid w:val="5DB70023"/>
    <w:rsid w:val="5DB76275"/>
    <w:rsid w:val="5DBB7F74"/>
    <w:rsid w:val="5DBD47E8"/>
    <w:rsid w:val="5DC2528C"/>
    <w:rsid w:val="5DC82230"/>
    <w:rsid w:val="5DCB6DD4"/>
    <w:rsid w:val="5DCC3B0D"/>
    <w:rsid w:val="5DCD2ABA"/>
    <w:rsid w:val="5DCD3CEB"/>
    <w:rsid w:val="5DDB1F64"/>
    <w:rsid w:val="5DDC7A8A"/>
    <w:rsid w:val="5DDD7D4F"/>
    <w:rsid w:val="5DDE6A81"/>
    <w:rsid w:val="5DE05293"/>
    <w:rsid w:val="5DE057CC"/>
    <w:rsid w:val="5DE52DE2"/>
    <w:rsid w:val="5DE74DAC"/>
    <w:rsid w:val="5DEC21C1"/>
    <w:rsid w:val="5DED1C97"/>
    <w:rsid w:val="5DF23751"/>
    <w:rsid w:val="5DF440D1"/>
    <w:rsid w:val="5DF91826"/>
    <w:rsid w:val="5DF91E52"/>
    <w:rsid w:val="5DF94AE0"/>
    <w:rsid w:val="5DFB3A3C"/>
    <w:rsid w:val="5E0771FD"/>
    <w:rsid w:val="5E082F75"/>
    <w:rsid w:val="5E0D3F72"/>
    <w:rsid w:val="5E1B0B2B"/>
    <w:rsid w:val="5E224037"/>
    <w:rsid w:val="5E231B5D"/>
    <w:rsid w:val="5E251431"/>
    <w:rsid w:val="5E280075"/>
    <w:rsid w:val="5E341674"/>
    <w:rsid w:val="5E364C03"/>
    <w:rsid w:val="5E413D91"/>
    <w:rsid w:val="5E437C6C"/>
    <w:rsid w:val="5E4443F8"/>
    <w:rsid w:val="5E463E3C"/>
    <w:rsid w:val="5E4701A8"/>
    <w:rsid w:val="5E48511F"/>
    <w:rsid w:val="5E495F53"/>
    <w:rsid w:val="5E5461ED"/>
    <w:rsid w:val="5E5835B4"/>
    <w:rsid w:val="5E5B30A5"/>
    <w:rsid w:val="5E5D6E1D"/>
    <w:rsid w:val="5E680C22"/>
    <w:rsid w:val="5E693A13"/>
    <w:rsid w:val="5E6A153A"/>
    <w:rsid w:val="5E6A6CB3"/>
    <w:rsid w:val="5E6F4DA2"/>
    <w:rsid w:val="5E714676"/>
    <w:rsid w:val="5E734C2C"/>
    <w:rsid w:val="5E7A79CF"/>
    <w:rsid w:val="5E7D19B8"/>
    <w:rsid w:val="5E7D44EB"/>
    <w:rsid w:val="5E7D74BF"/>
    <w:rsid w:val="5E7F5A64"/>
    <w:rsid w:val="5E847FBB"/>
    <w:rsid w:val="5E8545C5"/>
    <w:rsid w:val="5E86320C"/>
    <w:rsid w:val="5E8A5738"/>
    <w:rsid w:val="5E8B7FFB"/>
    <w:rsid w:val="5E95193A"/>
    <w:rsid w:val="5E96232F"/>
    <w:rsid w:val="5E9640DD"/>
    <w:rsid w:val="5E9B5562"/>
    <w:rsid w:val="5E9B6682"/>
    <w:rsid w:val="5EA17159"/>
    <w:rsid w:val="5EA42C9D"/>
    <w:rsid w:val="5EA507C4"/>
    <w:rsid w:val="5EAD3BFE"/>
    <w:rsid w:val="5EAF519E"/>
    <w:rsid w:val="5EB379E0"/>
    <w:rsid w:val="5EB87851"/>
    <w:rsid w:val="5EBD78BB"/>
    <w:rsid w:val="5EC0115A"/>
    <w:rsid w:val="5ED014C1"/>
    <w:rsid w:val="5ED03A93"/>
    <w:rsid w:val="5ED658B5"/>
    <w:rsid w:val="5ED70B58"/>
    <w:rsid w:val="5ED73500"/>
    <w:rsid w:val="5ED852BC"/>
    <w:rsid w:val="5EDA221B"/>
    <w:rsid w:val="5EDC66C8"/>
    <w:rsid w:val="5EDD7F5D"/>
    <w:rsid w:val="5EDE6FB0"/>
    <w:rsid w:val="5EE017FC"/>
    <w:rsid w:val="5EE237C6"/>
    <w:rsid w:val="5EE44E48"/>
    <w:rsid w:val="5EE5030F"/>
    <w:rsid w:val="5EE50D03"/>
    <w:rsid w:val="5EE57A83"/>
    <w:rsid w:val="5EE834BB"/>
    <w:rsid w:val="5EE96902"/>
    <w:rsid w:val="5EEC1F4F"/>
    <w:rsid w:val="5EEC3359"/>
    <w:rsid w:val="5EEC5FAD"/>
    <w:rsid w:val="5EF07796"/>
    <w:rsid w:val="5EF157B7"/>
    <w:rsid w:val="5EF26140"/>
    <w:rsid w:val="5EF30685"/>
    <w:rsid w:val="5EF7046C"/>
    <w:rsid w:val="5EF808F3"/>
    <w:rsid w:val="5EFC1A9B"/>
    <w:rsid w:val="5EFC6636"/>
    <w:rsid w:val="5EFE7788"/>
    <w:rsid w:val="5F013C4C"/>
    <w:rsid w:val="5F0444E5"/>
    <w:rsid w:val="5F047298"/>
    <w:rsid w:val="5F0B6879"/>
    <w:rsid w:val="5F147679"/>
    <w:rsid w:val="5F1A6ABC"/>
    <w:rsid w:val="5F1D188E"/>
    <w:rsid w:val="5F1D65AC"/>
    <w:rsid w:val="5F260774"/>
    <w:rsid w:val="5F2809DA"/>
    <w:rsid w:val="5F296CFF"/>
    <w:rsid w:val="5F2B0CC9"/>
    <w:rsid w:val="5F2C196C"/>
    <w:rsid w:val="5F2C4F82"/>
    <w:rsid w:val="5F2E2567"/>
    <w:rsid w:val="5F322057"/>
    <w:rsid w:val="5F3856ED"/>
    <w:rsid w:val="5F3B601E"/>
    <w:rsid w:val="5F3F512C"/>
    <w:rsid w:val="5F412CC2"/>
    <w:rsid w:val="5F434264"/>
    <w:rsid w:val="5F441D8B"/>
    <w:rsid w:val="5F447FDD"/>
    <w:rsid w:val="5F4664E6"/>
    <w:rsid w:val="5F530B42"/>
    <w:rsid w:val="5F5837B6"/>
    <w:rsid w:val="5F5866C3"/>
    <w:rsid w:val="5F592F4C"/>
    <w:rsid w:val="5F5930F2"/>
    <w:rsid w:val="5F5A2904"/>
    <w:rsid w:val="5F5C5326"/>
    <w:rsid w:val="5F5F0972"/>
    <w:rsid w:val="5F665CCA"/>
    <w:rsid w:val="5F683CCB"/>
    <w:rsid w:val="5F6F3F2B"/>
    <w:rsid w:val="5F7E34EF"/>
    <w:rsid w:val="5F7F1015"/>
    <w:rsid w:val="5F7F2DC3"/>
    <w:rsid w:val="5F816B3B"/>
    <w:rsid w:val="5F827EA4"/>
    <w:rsid w:val="5F842A2D"/>
    <w:rsid w:val="5F851915"/>
    <w:rsid w:val="5F893C41"/>
    <w:rsid w:val="5F8D1984"/>
    <w:rsid w:val="5F920D48"/>
    <w:rsid w:val="5F942D12"/>
    <w:rsid w:val="5F944AC0"/>
    <w:rsid w:val="5F97635E"/>
    <w:rsid w:val="5F984189"/>
    <w:rsid w:val="5F9C5723"/>
    <w:rsid w:val="5FA171DD"/>
    <w:rsid w:val="5FA23DBC"/>
    <w:rsid w:val="5FA261F9"/>
    <w:rsid w:val="5FA40A7B"/>
    <w:rsid w:val="5FA92D82"/>
    <w:rsid w:val="5FAB1581"/>
    <w:rsid w:val="5FAB1E0A"/>
    <w:rsid w:val="5FAE5456"/>
    <w:rsid w:val="5FAF36A8"/>
    <w:rsid w:val="5FB07420"/>
    <w:rsid w:val="5FB21F35"/>
    <w:rsid w:val="5FB23198"/>
    <w:rsid w:val="5FB24F46"/>
    <w:rsid w:val="5FB77DC4"/>
    <w:rsid w:val="5FB85ADB"/>
    <w:rsid w:val="5FB95ED3"/>
    <w:rsid w:val="5FBE036F"/>
    <w:rsid w:val="5FC44C79"/>
    <w:rsid w:val="5FC53665"/>
    <w:rsid w:val="5FC94DE2"/>
    <w:rsid w:val="5FCE46C2"/>
    <w:rsid w:val="5FCF3D4A"/>
    <w:rsid w:val="5FD171A4"/>
    <w:rsid w:val="5FD650D9"/>
    <w:rsid w:val="5FD726AE"/>
    <w:rsid w:val="5FDA1285"/>
    <w:rsid w:val="5FDD67C9"/>
    <w:rsid w:val="5FE84E0C"/>
    <w:rsid w:val="5FEA58B0"/>
    <w:rsid w:val="5FEB0458"/>
    <w:rsid w:val="5FEB1832"/>
    <w:rsid w:val="5FED2422"/>
    <w:rsid w:val="5FF00C77"/>
    <w:rsid w:val="5FF05A6E"/>
    <w:rsid w:val="5FF4555F"/>
    <w:rsid w:val="5FF7504F"/>
    <w:rsid w:val="5FF936D5"/>
    <w:rsid w:val="5FF94923"/>
    <w:rsid w:val="5FFB68ED"/>
    <w:rsid w:val="5FFC4413"/>
    <w:rsid w:val="5FFE63DD"/>
    <w:rsid w:val="5FFF5CB2"/>
    <w:rsid w:val="60011BE0"/>
    <w:rsid w:val="600532C8"/>
    <w:rsid w:val="600734E4"/>
    <w:rsid w:val="600813FE"/>
    <w:rsid w:val="600A06AF"/>
    <w:rsid w:val="60152602"/>
    <w:rsid w:val="601620D0"/>
    <w:rsid w:val="601853CE"/>
    <w:rsid w:val="601B0D3D"/>
    <w:rsid w:val="60237BF2"/>
    <w:rsid w:val="60243AEA"/>
    <w:rsid w:val="6025396A"/>
    <w:rsid w:val="60275934"/>
    <w:rsid w:val="602B06EB"/>
    <w:rsid w:val="602B5484"/>
    <w:rsid w:val="602D1FF5"/>
    <w:rsid w:val="602D4E88"/>
    <w:rsid w:val="602F2489"/>
    <w:rsid w:val="60365B77"/>
    <w:rsid w:val="604103F6"/>
    <w:rsid w:val="60483AFC"/>
    <w:rsid w:val="604A1623"/>
    <w:rsid w:val="6051159A"/>
    <w:rsid w:val="605162C2"/>
    <w:rsid w:val="60522285"/>
    <w:rsid w:val="60536729"/>
    <w:rsid w:val="60563B24"/>
    <w:rsid w:val="60567FC7"/>
    <w:rsid w:val="605855A7"/>
    <w:rsid w:val="60593614"/>
    <w:rsid w:val="605D3104"/>
    <w:rsid w:val="6065020A"/>
    <w:rsid w:val="6065539A"/>
    <w:rsid w:val="60694762"/>
    <w:rsid w:val="60716BAF"/>
    <w:rsid w:val="60745FCF"/>
    <w:rsid w:val="60766FD7"/>
    <w:rsid w:val="60771CEC"/>
    <w:rsid w:val="607B1E49"/>
    <w:rsid w:val="607C7F8F"/>
    <w:rsid w:val="607E307A"/>
    <w:rsid w:val="60806DF2"/>
    <w:rsid w:val="608A5EC3"/>
    <w:rsid w:val="608F5287"/>
    <w:rsid w:val="608F7035"/>
    <w:rsid w:val="6096087C"/>
    <w:rsid w:val="60995615"/>
    <w:rsid w:val="609A21B5"/>
    <w:rsid w:val="609B2F18"/>
    <w:rsid w:val="609C372E"/>
    <w:rsid w:val="60A32AE1"/>
    <w:rsid w:val="60A41C39"/>
    <w:rsid w:val="60A70BD8"/>
    <w:rsid w:val="60A8015D"/>
    <w:rsid w:val="60A878D1"/>
    <w:rsid w:val="60A9459B"/>
    <w:rsid w:val="60AA0313"/>
    <w:rsid w:val="60AF1486"/>
    <w:rsid w:val="60AF76D8"/>
    <w:rsid w:val="60B13450"/>
    <w:rsid w:val="60B46A9C"/>
    <w:rsid w:val="60C05441"/>
    <w:rsid w:val="60C85E06"/>
    <w:rsid w:val="60CB29E3"/>
    <w:rsid w:val="60CB67FA"/>
    <w:rsid w:val="60D4713E"/>
    <w:rsid w:val="60D64C64"/>
    <w:rsid w:val="60E03D35"/>
    <w:rsid w:val="60EB4BB4"/>
    <w:rsid w:val="60EC092C"/>
    <w:rsid w:val="60EE0956"/>
    <w:rsid w:val="60F4555F"/>
    <w:rsid w:val="60F5428B"/>
    <w:rsid w:val="60F61A06"/>
    <w:rsid w:val="60F875EA"/>
    <w:rsid w:val="60FD75AC"/>
    <w:rsid w:val="61047A23"/>
    <w:rsid w:val="6105726A"/>
    <w:rsid w:val="610D0751"/>
    <w:rsid w:val="61124939"/>
    <w:rsid w:val="611E16CE"/>
    <w:rsid w:val="6121051E"/>
    <w:rsid w:val="61251748"/>
    <w:rsid w:val="612652D7"/>
    <w:rsid w:val="61296823"/>
    <w:rsid w:val="612A5035"/>
    <w:rsid w:val="613025C6"/>
    <w:rsid w:val="61354081"/>
    <w:rsid w:val="61371167"/>
    <w:rsid w:val="613828F8"/>
    <w:rsid w:val="61406582"/>
    <w:rsid w:val="61414AD6"/>
    <w:rsid w:val="61471ACE"/>
    <w:rsid w:val="6147235A"/>
    <w:rsid w:val="61474CB9"/>
    <w:rsid w:val="61480B6C"/>
    <w:rsid w:val="614918DA"/>
    <w:rsid w:val="614B38A4"/>
    <w:rsid w:val="614C05B1"/>
    <w:rsid w:val="615001B9"/>
    <w:rsid w:val="615269E1"/>
    <w:rsid w:val="61564492"/>
    <w:rsid w:val="615C5A4F"/>
    <w:rsid w:val="615D5386"/>
    <w:rsid w:val="6166423A"/>
    <w:rsid w:val="61691F7C"/>
    <w:rsid w:val="6171096B"/>
    <w:rsid w:val="6172193C"/>
    <w:rsid w:val="61721E5C"/>
    <w:rsid w:val="61756737"/>
    <w:rsid w:val="61775AA5"/>
    <w:rsid w:val="617C19FD"/>
    <w:rsid w:val="617F354E"/>
    <w:rsid w:val="618038BB"/>
    <w:rsid w:val="61812E22"/>
    <w:rsid w:val="61824FF8"/>
    <w:rsid w:val="61830E6B"/>
    <w:rsid w:val="61860438"/>
    <w:rsid w:val="618648DC"/>
    <w:rsid w:val="618741B1"/>
    <w:rsid w:val="618B172D"/>
    <w:rsid w:val="618B5A4F"/>
    <w:rsid w:val="61920AE7"/>
    <w:rsid w:val="61932B55"/>
    <w:rsid w:val="619535D9"/>
    <w:rsid w:val="619F73C4"/>
    <w:rsid w:val="61A439B7"/>
    <w:rsid w:val="61A60ADB"/>
    <w:rsid w:val="61A62889"/>
    <w:rsid w:val="61A81485"/>
    <w:rsid w:val="61A82AA5"/>
    <w:rsid w:val="61AB3132"/>
    <w:rsid w:val="61B208DA"/>
    <w:rsid w:val="61B256D1"/>
    <w:rsid w:val="61BC02FE"/>
    <w:rsid w:val="61C564E0"/>
    <w:rsid w:val="61C64CD9"/>
    <w:rsid w:val="61C827FF"/>
    <w:rsid w:val="61CB6793"/>
    <w:rsid w:val="61D03549"/>
    <w:rsid w:val="61D218D0"/>
    <w:rsid w:val="61D472BE"/>
    <w:rsid w:val="61D513C0"/>
    <w:rsid w:val="61D61932"/>
    <w:rsid w:val="61D820E5"/>
    <w:rsid w:val="61DB4C28"/>
    <w:rsid w:val="61E015D3"/>
    <w:rsid w:val="61E11B13"/>
    <w:rsid w:val="61E57855"/>
    <w:rsid w:val="61E67129"/>
    <w:rsid w:val="61E92171"/>
    <w:rsid w:val="61F335F4"/>
    <w:rsid w:val="61F53810"/>
    <w:rsid w:val="61F555BE"/>
    <w:rsid w:val="61F5736C"/>
    <w:rsid w:val="61F62F9E"/>
    <w:rsid w:val="61F74CB9"/>
    <w:rsid w:val="61F93300"/>
    <w:rsid w:val="61FE1B3E"/>
    <w:rsid w:val="620121B5"/>
    <w:rsid w:val="62022090"/>
    <w:rsid w:val="6203395D"/>
    <w:rsid w:val="62045801"/>
    <w:rsid w:val="62051CA5"/>
    <w:rsid w:val="62056F76"/>
    <w:rsid w:val="62057D23"/>
    <w:rsid w:val="62087B8C"/>
    <w:rsid w:val="620A1069"/>
    <w:rsid w:val="620A72BB"/>
    <w:rsid w:val="620C2869"/>
    <w:rsid w:val="620C3034"/>
    <w:rsid w:val="62157A0E"/>
    <w:rsid w:val="621912AD"/>
    <w:rsid w:val="62192AAC"/>
    <w:rsid w:val="621A6FE4"/>
    <w:rsid w:val="621B5856"/>
    <w:rsid w:val="621C0D9D"/>
    <w:rsid w:val="621E0E5F"/>
    <w:rsid w:val="621F15B7"/>
    <w:rsid w:val="621F17C2"/>
    <w:rsid w:val="62245B18"/>
    <w:rsid w:val="62261C1B"/>
    <w:rsid w:val="62265778"/>
    <w:rsid w:val="622A34BA"/>
    <w:rsid w:val="622B7232"/>
    <w:rsid w:val="622E7B80"/>
    <w:rsid w:val="6230253C"/>
    <w:rsid w:val="623205C0"/>
    <w:rsid w:val="6232236E"/>
    <w:rsid w:val="623411E2"/>
    <w:rsid w:val="623460E6"/>
    <w:rsid w:val="62357B32"/>
    <w:rsid w:val="623D288E"/>
    <w:rsid w:val="624502F4"/>
    <w:rsid w:val="62455DB0"/>
    <w:rsid w:val="624B0611"/>
    <w:rsid w:val="624B1238"/>
    <w:rsid w:val="624B3430"/>
    <w:rsid w:val="624B51DE"/>
    <w:rsid w:val="624E2E3B"/>
    <w:rsid w:val="624F4CCE"/>
    <w:rsid w:val="62500A46"/>
    <w:rsid w:val="62513997"/>
    <w:rsid w:val="6256605D"/>
    <w:rsid w:val="625C5B39"/>
    <w:rsid w:val="62682234"/>
    <w:rsid w:val="627703CE"/>
    <w:rsid w:val="627920B2"/>
    <w:rsid w:val="62797F9D"/>
    <w:rsid w:val="627C183B"/>
    <w:rsid w:val="627D7A8D"/>
    <w:rsid w:val="62821ACA"/>
    <w:rsid w:val="6283706E"/>
    <w:rsid w:val="62852A33"/>
    <w:rsid w:val="6287513D"/>
    <w:rsid w:val="6288488F"/>
    <w:rsid w:val="628A21AA"/>
    <w:rsid w:val="628F5A13"/>
    <w:rsid w:val="629722D9"/>
    <w:rsid w:val="62977775"/>
    <w:rsid w:val="629D1EDE"/>
    <w:rsid w:val="629D6CC7"/>
    <w:rsid w:val="62A0135A"/>
    <w:rsid w:val="62A10DC4"/>
    <w:rsid w:val="62A212A2"/>
    <w:rsid w:val="62A26CED"/>
    <w:rsid w:val="62A42440"/>
    <w:rsid w:val="62A50D92"/>
    <w:rsid w:val="62A54D51"/>
    <w:rsid w:val="62AF1374"/>
    <w:rsid w:val="62AF39BF"/>
    <w:rsid w:val="62B1515D"/>
    <w:rsid w:val="62B4342F"/>
    <w:rsid w:val="62BB1F75"/>
    <w:rsid w:val="62BD60DC"/>
    <w:rsid w:val="62CC631F"/>
    <w:rsid w:val="62D00233"/>
    <w:rsid w:val="62D022B3"/>
    <w:rsid w:val="62D3203E"/>
    <w:rsid w:val="62D6719E"/>
    <w:rsid w:val="62DA2113"/>
    <w:rsid w:val="62DC7711"/>
    <w:rsid w:val="62DD052C"/>
    <w:rsid w:val="62E0626E"/>
    <w:rsid w:val="62E769BB"/>
    <w:rsid w:val="62E93375"/>
    <w:rsid w:val="62E96ED1"/>
    <w:rsid w:val="62EE44E7"/>
    <w:rsid w:val="62EE6294"/>
    <w:rsid w:val="62EF1C6C"/>
    <w:rsid w:val="62F66A3A"/>
    <w:rsid w:val="62FC72F4"/>
    <w:rsid w:val="62FD61DC"/>
    <w:rsid w:val="6300246C"/>
    <w:rsid w:val="63080435"/>
    <w:rsid w:val="630951DF"/>
    <w:rsid w:val="630E4B89"/>
    <w:rsid w:val="631315EC"/>
    <w:rsid w:val="631B1054"/>
    <w:rsid w:val="631C6836"/>
    <w:rsid w:val="631D4DCC"/>
    <w:rsid w:val="631D6B7A"/>
    <w:rsid w:val="632048BD"/>
    <w:rsid w:val="63206505"/>
    <w:rsid w:val="63247AA4"/>
    <w:rsid w:val="63293771"/>
    <w:rsid w:val="632B573B"/>
    <w:rsid w:val="632C3261"/>
    <w:rsid w:val="632D72AE"/>
    <w:rsid w:val="63351269"/>
    <w:rsid w:val="6335548B"/>
    <w:rsid w:val="633D721D"/>
    <w:rsid w:val="633F4EE6"/>
    <w:rsid w:val="63422A85"/>
    <w:rsid w:val="63471E49"/>
    <w:rsid w:val="634A7AE7"/>
    <w:rsid w:val="634E4F86"/>
    <w:rsid w:val="635051A2"/>
    <w:rsid w:val="635B6812"/>
    <w:rsid w:val="63647772"/>
    <w:rsid w:val="636479FE"/>
    <w:rsid w:val="636548C1"/>
    <w:rsid w:val="63670F39"/>
    <w:rsid w:val="63676048"/>
    <w:rsid w:val="636A58A7"/>
    <w:rsid w:val="63716EC6"/>
    <w:rsid w:val="63721ED3"/>
    <w:rsid w:val="637B4977"/>
    <w:rsid w:val="637F515A"/>
    <w:rsid w:val="63887E2D"/>
    <w:rsid w:val="638B7F88"/>
    <w:rsid w:val="638C7755"/>
    <w:rsid w:val="638D4379"/>
    <w:rsid w:val="638F1633"/>
    <w:rsid w:val="63952BB5"/>
    <w:rsid w:val="63984453"/>
    <w:rsid w:val="639A01CB"/>
    <w:rsid w:val="639E7267"/>
    <w:rsid w:val="63A2549C"/>
    <w:rsid w:val="63A35D3F"/>
    <w:rsid w:val="63A86D8C"/>
    <w:rsid w:val="63AE6EA9"/>
    <w:rsid w:val="63AF6B36"/>
    <w:rsid w:val="63B84AF5"/>
    <w:rsid w:val="63BC2837"/>
    <w:rsid w:val="63BF5E84"/>
    <w:rsid w:val="63C052BC"/>
    <w:rsid w:val="63C70247"/>
    <w:rsid w:val="63C811DC"/>
    <w:rsid w:val="63CD05A1"/>
    <w:rsid w:val="63D41FBE"/>
    <w:rsid w:val="63D95197"/>
    <w:rsid w:val="63DA6BC7"/>
    <w:rsid w:val="63DB32C7"/>
    <w:rsid w:val="63DB465C"/>
    <w:rsid w:val="63DF6605"/>
    <w:rsid w:val="63E1229E"/>
    <w:rsid w:val="63E1404C"/>
    <w:rsid w:val="63E853DA"/>
    <w:rsid w:val="63EC0470"/>
    <w:rsid w:val="63ED0C43"/>
    <w:rsid w:val="63EF49BB"/>
    <w:rsid w:val="63F172BF"/>
    <w:rsid w:val="63F773CC"/>
    <w:rsid w:val="63FC2C34"/>
    <w:rsid w:val="640115C4"/>
    <w:rsid w:val="6401649C"/>
    <w:rsid w:val="640302F6"/>
    <w:rsid w:val="64037F8B"/>
    <w:rsid w:val="64063AB3"/>
    <w:rsid w:val="640815D9"/>
    <w:rsid w:val="64086454"/>
    <w:rsid w:val="6411291E"/>
    <w:rsid w:val="641D0273"/>
    <w:rsid w:val="64227F19"/>
    <w:rsid w:val="642C5003"/>
    <w:rsid w:val="642E6B65"/>
    <w:rsid w:val="64371EBE"/>
    <w:rsid w:val="64373C6C"/>
    <w:rsid w:val="643763DF"/>
    <w:rsid w:val="643979E4"/>
    <w:rsid w:val="643C5726"/>
    <w:rsid w:val="643E2A52"/>
    <w:rsid w:val="643E324C"/>
    <w:rsid w:val="643F0DC9"/>
    <w:rsid w:val="644119FC"/>
    <w:rsid w:val="64414AEB"/>
    <w:rsid w:val="64432611"/>
    <w:rsid w:val="64441708"/>
    <w:rsid w:val="644665A5"/>
    <w:rsid w:val="64487C27"/>
    <w:rsid w:val="64496236"/>
    <w:rsid w:val="6459400A"/>
    <w:rsid w:val="645B3DFE"/>
    <w:rsid w:val="645B765D"/>
    <w:rsid w:val="6467228E"/>
    <w:rsid w:val="646746BB"/>
    <w:rsid w:val="64686F03"/>
    <w:rsid w:val="646A4041"/>
    <w:rsid w:val="64722EF6"/>
    <w:rsid w:val="64754DD6"/>
    <w:rsid w:val="647629E6"/>
    <w:rsid w:val="647C3D75"/>
    <w:rsid w:val="64815730"/>
    <w:rsid w:val="6482427B"/>
    <w:rsid w:val="648550E1"/>
    <w:rsid w:val="648669A1"/>
    <w:rsid w:val="648A46E4"/>
    <w:rsid w:val="648B4D28"/>
    <w:rsid w:val="64917820"/>
    <w:rsid w:val="649A6022"/>
    <w:rsid w:val="649B069F"/>
    <w:rsid w:val="649D6039"/>
    <w:rsid w:val="649D6684"/>
    <w:rsid w:val="64A37168"/>
    <w:rsid w:val="64A55A02"/>
    <w:rsid w:val="64A700B4"/>
    <w:rsid w:val="64A81104"/>
    <w:rsid w:val="64A837BF"/>
    <w:rsid w:val="64AC28AC"/>
    <w:rsid w:val="64AD1118"/>
    <w:rsid w:val="64B13A1E"/>
    <w:rsid w:val="64B41760"/>
    <w:rsid w:val="64B452BD"/>
    <w:rsid w:val="64B746AE"/>
    <w:rsid w:val="64BB489D"/>
    <w:rsid w:val="64C23E7D"/>
    <w:rsid w:val="64C5396E"/>
    <w:rsid w:val="64C5571C"/>
    <w:rsid w:val="64CA2D32"/>
    <w:rsid w:val="64CC5204"/>
    <w:rsid w:val="64CD50E0"/>
    <w:rsid w:val="64CF20F6"/>
    <w:rsid w:val="64CF6B91"/>
    <w:rsid w:val="64E42046"/>
    <w:rsid w:val="64E57333"/>
    <w:rsid w:val="64E75692"/>
    <w:rsid w:val="64E77440"/>
    <w:rsid w:val="64EC4A56"/>
    <w:rsid w:val="64F810B6"/>
    <w:rsid w:val="64F904BF"/>
    <w:rsid w:val="64F9082A"/>
    <w:rsid w:val="64FB6E13"/>
    <w:rsid w:val="64FC3347"/>
    <w:rsid w:val="65001597"/>
    <w:rsid w:val="6502071E"/>
    <w:rsid w:val="650224CC"/>
    <w:rsid w:val="650A1380"/>
    <w:rsid w:val="650A75D2"/>
    <w:rsid w:val="651346D9"/>
    <w:rsid w:val="65164DA3"/>
    <w:rsid w:val="65167A70"/>
    <w:rsid w:val="65187685"/>
    <w:rsid w:val="651D10B4"/>
    <w:rsid w:val="651F307E"/>
    <w:rsid w:val="6522491C"/>
    <w:rsid w:val="652310DA"/>
    <w:rsid w:val="65262221"/>
    <w:rsid w:val="652C1DA4"/>
    <w:rsid w:val="6530528B"/>
    <w:rsid w:val="65332685"/>
    <w:rsid w:val="65362175"/>
    <w:rsid w:val="65397DF7"/>
    <w:rsid w:val="653A7EB8"/>
    <w:rsid w:val="65401246"/>
    <w:rsid w:val="654145AA"/>
    <w:rsid w:val="65474383"/>
    <w:rsid w:val="654D7A6A"/>
    <w:rsid w:val="655645C6"/>
    <w:rsid w:val="655B1FE0"/>
    <w:rsid w:val="655C1C17"/>
    <w:rsid w:val="655F7C3D"/>
    <w:rsid w:val="65600071"/>
    <w:rsid w:val="65637E12"/>
    <w:rsid w:val="6569254B"/>
    <w:rsid w:val="656960A7"/>
    <w:rsid w:val="656D37B1"/>
    <w:rsid w:val="656E5DB3"/>
    <w:rsid w:val="657A6506"/>
    <w:rsid w:val="657D45EA"/>
    <w:rsid w:val="657D7DA4"/>
    <w:rsid w:val="657E57E1"/>
    <w:rsid w:val="65842EE1"/>
    <w:rsid w:val="65891A1E"/>
    <w:rsid w:val="65905D2A"/>
    <w:rsid w:val="65930D0A"/>
    <w:rsid w:val="65943DCC"/>
    <w:rsid w:val="65952D1C"/>
    <w:rsid w:val="65960AE0"/>
    <w:rsid w:val="65982E30"/>
    <w:rsid w:val="65984BDE"/>
    <w:rsid w:val="6598698C"/>
    <w:rsid w:val="659F422A"/>
    <w:rsid w:val="65A41251"/>
    <w:rsid w:val="65A5799D"/>
    <w:rsid w:val="65A934F5"/>
    <w:rsid w:val="65AB4911"/>
    <w:rsid w:val="65AB558C"/>
    <w:rsid w:val="65AC2FF2"/>
    <w:rsid w:val="65AE717A"/>
    <w:rsid w:val="65AF7B55"/>
    <w:rsid w:val="65B03CD6"/>
    <w:rsid w:val="65B433A9"/>
    <w:rsid w:val="65B81F72"/>
    <w:rsid w:val="65B85280"/>
    <w:rsid w:val="65BA4B55"/>
    <w:rsid w:val="65BD4645"/>
    <w:rsid w:val="65BF03BD"/>
    <w:rsid w:val="65C07C91"/>
    <w:rsid w:val="65C37EAD"/>
    <w:rsid w:val="65C415C7"/>
    <w:rsid w:val="65D025CA"/>
    <w:rsid w:val="65D07CD0"/>
    <w:rsid w:val="65D4319C"/>
    <w:rsid w:val="65D4400A"/>
    <w:rsid w:val="65DA51F7"/>
    <w:rsid w:val="65DB25F0"/>
    <w:rsid w:val="65DC4ACB"/>
    <w:rsid w:val="65DF2A5C"/>
    <w:rsid w:val="65DF45BB"/>
    <w:rsid w:val="65E06FC3"/>
    <w:rsid w:val="65E10333"/>
    <w:rsid w:val="65E16585"/>
    <w:rsid w:val="65E252B4"/>
    <w:rsid w:val="65E505B2"/>
    <w:rsid w:val="65F00576"/>
    <w:rsid w:val="65F17205"/>
    <w:rsid w:val="65FA13F5"/>
    <w:rsid w:val="65FD3F7D"/>
    <w:rsid w:val="6600416A"/>
    <w:rsid w:val="66044022"/>
    <w:rsid w:val="660758C0"/>
    <w:rsid w:val="6608046A"/>
    <w:rsid w:val="66081760"/>
    <w:rsid w:val="66094A45"/>
    <w:rsid w:val="660B1854"/>
    <w:rsid w:val="661017D9"/>
    <w:rsid w:val="66112C6A"/>
    <w:rsid w:val="66152731"/>
    <w:rsid w:val="661F2C0A"/>
    <w:rsid w:val="661F70AE"/>
    <w:rsid w:val="66202B8F"/>
    <w:rsid w:val="66212E26"/>
    <w:rsid w:val="662A7F2C"/>
    <w:rsid w:val="6632293D"/>
    <w:rsid w:val="663C1A0D"/>
    <w:rsid w:val="663E515C"/>
    <w:rsid w:val="663F505A"/>
    <w:rsid w:val="66425B41"/>
    <w:rsid w:val="66467401"/>
    <w:rsid w:val="664803B2"/>
    <w:rsid w:val="66495ED8"/>
    <w:rsid w:val="664A1D65"/>
    <w:rsid w:val="66522FDF"/>
    <w:rsid w:val="66552ACF"/>
    <w:rsid w:val="665925BF"/>
    <w:rsid w:val="665D12C4"/>
    <w:rsid w:val="665F174A"/>
    <w:rsid w:val="666351EC"/>
    <w:rsid w:val="666437C4"/>
    <w:rsid w:val="666A299F"/>
    <w:rsid w:val="666A657B"/>
    <w:rsid w:val="666B5E4F"/>
    <w:rsid w:val="666B6D4A"/>
    <w:rsid w:val="666D606B"/>
    <w:rsid w:val="66726677"/>
    <w:rsid w:val="66754F1F"/>
    <w:rsid w:val="66776B68"/>
    <w:rsid w:val="66794A10"/>
    <w:rsid w:val="667A42E4"/>
    <w:rsid w:val="66811B16"/>
    <w:rsid w:val="66860DDC"/>
    <w:rsid w:val="668A4527"/>
    <w:rsid w:val="668F1B3D"/>
    <w:rsid w:val="6695111E"/>
    <w:rsid w:val="669979AE"/>
    <w:rsid w:val="66997B49"/>
    <w:rsid w:val="669C06FE"/>
    <w:rsid w:val="669C466C"/>
    <w:rsid w:val="669E78F0"/>
    <w:rsid w:val="66A23F66"/>
    <w:rsid w:val="66A3383B"/>
    <w:rsid w:val="66A44903"/>
    <w:rsid w:val="66A54D49"/>
    <w:rsid w:val="66AD6326"/>
    <w:rsid w:val="66B07D06"/>
    <w:rsid w:val="66B100E8"/>
    <w:rsid w:val="66B202AC"/>
    <w:rsid w:val="66B50838"/>
    <w:rsid w:val="66B95DF4"/>
    <w:rsid w:val="66BB0B84"/>
    <w:rsid w:val="66BF2187"/>
    <w:rsid w:val="66C8643E"/>
    <w:rsid w:val="66CF2F3B"/>
    <w:rsid w:val="66D659BE"/>
    <w:rsid w:val="66D85EBE"/>
    <w:rsid w:val="66D87ADC"/>
    <w:rsid w:val="66D9247D"/>
    <w:rsid w:val="66DB4D83"/>
    <w:rsid w:val="66DE4873"/>
    <w:rsid w:val="66E04A8F"/>
    <w:rsid w:val="66E53E53"/>
    <w:rsid w:val="66E8749F"/>
    <w:rsid w:val="66ED1A86"/>
    <w:rsid w:val="66F039D9"/>
    <w:rsid w:val="66F1473C"/>
    <w:rsid w:val="66F44096"/>
    <w:rsid w:val="66F61840"/>
    <w:rsid w:val="66F81DD8"/>
    <w:rsid w:val="66F83B86"/>
    <w:rsid w:val="66F95EDE"/>
    <w:rsid w:val="66FE4F15"/>
    <w:rsid w:val="67000C8D"/>
    <w:rsid w:val="6703077D"/>
    <w:rsid w:val="67035656"/>
    <w:rsid w:val="67044A5E"/>
    <w:rsid w:val="6707201B"/>
    <w:rsid w:val="670A1B0C"/>
    <w:rsid w:val="671275A7"/>
    <w:rsid w:val="67127912"/>
    <w:rsid w:val="6714011F"/>
    <w:rsid w:val="67140294"/>
    <w:rsid w:val="671464E6"/>
    <w:rsid w:val="671A2170"/>
    <w:rsid w:val="671B1623"/>
    <w:rsid w:val="67204E8B"/>
    <w:rsid w:val="67227736"/>
    <w:rsid w:val="6723497B"/>
    <w:rsid w:val="67236729"/>
    <w:rsid w:val="6727709E"/>
    <w:rsid w:val="67281F92"/>
    <w:rsid w:val="672C1A82"/>
    <w:rsid w:val="6730396A"/>
    <w:rsid w:val="6735240E"/>
    <w:rsid w:val="67395F4D"/>
    <w:rsid w:val="673E0541"/>
    <w:rsid w:val="673E3563"/>
    <w:rsid w:val="674072DB"/>
    <w:rsid w:val="67423054"/>
    <w:rsid w:val="67467569"/>
    <w:rsid w:val="674A1F08"/>
    <w:rsid w:val="674A63AC"/>
    <w:rsid w:val="67542D87"/>
    <w:rsid w:val="675863D3"/>
    <w:rsid w:val="6759039D"/>
    <w:rsid w:val="675B4115"/>
    <w:rsid w:val="675F3C06"/>
    <w:rsid w:val="675F6CEE"/>
    <w:rsid w:val="676034DA"/>
    <w:rsid w:val="676504E2"/>
    <w:rsid w:val="67670D0C"/>
    <w:rsid w:val="67695FB4"/>
    <w:rsid w:val="67696832"/>
    <w:rsid w:val="676E209B"/>
    <w:rsid w:val="677B6565"/>
    <w:rsid w:val="677E1BB2"/>
    <w:rsid w:val="678278F4"/>
    <w:rsid w:val="6786745C"/>
    <w:rsid w:val="6787315C"/>
    <w:rsid w:val="678804B3"/>
    <w:rsid w:val="67880EF4"/>
    <w:rsid w:val="678C32CE"/>
    <w:rsid w:val="67917912"/>
    <w:rsid w:val="67955879"/>
    <w:rsid w:val="67957627"/>
    <w:rsid w:val="679F04A6"/>
    <w:rsid w:val="67A6445C"/>
    <w:rsid w:val="67A651D9"/>
    <w:rsid w:val="67A96C2F"/>
    <w:rsid w:val="67AB0BF9"/>
    <w:rsid w:val="67AD3D48"/>
    <w:rsid w:val="67AF17F3"/>
    <w:rsid w:val="67B3300F"/>
    <w:rsid w:val="67B37C4A"/>
    <w:rsid w:val="67B566CD"/>
    <w:rsid w:val="67B6759E"/>
    <w:rsid w:val="67B712B0"/>
    <w:rsid w:val="67BA0F0C"/>
    <w:rsid w:val="67BC1D30"/>
    <w:rsid w:val="67BF6452"/>
    <w:rsid w:val="67C021CA"/>
    <w:rsid w:val="67C20AF9"/>
    <w:rsid w:val="67C23014"/>
    <w:rsid w:val="67D02BAD"/>
    <w:rsid w:val="67D24FF9"/>
    <w:rsid w:val="67D77C40"/>
    <w:rsid w:val="67DB076F"/>
    <w:rsid w:val="67DD0FCE"/>
    <w:rsid w:val="67DD2D7C"/>
    <w:rsid w:val="67E04B62"/>
    <w:rsid w:val="67E26298"/>
    <w:rsid w:val="67E265E5"/>
    <w:rsid w:val="67E60C6C"/>
    <w:rsid w:val="67E67E83"/>
    <w:rsid w:val="67E72B9D"/>
    <w:rsid w:val="67E934CF"/>
    <w:rsid w:val="67EB3175"/>
    <w:rsid w:val="67ED42D2"/>
    <w:rsid w:val="67F26828"/>
    <w:rsid w:val="67F27ABA"/>
    <w:rsid w:val="67FA69AA"/>
    <w:rsid w:val="67FD6F7B"/>
    <w:rsid w:val="67FE0A1E"/>
    <w:rsid w:val="67FE51D8"/>
    <w:rsid w:val="67FF6782"/>
    <w:rsid w:val="680111FD"/>
    <w:rsid w:val="680B1697"/>
    <w:rsid w:val="680B78E9"/>
    <w:rsid w:val="680C5410"/>
    <w:rsid w:val="68106CAE"/>
    <w:rsid w:val="68120C78"/>
    <w:rsid w:val="6812637F"/>
    <w:rsid w:val="681503E6"/>
    <w:rsid w:val="6817003C"/>
    <w:rsid w:val="682824FA"/>
    <w:rsid w:val="6829511B"/>
    <w:rsid w:val="682E5386"/>
    <w:rsid w:val="6836582D"/>
    <w:rsid w:val="683B56B0"/>
    <w:rsid w:val="683B74A5"/>
    <w:rsid w:val="683D1E50"/>
    <w:rsid w:val="683E7CBF"/>
    <w:rsid w:val="68416F3C"/>
    <w:rsid w:val="68447EF6"/>
    <w:rsid w:val="684E58C1"/>
    <w:rsid w:val="684E5A28"/>
    <w:rsid w:val="684F2072"/>
    <w:rsid w:val="685017A0"/>
    <w:rsid w:val="68541AF0"/>
    <w:rsid w:val="68572B2F"/>
    <w:rsid w:val="685D1832"/>
    <w:rsid w:val="685D6F1B"/>
    <w:rsid w:val="686314D3"/>
    <w:rsid w:val="686D4FB3"/>
    <w:rsid w:val="686F1611"/>
    <w:rsid w:val="686F6FB6"/>
    <w:rsid w:val="68703BF0"/>
    <w:rsid w:val="687731D1"/>
    <w:rsid w:val="687874D2"/>
    <w:rsid w:val="687C2595"/>
    <w:rsid w:val="687F1367"/>
    <w:rsid w:val="687F7DF0"/>
    <w:rsid w:val="68817BAC"/>
    <w:rsid w:val="688261E5"/>
    <w:rsid w:val="68890DEB"/>
    <w:rsid w:val="688D31E9"/>
    <w:rsid w:val="68907DEF"/>
    <w:rsid w:val="689908E0"/>
    <w:rsid w:val="689A710A"/>
    <w:rsid w:val="68A11FFC"/>
    <w:rsid w:val="68A5389A"/>
    <w:rsid w:val="68A62AB5"/>
    <w:rsid w:val="68A82585"/>
    <w:rsid w:val="68A904E9"/>
    <w:rsid w:val="68A90F2B"/>
    <w:rsid w:val="68AA7102"/>
    <w:rsid w:val="68AD6BF3"/>
    <w:rsid w:val="68B26F25"/>
    <w:rsid w:val="68B7537B"/>
    <w:rsid w:val="68B97536"/>
    <w:rsid w:val="68BC6214"/>
    <w:rsid w:val="68BD30FE"/>
    <w:rsid w:val="68BE1872"/>
    <w:rsid w:val="68C05C3A"/>
    <w:rsid w:val="68C1444C"/>
    <w:rsid w:val="68C215B6"/>
    <w:rsid w:val="68C77CB4"/>
    <w:rsid w:val="68C83AFF"/>
    <w:rsid w:val="68C97A7D"/>
    <w:rsid w:val="68CB04F6"/>
    <w:rsid w:val="68CC2307"/>
    <w:rsid w:val="68CD1043"/>
    <w:rsid w:val="68CD4BEA"/>
    <w:rsid w:val="68D20407"/>
    <w:rsid w:val="68D73C6F"/>
    <w:rsid w:val="68D87EAF"/>
    <w:rsid w:val="68DE0B5A"/>
    <w:rsid w:val="68DF3109"/>
    <w:rsid w:val="68E1064A"/>
    <w:rsid w:val="68E86550"/>
    <w:rsid w:val="68ED3493"/>
    <w:rsid w:val="68F03B84"/>
    <w:rsid w:val="68F14A85"/>
    <w:rsid w:val="68F16ADF"/>
    <w:rsid w:val="68F22857"/>
    <w:rsid w:val="68F93BE6"/>
    <w:rsid w:val="68F95906"/>
    <w:rsid w:val="69006B8C"/>
    <w:rsid w:val="69016300"/>
    <w:rsid w:val="690437B2"/>
    <w:rsid w:val="69086D1C"/>
    <w:rsid w:val="690F3409"/>
    <w:rsid w:val="691174A4"/>
    <w:rsid w:val="6912177B"/>
    <w:rsid w:val="69194288"/>
    <w:rsid w:val="691A7AD8"/>
    <w:rsid w:val="691B1DAE"/>
    <w:rsid w:val="691B3B5C"/>
    <w:rsid w:val="691E2A2E"/>
    <w:rsid w:val="691E421E"/>
    <w:rsid w:val="69205616"/>
    <w:rsid w:val="692075BB"/>
    <w:rsid w:val="69211004"/>
    <w:rsid w:val="69220CFE"/>
    <w:rsid w:val="692C5D69"/>
    <w:rsid w:val="693115D2"/>
    <w:rsid w:val="69374E2F"/>
    <w:rsid w:val="69392234"/>
    <w:rsid w:val="693A3443"/>
    <w:rsid w:val="694A6CE4"/>
    <w:rsid w:val="694C1F68"/>
    <w:rsid w:val="695070C6"/>
    <w:rsid w:val="69535A05"/>
    <w:rsid w:val="69561038"/>
    <w:rsid w:val="6958638F"/>
    <w:rsid w:val="695A25BD"/>
    <w:rsid w:val="695A27D3"/>
    <w:rsid w:val="696372B1"/>
    <w:rsid w:val="69690D6B"/>
    <w:rsid w:val="69694879"/>
    <w:rsid w:val="696C0215"/>
    <w:rsid w:val="696C43B8"/>
    <w:rsid w:val="696E4178"/>
    <w:rsid w:val="697274F4"/>
    <w:rsid w:val="69733998"/>
    <w:rsid w:val="697509FA"/>
    <w:rsid w:val="69753339"/>
    <w:rsid w:val="69777056"/>
    <w:rsid w:val="697D4817"/>
    <w:rsid w:val="697D6040"/>
    <w:rsid w:val="69851B9E"/>
    <w:rsid w:val="698536CB"/>
    <w:rsid w:val="69863787"/>
    <w:rsid w:val="698E54B3"/>
    <w:rsid w:val="699064ED"/>
    <w:rsid w:val="69913E1E"/>
    <w:rsid w:val="69967687"/>
    <w:rsid w:val="699A1D68"/>
    <w:rsid w:val="699B4C9D"/>
    <w:rsid w:val="69A00505"/>
    <w:rsid w:val="69A36FF0"/>
    <w:rsid w:val="69A51678"/>
    <w:rsid w:val="69A71894"/>
    <w:rsid w:val="69A834F9"/>
    <w:rsid w:val="69A9560C"/>
    <w:rsid w:val="69AA4EE0"/>
    <w:rsid w:val="69AF5B2D"/>
    <w:rsid w:val="69B0042B"/>
    <w:rsid w:val="69B144C0"/>
    <w:rsid w:val="69B1626F"/>
    <w:rsid w:val="69B35BD4"/>
    <w:rsid w:val="69B875FD"/>
    <w:rsid w:val="69B87C08"/>
    <w:rsid w:val="69BA37BA"/>
    <w:rsid w:val="69BF098B"/>
    <w:rsid w:val="69C029FB"/>
    <w:rsid w:val="69C441F4"/>
    <w:rsid w:val="69C836F6"/>
    <w:rsid w:val="69CC709D"/>
    <w:rsid w:val="69CD6B71"/>
    <w:rsid w:val="69CE6E20"/>
    <w:rsid w:val="69D76646"/>
    <w:rsid w:val="69DA7573"/>
    <w:rsid w:val="69DC3008"/>
    <w:rsid w:val="69ED6F02"/>
    <w:rsid w:val="69F10D61"/>
    <w:rsid w:val="69F543AD"/>
    <w:rsid w:val="69F61ED3"/>
    <w:rsid w:val="69FC1C8E"/>
    <w:rsid w:val="6A022F6E"/>
    <w:rsid w:val="6A026ACA"/>
    <w:rsid w:val="6A040A94"/>
    <w:rsid w:val="6A042842"/>
    <w:rsid w:val="6A0740E0"/>
    <w:rsid w:val="6A0C577D"/>
    <w:rsid w:val="6A10568B"/>
    <w:rsid w:val="6A116D0D"/>
    <w:rsid w:val="6A152CA1"/>
    <w:rsid w:val="6A166C8E"/>
    <w:rsid w:val="6A18009C"/>
    <w:rsid w:val="6A191A36"/>
    <w:rsid w:val="6A1A2066"/>
    <w:rsid w:val="6A1C5DDE"/>
    <w:rsid w:val="6A1E06F2"/>
    <w:rsid w:val="6A2151A2"/>
    <w:rsid w:val="6A22716C"/>
    <w:rsid w:val="6A235589"/>
    <w:rsid w:val="6A270F1C"/>
    <w:rsid w:val="6A274783"/>
    <w:rsid w:val="6A2A54B8"/>
    <w:rsid w:val="6A2C0988"/>
    <w:rsid w:val="6A326A99"/>
    <w:rsid w:val="6A3273AF"/>
    <w:rsid w:val="6A386990"/>
    <w:rsid w:val="6A3B1C40"/>
    <w:rsid w:val="6A3C13E7"/>
    <w:rsid w:val="6A407908"/>
    <w:rsid w:val="6A427C3D"/>
    <w:rsid w:val="6A4B0471"/>
    <w:rsid w:val="6A4B6678"/>
    <w:rsid w:val="6A4D243B"/>
    <w:rsid w:val="6A4F734F"/>
    <w:rsid w:val="6A552A8D"/>
    <w:rsid w:val="6A554E4C"/>
    <w:rsid w:val="6A574AD0"/>
    <w:rsid w:val="6A5903CD"/>
    <w:rsid w:val="6A5C442C"/>
    <w:rsid w:val="6A606265"/>
    <w:rsid w:val="6A6652AB"/>
    <w:rsid w:val="6A6C412A"/>
    <w:rsid w:val="6A707ED8"/>
    <w:rsid w:val="6A7177BA"/>
    <w:rsid w:val="6A752D10"/>
    <w:rsid w:val="6A763BAE"/>
    <w:rsid w:val="6A77474D"/>
    <w:rsid w:val="6A7C4ACE"/>
    <w:rsid w:val="6A841BD5"/>
    <w:rsid w:val="6A86594D"/>
    <w:rsid w:val="6A88778D"/>
    <w:rsid w:val="6A90057A"/>
    <w:rsid w:val="6A9061C5"/>
    <w:rsid w:val="6A9242F2"/>
    <w:rsid w:val="6A941E18"/>
    <w:rsid w:val="6A9516EC"/>
    <w:rsid w:val="6AA714FE"/>
    <w:rsid w:val="6AAB7162"/>
    <w:rsid w:val="6AAF0A00"/>
    <w:rsid w:val="6AB0392E"/>
    <w:rsid w:val="6AB4471D"/>
    <w:rsid w:val="6AB46016"/>
    <w:rsid w:val="6ABA6B4B"/>
    <w:rsid w:val="6ABB660F"/>
    <w:rsid w:val="6ABC0C1E"/>
    <w:rsid w:val="6ABF49BB"/>
    <w:rsid w:val="6AC00E5F"/>
    <w:rsid w:val="6AC1283E"/>
    <w:rsid w:val="6AC55556"/>
    <w:rsid w:val="6AC81AC2"/>
    <w:rsid w:val="6ACC3540"/>
    <w:rsid w:val="6ACD532A"/>
    <w:rsid w:val="6ACE3FD8"/>
    <w:rsid w:val="6AD14E1A"/>
    <w:rsid w:val="6AD22940"/>
    <w:rsid w:val="6AD379C8"/>
    <w:rsid w:val="6AD761A9"/>
    <w:rsid w:val="6ADA17F5"/>
    <w:rsid w:val="6AE1287C"/>
    <w:rsid w:val="6AE306AA"/>
    <w:rsid w:val="6AE663EC"/>
    <w:rsid w:val="6AE93ECE"/>
    <w:rsid w:val="6AEE4391"/>
    <w:rsid w:val="6AEF4D6B"/>
    <w:rsid w:val="6AF208ED"/>
    <w:rsid w:val="6AF705F9"/>
    <w:rsid w:val="6AF874EA"/>
    <w:rsid w:val="6AF97ECD"/>
    <w:rsid w:val="6AFE7291"/>
    <w:rsid w:val="6B0A3E88"/>
    <w:rsid w:val="6B0C2013"/>
    <w:rsid w:val="6B1360A0"/>
    <w:rsid w:val="6B1A47F0"/>
    <w:rsid w:val="6B1D005F"/>
    <w:rsid w:val="6B1E7934"/>
    <w:rsid w:val="6B2009D5"/>
    <w:rsid w:val="6B2111D2"/>
    <w:rsid w:val="6B231C44"/>
    <w:rsid w:val="6B242382"/>
    <w:rsid w:val="6B2504A2"/>
    <w:rsid w:val="6B256F14"/>
    <w:rsid w:val="6B2807B2"/>
    <w:rsid w:val="6B2917A5"/>
    <w:rsid w:val="6B2B4BE8"/>
    <w:rsid w:val="6B2E02FC"/>
    <w:rsid w:val="6B3B04E6"/>
    <w:rsid w:val="6B3B71FF"/>
    <w:rsid w:val="6B4471A1"/>
    <w:rsid w:val="6B476E8A"/>
    <w:rsid w:val="6B4A0729"/>
    <w:rsid w:val="6B4E24B7"/>
    <w:rsid w:val="6B4E56D4"/>
    <w:rsid w:val="6B4F0E1B"/>
    <w:rsid w:val="6B4F5D3F"/>
    <w:rsid w:val="6B511AB7"/>
    <w:rsid w:val="6B513865"/>
    <w:rsid w:val="6B523E76"/>
    <w:rsid w:val="6B564A55"/>
    <w:rsid w:val="6B5670CE"/>
    <w:rsid w:val="6B5734C2"/>
    <w:rsid w:val="6B5A1C34"/>
    <w:rsid w:val="6B5E01DB"/>
    <w:rsid w:val="6B601CFA"/>
    <w:rsid w:val="6B610944"/>
    <w:rsid w:val="6B63067C"/>
    <w:rsid w:val="6B6D4417"/>
    <w:rsid w:val="6B6D7437"/>
    <w:rsid w:val="6B737C7F"/>
    <w:rsid w:val="6B7457A6"/>
    <w:rsid w:val="6B7A30A9"/>
    <w:rsid w:val="6B7B4688"/>
    <w:rsid w:val="6B7B4D86"/>
    <w:rsid w:val="6B7B6B34"/>
    <w:rsid w:val="6B7D28AC"/>
    <w:rsid w:val="6B7F39E6"/>
    <w:rsid w:val="6B80239C"/>
    <w:rsid w:val="6B804DE4"/>
    <w:rsid w:val="6B81470D"/>
    <w:rsid w:val="6B817D5D"/>
    <w:rsid w:val="6B855C05"/>
    <w:rsid w:val="6B8A4E6F"/>
    <w:rsid w:val="6B8C2459"/>
    <w:rsid w:val="6B8F4BCE"/>
    <w:rsid w:val="6B924815"/>
    <w:rsid w:val="6B9431F2"/>
    <w:rsid w:val="6B944422"/>
    <w:rsid w:val="6B9A16B0"/>
    <w:rsid w:val="6B9D1A33"/>
    <w:rsid w:val="6B9D4CFC"/>
    <w:rsid w:val="6B9E0A74"/>
    <w:rsid w:val="6B9F5C10"/>
    <w:rsid w:val="6BA41E2C"/>
    <w:rsid w:val="6BA73CA3"/>
    <w:rsid w:val="6BAC0823"/>
    <w:rsid w:val="6BAF67DE"/>
    <w:rsid w:val="6BB2069E"/>
    <w:rsid w:val="6BB9116F"/>
    <w:rsid w:val="6BBD539F"/>
    <w:rsid w:val="6BD149A6"/>
    <w:rsid w:val="6BD44496"/>
    <w:rsid w:val="6BDF5191"/>
    <w:rsid w:val="6BE02248"/>
    <w:rsid w:val="6BE24E05"/>
    <w:rsid w:val="6BE956D3"/>
    <w:rsid w:val="6BEC17E0"/>
    <w:rsid w:val="6BF90704"/>
    <w:rsid w:val="6C0134DD"/>
    <w:rsid w:val="6C042FCD"/>
    <w:rsid w:val="6C083654"/>
    <w:rsid w:val="6C0D6B20"/>
    <w:rsid w:val="6C117498"/>
    <w:rsid w:val="6C122E57"/>
    <w:rsid w:val="6C1763DF"/>
    <w:rsid w:val="6C1B1A70"/>
    <w:rsid w:val="6C2076DB"/>
    <w:rsid w:val="6C213360"/>
    <w:rsid w:val="6C223454"/>
    <w:rsid w:val="6C262F44"/>
    <w:rsid w:val="6C2C60B8"/>
    <w:rsid w:val="6C2C7E2E"/>
    <w:rsid w:val="6C3078F9"/>
    <w:rsid w:val="6C326A9A"/>
    <w:rsid w:val="6C326D97"/>
    <w:rsid w:val="6C343A69"/>
    <w:rsid w:val="6C3728BB"/>
    <w:rsid w:val="6C386F35"/>
    <w:rsid w:val="6C3D203B"/>
    <w:rsid w:val="6C3F14DF"/>
    <w:rsid w:val="6C4802C8"/>
    <w:rsid w:val="6C482A24"/>
    <w:rsid w:val="6C4E249B"/>
    <w:rsid w:val="6C4E3B06"/>
    <w:rsid w:val="6C4E7775"/>
    <w:rsid w:val="6C532CBE"/>
    <w:rsid w:val="6C5C11C9"/>
    <w:rsid w:val="6C5C6804"/>
    <w:rsid w:val="6C621AA2"/>
    <w:rsid w:val="6C6608C4"/>
    <w:rsid w:val="6C6A1502"/>
    <w:rsid w:val="6C6A4059"/>
    <w:rsid w:val="6C6E498F"/>
    <w:rsid w:val="6C710F75"/>
    <w:rsid w:val="6C733CAF"/>
    <w:rsid w:val="6C74553C"/>
    <w:rsid w:val="6C783CDF"/>
    <w:rsid w:val="6C784200"/>
    <w:rsid w:val="6C7B7A43"/>
    <w:rsid w:val="6C7C2B64"/>
    <w:rsid w:val="6C7C7008"/>
    <w:rsid w:val="6C823EF2"/>
    <w:rsid w:val="6C84274B"/>
    <w:rsid w:val="6C843DE2"/>
    <w:rsid w:val="6C846341"/>
    <w:rsid w:val="6C8B0FF9"/>
    <w:rsid w:val="6C8B272D"/>
    <w:rsid w:val="6C8D2FC3"/>
    <w:rsid w:val="6CA46827"/>
    <w:rsid w:val="6CAA4302"/>
    <w:rsid w:val="6CAB169B"/>
    <w:rsid w:val="6CAB3449"/>
    <w:rsid w:val="6CAD0F6F"/>
    <w:rsid w:val="6CB1691E"/>
    <w:rsid w:val="6CB319F4"/>
    <w:rsid w:val="6CB542C8"/>
    <w:rsid w:val="6CBC5656"/>
    <w:rsid w:val="6CBD4F2A"/>
    <w:rsid w:val="6CBE6960"/>
    <w:rsid w:val="6CC24944"/>
    <w:rsid w:val="6CC60283"/>
    <w:rsid w:val="6CC83FFB"/>
    <w:rsid w:val="6CC85DA9"/>
    <w:rsid w:val="6CCE7137"/>
    <w:rsid w:val="6CCF21CC"/>
    <w:rsid w:val="6CD209D6"/>
    <w:rsid w:val="6CD55F8A"/>
    <w:rsid w:val="6CD77686"/>
    <w:rsid w:val="6CDC3982"/>
    <w:rsid w:val="6CDF1345"/>
    <w:rsid w:val="6CDF24FA"/>
    <w:rsid w:val="6CE34991"/>
    <w:rsid w:val="6CE718EC"/>
    <w:rsid w:val="6CE7542D"/>
    <w:rsid w:val="6CEA1810"/>
    <w:rsid w:val="6CED5EB8"/>
    <w:rsid w:val="6CF62502"/>
    <w:rsid w:val="6CF63831"/>
    <w:rsid w:val="6CF92413"/>
    <w:rsid w:val="6CFA617E"/>
    <w:rsid w:val="6CFE17CB"/>
    <w:rsid w:val="6CFE62C4"/>
    <w:rsid w:val="6D005463"/>
    <w:rsid w:val="6D01750D"/>
    <w:rsid w:val="6D035033"/>
    <w:rsid w:val="6D090AE2"/>
    <w:rsid w:val="6D0B1D5B"/>
    <w:rsid w:val="6D0D7C60"/>
    <w:rsid w:val="6D0E4172"/>
    <w:rsid w:val="6D0E5786"/>
    <w:rsid w:val="6D135038"/>
    <w:rsid w:val="6D196069"/>
    <w:rsid w:val="6D2356D5"/>
    <w:rsid w:val="6D267C77"/>
    <w:rsid w:val="6D2D29EC"/>
    <w:rsid w:val="6D2D759A"/>
    <w:rsid w:val="6D3161C1"/>
    <w:rsid w:val="6D321474"/>
    <w:rsid w:val="6D3671B7"/>
    <w:rsid w:val="6D394EF9"/>
    <w:rsid w:val="6D396CA7"/>
    <w:rsid w:val="6D3970AC"/>
    <w:rsid w:val="6D3978A2"/>
    <w:rsid w:val="6D3B25A1"/>
    <w:rsid w:val="6D3C0545"/>
    <w:rsid w:val="6D3C6131"/>
    <w:rsid w:val="6D3C6797"/>
    <w:rsid w:val="6D3D3003"/>
    <w:rsid w:val="6D400035"/>
    <w:rsid w:val="6D494DE7"/>
    <w:rsid w:val="6D513FF0"/>
    <w:rsid w:val="6D5D08F3"/>
    <w:rsid w:val="6D5E04BB"/>
    <w:rsid w:val="6D6104D7"/>
    <w:rsid w:val="6D77157D"/>
    <w:rsid w:val="6D7C6B93"/>
    <w:rsid w:val="6D851EEC"/>
    <w:rsid w:val="6D853C9A"/>
    <w:rsid w:val="6D85410D"/>
    <w:rsid w:val="6D875C64"/>
    <w:rsid w:val="6D8A12B0"/>
    <w:rsid w:val="6D8A5754"/>
    <w:rsid w:val="6D8C5028"/>
    <w:rsid w:val="6D910891"/>
    <w:rsid w:val="6D93423A"/>
    <w:rsid w:val="6D997745"/>
    <w:rsid w:val="6D9A4C27"/>
    <w:rsid w:val="6DA305C4"/>
    <w:rsid w:val="6DAF2C53"/>
    <w:rsid w:val="6DB1683D"/>
    <w:rsid w:val="6DB602F7"/>
    <w:rsid w:val="6DB73500"/>
    <w:rsid w:val="6DC36D37"/>
    <w:rsid w:val="6DCE3893"/>
    <w:rsid w:val="6DCF13B9"/>
    <w:rsid w:val="6DD30EA9"/>
    <w:rsid w:val="6DD344A4"/>
    <w:rsid w:val="6DD62748"/>
    <w:rsid w:val="6DD62CAD"/>
    <w:rsid w:val="6DD8026E"/>
    <w:rsid w:val="6DDA12C2"/>
    <w:rsid w:val="6DE051E3"/>
    <w:rsid w:val="6DE352DF"/>
    <w:rsid w:val="6DE50BDD"/>
    <w:rsid w:val="6DE85FD7"/>
    <w:rsid w:val="6DF053D8"/>
    <w:rsid w:val="6DF8446C"/>
    <w:rsid w:val="6DF901E4"/>
    <w:rsid w:val="6DFA4688"/>
    <w:rsid w:val="6DFA6436"/>
    <w:rsid w:val="6DFB1F7E"/>
    <w:rsid w:val="6DFC58E5"/>
    <w:rsid w:val="6DFF112E"/>
    <w:rsid w:val="6E002B1B"/>
    <w:rsid w:val="6E070B53"/>
    <w:rsid w:val="6E0830F2"/>
    <w:rsid w:val="6E0948CB"/>
    <w:rsid w:val="6E0B0FD5"/>
    <w:rsid w:val="6E13676F"/>
    <w:rsid w:val="6E1374F8"/>
    <w:rsid w:val="6E147272"/>
    <w:rsid w:val="6E187783"/>
    <w:rsid w:val="6E192936"/>
    <w:rsid w:val="6E1A434D"/>
    <w:rsid w:val="6E1D2124"/>
    <w:rsid w:val="6E1E4550"/>
    <w:rsid w:val="6E1F3769"/>
    <w:rsid w:val="6E2039C3"/>
    <w:rsid w:val="6E2214E9"/>
    <w:rsid w:val="6E225471"/>
    <w:rsid w:val="6E296234"/>
    <w:rsid w:val="6E2B60EC"/>
    <w:rsid w:val="6E2D74A0"/>
    <w:rsid w:val="6E305994"/>
    <w:rsid w:val="6E3851B0"/>
    <w:rsid w:val="6E3A5918"/>
    <w:rsid w:val="6E3B3977"/>
    <w:rsid w:val="6E3C23F0"/>
    <w:rsid w:val="6E3F02ED"/>
    <w:rsid w:val="6E4476B1"/>
    <w:rsid w:val="6E472A13"/>
    <w:rsid w:val="6E475430"/>
    <w:rsid w:val="6E4771A1"/>
    <w:rsid w:val="6E4E7458"/>
    <w:rsid w:val="6E58315D"/>
    <w:rsid w:val="6E590E09"/>
    <w:rsid w:val="6E5D6C31"/>
    <w:rsid w:val="6E5F273D"/>
    <w:rsid w:val="6E651F93"/>
    <w:rsid w:val="6E657628"/>
    <w:rsid w:val="6E677844"/>
    <w:rsid w:val="6E7A7577"/>
    <w:rsid w:val="6E7F06E9"/>
    <w:rsid w:val="6E810905"/>
    <w:rsid w:val="6E843F52"/>
    <w:rsid w:val="6E863B66"/>
    <w:rsid w:val="6E8827BD"/>
    <w:rsid w:val="6E8977BA"/>
    <w:rsid w:val="6E91666F"/>
    <w:rsid w:val="6E954335"/>
    <w:rsid w:val="6EA2262A"/>
    <w:rsid w:val="6EA27E97"/>
    <w:rsid w:val="6EA57E47"/>
    <w:rsid w:val="6EAB5982"/>
    <w:rsid w:val="6EAC3269"/>
    <w:rsid w:val="6EAD16FA"/>
    <w:rsid w:val="6EB50F85"/>
    <w:rsid w:val="6EB733A6"/>
    <w:rsid w:val="6EB8009F"/>
    <w:rsid w:val="6EBA3E17"/>
    <w:rsid w:val="6EC048E7"/>
    <w:rsid w:val="6EC101CD"/>
    <w:rsid w:val="6EC72090"/>
    <w:rsid w:val="6ECB0B92"/>
    <w:rsid w:val="6ECB1B80"/>
    <w:rsid w:val="6ECC4A08"/>
    <w:rsid w:val="6ECF78F8"/>
    <w:rsid w:val="6ED0363B"/>
    <w:rsid w:val="6ED8429D"/>
    <w:rsid w:val="6EDC3D8E"/>
    <w:rsid w:val="6EDF73DA"/>
    <w:rsid w:val="6EE323B4"/>
    <w:rsid w:val="6EE3336E"/>
    <w:rsid w:val="6EE370CC"/>
    <w:rsid w:val="6EE64C0C"/>
    <w:rsid w:val="6EE669BA"/>
    <w:rsid w:val="6EE83898"/>
    <w:rsid w:val="6EE84FCA"/>
    <w:rsid w:val="6EE90259"/>
    <w:rsid w:val="6EEB2223"/>
    <w:rsid w:val="6EEE586F"/>
    <w:rsid w:val="6EF36E67"/>
    <w:rsid w:val="6EFC4430"/>
    <w:rsid w:val="6F000857"/>
    <w:rsid w:val="6F0137F4"/>
    <w:rsid w:val="6F013D03"/>
    <w:rsid w:val="6F044468"/>
    <w:rsid w:val="6F0A08FB"/>
    <w:rsid w:val="6F0B6CBF"/>
    <w:rsid w:val="6F0D03EB"/>
    <w:rsid w:val="6F1352D6"/>
    <w:rsid w:val="6F15681B"/>
    <w:rsid w:val="6F1A48B6"/>
    <w:rsid w:val="6F1A6664"/>
    <w:rsid w:val="6F1B2B08"/>
    <w:rsid w:val="6F2319BD"/>
    <w:rsid w:val="6F256FFC"/>
    <w:rsid w:val="6F257809"/>
    <w:rsid w:val="6F340A16"/>
    <w:rsid w:val="6F3B4F58"/>
    <w:rsid w:val="6F3C65DA"/>
    <w:rsid w:val="6F3E05E1"/>
    <w:rsid w:val="6F4119BC"/>
    <w:rsid w:val="6F4B0F13"/>
    <w:rsid w:val="6F4F7B98"/>
    <w:rsid w:val="6F50730C"/>
    <w:rsid w:val="6F524DEA"/>
    <w:rsid w:val="6F541630"/>
    <w:rsid w:val="6F547DC8"/>
    <w:rsid w:val="6F5A4CB2"/>
    <w:rsid w:val="6F5D3122"/>
    <w:rsid w:val="6F5E0C47"/>
    <w:rsid w:val="6F5E29F5"/>
    <w:rsid w:val="6F60676D"/>
    <w:rsid w:val="6F63000B"/>
    <w:rsid w:val="6F63625D"/>
    <w:rsid w:val="6F6618A9"/>
    <w:rsid w:val="6F6F4A62"/>
    <w:rsid w:val="6F7343FE"/>
    <w:rsid w:val="6F742218"/>
    <w:rsid w:val="6F7B6FC4"/>
    <w:rsid w:val="6F7E1EE7"/>
    <w:rsid w:val="6F8346F9"/>
    <w:rsid w:val="6F843BE1"/>
    <w:rsid w:val="6F8C63D3"/>
    <w:rsid w:val="6F8D5088"/>
    <w:rsid w:val="6F97449F"/>
    <w:rsid w:val="6F975F07"/>
    <w:rsid w:val="6F9938FE"/>
    <w:rsid w:val="6F997ED1"/>
    <w:rsid w:val="6F9A3392"/>
    <w:rsid w:val="6F9B59F7"/>
    <w:rsid w:val="6F9B77A5"/>
    <w:rsid w:val="6FA0300D"/>
    <w:rsid w:val="6FA338BB"/>
    <w:rsid w:val="6FA3524C"/>
    <w:rsid w:val="6FA75122"/>
    <w:rsid w:val="6FA80114"/>
    <w:rsid w:val="6FAA158B"/>
    <w:rsid w:val="6FAE0231"/>
    <w:rsid w:val="6FB10D76"/>
    <w:rsid w:val="6FB4784B"/>
    <w:rsid w:val="6FBB39A3"/>
    <w:rsid w:val="6FBD6EAA"/>
    <w:rsid w:val="6FC00FB9"/>
    <w:rsid w:val="6FC163CE"/>
    <w:rsid w:val="6FC211D5"/>
    <w:rsid w:val="6FC31206"/>
    <w:rsid w:val="6FC41F27"/>
    <w:rsid w:val="6FCC3E02"/>
    <w:rsid w:val="6FD60680"/>
    <w:rsid w:val="6FD64C81"/>
    <w:rsid w:val="6FD738B9"/>
    <w:rsid w:val="6FD809F9"/>
    <w:rsid w:val="6FDE1813"/>
    <w:rsid w:val="6FDE7692"/>
    <w:rsid w:val="6FE1063B"/>
    <w:rsid w:val="6FE17402"/>
    <w:rsid w:val="6FEC1380"/>
    <w:rsid w:val="6FEF189F"/>
    <w:rsid w:val="6FF242E3"/>
    <w:rsid w:val="6FF375E1"/>
    <w:rsid w:val="6FF445DA"/>
    <w:rsid w:val="6FF5188B"/>
    <w:rsid w:val="6FF8617D"/>
    <w:rsid w:val="6FFD3FBC"/>
    <w:rsid w:val="6FFE7D34"/>
    <w:rsid w:val="6FFF1694"/>
    <w:rsid w:val="6FFF7808"/>
    <w:rsid w:val="7004359C"/>
    <w:rsid w:val="7011394C"/>
    <w:rsid w:val="70115CB9"/>
    <w:rsid w:val="70187047"/>
    <w:rsid w:val="70194B6E"/>
    <w:rsid w:val="701C72FC"/>
    <w:rsid w:val="701D01BA"/>
    <w:rsid w:val="701D3E0D"/>
    <w:rsid w:val="70217031"/>
    <w:rsid w:val="70250B33"/>
    <w:rsid w:val="70265F41"/>
    <w:rsid w:val="702B7799"/>
    <w:rsid w:val="702F4391"/>
    <w:rsid w:val="70313C65"/>
    <w:rsid w:val="70377B4F"/>
    <w:rsid w:val="70380052"/>
    <w:rsid w:val="703A1840"/>
    <w:rsid w:val="703A5210"/>
    <w:rsid w:val="703B2D36"/>
    <w:rsid w:val="7040034C"/>
    <w:rsid w:val="70416FE8"/>
    <w:rsid w:val="70476C49"/>
    <w:rsid w:val="70480FAF"/>
    <w:rsid w:val="70485CE6"/>
    <w:rsid w:val="704A4F09"/>
    <w:rsid w:val="705A140E"/>
    <w:rsid w:val="705B523C"/>
    <w:rsid w:val="705D0EFE"/>
    <w:rsid w:val="705D76DF"/>
    <w:rsid w:val="70622071"/>
    <w:rsid w:val="70651B61"/>
    <w:rsid w:val="70672630"/>
    <w:rsid w:val="70690614"/>
    <w:rsid w:val="706D5B69"/>
    <w:rsid w:val="70710506"/>
    <w:rsid w:val="70761FC0"/>
    <w:rsid w:val="7076459B"/>
    <w:rsid w:val="707B416A"/>
    <w:rsid w:val="707D165B"/>
    <w:rsid w:val="707F3F7B"/>
    <w:rsid w:val="70801CC9"/>
    <w:rsid w:val="70802EAC"/>
    <w:rsid w:val="708253DC"/>
    <w:rsid w:val="70853FB1"/>
    <w:rsid w:val="708B58B2"/>
    <w:rsid w:val="70911841"/>
    <w:rsid w:val="709335E5"/>
    <w:rsid w:val="70980188"/>
    <w:rsid w:val="7099175E"/>
    <w:rsid w:val="70AC59E2"/>
    <w:rsid w:val="70B008E6"/>
    <w:rsid w:val="70B108A1"/>
    <w:rsid w:val="70B14DA6"/>
    <w:rsid w:val="70B20AD7"/>
    <w:rsid w:val="70B7060E"/>
    <w:rsid w:val="70BA3C5B"/>
    <w:rsid w:val="70BD3E07"/>
    <w:rsid w:val="70C920F0"/>
    <w:rsid w:val="70C96594"/>
    <w:rsid w:val="70C96771"/>
    <w:rsid w:val="70CA22F0"/>
    <w:rsid w:val="70CB2853"/>
    <w:rsid w:val="70CC3649"/>
    <w:rsid w:val="70D34D1C"/>
    <w:rsid w:val="70D35225"/>
    <w:rsid w:val="70D72FDC"/>
    <w:rsid w:val="70D96CB3"/>
    <w:rsid w:val="70E13774"/>
    <w:rsid w:val="70E1568B"/>
    <w:rsid w:val="70E57FCF"/>
    <w:rsid w:val="70E76A1A"/>
    <w:rsid w:val="70EE4CE5"/>
    <w:rsid w:val="70EF23FF"/>
    <w:rsid w:val="70F01D72"/>
    <w:rsid w:val="70F33611"/>
    <w:rsid w:val="70F80C27"/>
    <w:rsid w:val="70F84DF9"/>
    <w:rsid w:val="70FF3D63"/>
    <w:rsid w:val="71004D5F"/>
    <w:rsid w:val="7104581E"/>
    <w:rsid w:val="71066D51"/>
    <w:rsid w:val="710870BC"/>
    <w:rsid w:val="710D6480"/>
    <w:rsid w:val="7113443A"/>
    <w:rsid w:val="7118551D"/>
    <w:rsid w:val="711D41EA"/>
    <w:rsid w:val="711E68DF"/>
    <w:rsid w:val="711F256C"/>
    <w:rsid w:val="7121017E"/>
    <w:rsid w:val="71213150"/>
    <w:rsid w:val="712B2DAA"/>
    <w:rsid w:val="712E5597"/>
    <w:rsid w:val="71397275"/>
    <w:rsid w:val="713B6CCF"/>
    <w:rsid w:val="713D7BBE"/>
    <w:rsid w:val="714A76D4"/>
    <w:rsid w:val="714D04D7"/>
    <w:rsid w:val="714F25CA"/>
    <w:rsid w:val="714F7D49"/>
    <w:rsid w:val="71502811"/>
    <w:rsid w:val="7150636D"/>
    <w:rsid w:val="715069EC"/>
    <w:rsid w:val="715A543E"/>
    <w:rsid w:val="715A71EC"/>
    <w:rsid w:val="71632544"/>
    <w:rsid w:val="71650DE1"/>
    <w:rsid w:val="71652E7D"/>
    <w:rsid w:val="716B764B"/>
    <w:rsid w:val="716F713B"/>
    <w:rsid w:val="71711F38"/>
    <w:rsid w:val="71713FF1"/>
    <w:rsid w:val="717209D9"/>
    <w:rsid w:val="71744751"/>
    <w:rsid w:val="717604C9"/>
    <w:rsid w:val="71771B4C"/>
    <w:rsid w:val="71771B57"/>
    <w:rsid w:val="71777D9E"/>
    <w:rsid w:val="71783B49"/>
    <w:rsid w:val="717A56C5"/>
    <w:rsid w:val="717F7F94"/>
    <w:rsid w:val="71821054"/>
    <w:rsid w:val="71890614"/>
    <w:rsid w:val="718E3282"/>
    <w:rsid w:val="71956476"/>
    <w:rsid w:val="7197343A"/>
    <w:rsid w:val="71973F9C"/>
    <w:rsid w:val="71A15BEC"/>
    <w:rsid w:val="71A5490B"/>
    <w:rsid w:val="71A65ADA"/>
    <w:rsid w:val="71A85E7D"/>
    <w:rsid w:val="71AA371E"/>
    <w:rsid w:val="71AC3EEB"/>
    <w:rsid w:val="71AF12E6"/>
    <w:rsid w:val="71AF5789"/>
    <w:rsid w:val="71B27028"/>
    <w:rsid w:val="71B37676"/>
    <w:rsid w:val="71B40050"/>
    <w:rsid w:val="71BA7C8A"/>
    <w:rsid w:val="71BC7EA6"/>
    <w:rsid w:val="71C024A1"/>
    <w:rsid w:val="71C15D99"/>
    <w:rsid w:val="71C1726B"/>
    <w:rsid w:val="71CA25C3"/>
    <w:rsid w:val="71CF1988"/>
    <w:rsid w:val="71D10FD8"/>
    <w:rsid w:val="71D67177"/>
    <w:rsid w:val="71D81BFE"/>
    <w:rsid w:val="71E01DE7"/>
    <w:rsid w:val="71E116BB"/>
    <w:rsid w:val="71E207FE"/>
    <w:rsid w:val="71E35433"/>
    <w:rsid w:val="71E371E1"/>
    <w:rsid w:val="71E73175"/>
    <w:rsid w:val="71EA0570"/>
    <w:rsid w:val="71ED0060"/>
    <w:rsid w:val="71ED1E3D"/>
    <w:rsid w:val="71EF202A"/>
    <w:rsid w:val="71F17B50"/>
    <w:rsid w:val="71F229C9"/>
    <w:rsid w:val="71F72C8D"/>
    <w:rsid w:val="71F84921"/>
    <w:rsid w:val="71F92A57"/>
    <w:rsid w:val="72037883"/>
    <w:rsid w:val="72077373"/>
    <w:rsid w:val="720930EC"/>
    <w:rsid w:val="7214383E"/>
    <w:rsid w:val="7217238C"/>
    <w:rsid w:val="721A2C2C"/>
    <w:rsid w:val="721D4F9D"/>
    <w:rsid w:val="721F290F"/>
    <w:rsid w:val="72227746"/>
    <w:rsid w:val="7224692A"/>
    <w:rsid w:val="72286DEC"/>
    <w:rsid w:val="722872EA"/>
    <w:rsid w:val="7229553C"/>
    <w:rsid w:val="722B7E58"/>
    <w:rsid w:val="723143F0"/>
    <w:rsid w:val="723606B0"/>
    <w:rsid w:val="72365116"/>
    <w:rsid w:val="72380ACC"/>
    <w:rsid w:val="723932A5"/>
    <w:rsid w:val="723A510C"/>
    <w:rsid w:val="723B526F"/>
    <w:rsid w:val="72406FD7"/>
    <w:rsid w:val="72451C4A"/>
    <w:rsid w:val="724539F8"/>
    <w:rsid w:val="72473A1C"/>
    <w:rsid w:val="724A3704"/>
    <w:rsid w:val="724B70AD"/>
    <w:rsid w:val="724C122A"/>
    <w:rsid w:val="72534367"/>
    <w:rsid w:val="72536115"/>
    <w:rsid w:val="72563E57"/>
    <w:rsid w:val="725D51E5"/>
    <w:rsid w:val="725E757A"/>
    <w:rsid w:val="726102B7"/>
    <w:rsid w:val="72623B00"/>
    <w:rsid w:val="726522EC"/>
    <w:rsid w:val="72671BC0"/>
    <w:rsid w:val="727662A7"/>
    <w:rsid w:val="7278396D"/>
    <w:rsid w:val="72793A06"/>
    <w:rsid w:val="727B566C"/>
    <w:rsid w:val="727D13E4"/>
    <w:rsid w:val="727D22A9"/>
    <w:rsid w:val="727D3192"/>
    <w:rsid w:val="727F5E18"/>
    <w:rsid w:val="7280201C"/>
    <w:rsid w:val="72810791"/>
    <w:rsid w:val="72897D89"/>
    <w:rsid w:val="728B4FA7"/>
    <w:rsid w:val="72930E12"/>
    <w:rsid w:val="72952BD1"/>
    <w:rsid w:val="729A59FC"/>
    <w:rsid w:val="729F08D6"/>
    <w:rsid w:val="72A03324"/>
    <w:rsid w:val="72A050D2"/>
    <w:rsid w:val="72A20E4A"/>
    <w:rsid w:val="72A53234"/>
    <w:rsid w:val="72AB41A3"/>
    <w:rsid w:val="72AB765B"/>
    <w:rsid w:val="72AC1CC9"/>
    <w:rsid w:val="72AF5315"/>
    <w:rsid w:val="72B82BE4"/>
    <w:rsid w:val="72B868C0"/>
    <w:rsid w:val="72B92358"/>
    <w:rsid w:val="72BD7A32"/>
    <w:rsid w:val="72C04BFD"/>
    <w:rsid w:val="72C13ADE"/>
    <w:rsid w:val="72CD6775"/>
    <w:rsid w:val="72D429BB"/>
    <w:rsid w:val="72D6732D"/>
    <w:rsid w:val="72D976E6"/>
    <w:rsid w:val="72DD6326"/>
    <w:rsid w:val="72DF6E0D"/>
    <w:rsid w:val="72E40166"/>
    <w:rsid w:val="72E53207"/>
    <w:rsid w:val="72E6342D"/>
    <w:rsid w:val="72E70F53"/>
    <w:rsid w:val="72E76C98"/>
    <w:rsid w:val="72EA38BA"/>
    <w:rsid w:val="72ED3467"/>
    <w:rsid w:val="72EE2CD4"/>
    <w:rsid w:val="72F01BB6"/>
    <w:rsid w:val="72F24B59"/>
    <w:rsid w:val="72F52C00"/>
    <w:rsid w:val="72F76808"/>
    <w:rsid w:val="72F93997"/>
    <w:rsid w:val="72FF1117"/>
    <w:rsid w:val="73025EB3"/>
    <w:rsid w:val="73034BF5"/>
    <w:rsid w:val="73066F04"/>
    <w:rsid w:val="73083D26"/>
    <w:rsid w:val="7309711B"/>
    <w:rsid w:val="730E308A"/>
    <w:rsid w:val="731158F8"/>
    <w:rsid w:val="73117D7E"/>
    <w:rsid w:val="731710B7"/>
    <w:rsid w:val="73185FA3"/>
    <w:rsid w:val="731D78CF"/>
    <w:rsid w:val="731E2B0E"/>
    <w:rsid w:val="732165F2"/>
    <w:rsid w:val="73271658"/>
    <w:rsid w:val="732B7092"/>
    <w:rsid w:val="732E4532"/>
    <w:rsid w:val="73313BD5"/>
    <w:rsid w:val="73333482"/>
    <w:rsid w:val="73333915"/>
    <w:rsid w:val="73335F46"/>
    <w:rsid w:val="73373C88"/>
    <w:rsid w:val="73397A01"/>
    <w:rsid w:val="733F0D8F"/>
    <w:rsid w:val="73410663"/>
    <w:rsid w:val="73412411"/>
    <w:rsid w:val="73437B99"/>
    <w:rsid w:val="73440153"/>
    <w:rsid w:val="7345035B"/>
    <w:rsid w:val="73492604"/>
    <w:rsid w:val="734946AB"/>
    <w:rsid w:val="734B14E2"/>
    <w:rsid w:val="73552361"/>
    <w:rsid w:val="735A34D3"/>
    <w:rsid w:val="735B79F1"/>
    <w:rsid w:val="735D2FC3"/>
    <w:rsid w:val="736600CA"/>
    <w:rsid w:val="73661E78"/>
    <w:rsid w:val="736D24D5"/>
    <w:rsid w:val="736F4DDE"/>
    <w:rsid w:val="737E3665"/>
    <w:rsid w:val="737F73DD"/>
    <w:rsid w:val="73814F04"/>
    <w:rsid w:val="73822049"/>
    <w:rsid w:val="73834F73"/>
    <w:rsid w:val="73881790"/>
    <w:rsid w:val="738E466E"/>
    <w:rsid w:val="73905147"/>
    <w:rsid w:val="739369E5"/>
    <w:rsid w:val="7399224D"/>
    <w:rsid w:val="739B4217"/>
    <w:rsid w:val="739C1D3D"/>
    <w:rsid w:val="73A01012"/>
    <w:rsid w:val="73A17354"/>
    <w:rsid w:val="73A56E44"/>
    <w:rsid w:val="73A8656E"/>
    <w:rsid w:val="73A905BB"/>
    <w:rsid w:val="73B47087"/>
    <w:rsid w:val="73B726D3"/>
    <w:rsid w:val="73B9121F"/>
    <w:rsid w:val="73B949F3"/>
    <w:rsid w:val="73B9644B"/>
    <w:rsid w:val="73BB71CF"/>
    <w:rsid w:val="73BF56F0"/>
    <w:rsid w:val="73BF7BEF"/>
    <w:rsid w:val="73BF7D57"/>
    <w:rsid w:val="73C54EE2"/>
    <w:rsid w:val="73CD6E05"/>
    <w:rsid w:val="73DB55DA"/>
    <w:rsid w:val="73DE7D66"/>
    <w:rsid w:val="73E57C39"/>
    <w:rsid w:val="73E63A3F"/>
    <w:rsid w:val="73E83240"/>
    <w:rsid w:val="73E9464B"/>
    <w:rsid w:val="73ED2599"/>
    <w:rsid w:val="73F17735"/>
    <w:rsid w:val="73F2195D"/>
    <w:rsid w:val="73F31578"/>
    <w:rsid w:val="73F456D6"/>
    <w:rsid w:val="73F65FE2"/>
    <w:rsid w:val="73F76ABD"/>
    <w:rsid w:val="73FE6554"/>
    <w:rsid w:val="7400407A"/>
    <w:rsid w:val="74032EFE"/>
    <w:rsid w:val="740D2C3B"/>
    <w:rsid w:val="741633FE"/>
    <w:rsid w:val="741A3431"/>
    <w:rsid w:val="741B7106"/>
    <w:rsid w:val="741E6BF6"/>
    <w:rsid w:val="74237D69"/>
    <w:rsid w:val="74242CF0"/>
    <w:rsid w:val="742764A3"/>
    <w:rsid w:val="742835D1"/>
    <w:rsid w:val="7431692A"/>
    <w:rsid w:val="74363F40"/>
    <w:rsid w:val="743E1047"/>
    <w:rsid w:val="74485B23"/>
    <w:rsid w:val="744E1D52"/>
    <w:rsid w:val="744E5315"/>
    <w:rsid w:val="744F5002"/>
    <w:rsid w:val="7456013E"/>
    <w:rsid w:val="745E6FF3"/>
    <w:rsid w:val="74600FBD"/>
    <w:rsid w:val="74604FAC"/>
    <w:rsid w:val="7461231E"/>
    <w:rsid w:val="7463392D"/>
    <w:rsid w:val="74634609"/>
    <w:rsid w:val="74674561"/>
    <w:rsid w:val="74687E72"/>
    <w:rsid w:val="747131CA"/>
    <w:rsid w:val="747672ED"/>
    <w:rsid w:val="747B3629"/>
    <w:rsid w:val="747F0289"/>
    <w:rsid w:val="74842EFD"/>
    <w:rsid w:val="748466BA"/>
    <w:rsid w:val="74895E06"/>
    <w:rsid w:val="749018A2"/>
    <w:rsid w:val="7499671F"/>
    <w:rsid w:val="749B1FF5"/>
    <w:rsid w:val="74A40EAA"/>
    <w:rsid w:val="74AA2238"/>
    <w:rsid w:val="74AB66DC"/>
    <w:rsid w:val="74AE06FF"/>
    <w:rsid w:val="74AF784E"/>
    <w:rsid w:val="74B63DAF"/>
    <w:rsid w:val="74CE5F27"/>
    <w:rsid w:val="74D20F1F"/>
    <w:rsid w:val="74D3178F"/>
    <w:rsid w:val="74D6305D"/>
    <w:rsid w:val="74D86DA5"/>
    <w:rsid w:val="74DA502C"/>
    <w:rsid w:val="74DB65E3"/>
    <w:rsid w:val="74DC4AE7"/>
    <w:rsid w:val="74E05C5A"/>
    <w:rsid w:val="74E40E24"/>
    <w:rsid w:val="74E46E9B"/>
    <w:rsid w:val="74EE0377"/>
    <w:rsid w:val="74F06C31"/>
    <w:rsid w:val="74F33BDF"/>
    <w:rsid w:val="74F55BA9"/>
    <w:rsid w:val="74F61AF8"/>
    <w:rsid w:val="74F87447"/>
    <w:rsid w:val="74F92501"/>
    <w:rsid w:val="74FB70EF"/>
    <w:rsid w:val="74FF07D6"/>
    <w:rsid w:val="74FF7A81"/>
    <w:rsid w:val="75016C0B"/>
    <w:rsid w:val="750E0A19"/>
    <w:rsid w:val="7513273D"/>
    <w:rsid w:val="75140847"/>
    <w:rsid w:val="751853F4"/>
    <w:rsid w:val="75197451"/>
    <w:rsid w:val="751A116C"/>
    <w:rsid w:val="751D2F20"/>
    <w:rsid w:val="75243D99"/>
    <w:rsid w:val="75260C8C"/>
    <w:rsid w:val="752711BD"/>
    <w:rsid w:val="75271ADB"/>
    <w:rsid w:val="75321972"/>
    <w:rsid w:val="7533222E"/>
    <w:rsid w:val="7537540A"/>
    <w:rsid w:val="75390AD1"/>
    <w:rsid w:val="753A180E"/>
    <w:rsid w:val="753D4E5A"/>
    <w:rsid w:val="75404D87"/>
    <w:rsid w:val="75421955"/>
    <w:rsid w:val="75436915"/>
    <w:rsid w:val="75485E67"/>
    <w:rsid w:val="754B3A1B"/>
    <w:rsid w:val="754C3824"/>
    <w:rsid w:val="754E3E04"/>
    <w:rsid w:val="75522ADD"/>
    <w:rsid w:val="75575362"/>
    <w:rsid w:val="755E374E"/>
    <w:rsid w:val="75607407"/>
    <w:rsid w:val="75616258"/>
    <w:rsid w:val="75617FF5"/>
    <w:rsid w:val="75630D65"/>
    <w:rsid w:val="75634625"/>
    <w:rsid w:val="75662603"/>
    <w:rsid w:val="7568637B"/>
    <w:rsid w:val="756920F3"/>
    <w:rsid w:val="75731778"/>
    <w:rsid w:val="75740D36"/>
    <w:rsid w:val="757A4300"/>
    <w:rsid w:val="758328FE"/>
    <w:rsid w:val="75857D5F"/>
    <w:rsid w:val="75866E04"/>
    <w:rsid w:val="75874327"/>
    <w:rsid w:val="758B206A"/>
    <w:rsid w:val="7592088C"/>
    <w:rsid w:val="759929D8"/>
    <w:rsid w:val="759A405B"/>
    <w:rsid w:val="759D2392"/>
    <w:rsid w:val="759D6C9B"/>
    <w:rsid w:val="75A4749B"/>
    <w:rsid w:val="75A60C51"/>
    <w:rsid w:val="75AB6268"/>
    <w:rsid w:val="75AC3C3A"/>
    <w:rsid w:val="75AC4499"/>
    <w:rsid w:val="75B137F1"/>
    <w:rsid w:val="75B23A9A"/>
    <w:rsid w:val="75B4336E"/>
    <w:rsid w:val="75B60EC9"/>
    <w:rsid w:val="75BB2B51"/>
    <w:rsid w:val="75BB5DF7"/>
    <w:rsid w:val="75C13CDD"/>
    <w:rsid w:val="75C44D0C"/>
    <w:rsid w:val="75C630A2"/>
    <w:rsid w:val="75CD4430"/>
    <w:rsid w:val="75CD61DE"/>
    <w:rsid w:val="75CE59E6"/>
    <w:rsid w:val="75D532E5"/>
    <w:rsid w:val="75D62912"/>
    <w:rsid w:val="75D82CCE"/>
    <w:rsid w:val="75D92DD5"/>
    <w:rsid w:val="75E34C23"/>
    <w:rsid w:val="75E43528"/>
    <w:rsid w:val="75E654F2"/>
    <w:rsid w:val="75ED300A"/>
    <w:rsid w:val="75EF7A16"/>
    <w:rsid w:val="75F73CE9"/>
    <w:rsid w:val="75F75951"/>
    <w:rsid w:val="75F75DC3"/>
    <w:rsid w:val="75F93E43"/>
    <w:rsid w:val="75FF02C5"/>
    <w:rsid w:val="760442A1"/>
    <w:rsid w:val="76051E1C"/>
    <w:rsid w:val="76054E3F"/>
    <w:rsid w:val="760616F0"/>
    <w:rsid w:val="760C31AA"/>
    <w:rsid w:val="76116A13"/>
    <w:rsid w:val="76124539"/>
    <w:rsid w:val="76124721"/>
    <w:rsid w:val="76191423"/>
    <w:rsid w:val="761D53B8"/>
    <w:rsid w:val="761F00E1"/>
    <w:rsid w:val="76216152"/>
    <w:rsid w:val="762A3E51"/>
    <w:rsid w:val="762B1026"/>
    <w:rsid w:val="762B1F05"/>
    <w:rsid w:val="762C1A00"/>
    <w:rsid w:val="762F092F"/>
    <w:rsid w:val="763044F2"/>
    <w:rsid w:val="763114AD"/>
    <w:rsid w:val="763149BF"/>
    <w:rsid w:val="76366479"/>
    <w:rsid w:val="763962E4"/>
    <w:rsid w:val="763B583E"/>
    <w:rsid w:val="763C4D91"/>
    <w:rsid w:val="763C5112"/>
    <w:rsid w:val="76406B64"/>
    <w:rsid w:val="764222BD"/>
    <w:rsid w:val="764543C6"/>
    <w:rsid w:val="76487F5B"/>
    <w:rsid w:val="764A5A81"/>
    <w:rsid w:val="764C557E"/>
    <w:rsid w:val="764C6175"/>
    <w:rsid w:val="764D7755"/>
    <w:rsid w:val="764E40FB"/>
    <w:rsid w:val="76595CC4"/>
    <w:rsid w:val="765B7319"/>
    <w:rsid w:val="766034F6"/>
    <w:rsid w:val="7662726E"/>
    <w:rsid w:val="76641CA3"/>
    <w:rsid w:val="76661B74"/>
    <w:rsid w:val="766962DF"/>
    <w:rsid w:val="766A1C7F"/>
    <w:rsid w:val="766A3BC5"/>
    <w:rsid w:val="766A3BC8"/>
    <w:rsid w:val="766A7ED1"/>
    <w:rsid w:val="766C59F7"/>
    <w:rsid w:val="76716A7D"/>
    <w:rsid w:val="76724FD8"/>
    <w:rsid w:val="76735B9E"/>
    <w:rsid w:val="76766876"/>
    <w:rsid w:val="76767CB6"/>
    <w:rsid w:val="7677439C"/>
    <w:rsid w:val="76774D15"/>
    <w:rsid w:val="767B3E8C"/>
    <w:rsid w:val="767E572A"/>
    <w:rsid w:val="768A2321"/>
    <w:rsid w:val="768A40CF"/>
    <w:rsid w:val="768A77EB"/>
    <w:rsid w:val="76911902"/>
    <w:rsid w:val="76950BB7"/>
    <w:rsid w:val="769534B1"/>
    <w:rsid w:val="76984A3E"/>
    <w:rsid w:val="769D0A7A"/>
    <w:rsid w:val="769D31C9"/>
    <w:rsid w:val="769D7495"/>
    <w:rsid w:val="769E241C"/>
    <w:rsid w:val="769F401E"/>
    <w:rsid w:val="76A7006B"/>
    <w:rsid w:val="76A8744D"/>
    <w:rsid w:val="76AA29C3"/>
    <w:rsid w:val="76AA4771"/>
    <w:rsid w:val="76B0301B"/>
    <w:rsid w:val="76B25B71"/>
    <w:rsid w:val="76B37ACA"/>
    <w:rsid w:val="76C375E1"/>
    <w:rsid w:val="76C416E9"/>
    <w:rsid w:val="76C515AB"/>
    <w:rsid w:val="76CB3A0F"/>
    <w:rsid w:val="76CB7891"/>
    <w:rsid w:val="76CC7942"/>
    <w:rsid w:val="76D31F1A"/>
    <w:rsid w:val="76DD5829"/>
    <w:rsid w:val="76DE3E86"/>
    <w:rsid w:val="76E21755"/>
    <w:rsid w:val="76E62577"/>
    <w:rsid w:val="76E65379"/>
    <w:rsid w:val="76EC45BB"/>
    <w:rsid w:val="76EC6B38"/>
    <w:rsid w:val="76ED6818"/>
    <w:rsid w:val="76F051E1"/>
    <w:rsid w:val="76F2585A"/>
    <w:rsid w:val="76F31C74"/>
    <w:rsid w:val="76F45266"/>
    <w:rsid w:val="76F750D8"/>
    <w:rsid w:val="76F8372F"/>
    <w:rsid w:val="76FB6F4D"/>
    <w:rsid w:val="76FC756F"/>
    <w:rsid w:val="77043E82"/>
    <w:rsid w:val="77052DDA"/>
    <w:rsid w:val="77100A78"/>
    <w:rsid w:val="77104EAE"/>
    <w:rsid w:val="77147E3D"/>
    <w:rsid w:val="77176686"/>
    <w:rsid w:val="77195E49"/>
    <w:rsid w:val="772067E2"/>
    <w:rsid w:val="7725204A"/>
    <w:rsid w:val="77253DF8"/>
    <w:rsid w:val="7726029C"/>
    <w:rsid w:val="772E53A2"/>
    <w:rsid w:val="773F310C"/>
    <w:rsid w:val="77422BFC"/>
    <w:rsid w:val="77435747"/>
    <w:rsid w:val="774921DC"/>
    <w:rsid w:val="774C044B"/>
    <w:rsid w:val="774C5829"/>
    <w:rsid w:val="774E700A"/>
    <w:rsid w:val="775363CA"/>
    <w:rsid w:val="77536C56"/>
    <w:rsid w:val="77562203"/>
    <w:rsid w:val="775C1F10"/>
    <w:rsid w:val="775D17E4"/>
    <w:rsid w:val="775F73CC"/>
    <w:rsid w:val="77614A4C"/>
    <w:rsid w:val="77690189"/>
    <w:rsid w:val="776A63EF"/>
    <w:rsid w:val="776E49BD"/>
    <w:rsid w:val="7778241D"/>
    <w:rsid w:val="777C610E"/>
    <w:rsid w:val="777F4C9C"/>
    <w:rsid w:val="777F79AC"/>
    <w:rsid w:val="77843214"/>
    <w:rsid w:val="77846B1B"/>
    <w:rsid w:val="77846CDF"/>
    <w:rsid w:val="77851E56"/>
    <w:rsid w:val="7786780C"/>
    <w:rsid w:val="778C3E77"/>
    <w:rsid w:val="778C5F09"/>
    <w:rsid w:val="779104F2"/>
    <w:rsid w:val="779571D0"/>
    <w:rsid w:val="77963B82"/>
    <w:rsid w:val="779B27B0"/>
    <w:rsid w:val="779B2CD1"/>
    <w:rsid w:val="779C1D6F"/>
    <w:rsid w:val="779F34E2"/>
    <w:rsid w:val="779F356A"/>
    <w:rsid w:val="77A35559"/>
    <w:rsid w:val="77A462BC"/>
    <w:rsid w:val="77A90906"/>
    <w:rsid w:val="77A967D7"/>
    <w:rsid w:val="77AB254F"/>
    <w:rsid w:val="77AB458E"/>
    <w:rsid w:val="77AD4519"/>
    <w:rsid w:val="77BA304E"/>
    <w:rsid w:val="77BB2959"/>
    <w:rsid w:val="77BD4980"/>
    <w:rsid w:val="77BE14A6"/>
    <w:rsid w:val="77C24B37"/>
    <w:rsid w:val="77C43611"/>
    <w:rsid w:val="77C5219A"/>
    <w:rsid w:val="77C67389"/>
    <w:rsid w:val="77CB4942"/>
    <w:rsid w:val="77CC0A82"/>
    <w:rsid w:val="77CD051F"/>
    <w:rsid w:val="77CE4490"/>
    <w:rsid w:val="77CF26E1"/>
    <w:rsid w:val="77D6360D"/>
    <w:rsid w:val="77D73CB6"/>
    <w:rsid w:val="77D870BC"/>
    <w:rsid w:val="77DA1086"/>
    <w:rsid w:val="77E15F71"/>
    <w:rsid w:val="77E31CC1"/>
    <w:rsid w:val="77E56778"/>
    <w:rsid w:val="77E77FA4"/>
    <w:rsid w:val="77E93077"/>
    <w:rsid w:val="77EA6461"/>
    <w:rsid w:val="77EB3293"/>
    <w:rsid w:val="77ED5AFD"/>
    <w:rsid w:val="77EF2B50"/>
    <w:rsid w:val="77F02549"/>
    <w:rsid w:val="77F15368"/>
    <w:rsid w:val="77F37EF1"/>
    <w:rsid w:val="77F42148"/>
    <w:rsid w:val="77F66818"/>
    <w:rsid w:val="77F739E6"/>
    <w:rsid w:val="77FF289B"/>
    <w:rsid w:val="780267CF"/>
    <w:rsid w:val="780340CB"/>
    <w:rsid w:val="78041F5F"/>
    <w:rsid w:val="78061E7B"/>
    <w:rsid w:val="78085BF3"/>
    <w:rsid w:val="780A196C"/>
    <w:rsid w:val="780A5DB1"/>
    <w:rsid w:val="780B7492"/>
    <w:rsid w:val="7812701B"/>
    <w:rsid w:val="78137BBA"/>
    <w:rsid w:val="781400F4"/>
    <w:rsid w:val="781A1483"/>
    <w:rsid w:val="781E309E"/>
    <w:rsid w:val="78204B76"/>
    <w:rsid w:val="7823273E"/>
    <w:rsid w:val="782642CC"/>
    <w:rsid w:val="7826607A"/>
    <w:rsid w:val="783035E6"/>
    <w:rsid w:val="7831242E"/>
    <w:rsid w:val="783512AF"/>
    <w:rsid w:val="783562BD"/>
    <w:rsid w:val="78375680"/>
    <w:rsid w:val="783F675B"/>
    <w:rsid w:val="784079BD"/>
    <w:rsid w:val="78434E7D"/>
    <w:rsid w:val="78453AA6"/>
    <w:rsid w:val="784C3D32"/>
    <w:rsid w:val="785030F6"/>
    <w:rsid w:val="78536F8A"/>
    <w:rsid w:val="7857203E"/>
    <w:rsid w:val="785803E2"/>
    <w:rsid w:val="7858707E"/>
    <w:rsid w:val="785B5D23"/>
    <w:rsid w:val="78615304"/>
    <w:rsid w:val="786170B2"/>
    <w:rsid w:val="78623556"/>
    <w:rsid w:val="786B5A9C"/>
    <w:rsid w:val="786E3A5C"/>
    <w:rsid w:val="786F1630"/>
    <w:rsid w:val="7871624B"/>
    <w:rsid w:val="78724169"/>
    <w:rsid w:val="787559BF"/>
    <w:rsid w:val="78770683"/>
    <w:rsid w:val="78773A0B"/>
    <w:rsid w:val="78782D79"/>
    <w:rsid w:val="787D213D"/>
    <w:rsid w:val="78801C2E"/>
    <w:rsid w:val="788A2AAC"/>
    <w:rsid w:val="788C0FFD"/>
    <w:rsid w:val="78902D0A"/>
    <w:rsid w:val="789722CD"/>
    <w:rsid w:val="78972AD3"/>
    <w:rsid w:val="789D27E0"/>
    <w:rsid w:val="789D5404"/>
    <w:rsid w:val="78A23952"/>
    <w:rsid w:val="78A5040D"/>
    <w:rsid w:val="78A91184"/>
    <w:rsid w:val="78AA0A3A"/>
    <w:rsid w:val="78AD22F7"/>
    <w:rsid w:val="78AE505E"/>
    <w:rsid w:val="78AF42C1"/>
    <w:rsid w:val="78BE62B2"/>
    <w:rsid w:val="78C20A4C"/>
    <w:rsid w:val="78C733B9"/>
    <w:rsid w:val="78CA4409"/>
    <w:rsid w:val="78CC43CD"/>
    <w:rsid w:val="78D1399C"/>
    <w:rsid w:val="78D87374"/>
    <w:rsid w:val="78DA6B4E"/>
    <w:rsid w:val="78DB550B"/>
    <w:rsid w:val="78DF5F11"/>
    <w:rsid w:val="78E33F6B"/>
    <w:rsid w:val="78E71CAD"/>
    <w:rsid w:val="78EC2E1F"/>
    <w:rsid w:val="78ED013D"/>
    <w:rsid w:val="78F910A8"/>
    <w:rsid w:val="78FB12B4"/>
    <w:rsid w:val="78FD327E"/>
    <w:rsid w:val="79020895"/>
    <w:rsid w:val="790309BB"/>
    <w:rsid w:val="79073CEC"/>
    <w:rsid w:val="79116D2A"/>
    <w:rsid w:val="79123ACF"/>
    <w:rsid w:val="79156FC5"/>
    <w:rsid w:val="7915769B"/>
    <w:rsid w:val="79167E9C"/>
    <w:rsid w:val="791800B8"/>
    <w:rsid w:val="791B54B2"/>
    <w:rsid w:val="791C5D08"/>
    <w:rsid w:val="791E4FA3"/>
    <w:rsid w:val="79237F98"/>
    <w:rsid w:val="792516D5"/>
    <w:rsid w:val="79273628"/>
    <w:rsid w:val="792C0E31"/>
    <w:rsid w:val="792E5070"/>
    <w:rsid w:val="7936085D"/>
    <w:rsid w:val="793A1DDD"/>
    <w:rsid w:val="793B5B55"/>
    <w:rsid w:val="793D120C"/>
    <w:rsid w:val="793F12B2"/>
    <w:rsid w:val="794017B3"/>
    <w:rsid w:val="79407223"/>
    <w:rsid w:val="79435A80"/>
    <w:rsid w:val="79464C25"/>
    <w:rsid w:val="794669D3"/>
    <w:rsid w:val="79490272"/>
    <w:rsid w:val="794C38BE"/>
    <w:rsid w:val="795135CA"/>
    <w:rsid w:val="79532E9E"/>
    <w:rsid w:val="79556C16"/>
    <w:rsid w:val="79596554"/>
    <w:rsid w:val="795A0647"/>
    <w:rsid w:val="795A247F"/>
    <w:rsid w:val="795B7E31"/>
    <w:rsid w:val="795E32FD"/>
    <w:rsid w:val="795F5CE7"/>
    <w:rsid w:val="7961380D"/>
    <w:rsid w:val="796979D4"/>
    <w:rsid w:val="79725A1A"/>
    <w:rsid w:val="79747548"/>
    <w:rsid w:val="79773031"/>
    <w:rsid w:val="797E32B5"/>
    <w:rsid w:val="79887D5F"/>
    <w:rsid w:val="798A2684"/>
    <w:rsid w:val="79907C4E"/>
    <w:rsid w:val="79941150"/>
    <w:rsid w:val="7997722F"/>
    <w:rsid w:val="79986B03"/>
    <w:rsid w:val="799D236B"/>
    <w:rsid w:val="79A347F2"/>
    <w:rsid w:val="79A47D51"/>
    <w:rsid w:val="79A715B3"/>
    <w:rsid w:val="79A8143C"/>
    <w:rsid w:val="79AB1B4E"/>
    <w:rsid w:val="79B002F1"/>
    <w:rsid w:val="79B06543"/>
    <w:rsid w:val="79B3393D"/>
    <w:rsid w:val="79B853F7"/>
    <w:rsid w:val="79B871A5"/>
    <w:rsid w:val="79BC0732"/>
    <w:rsid w:val="79BC0A44"/>
    <w:rsid w:val="79BF22E2"/>
    <w:rsid w:val="79C523DE"/>
    <w:rsid w:val="79C63670"/>
    <w:rsid w:val="79C773E8"/>
    <w:rsid w:val="79CA2CA8"/>
    <w:rsid w:val="79CE0777"/>
    <w:rsid w:val="79D7762B"/>
    <w:rsid w:val="79DA30E4"/>
    <w:rsid w:val="79DA65D2"/>
    <w:rsid w:val="79DC2E94"/>
    <w:rsid w:val="79DD6C0C"/>
    <w:rsid w:val="79DF071E"/>
    <w:rsid w:val="79E00B0E"/>
    <w:rsid w:val="79E166FC"/>
    <w:rsid w:val="79E47F9A"/>
    <w:rsid w:val="79EB1C19"/>
    <w:rsid w:val="79EE0CE0"/>
    <w:rsid w:val="79F134EC"/>
    <w:rsid w:val="79F226B7"/>
    <w:rsid w:val="79F44681"/>
    <w:rsid w:val="79F63F9A"/>
    <w:rsid w:val="79F85010"/>
    <w:rsid w:val="79FC52E4"/>
    <w:rsid w:val="7A045E76"/>
    <w:rsid w:val="7A097A01"/>
    <w:rsid w:val="7A0D129F"/>
    <w:rsid w:val="7A0D5743"/>
    <w:rsid w:val="7A0D63E1"/>
    <w:rsid w:val="7A0E4F5E"/>
    <w:rsid w:val="7A102B3D"/>
    <w:rsid w:val="7A1268B5"/>
    <w:rsid w:val="7A146AD1"/>
    <w:rsid w:val="7A17211E"/>
    <w:rsid w:val="7A195E96"/>
    <w:rsid w:val="7A1B04E8"/>
    <w:rsid w:val="7A1D7C7E"/>
    <w:rsid w:val="7A293BFF"/>
    <w:rsid w:val="7A2D1941"/>
    <w:rsid w:val="7A304404"/>
    <w:rsid w:val="7A3525A4"/>
    <w:rsid w:val="7A3727C0"/>
    <w:rsid w:val="7A3E0998"/>
    <w:rsid w:val="7A3E2923"/>
    <w:rsid w:val="7A3E3438"/>
    <w:rsid w:val="7A400E75"/>
    <w:rsid w:val="7A450F4C"/>
    <w:rsid w:val="7A477088"/>
    <w:rsid w:val="7A4822D7"/>
    <w:rsid w:val="7A4874F5"/>
    <w:rsid w:val="7A4A42A1"/>
    <w:rsid w:val="7A4C5587"/>
    <w:rsid w:val="7A4D3724"/>
    <w:rsid w:val="7A505823"/>
    <w:rsid w:val="7A523156"/>
    <w:rsid w:val="7A5275FA"/>
    <w:rsid w:val="7A5944E4"/>
    <w:rsid w:val="7A5A1934"/>
    <w:rsid w:val="7A5C3FD5"/>
    <w:rsid w:val="7A601D17"/>
    <w:rsid w:val="7A61783D"/>
    <w:rsid w:val="7A622468"/>
    <w:rsid w:val="7A6905B4"/>
    <w:rsid w:val="7A6C06BC"/>
    <w:rsid w:val="7A721A4A"/>
    <w:rsid w:val="7A770E0E"/>
    <w:rsid w:val="7A7B26AD"/>
    <w:rsid w:val="7A81113A"/>
    <w:rsid w:val="7A813A3B"/>
    <w:rsid w:val="7A886B78"/>
    <w:rsid w:val="7A8C48BA"/>
    <w:rsid w:val="7A8F0B1D"/>
    <w:rsid w:val="7A947786"/>
    <w:rsid w:val="7A97325F"/>
    <w:rsid w:val="7A98273D"/>
    <w:rsid w:val="7A9E639B"/>
    <w:rsid w:val="7AA24727"/>
    <w:rsid w:val="7AA7568D"/>
    <w:rsid w:val="7AAC08C3"/>
    <w:rsid w:val="7AAC4F5C"/>
    <w:rsid w:val="7AAD4830"/>
    <w:rsid w:val="7ABC15CC"/>
    <w:rsid w:val="7AC43368"/>
    <w:rsid w:val="7AC8166A"/>
    <w:rsid w:val="7ACA53E2"/>
    <w:rsid w:val="7ACF16F5"/>
    <w:rsid w:val="7ACF4BC8"/>
    <w:rsid w:val="7AD15008"/>
    <w:rsid w:val="7AD1642B"/>
    <w:rsid w:val="7AD71133"/>
    <w:rsid w:val="7AD80F73"/>
    <w:rsid w:val="7AD96587"/>
    <w:rsid w:val="7ADD3367"/>
    <w:rsid w:val="7ADE49EA"/>
    <w:rsid w:val="7ADE5D3C"/>
    <w:rsid w:val="7AE00762"/>
    <w:rsid w:val="7AE52343"/>
    <w:rsid w:val="7AE70879"/>
    <w:rsid w:val="7AEA338E"/>
    <w:rsid w:val="7AEC7106"/>
    <w:rsid w:val="7AEF2DA3"/>
    <w:rsid w:val="7AEF46D7"/>
    <w:rsid w:val="7AF349BF"/>
    <w:rsid w:val="7AF6259D"/>
    <w:rsid w:val="7AF91AC4"/>
    <w:rsid w:val="7AFB1A3F"/>
    <w:rsid w:val="7AFD1776"/>
    <w:rsid w:val="7AFD7566"/>
    <w:rsid w:val="7B0459B3"/>
    <w:rsid w:val="7B0501C8"/>
    <w:rsid w:val="7B055E13"/>
    <w:rsid w:val="7B095F0A"/>
    <w:rsid w:val="7B0F1047"/>
    <w:rsid w:val="7B0F54EB"/>
    <w:rsid w:val="7B114DBF"/>
    <w:rsid w:val="7B166879"/>
    <w:rsid w:val="7B174264"/>
    <w:rsid w:val="7B1B5C3E"/>
    <w:rsid w:val="7B22117E"/>
    <w:rsid w:val="7B222136"/>
    <w:rsid w:val="7B272834"/>
    <w:rsid w:val="7B2745E3"/>
    <w:rsid w:val="7B2A5E81"/>
    <w:rsid w:val="7B2F59D6"/>
    <w:rsid w:val="7B310FBD"/>
    <w:rsid w:val="7B381699"/>
    <w:rsid w:val="7B3B008E"/>
    <w:rsid w:val="7B3F192C"/>
    <w:rsid w:val="7B446F42"/>
    <w:rsid w:val="7B48209D"/>
    <w:rsid w:val="7B4927AB"/>
    <w:rsid w:val="7B4C60F6"/>
    <w:rsid w:val="7B4D2527"/>
    <w:rsid w:val="7B4F7CB6"/>
    <w:rsid w:val="7B5B2BD1"/>
    <w:rsid w:val="7B6018A2"/>
    <w:rsid w:val="7B643141"/>
    <w:rsid w:val="7B6475E5"/>
    <w:rsid w:val="7B66200D"/>
    <w:rsid w:val="7B6770D5"/>
    <w:rsid w:val="7B6B61B0"/>
    <w:rsid w:val="7B6C6499"/>
    <w:rsid w:val="7B705F89"/>
    <w:rsid w:val="7B71191C"/>
    <w:rsid w:val="7B780263"/>
    <w:rsid w:val="7B7842EA"/>
    <w:rsid w:val="7B796595"/>
    <w:rsid w:val="7B7F61CD"/>
    <w:rsid w:val="7B8228A1"/>
    <w:rsid w:val="7B851426"/>
    <w:rsid w:val="7B86755B"/>
    <w:rsid w:val="7B8B18B3"/>
    <w:rsid w:val="7B9003DA"/>
    <w:rsid w:val="7B922DFD"/>
    <w:rsid w:val="7B931C78"/>
    <w:rsid w:val="7B9553D2"/>
    <w:rsid w:val="7B95779E"/>
    <w:rsid w:val="7B965AB3"/>
    <w:rsid w:val="7B971768"/>
    <w:rsid w:val="7B976652"/>
    <w:rsid w:val="7B9C6019"/>
    <w:rsid w:val="7B9E3097"/>
    <w:rsid w:val="7B9F061D"/>
    <w:rsid w:val="7BA372C6"/>
    <w:rsid w:val="7BAB0D70"/>
    <w:rsid w:val="7BAC1950"/>
    <w:rsid w:val="7BB221D7"/>
    <w:rsid w:val="7BB87930"/>
    <w:rsid w:val="7BBA5457"/>
    <w:rsid w:val="7BBA7205"/>
    <w:rsid w:val="7BBE7F23"/>
    <w:rsid w:val="7BC04D1F"/>
    <w:rsid w:val="7BC13CD3"/>
    <w:rsid w:val="7BC21E84"/>
    <w:rsid w:val="7BC2255D"/>
    <w:rsid w:val="7BC23010"/>
    <w:rsid w:val="7BCA12E9"/>
    <w:rsid w:val="7BCB1412"/>
    <w:rsid w:val="7BD05B58"/>
    <w:rsid w:val="7BD15117"/>
    <w:rsid w:val="7BDA1655"/>
    <w:rsid w:val="7BDD1B24"/>
    <w:rsid w:val="7BDE0856"/>
    <w:rsid w:val="7BDF7E15"/>
    <w:rsid w:val="7BE4159C"/>
    <w:rsid w:val="7BE95D3C"/>
    <w:rsid w:val="7BED295D"/>
    <w:rsid w:val="7BF20577"/>
    <w:rsid w:val="7BF30969"/>
    <w:rsid w:val="7BFF23C9"/>
    <w:rsid w:val="7BFF691B"/>
    <w:rsid w:val="7C003D20"/>
    <w:rsid w:val="7C030BAC"/>
    <w:rsid w:val="7C042B76"/>
    <w:rsid w:val="7C06069C"/>
    <w:rsid w:val="7C06244A"/>
    <w:rsid w:val="7C0B180E"/>
    <w:rsid w:val="7C0B5CB2"/>
    <w:rsid w:val="7C0E12FE"/>
    <w:rsid w:val="7C10239C"/>
    <w:rsid w:val="7C11382C"/>
    <w:rsid w:val="7C1542B5"/>
    <w:rsid w:val="7C1728A9"/>
    <w:rsid w:val="7C176405"/>
    <w:rsid w:val="7C1B7893"/>
    <w:rsid w:val="7C213E9C"/>
    <w:rsid w:val="7C260B34"/>
    <w:rsid w:val="7C2A29F8"/>
    <w:rsid w:val="7C2D18C4"/>
    <w:rsid w:val="7C302D3E"/>
    <w:rsid w:val="7C330D3F"/>
    <w:rsid w:val="7C357264"/>
    <w:rsid w:val="7C3945CD"/>
    <w:rsid w:val="7C3A20F4"/>
    <w:rsid w:val="7C3A2B5B"/>
    <w:rsid w:val="7C3B1EEE"/>
    <w:rsid w:val="7C3B7086"/>
    <w:rsid w:val="7C407818"/>
    <w:rsid w:val="7C4F37ED"/>
    <w:rsid w:val="7C4F3DF1"/>
    <w:rsid w:val="7C501917"/>
    <w:rsid w:val="7C5A2796"/>
    <w:rsid w:val="7C5A7D0B"/>
    <w:rsid w:val="7C5C1240"/>
    <w:rsid w:val="7C611D76"/>
    <w:rsid w:val="7C624B36"/>
    <w:rsid w:val="7C624CEC"/>
    <w:rsid w:val="7C6929D9"/>
    <w:rsid w:val="7C6A0C2B"/>
    <w:rsid w:val="7C6D071B"/>
    <w:rsid w:val="7C6E4596"/>
    <w:rsid w:val="7C7074C9"/>
    <w:rsid w:val="7C723F2C"/>
    <w:rsid w:val="7C744059"/>
    <w:rsid w:val="7C761367"/>
    <w:rsid w:val="7C773348"/>
    <w:rsid w:val="7C783B28"/>
    <w:rsid w:val="7C7A4BE6"/>
    <w:rsid w:val="7C7A7C19"/>
    <w:rsid w:val="7C815F74"/>
    <w:rsid w:val="7C887303"/>
    <w:rsid w:val="7C8C01AA"/>
    <w:rsid w:val="7C8D4919"/>
    <w:rsid w:val="7C8D66C7"/>
    <w:rsid w:val="7C8E388C"/>
    <w:rsid w:val="7C8F751F"/>
    <w:rsid w:val="7C947A56"/>
    <w:rsid w:val="7C9731C5"/>
    <w:rsid w:val="7C9C5EB4"/>
    <w:rsid w:val="7C9E6B26"/>
    <w:rsid w:val="7CA37C99"/>
    <w:rsid w:val="7CA402BA"/>
    <w:rsid w:val="7CA44918"/>
    <w:rsid w:val="7CA51969"/>
    <w:rsid w:val="7CA53A11"/>
    <w:rsid w:val="7CAC1243"/>
    <w:rsid w:val="7CAD0B17"/>
    <w:rsid w:val="7CAF4890"/>
    <w:rsid w:val="7CB025A6"/>
    <w:rsid w:val="7CBB3234"/>
    <w:rsid w:val="7CBC7C7D"/>
    <w:rsid w:val="7CBF323B"/>
    <w:rsid w:val="7CC12815"/>
    <w:rsid w:val="7CC61BD9"/>
    <w:rsid w:val="7CC75800"/>
    <w:rsid w:val="7CCE5BDD"/>
    <w:rsid w:val="7CD04806"/>
    <w:rsid w:val="7CD23142"/>
    <w:rsid w:val="7CD50349"/>
    <w:rsid w:val="7CD74885"/>
    <w:rsid w:val="7CDE2919"/>
    <w:rsid w:val="7CDE33C7"/>
    <w:rsid w:val="7CE514ED"/>
    <w:rsid w:val="7CE675E1"/>
    <w:rsid w:val="7CEA3B1A"/>
    <w:rsid w:val="7CEC42FE"/>
    <w:rsid w:val="7CEF4D3B"/>
    <w:rsid w:val="7CF16C56"/>
    <w:rsid w:val="7CF404F4"/>
    <w:rsid w:val="7CF4328B"/>
    <w:rsid w:val="7CF61F7D"/>
    <w:rsid w:val="7CF76237"/>
    <w:rsid w:val="7CFC77C1"/>
    <w:rsid w:val="7CFD763A"/>
    <w:rsid w:val="7D036989"/>
    <w:rsid w:val="7D0746CC"/>
    <w:rsid w:val="7D0B583E"/>
    <w:rsid w:val="7D0C3A90"/>
    <w:rsid w:val="7D16490F"/>
    <w:rsid w:val="7D180687"/>
    <w:rsid w:val="7D182260"/>
    <w:rsid w:val="7D1B0177"/>
    <w:rsid w:val="7D1B182D"/>
    <w:rsid w:val="7D2B75E2"/>
    <w:rsid w:val="7D2B7798"/>
    <w:rsid w:val="7D2C4132"/>
    <w:rsid w:val="7D2C7C8E"/>
    <w:rsid w:val="7D33726F"/>
    <w:rsid w:val="7D344D95"/>
    <w:rsid w:val="7D357247"/>
    <w:rsid w:val="7D3702E5"/>
    <w:rsid w:val="7D3A11C8"/>
    <w:rsid w:val="7D3D633F"/>
    <w:rsid w:val="7D444FD3"/>
    <w:rsid w:val="7D4473E9"/>
    <w:rsid w:val="7D456FA2"/>
    <w:rsid w:val="7D472D1A"/>
    <w:rsid w:val="7D513B99"/>
    <w:rsid w:val="7D580FFF"/>
    <w:rsid w:val="7D5C50DB"/>
    <w:rsid w:val="7D625DA6"/>
    <w:rsid w:val="7D657644"/>
    <w:rsid w:val="7D677327"/>
    <w:rsid w:val="7D697134"/>
    <w:rsid w:val="7D6A7C1F"/>
    <w:rsid w:val="7D7A4E9D"/>
    <w:rsid w:val="7D7D04EA"/>
    <w:rsid w:val="7D7E6B56"/>
    <w:rsid w:val="7D817D08"/>
    <w:rsid w:val="7D821FA4"/>
    <w:rsid w:val="7D856440"/>
    <w:rsid w:val="7D873BAD"/>
    <w:rsid w:val="7D8F0976"/>
    <w:rsid w:val="7D924BE9"/>
    <w:rsid w:val="7DA01606"/>
    <w:rsid w:val="7DA10A0F"/>
    <w:rsid w:val="7DA243F4"/>
    <w:rsid w:val="7DA27C62"/>
    <w:rsid w:val="7DA43C1A"/>
    <w:rsid w:val="7DA51208"/>
    <w:rsid w:val="7DA534FF"/>
    <w:rsid w:val="7DB01F1F"/>
    <w:rsid w:val="7DB163E5"/>
    <w:rsid w:val="7DB25D96"/>
    <w:rsid w:val="7DB36601"/>
    <w:rsid w:val="7DB70EA6"/>
    <w:rsid w:val="7DBB2389"/>
    <w:rsid w:val="7DBB54B6"/>
    <w:rsid w:val="7DBB750E"/>
    <w:rsid w:val="7DBE513D"/>
    <w:rsid w:val="7DC15CF3"/>
    <w:rsid w:val="7DC26844"/>
    <w:rsid w:val="7DC75C09"/>
    <w:rsid w:val="7DC91981"/>
    <w:rsid w:val="7DC92C5D"/>
    <w:rsid w:val="7DCC321F"/>
    <w:rsid w:val="7DD15630"/>
    <w:rsid w:val="7DD2573C"/>
    <w:rsid w:val="7DD26036"/>
    <w:rsid w:val="7DD27B93"/>
    <w:rsid w:val="7DD65E4C"/>
    <w:rsid w:val="7DDA1DE0"/>
    <w:rsid w:val="7DDA305A"/>
    <w:rsid w:val="7DDD367E"/>
    <w:rsid w:val="7DE0507F"/>
    <w:rsid w:val="7DE37AC7"/>
    <w:rsid w:val="7DE50961"/>
    <w:rsid w:val="7DE65F03"/>
    <w:rsid w:val="7DE859ED"/>
    <w:rsid w:val="7DE92023"/>
    <w:rsid w:val="7DF52776"/>
    <w:rsid w:val="7DF5428B"/>
    <w:rsid w:val="7DFC0C1A"/>
    <w:rsid w:val="7DFC1D56"/>
    <w:rsid w:val="7DFD5ACF"/>
    <w:rsid w:val="7DFD787D"/>
    <w:rsid w:val="7DFF35F5"/>
    <w:rsid w:val="7E070AE2"/>
    <w:rsid w:val="7E094473"/>
    <w:rsid w:val="7E096221"/>
    <w:rsid w:val="7E0E55E6"/>
    <w:rsid w:val="7E1A41A3"/>
    <w:rsid w:val="7E1A78D3"/>
    <w:rsid w:val="7E1C5F55"/>
    <w:rsid w:val="7E1F2F63"/>
    <w:rsid w:val="7E21356B"/>
    <w:rsid w:val="7E235535"/>
    <w:rsid w:val="7E307C52"/>
    <w:rsid w:val="7E322FA0"/>
    <w:rsid w:val="7E3C3380"/>
    <w:rsid w:val="7E3E19A2"/>
    <w:rsid w:val="7E3E236F"/>
    <w:rsid w:val="7E3E411D"/>
    <w:rsid w:val="7E3F1C43"/>
    <w:rsid w:val="7E410411"/>
    <w:rsid w:val="7E43240B"/>
    <w:rsid w:val="7E48699C"/>
    <w:rsid w:val="7E4D4AB6"/>
    <w:rsid w:val="7E511A4F"/>
    <w:rsid w:val="7E5700D1"/>
    <w:rsid w:val="7E584F14"/>
    <w:rsid w:val="7E5C66F7"/>
    <w:rsid w:val="7E5D4489"/>
    <w:rsid w:val="7E5E656D"/>
    <w:rsid w:val="7E657214"/>
    <w:rsid w:val="7E6D0329"/>
    <w:rsid w:val="7E6D04DE"/>
    <w:rsid w:val="7E6D67B0"/>
    <w:rsid w:val="7E7044F2"/>
    <w:rsid w:val="7E72312F"/>
    <w:rsid w:val="7E745D91"/>
    <w:rsid w:val="7E7933A7"/>
    <w:rsid w:val="7E7B3DD3"/>
    <w:rsid w:val="7E7C2430"/>
    <w:rsid w:val="7E7C2E97"/>
    <w:rsid w:val="7E7E276B"/>
    <w:rsid w:val="7E7F530E"/>
    <w:rsid w:val="7E815F22"/>
    <w:rsid w:val="7E8345C7"/>
    <w:rsid w:val="7E835FD4"/>
    <w:rsid w:val="7E857F9E"/>
    <w:rsid w:val="7E882F4E"/>
    <w:rsid w:val="7E891110"/>
    <w:rsid w:val="7E8B6C36"/>
    <w:rsid w:val="7E8D4702"/>
    <w:rsid w:val="7E926EA7"/>
    <w:rsid w:val="7E9278B6"/>
    <w:rsid w:val="7E970BD8"/>
    <w:rsid w:val="7E980196"/>
    <w:rsid w:val="7E996D13"/>
    <w:rsid w:val="7E9973EA"/>
    <w:rsid w:val="7E9A331D"/>
    <w:rsid w:val="7EA06B86"/>
    <w:rsid w:val="7EA83C8C"/>
    <w:rsid w:val="7EB663A9"/>
    <w:rsid w:val="7EBD792C"/>
    <w:rsid w:val="7EBE525E"/>
    <w:rsid w:val="7EC32874"/>
    <w:rsid w:val="7EC34622"/>
    <w:rsid w:val="7EC363D0"/>
    <w:rsid w:val="7EC5613F"/>
    <w:rsid w:val="7EC604AE"/>
    <w:rsid w:val="7EC616A1"/>
    <w:rsid w:val="7EC62062"/>
    <w:rsid w:val="7EC7623E"/>
    <w:rsid w:val="7EC9775F"/>
    <w:rsid w:val="7ECA5F24"/>
    <w:rsid w:val="7ECF2FC7"/>
    <w:rsid w:val="7ED94418"/>
    <w:rsid w:val="7EE10F4C"/>
    <w:rsid w:val="7EE2259A"/>
    <w:rsid w:val="7EE527EB"/>
    <w:rsid w:val="7EE8052D"/>
    <w:rsid w:val="7EEC1DCB"/>
    <w:rsid w:val="7EEF71C5"/>
    <w:rsid w:val="7EF40C80"/>
    <w:rsid w:val="7EF64294"/>
    <w:rsid w:val="7EF70770"/>
    <w:rsid w:val="7EFB3DBC"/>
    <w:rsid w:val="7EFB49D6"/>
    <w:rsid w:val="7EFD1A58"/>
    <w:rsid w:val="7EFD5D8C"/>
    <w:rsid w:val="7EFD7061"/>
    <w:rsid w:val="7EFE1AFE"/>
    <w:rsid w:val="7EFE6EC1"/>
    <w:rsid w:val="7F017107"/>
    <w:rsid w:val="7F0B68DB"/>
    <w:rsid w:val="7F0B7D77"/>
    <w:rsid w:val="7F0E29B0"/>
    <w:rsid w:val="7F0F5AB9"/>
    <w:rsid w:val="7F121106"/>
    <w:rsid w:val="7F1255AA"/>
    <w:rsid w:val="7F13641A"/>
    <w:rsid w:val="7F1A157A"/>
    <w:rsid w:val="7F1C1F84"/>
    <w:rsid w:val="7F1C4477"/>
    <w:rsid w:val="7F203823"/>
    <w:rsid w:val="7F2350C1"/>
    <w:rsid w:val="7F25708B"/>
    <w:rsid w:val="7F277FC2"/>
    <w:rsid w:val="7F323556"/>
    <w:rsid w:val="7F347FD2"/>
    <w:rsid w:val="7F3A0E3D"/>
    <w:rsid w:val="7F3B065C"/>
    <w:rsid w:val="7F3D6954"/>
    <w:rsid w:val="7F45305F"/>
    <w:rsid w:val="7F472A42"/>
    <w:rsid w:val="7F482D79"/>
    <w:rsid w:val="7F484B27"/>
    <w:rsid w:val="7F4A6AF1"/>
    <w:rsid w:val="7F4C286A"/>
    <w:rsid w:val="7F4D017F"/>
    <w:rsid w:val="7F4F6B9E"/>
    <w:rsid w:val="7F517E80"/>
    <w:rsid w:val="7F547970"/>
    <w:rsid w:val="7F590AE3"/>
    <w:rsid w:val="7F5931D8"/>
    <w:rsid w:val="7F5959B2"/>
    <w:rsid w:val="7F5A1AC0"/>
    <w:rsid w:val="7F5C44BA"/>
    <w:rsid w:val="7F645E05"/>
    <w:rsid w:val="7F65392B"/>
    <w:rsid w:val="7F685621"/>
    <w:rsid w:val="7F6A0F42"/>
    <w:rsid w:val="7F6B3236"/>
    <w:rsid w:val="7F6B40A9"/>
    <w:rsid w:val="7F6D458E"/>
    <w:rsid w:val="7F6D7528"/>
    <w:rsid w:val="7F770242"/>
    <w:rsid w:val="7F7B6CAB"/>
    <w:rsid w:val="7F853FCE"/>
    <w:rsid w:val="7F857B2A"/>
    <w:rsid w:val="7F890614"/>
    <w:rsid w:val="7F89761A"/>
    <w:rsid w:val="7F8A3392"/>
    <w:rsid w:val="7F8F2756"/>
    <w:rsid w:val="7F947D6D"/>
    <w:rsid w:val="7F967F89"/>
    <w:rsid w:val="7F985088"/>
    <w:rsid w:val="7F9869D7"/>
    <w:rsid w:val="7F98785D"/>
    <w:rsid w:val="7F9E4FC7"/>
    <w:rsid w:val="7FA02BB5"/>
    <w:rsid w:val="7FA30D65"/>
    <w:rsid w:val="7FA73F44"/>
    <w:rsid w:val="7FA90321"/>
    <w:rsid w:val="7FB977D3"/>
    <w:rsid w:val="7FBA5A25"/>
    <w:rsid w:val="7FC007FF"/>
    <w:rsid w:val="7FC039AB"/>
    <w:rsid w:val="7FC05959"/>
    <w:rsid w:val="7FC20361"/>
    <w:rsid w:val="7FC32F20"/>
    <w:rsid w:val="7FC67F33"/>
    <w:rsid w:val="7FCA378E"/>
    <w:rsid w:val="7FCC02A1"/>
    <w:rsid w:val="7FCE7723"/>
    <w:rsid w:val="7FD64829"/>
    <w:rsid w:val="7FD665D7"/>
    <w:rsid w:val="7FD8234F"/>
    <w:rsid w:val="7FDB48FC"/>
    <w:rsid w:val="7FDD34C2"/>
    <w:rsid w:val="7FDD7966"/>
    <w:rsid w:val="7FE231CE"/>
    <w:rsid w:val="7FE67A77"/>
    <w:rsid w:val="7FE842B1"/>
    <w:rsid w:val="7FE9630A"/>
    <w:rsid w:val="7FF21AA1"/>
    <w:rsid w:val="7FF37189"/>
    <w:rsid w:val="7FF56A5D"/>
    <w:rsid w:val="7FFA687E"/>
    <w:rsid w:val="7FFB7DEC"/>
    <w:rsid w:val="7FFE5B28"/>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nhideWhenUsed="0" w:uiPriority="1" w:semiHidden="0"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qFormat="1"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52"/>
    <w:qFormat/>
    <w:uiPriority w:val="9"/>
    <w:pPr>
      <w:keepNext/>
      <w:keepLines/>
      <w:numPr>
        <w:ilvl w:val="0"/>
        <w:numId w:val="1"/>
      </w:numPr>
      <w:ind w:firstLine="0" w:firstLineChars="0"/>
      <w:outlineLvl w:val="0"/>
    </w:pPr>
    <w:rPr>
      <w:rFonts w:eastAsiaTheme="majorEastAsia"/>
      <w:b/>
      <w:bCs/>
      <w:kern w:val="44"/>
      <w:sz w:val="32"/>
      <w:szCs w:val="44"/>
    </w:rPr>
  </w:style>
  <w:style w:type="paragraph" w:styleId="4">
    <w:name w:val="heading 2"/>
    <w:basedOn w:val="1"/>
    <w:next w:val="1"/>
    <w:link w:val="49"/>
    <w:unhideWhenUsed/>
    <w:qFormat/>
    <w:uiPriority w:val="9"/>
    <w:pPr>
      <w:keepNext/>
      <w:keepLines/>
      <w:numPr>
        <w:ilvl w:val="1"/>
        <w:numId w:val="1"/>
      </w:numPr>
      <w:ind w:left="50" w:leftChars="50" w:firstLine="0" w:firstLineChars="0"/>
      <w:outlineLvl w:val="1"/>
    </w:pPr>
    <w:rPr>
      <w:rFonts w:eastAsiaTheme="majorEastAsia" w:cstheme="majorBidi"/>
      <w:b/>
      <w:bCs/>
      <w:sz w:val="28"/>
      <w:szCs w:val="32"/>
    </w:rPr>
  </w:style>
  <w:style w:type="paragraph" w:styleId="5">
    <w:name w:val="heading 3"/>
    <w:basedOn w:val="1"/>
    <w:next w:val="1"/>
    <w:link w:val="50"/>
    <w:unhideWhenUsed/>
    <w:qFormat/>
    <w:uiPriority w:val="9"/>
    <w:pPr>
      <w:keepNext/>
      <w:keepLines/>
      <w:numPr>
        <w:ilvl w:val="2"/>
        <w:numId w:val="1"/>
      </w:numPr>
      <w:ind w:left="50" w:leftChars="50" w:firstLine="0" w:firstLineChars="0"/>
      <w:jc w:val="left"/>
      <w:outlineLvl w:val="2"/>
    </w:pPr>
    <w:rPr>
      <w:rFonts w:eastAsiaTheme="majorEastAsia"/>
      <w:b/>
      <w:bCs/>
      <w:sz w:val="28"/>
      <w:szCs w:val="32"/>
    </w:rPr>
  </w:style>
  <w:style w:type="paragraph" w:styleId="6">
    <w:name w:val="heading 4"/>
    <w:basedOn w:val="1"/>
    <w:next w:val="1"/>
    <w:link w:val="51"/>
    <w:unhideWhenUsed/>
    <w:qFormat/>
    <w:uiPriority w:val="9"/>
    <w:pPr>
      <w:keepNext/>
      <w:keepLines/>
      <w:ind w:left="100" w:leftChars="100" w:firstLine="0" w:firstLineChars="0"/>
      <w:contextualSpacing/>
      <w:jc w:val="left"/>
      <w:outlineLvl w:val="3"/>
    </w:pPr>
    <w:rPr>
      <w:rFonts w:eastAsiaTheme="majorEastAsia" w:cstheme="majorBidi"/>
      <w:b/>
      <w:bCs/>
      <w:szCs w:val="28"/>
    </w:rPr>
  </w:style>
  <w:style w:type="paragraph" w:styleId="7">
    <w:name w:val="heading 5"/>
    <w:basedOn w:val="1"/>
    <w:next w:val="1"/>
    <w:link w:val="76"/>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qFormat/>
    <w:uiPriority w:val="1"/>
    <w:pPr>
      <w:spacing w:line="28" w:lineRule="exact"/>
      <w:outlineLvl w:val="5"/>
    </w:pPr>
    <w:rPr>
      <w:rFonts w:ascii="Symbol" w:hAnsi="Symbol" w:eastAsia="Symbol" w:cs="Symbol"/>
      <w:sz w:val="28"/>
      <w:szCs w:val="28"/>
      <w:lang w:val="zh-CN" w:bidi="zh-CN"/>
    </w:rPr>
  </w:style>
  <w:style w:type="paragraph" w:styleId="9">
    <w:name w:val="heading 7"/>
    <w:basedOn w:val="1"/>
    <w:next w:val="1"/>
    <w:autoRedefine/>
    <w:qFormat/>
    <w:uiPriority w:val="1"/>
    <w:pPr>
      <w:spacing w:before="1"/>
      <w:ind w:left="948" w:hanging="721"/>
      <w:outlineLvl w:val="6"/>
    </w:pPr>
    <w:rPr>
      <w:rFonts w:ascii="宋体" w:hAnsi="宋体" w:eastAsia="宋体" w:cs="宋体"/>
      <w:b/>
      <w:bCs/>
      <w:szCs w:val="24"/>
      <w:lang w:val="zh-CN" w:bidi="zh-CN"/>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2">
    <w:name w:val="macro"/>
    <w:link w:val="73"/>
    <w:autoRedefine/>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10">
    <w:name w:val="toc 7"/>
    <w:basedOn w:val="1"/>
    <w:next w:val="1"/>
    <w:autoRedefine/>
    <w:unhideWhenUsed/>
    <w:qFormat/>
    <w:uiPriority w:val="39"/>
    <w:pPr>
      <w:ind w:left="1440"/>
      <w:jc w:val="left"/>
    </w:pPr>
    <w:rPr>
      <w:rFonts w:asciiTheme="minorHAnsi" w:hAnsiTheme="minorHAnsi"/>
      <w:sz w:val="18"/>
      <w:szCs w:val="18"/>
    </w:rPr>
  </w:style>
  <w:style w:type="paragraph" w:styleId="11">
    <w:name w:val="Normal Indent"/>
    <w:basedOn w:val="1"/>
    <w:link w:val="66"/>
    <w:autoRedefine/>
    <w:qFormat/>
    <w:uiPriority w:val="0"/>
    <w:pPr>
      <w:ind w:firstLine="480"/>
    </w:pPr>
    <w:rPr>
      <w:rFonts w:eastAsia="宋体" w:cs="宋体" w:asciiTheme="minorHAnsi" w:hAnsiTheme="minorHAnsi"/>
      <w:color w:val="000000"/>
      <w:szCs w:val="18"/>
    </w:rPr>
  </w:style>
  <w:style w:type="paragraph" w:styleId="12">
    <w:name w:val="annotation text"/>
    <w:basedOn w:val="1"/>
    <w:link w:val="69"/>
    <w:autoRedefine/>
    <w:unhideWhenUsed/>
    <w:qFormat/>
    <w:uiPriority w:val="99"/>
    <w:pPr>
      <w:jc w:val="left"/>
    </w:pPr>
  </w:style>
  <w:style w:type="paragraph" w:styleId="13">
    <w:name w:val="Body Text"/>
    <w:basedOn w:val="1"/>
    <w:next w:val="1"/>
    <w:link w:val="54"/>
    <w:autoRedefine/>
    <w:unhideWhenUsed/>
    <w:qFormat/>
    <w:uiPriority w:val="99"/>
    <w:pPr>
      <w:spacing w:after="120"/>
    </w:pPr>
  </w:style>
  <w:style w:type="paragraph" w:styleId="14">
    <w:name w:val="Body Text Indent"/>
    <w:basedOn w:val="1"/>
    <w:autoRedefine/>
    <w:qFormat/>
    <w:uiPriority w:val="0"/>
    <w:pPr>
      <w:spacing w:line="420" w:lineRule="exact"/>
      <w:ind w:firstLine="560"/>
    </w:pPr>
    <w:rPr>
      <w:rFonts w:eastAsia="楷体_GB2312"/>
      <w:sz w:val="28"/>
    </w:rPr>
  </w:style>
  <w:style w:type="paragraph" w:styleId="15">
    <w:name w:val="toc 5"/>
    <w:basedOn w:val="1"/>
    <w:next w:val="1"/>
    <w:autoRedefine/>
    <w:unhideWhenUsed/>
    <w:qFormat/>
    <w:uiPriority w:val="39"/>
    <w:pPr>
      <w:ind w:left="960"/>
      <w:jc w:val="left"/>
    </w:pPr>
    <w:rPr>
      <w:rFonts w:asciiTheme="minorHAnsi" w:hAnsiTheme="minorHAnsi"/>
      <w:sz w:val="18"/>
      <w:szCs w:val="18"/>
    </w:rPr>
  </w:style>
  <w:style w:type="paragraph" w:styleId="16">
    <w:name w:val="toc 3"/>
    <w:basedOn w:val="1"/>
    <w:next w:val="1"/>
    <w:autoRedefine/>
    <w:unhideWhenUsed/>
    <w:qFormat/>
    <w:uiPriority w:val="39"/>
    <w:pPr>
      <w:ind w:left="480"/>
      <w:jc w:val="left"/>
    </w:pPr>
    <w:rPr>
      <w:rFonts w:asciiTheme="minorHAnsi" w:hAnsiTheme="minorHAnsi"/>
      <w:i/>
      <w:iCs/>
      <w:sz w:val="20"/>
      <w:szCs w:val="20"/>
    </w:rPr>
  </w:style>
  <w:style w:type="paragraph" w:styleId="17">
    <w:name w:val="Plain Text"/>
    <w:basedOn w:val="1"/>
    <w:link w:val="68"/>
    <w:autoRedefine/>
    <w:unhideWhenUsed/>
    <w:qFormat/>
    <w:uiPriority w:val="0"/>
    <w:rPr>
      <w:rFonts w:ascii="宋体" w:hAnsi="Courier New" w:eastAsia="宋体" w:cs="Courier New"/>
      <w:sz w:val="21"/>
      <w:szCs w:val="21"/>
    </w:rPr>
  </w:style>
  <w:style w:type="paragraph" w:styleId="18">
    <w:name w:val="toc 8"/>
    <w:basedOn w:val="1"/>
    <w:next w:val="1"/>
    <w:autoRedefine/>
    <w:unhideWhenUsed/>
    <w:qFormat/>
    <w:uiPriority w:val="39"/>
    <w:pPr>
      <w:ind w:left="1680"/>
      <w:jc w:val="left"/>
    </w:pPr>
    <w:rPr>
      <w:rFonts w:asciiTheme="minorHAnsi" w:hAnsiTheme="minorHAnsi"/>
      <w:sz w:val="18"/>
      <w:szCs w:val="18"/>
    </w:rPr>
  </w:style>
  <w:style w:type="paragraph" w:styleId="19">
    <w:name w:val="Date"/>
    <w:basedOn w:val="1"/>
    <w:next w:val="1"/>
    <w:link w:val="72"/>
    <w:autoRedefine/>
    <w:semiHidden/>
    <w:unhideWhenUsed/>
    <w:qFormat/>
    <w:uiPriority w:val="99"/>
    <w:pPr>
      <w:ind w:left="100" w:leftChars="2500"/>
    </w:pPr>
  </w:style>
  <w:style w:type="paragraph" w:styleId="20">
    <w:name w:val="Balloon Text"/>
    <w:basedOn w:val="1"/>
    <w:link w:val="67"/>
    <w:autoRedefine/>
    <w:unhideWhenUsed/>
    <w:qFormat/>
    <w:uiPriority w:val="99"/>
    <w:pPr>
      <w:spacing w:line="240" w:lineRule="auto"/>
    </w:pPr>
    <w:rPr>
      <w:sz w:val="18"/>
      <w:szCs w:val="18"/>
    </w:rPr>
  </w:style>
  <w:style w:type="paragraph" w:styleId="21">
    <w:name w:val="footer"/>
    <w:basedOn w:val="1"/>
    <w:link w:val="59"/>
    <w:autoRedefine/>
    <w:unhideWhenUsed/>
    <w:qFormat/>
    <w:uiPriority w:val="99"/>
    <w:pPr>
      <w:tabs>
        <w:tab w:val="center" w:pos="4153"/>
        <w:tab w:val="right" w:pos="8306"/>
      </w:tabs>
      <w:snapToGrid w:val="0"/>
      <w:jc w:val="left"/>
    </w:pPr>
    <w:rPr>
      <w:sz w:val="18"/>
      <w:szCs w:val="18"/>
    </w:rPr>
  </w:style>
  <w:style w:type="paragraph" w:styleId="22">
    <w:name w:val="header"/>
    <w:basedOn w:val="1"/>
    <w:link w:val="5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spacing w:before="120" w:after="120"/>
      <w:jc w:val="left"/>
    </w:pPr>
    <w:rPr>
      <w:rFonts w:asciiTheme="minorHAnsi" w:hAnsiTheme="minorHAnsi"/>
      <w:b/>
      <w:bCs/>
      <w:caps/>
      <w:sz w:val="20"/>
      <w:szCs w:val="20"/>
    </w:rPr>
  </w:style>
  <w:style w:type="paragraph" w:styleId="24">
    <w:name w:val="toc 4"/>
    <w:basedOn w:val="1"/>
    <w:next w:val="1"/>
    <w:autoRedefine/>
    <w:unhideWhenUsed/>
    <w:qFormat/>
    <w:uiPriority w:val="39"/>
    <w:pPr>
      <w:ind w:left="720"/>
      <w:jc w:val="left"/>
    </w:pPr>
    <w:rPr>
      <w:rFonts w:asciiTheme="minorHAnsi" w:hAnsiTheme="minorHAnsi"/>
      <w:sz w:val="18"/>
      <w:szCs w:val="18"/>
    </w:rPr>
  </w:style>
  <w:style w:type="paragraph" w:styleId="25">
    <w:name w:val="Subtitle"/>
    <w:basedOn w:val="1"/>
    <w:next w:val="1"/>
    <w:link w:val="74"/>
    <w:autoRedefine/>
    <w:qFormat/>
    <w:uiPriority w:val="99"/>
    <w:pPr>
      <w:widowControl/>
      <w:spacing w:line="240" w:lineRule="auto"/>
      <w:ind w:firstLine="0" w:firstLineChars="0"/>
      <w:jc w:val="center"/>
    </w:pPr>
    <w:rPr>
      <w:rFonts w:eastAsia="宋体" w:cs="Times New Roman"/>
      <w:iCs/>
      <w:kern w:val="0"/>
      <w:sz w:val="21"/>
      <w:szCs w:val="24"/>
    </w:rPr>
  </w:style>
  <w:style w:type="paragraph" w:styleId="26">
    <w:name w:val="toc 6"/>
    <w:basedOn w:val="1"/>
    <w:next w:val="1"/>
    <w:autoRedefine/>
    <w:unhideWhenUsed/>
    <w:qFormat/>
    <w:uiPriority w:val="39"/>
    <w:pPr>
      <w:ind w:left="1200"/>
      <w:jc w:val="left"/>
    </w:pPr>
    <w:rPr>
      <w:rFonts w:asciiTheme="minorHAnsi" w:hAnsiTheme="minorHAnsi"/>
      <w:sz w:val="18"/>
      <w:szCs w:val="18"/>
    </w:rPr>
  </w:style>
  <w:style w:type="paragraph" w:styleId="27">
    <w:name w:val="toc 2"/>
    <w:basedOn w:val="1"/>
    <w:next w:val="1"/>
    <w:unhideWhenUsed/>
    <w:qFormat/>
    <w:uiPriority w:val="39"/>
    <w:pPr>
      <w:ind w:left="240"/>
      <w:jc w:val="left"/>
    </w:pPr>
    <w:rPr>
      <w:rFonts w:asciiTheme="minorHAnsi" w:hAnsiTheme="minorHAnsi"/>
      <w:smallCaps/>
      <w:sz w:val="20"/>
      <w:szCs w:val="20"/>
    </w:rPr>
  </w:style>
  <w:style w:type="paragraph" w:styleId="28">
    <w:name w:val="toc 9"/>
    <w:basedOn w:val="1"/>
    <w:next w:val="1"/>
    <w:autoRedefine/>
    <w:unhideWhenUsed/>
    <w:qFormat/>
    <w:uiPriority w:val="39"/>
    <w:pPr>
      <w:ind w:left="1920"/>
      <w:jc w:val="left"/>
    </w:pPr>
    <w:rPr>
      <w:rFonts w:asciiTheme="minorHAnsi" w:hAnsiTheme="minorHAnsi"/>
      <w:sz w:val="18"/>
      <w:szCs w:val="18"/>
    </w:rPr>
  </w:style>
  <w:style w:type="paragraph" w:styleId="29">
    <w:name w:val="Body Text 2"/>
    <w:basedOn w:val="1"/>
    <w:autoRedefine/>
    <w:qFormat/>
    <w:uiPriority w:val="0"/>
    <w:pPr>
      <w:jc w:val="center"/>
    </w:pPr>
    <w:rPr>
      <w:rFonts w:ascii="仿宋_GB2312" w:eastAsia="仿宋_GB2312"/>
    </w:rPr>
  </w:style>
  <w:style w:type="paragraph" w:styleId="30">
    <w:name w:val="Normal (Web)"/>
    <w:basedOn w:val="1"/>
    <w:autoRedefine/>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31">
    <w:name w:val="Title"/>
    <w:basedOn w:val="1"/>
    <w:next w:val="1"/>
    <w:link w:val="71"/>
    <w:qFormat/>
    <w:uiPriority w:val="10"/>
    <w:pPr>
      <w:spacing w:line="500" w:lineRule="exact"/>
      <w:ind w:firstLine="0" w:firstLineChars="0"/>
      <w:jc w:val="center"/>
    </w:pPr>
    <w:rPr>
      <w:rFonts w:eastAsia="黑体" w:cs="Times New Roman"/>
      <w:kern w:val="13"/>
      <w:szCs w:val="24"/>
    </w:rPr>
  </w:style>
  <w:style w:type="paragraph" w:styleId="32">
    <w:name w:val="annotation subject"/>
    <w:basedOn w:val="12"/>
    <w:next w:val="12"/>
    <w:link w:val="70"/>
    <w:autoRedefine/>
    <w:semiHidden/>
    <w:unhideWhenUsed/>
    <w:qFormat/>
    <w:uiPriority w:val="99"/>
    <w:rPr>
      <w:b/>
      <w:bCs/>
    </w:rPr>
  </w:style>
  <w:style w:type="paragraph" w:styleId="33">
    <w:name w:val="Body Text First Indent"/>
    <w:basedOn w:val="13"/>
    <w:link w:val="53"/>
    <w:autoRedefine/>
    <w:unhideWhenUsed/>
    <w:qFormat/>
    <w:uiPriority w:val="99"/>
    <w:pPr>
      <w:ind w:firstLine="420" w:firstLineChars="100"/>
    </w:pPr>
  </w:style>
  <w:style w:type="paragraph" w:styleId="34">
    <w:name w:val="Body Text First Indent 2"/>
    <w:basedOn w:val="14"/>
    <w:next w:val="1"/>
    <w:autoRedefine/>
    <w:unhideWhenUsed/>
    <w:qFormat/>
    <w:uiPriority w:val="99"/>
    <w:pPr>
      <w:adjustRightInd w:val="0"/>
      <w:snapToGrid w:val="0"/>
      <w:spacing w:after="120" w:line="360" w:lineRule="auto"/>
      <w:ind w:left="420" w:leftChars="200" w:firstLine="420"/>
    </w:pPr>
    <w:rPr>
      <w:rFonts w:eastAsia="宋体"/>
      <w:sz w:val="24"/>
    </w:rPr>
  </w:style>
  <w:style w:type="table" w:styleId="36">
    <w:name w:val="Table Grid"/>
    <w:basedOn w:val="3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autoRedefine/>
    <w:qFormat/>
    <w:uiPriority w:val="99"/>
    <w:rPr>
      <w:rFonts w:cs="Times New Roman"/>
    </w:rPr>
  </w:style>
  <w:style w:type="character" w:styleId="40">
    <w:name w:val="Hyperlink"/>
    <w:basedOn w:val="37"/>
    <w:unhideWhenUsed/>
    <w:qFormat/>
    <w:uiPriority w:val="99"/>
    <w:rPr>
      <w:color w:val="0000FF"/>
      <w:u w:val="single"/>
    </w:rPr>
  </w:style>
  <w:style w:type="character" w:styleId="41">
    <w:name w:val="annotation reference"/>
    <w:basedOn w:val="37"/>
    <w:semiHidden/>
    <w:unhideWhenUsed/>
    <w:qFormat/>
    <w:uiPriority w:val="99"/>
    <w:rPr>
      <w:sz w:val="21"/>
      <w:szCs w:val="21"/>
    </w:rPr>
  </w:style>
  <w:style w:type="paragraph" w:customStyle="1" w:styleId="42">
    <w:name w:val="样式 首行缩进:  2 字符1"/>
    <w:basedOn w:val="1"/>
    <w:autoRedefine/>
    <w:qFormat/>
    <w:uiPriority w:val="0"/>
    <w:pPr>
      <w:adjustRightInd w:val="0"/>
      <w:snapToGrid w:val="0"/>
      <w:spacing w:line="360" w:lineRule="auto"/>
      <w:ind w:firstLine="480" w:firstLineChars="200"/>
    </w:pPr>
    <w:rPr>
      <w:rFonts w:ascii="Times New Roman" w:hAnsi="Times New Roman" w:eastAsia="宋体" w:cs="宋体"/>
      <w:sz w:val="24"/>
      <w:szCs w:val="20"/>
    </w:rPr>
  </w:style>
  <w:style w:type="paragraph" w:customStyle="1" w:styleId="43">
    <w:name w:val="表头"/>
    <w:basedOn w:val="44"/>
    <w:next w:val="13"/>
    <w:autoRedefine/>
    <w:qFormat/>
    <w:uiPriority w:val="0"/>
    <w:pPr>
      <w:tabs>
        <w:tab w:val="left" w:pos="6840"/>
      </w:tabs>
      <w:topLinePunct/>
      <w:snapToGrid w:val="0"/>
      <w:spacing w:line="240" w:lineRule="auto"/>
      <w:ind w:firstLine="0" w:firstLineChars="0"/>
      <w:jc w:val="center"/>
    </w:pPr>
    <w:rPr>
      <w:b/>
      <w:bCs/>
      <w:kern w:val="24"/>
      <w:szCs w:val="28"/>
    </w:rPr>
  </w:style>
  <w:style w:type="paragraph" w:customStyle="1" w:styleId="44">
    <w:name w:val="小正文"/>
    <w:basedOn w:val="17"/>
    <w:next w:val="17"/>
    <w:qFormat/>
    <w:uiPriority w:val="0"/>
    <w:pPr>
      <w:ind w:firstLine="420"/>
    </w:pPr>
    <w:rPr>
      <w:rFonts w:ascii="Times New Roman" w:hAnsi="Times New Roman"/>
    </w:rPr>
  </w:style>
  <w:style w:type="paragraph" w:customStyle="1" w:styleId="45">
    <w:name w:val="正文文本首行缩进1"/>
    <w:basedOn w:val="13"/>
    <w:autoRedefine/>
    <w:qFormat/>
    <w:uiPriority w:val="0"/>
    <w:pPr>
      <w:ind w:firstLine="420" w:firstLineChars="100"/>
    </w:pPr>
    <w:rPr>
      <w:rFonts w:eastAsia="宋体"/>
    </w:rPr>
  </w:style>
  <w:style w:type="paragraph" w:customStyle="1" w:styleId="46">
    <w:name w:val="Default"/>
    <w:basedOn w:val="47"/>
    <w:next w:val="34"/>
    <w:autoRedefine/>
    <w:qFormat/>
    <w:uiPriority w:val="0"/>
    <w:pPr>
      <w:autoSpaceDE w:val="0"/>
      <w:autoSpaceDN w:val="0"/>
    </w:pPr>
    <w:rPr>
      <w:rFonts w:ascii="仿宋_GB2312" w:hAnsi="Times New Roman" w:eastAsia="仿宋_GB2312" w:cs="仿宋_GB2312"/>
      <w:color w:val="000000"/>
      <w:szCs w:val="24"/>
    </w:rPr>
  </w:style>
  <w:style w:type="paragraph" w:customStyle="1" w:styleId="4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8">
    <w:name w:val="纯文本1"/>
    <w:basedOn w:val="1"/>
    <w:link w:val="83"/>
    <w:autoRedefine/>
    <w:qFormat/>
    <w:uiPriority w:val="0"/>
    <w:pPr>
      <w:adjustRightInd w:val="0"/>
      <w:textAlignment w:val="baseline"/>
    </w:pPr>
    <w:rPr>
      <w:rFonts w:ascii="宋体" w:hAnsi="Courier New" w:eastAsia="宋体" w:cs="Times New Roman"/>
      <w:szCs w:val="20"/>
    </w:rPr>
  </w:style>
  <w:style w:type="character" w:customStyle="1" w:styleId="49">
    <w:name w:val="标题 2 字符"/>
    <w:basedOn w:val="37"/>
    <w:link w:val="4"/>
    <w:autoRedefine/>
    <w:qFormat/>
    <w:uiPriority w:val="9"/>
    <w:rPr>
      <w:rFonts w:eastAsiaTheme="majorEastAsia" w:cstheme="majorBidi"/>
      <w:b/>
      <w:bCs/>
      <w:kern w:val="2"/>
      <w:sz w:val="28"/>
      <w:szCs w:val="32"/>
    </w:rPr>
  </w:style>
  <w:style w:type="character" w:customStyle="1" w:styleId="50">
    <w:name w:val="标题 3 字符"/>
    <w:basedOn w:val="37"/>
    <w:link w:val="5"/>
    <w:qFormat/>
    <w:uiPriority w:val="9"/>
    <w:rPr>
      <w:rFonts w:eastAsiaTheme="majorEastAsia" w:cstheme="minorBidi"/>
      <w:b/>
      <w:bCs/>
      <w:kern w:val="2"/>
      <w:sz w:val="28"/>
      <w:szCs w:val="32"/>
    </w:rPr>
  </w:style>
  <w:style w:type="character" w:customStyle="1" w:styleId="51">
    <w:name w:val="标题 4 字符"/>
    <w:basedOn w:val="37"/>
    <w:link w:val="6"/>
    <w:qFormat/>
    <w:uiPriority w:val="9"/>
    <w:rPr>
      <w:rFonts w:eastAsiaTheme="majorEastAsia" w:cstheme="majorBidi"/>
      <w:b/>
      <w:bCs/>
      <w:kern w:val="2"/>
      <w:sz w:val="24"/>
      <w:szCs w:val="28"/>
    </w:rPr>
  </w:style>
  <w:style w:type="character" w:customStyle="1" w:styleId="52">
    <w:name w:val="标题 1 字符"/>
    <w:basedOn w:val="37"/>
    <w:link w:val="3"/>
    <w:qFormat/>
    <w:uiPriority w:val="9"/>
    <w:rPr>
      <w:rFonts w:eastAsiaTheme="majorEastAsia" w:cstheme="minorBidi"/>
      <w:b/>
      <w:bCs/>
      <w:kern w:val="44"/>
      <w:sz w:val="32"/>
      <w:szCs w:val="44"/>
    </w:rPr>
  </w:style>
  <w:style w:type="character" w:customStyle="1" w:styleId="53">
    <w:name w:val="正文文本首行缩进 字符"/>
    <w:basedOn w:val="54"/>
    <w:link w:val="33"/>
    <w:autoRedefine/>
    <w:semiHidden/>
    <w:qFormat/>
    <w:uiPriority w:val="99"/>
    <w:rPr>
      <w:rFonts w:ascii="Times New Roman" w:hAnsi="Times New Roman"/>
      <w:sz w:val="24"/>
    </w:rPr>
  </w:style>
  <w:style w:type="character" w:customStyle="1" w:styleId="54">
    <w:name w:val="正文文本 字符"/>
    <w:basedOn w:val="37"/>
    <w:link w:val="13"/>
    <w:autoRedefine/>
    <w:qFormat/>
    <w:uiPriority w:val="99"/>
    <w:rPr>
      <w:rFonts w:ascii="Times New Roman" w:hAnsi="Times New Roman"/>
      <w:sz w:val="24"/>
    </w:rPr>
  </w:style>
  <w:style w:type="paragraph" w:customStyle="1" w:styleId="55">
    <w:name w:val="表格"/>
    <w:basedOn w:val="11"/>
    <w:next w:val="1"/>
    <w:qFormat/>
    <w:uiPriority w:val="0"/>
    <w:pPr>
      <w:spacing w:line="240" w:lineRule="auto"/>
      <w:ind w:firstLine="0" w:firstLineChars="0"/>
      <w:jc w:val="center"/>
    </w:pPr>
    <w:rPr>
      <w:rFonts w:ascii="Times New Roman" w:hAnsi="Times New Roman"/>
      <w:sz w:val="21"/>
      <w:szCs w:val="21"/>
    </w:rPr>
  </w:style>
  <w:style w:type="paragraph" w:customStyle="1" w:styleId="56">
    <w:name w:val="Table Paragraph"/>
    <w:basedOn w:val="1"/>
    <w:link w:val="82"/>
    <w:autoRedefine/>
    <w:qFormat/>
    <w:uiPriority w:val="1"/>
    <w:pPr>
      <w:spacing w:line="240" w:lineRule="auto"/>
      <w:ind w:firstLine="0" w:firstLineChars="0"/>
      <w:jc w:val="center"/>
    </w:pPr>
    <w:rPr>
      <w:rFonts w:eastAsia="宋体" w:cs="Times New Roman"/>
      <w:sz w:val="21"/>
      <w:lang w:val="zh-CN" w:bidi="zh-CN"/>
    </w:rPr>
  </w:style>
  <w:style w:type="paragraph" w:customStyle="1" w:styleId="57">
    <w:name w:val="默认段落"/>
    <w:basedOn w:val="1"/>
    <w:autoRedefine/>
    <w:qFormat/>
    <w:uiPriority w:val="0"/>
  </w:style>
  <w:style w:type="character" w:customStyle="1" w:styleId="58">
    <w:name w:val="页眉 字符"/>
    <w:basedOn w:val="37"/>
    <w:link w:val="22"/>
    <w:autoRedefine/>
    <w:qFormat/>
    <w:uiPriority w:val="99"/>
    <w:rPr>
      <w:sz w:val="18"/>
      <w:szCs w:val="18"/>
    </w:rPr>
  </w:style>
  <w:style w:type="character" w:customStyle="1" w:styleId="59">
    <w:name w:val="页脚 字符"/>
    <w:basedOn w:val="37"/>
    <w:link w:val="21"/>
    <w:qFormat/>
    <w:uiPriority w:val="99"/>
    <w:rPr>
      <w:sz w:val="18"/>
      <w:szCs w:val="18"/>
    </w:rPr>
  </w:style>
  <w:style w:type="paragraph" w:customStyle="1" w:styleId="60">
    <w:name w:val="表内文字"/>
    <w:basedOn w:val="1"/>
    <w:link w:val="62"/>
    <w:autoRedefine/>
    <w:qFormat/>
    <w:uiPriority w:val="0"/>
    <w:pPr>
      <w:spacing w:line="240" w:lineRule="auto"/>
      <w:ind w:firstLine="0" w:firstLineChars="0"/>
      <w:jc w:val="center"/>
    </w:pPr>
    <w:rPr>
      <w:sz w:val="21"/>
      <w:szCs w:val="21"/>
    </w:rPr>
  </w:style>
  <w:style w:type="paragraph" w:customStyle="1" w:styleId="61">
    <w:name w:val="表头、图号"/>
    <w:basedOn w:val="1"/>
    <w:link w:val="64"/>
    <w:autoRedefine/>
    <w:qFormat/>
    <w:uiPriority w:val="0"/>
    <w:pPr>
      <w:spacing w:beforeLines="10" w:afterLines="10"/>
      <w:ind w:firstLine="0" w:firstLineChars="0"/>
      <w:jc w:val="center"/>
    </w:pPr>
    <w:rPr>
      <w:rFonts w:eastAsia="黑体"/>
    </w:rPr>
  </w:style>
  <w:style w:type="character" w:customStyle="1" w:styleId="62">
    <w:name w:val="表内文字 Char"/>
    <w:basedOn w:val="37"/>
    <w:link w:val="60"/>
    <w:autoRedefine/>
    <w:qFormat/>
    <w:uiPriority w:val="0"/>
    <w:rPr>
      <w:rFonts w:ascii="Times New Roman" w:hAnsi="Times New Roman"/>
      <w:szCs w:val="21"/>
    </w:rPr>
  </w:style>
  <w:style w:type="paragraph" w:customStyle="1" w:styleId="63">
    <w:name w:val="表后空格"/>
    <w:basedOn w:val="1"/>
    <w:link w:val="65"/>
    <w:autoRedefine/>
    <w:qFormat/>
    <w:uiPriority w:val="0"/>
    <w:pPr>
      <w:spacing w:line="240" w:lineRule="exact"/>
    </w:pPr>
    <w:rPr>
      <w:sz w:val="18"/>
      <w:szCs w:val="21"/>
    </w:rPr>
  </w:style>
  <w:style w:type="character" w:customStyle="1" w:styleId="64">
    <w:name w:val="表头、图号 Char"/>
    <w:basedOn w:val="37"/>
    <w:link w:val="61"/>
    <w:qFormat/>
    <w:uiPriority w:val="0"/>
    <w:rPr>
      <w:rFonts w:ascii="Times New Roman" w:hAnsi="Times New Roman" w:eastAsia="黑体"/>
      <w:sz w:val="24"/>
    </w:rPr>
  </w:style>
  <w:style w:type="character" w:customStyle="1" w:styleId="65">
    <w:name w:val="表后空格 Char"/>
    <w:basedOn w:val="37"/>
    <w:link w:val="63"/>
    <w:autoRedefine/>
    <w:qFormat/>
    <w:uiPriority w:val="0"/>
    <w:rPr>
      <w:rFonts w:ascii="Times New Roman" w:hAnsi="Times New Roman"/>
      <w:sz w:val="18"/>
      <w:szCs w:val="21"/>
    </w:rPr>
  </w:style>
  <w:style w:type="character" w:customStyle="1" w:styleId="66">
    <w:name w:val="正文缩进 字符"/>
    <w:link w:val="11"/>
    <w:autoRedefine/>
    <w:qFormat/>
    <w:uiPriority w:val="0"/>
    <w:rPr>
      <w:rFonts w:eastAsia="宋体" w:cs="宋体"/>
      <w:color w:val="000000"/>
      <w:sz w:val="24"/>
      <w:szCs w:val="18"/>
    </w:rPr>
  </w:style>
  <w:style w:type="character" w:customStyle="1" w:styleId="67">
    <w:name w:val="批注框文本 字符"/>
    <w:basedOn w:val="37"/>
    <w:link w:val="20"/>
    <w:autoRedefine/>
    <w:semiHidden/>
    <w:qFormat/>
    <w:uiPriority w:val="99"/>
    <w:rPr>
      <w:rFonts w:ascii="Times New Roman" w:hAnsi="Times New Roman"/>
      <w:sz w:val="18"/>
      <w:szCs w:val="18"/>
    </w:rPr>
  </w:style>
  <w:style w:type="character" w:customStyle="1" w:styleId="68">
    <w:name w:val="纯文本 字符"/>
    <w:basedOn w:val="37"/>
    <w:link w:val="17"/>
    <w:autoRedefine/>
    <w:qFormat/>
    <w:uiPriority w:val="0"/>
    <w:rPr>
      <w:rFonts w:ascii="宋体" w:hAnsi="Courier New" w:cs="Courier New"/>
      <w:kern w:val="2"/>
      <w:sz w:val="21"/>
      <w:szCs w:val="21"/>
    </w:rPr>
  </w:style>
  <w:style w:type="character" w:customStyle="1" w:styleId="69">
    <w:name w:val="批注文字 字符"/>
    <w:basedOn w:val="37"/>
    <w:link w:val="12"/>
    <w:autoRedefine/>
    <w:qFormat/>
    <w:uiPriority w:val="99"/>
    <w:rPr>
      <w:rFonts w:eastAsiaTheme="minorEastAsia" w:cstheme="minorBidi"/>
      <w:kern w:val="2"/>
      <w:sz w:val="24"/>
      <w:szCs w:val="22"/>
    </w:rPr>
  </w:style>
  <w:style w:type="character" w:customStyle="1" w:styleId="70">
    <w:name w:val="批注主题 字符"/>
    <w:basedOn w:val="69"/>
    <w:link w:val="32"/>
    <w:autoRedefine/>
    <w:semiHidden/>
    <w:qFormat/>
    <w:uiPriority w:val="99"/>
    <w:rPr>
      <w:rFonts w:eastAsiaTheme="minorEastAsia" w:cstheme="minorBidi"/>
      <w:b/>
      <w:bCs/>
      <w:kern w:val="2"/>
      <w:sz w:val="24"/>
      <w:szCs w:val="22"/>
    </w:rPr>
  </w:style>
  <w:style w:type="character" w:customStyle="1" w:styleId="71">
    <w:name w:val="标题 字符"/>
    <w:link w:val="31"/>
    <w:qFormat/>
    <w:uiPriority w:val="10"/>
    <w:rPr>
      <w:rFonts w:eastAsia="黑体"/>
      <w:kern w:val="13"/>
      <w:sz w:val="24"/>
      <w:szCs w:val="24"/>
    </w:rPr>
  </w:style>
  <w:style w:type="character" w:customStyle="1" w:styleId="72">
    <w:name w:val="日期 字符"/>
    <w:basedOn w:val="37"/>
    <w:link w:val="19"/>
    <w:autoRedefine/>
    <w:semiHidden/>
    <w:qFormat/>
    <w:uiPriority w:val="99"/>
    <w:rPr>
      <w:rFonts w:eastAsiaTheme="minorEastAsia" w:cstheme="minorBidi"/>
      <w:kern w:val="2"/>
      <w:sz w:val="24"/>
      <w:szCs w:val="22"/>
    </w:rPr>
  </w:style>
  <w:style w:type="character" w:customStyle="1" w:styleId="73">
    <w:name w:val="宏文本 字符"/>
    <w:basedOn w:val="37"/>
    <w:link w:val="2"/>
    <w:semiHidden/>
    <w:qFormat/>
    <w:uiPriority w:val="99"/>
    <w:rPr>
      <w:rFonts w:ascii="Courier New" w:hAnsi="Courier New" w:cs="Courier New"/>
      <w:kern w:val="2"/>
      <w:sz w:val="24"/>
      <w:szCs w:val="24"/>
    </w:rPr>
  </w:style>
  <w:style w:type="character" w:customStyle="1" w:styleId="74">
    <w:name w:val="副标题 字符"/>
    <w:link w:val="25"/>
    <w:autoRedefine/>
    <w:qFormat/>
    <w:uiPriority w:val="99"/>
    <w:rPr>
      <w:iCs/>
      <w:sz w:val="21"/>
      <w:szCs w:val="24"/>
    </w:rPr>
  </w:style>
  <w:style w:type="table" w:customStyle="1" w:styleId="75">
    <w:name w:val="网格型1"/>
    <w:basedOn w:val="35"/>
    <w:autoRedefine/>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6">
    <w:name w:val="标题 5 字符"/>
    <w:basedOn w:val="37"/>
    <w:link w:val="7"/>
    <w:autoRedefine/>
    <w:semiHidden/>
    <w:qFormat/>
    <w:uiPriority w:val="9"/>
    <w:rPr>
      <w:rFonts w:ascii="Times New Roman" w:hAnsi="Times New Roman" w:eastAsiaTheme="minorEastAsia" w:cstheme="minorBidi"/>
      <w:b/>
      <w:bCs/>
      <w:kern w:val="2"/>
      <w:sz w:val="28"/>
      <w:szCs w:val="28"/>
    </w:rPr>
  </w:style>
  <w:style w:type="paragraph" w:styleId="77">
    <w:name w:val="List Paragraph"/>
    <w:basedOn w:val="1"/>
    <w:autoRedefine/>
    <w:qFormat/>
    <w:uiPriority w:val="1"/>
    <w:pPr>
      <w:spacing w:before="1"/>
      <w:ind w:left="1469" w:firstLine="480"/>
    </w:pPr>
    <w:rPr>
      <w:rFonts w:ascii="宋体" w:hAnsi="宋体" w:eastAsia="宋体" w:cs="宋体"/>
      <w:lang w:val="zh-CN" w:bidi="zh-CN"/>
    </w:rPr>
  </w:style>
  <w:style w:type="table" w:customStyle="1" w:styleId="78">
    <w:name w:val="[表格样式]3"/>
    <w:basedOn w:val="35"/>
    <w:autoRedefine/>
    <w:qFormat/>
    <w:uiPriority w:val="99"/>
    <w:pPr>
      <w:adjustRightInd w:val="0"/>
      <w:snapToGrid w:val="0"/>
      <w:jc w:val="center"/>
    </w:pPr>
    <w:rPr>
      <w:snapToGrid w:val="0"/>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79">
    <w:name w:val="标题2"/>
    <w:basedOn w:val="80"/>
    <w:unhideWhenUsed/>
    <w:qFormat/>
    <w:uiPriority w:val="2"/>
    <w:pPr>
      <w:outlineLvl w:val="2"/>
    </w:pPr>
    <w:rPr>
      <w:rFonts w:asciiTheme="minorHAnsi" w:hAnsiTheme="minorHAnsi" w:eastAsiaTheme="minorEastAsia" w:cstheme="minorBidi"/>
      <w:kern w:val="2"/>
      <w:sz w:val="21"/>
      <w:szCs w:val="22"/>
      <w:lang w:val="en-US" w:eastAsia="zh-CN" w:bidi="ar-SA"/>
    </w:rPr>
  </w:style>
  <w:style w:type="paragraph" w:customStyle="1" w:styleId="80">
    <w:name w:val="标题1"/>
    <w:basedOn w:val="3"/>
    <w:autoRedefine/>
    <w:qFormat/>
    <w:uiPriority w:val="0"/>
    <w:pPr>
      <w:pageBreakBefore/>
      <w:spacing w:before="0" w:after="0" w:line="600" w:lineRule="exact"/>
    </w:pPr>
    <w:rPr>
      <w:rFonts w:ascii="宋体" w:hAnsi="宋体"/>
      <w:color w:val="000000"/>
      <w:sz w:val="28"/>
      <w:szCs w:val="28"/>
    </w:rPr>
  </w:style>
  <w:style w:type="table" w:customStyle="1" w:styleId="81">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82">
    <w:name w:val="Table Paragraph Char"/>
    <w:link w:val="56"/>
    <w:autoRedefine/>
    <w:qFormat/>
    <w:uiPriority w:val="1"/>
    <w:rPr>
      <w:rFonts w:ascii="Times New Roman" w:hAnsi="Times New Roman" w:eastAsia="宋体" w:cs="Times New Roman"/>
      <w:sz w:val="21"/>
      <w:lang w:val="zh-CN" w:bidi="zh-CN"/>
    </w:rPr>
  </w:style>
  <w:style w:type="character" w:customStyle="1" w:styleId="83">
    <w:name w:val="纯文本1 Char"/>
    <w:link w:val="48"/>
    <w:autoRedefine/>
    <w:qFormat/>
    <w:uiPriority w:val="0"/>
    <w:rPr>
      <w:rFonts w:ascii="宋体" w:hAnsi="Courier New" w:eastAsia="宋体" w:cs="Times New Roman"/>
      <w:szCs w:val="20"/>
    </w:rPr>
  </w:style>
  <w:style w:type="paragraph" w:customStyle="1" w:styleId="84">
    <w:name w:val="【正文】"/>
    <w:basedOn w:val="1"/>
    <w:autoRedefine/>
    <w:qFormat/>
    <w:uiPriority w:val="0"/>
    <w:pPr>
      <w:spacing w:line="500" w:lineRule="exact"/>
    </w:pPr>
  </w:style>
  <w:style w:type="table" w:customStyle="1" w:styleId="85">
    <w:name w:val="[表格样式]"/>
    <w:basedOn w:val="35"/>
    <w:qFormat/>
    <w:uiPriority w:val="99"/>
    <w:pPr>
      <w:adjustRightInd w:val="0"/>
      <w:snapToGrid w:val="0"/>
      <w:jc w:val="center"/>
    </w:pPr>
    <w:rPr>
      <w:snapToGrid w:val="0"/>
    </w:rPr>
    <w:tblPr>
      <w:tblBorders>
        <w:top w:val="single" w:color="auto" w:sz="12" w:space="0"/>
        <w:bottom w:val="single" w:color="auto" w:sz="12" w:space="0"/>
        <w:insideH w:val="single" w:color="auto" w:sz="4" w:space="0"/>
        <w:insideV w:val="single" w:color="auto" w:sz="4" w:space="0"/>
      </w:tblBorders>
    </w:tblPr>
    <w:tcPr>
      <w:vAlign w:val="center"/>
    </w:tcPr>
  </w:style>
  <w:style w:type="character" w:styleId="86">
    <w:name w:val="Placeholder Text"/>
    <w:basedOn w:val="37"/>
    <w:autoRedefine/>
    <w:semiHidden/>
    <w:qFormat/>
    <w:uiPriority w:val="99"/>
    <w:rPr>
      <w:color w:val="808080"/>
    </w:rPr>
  </w:style>
  <w:style w:type="paragraph" w:customStyle="1" w:styleId="87">
    <w:name w:val="Char Char Char Char Char Char Char Char Char"/>
    <w:basedOn w:val="1"/>
    <w:autoRedefine/>
    <w:unhideWhenUsed/>
    <w:qFormat/>
    <w:uiPriority w:val="0"/>
    <w:pPr>
      <w:widowControl/>
      <w:spacing w:line="520" w:lineRule="exact"/>
      <w:jc w:val="left"/>
    </w:pPr>
    <w:rPr>
      <w:rFonts w:eastAsia="宋体" w:cs="Times New Roman"/>
      <w:kern w:val="0"/>
      <w:sz w:val="21"/>
    </w:rPr>
  </w:style>
  <w:style w:type="paragraph" w:customStyle="1" w:styleId="88">
    <w:name w:val="样式 首行缩进:  2 字符"/>
    <w:basedOn w:val="1"/>
    <w:autoRedefine/>
    <w:qFormat/>
    <w:uiPriority w:val="0"/>
    <w:pPr>
      <w:adjustRightInd w:val="0"/>
      <w:snapToGrid w:val="0"/>
      <w:spacing w:line="500" w:lineRule="exact"/>
      <w:ind w:firstLine="480" w:firstLineChars="200"/>
    </w:pPr>
    <w:rPr>
      <w:rFonts w:cs="宋体"/>
      <w:sz w:val="24"/>
      <w:szCs w:val="20"/>
    </w:rPr>
  </w:style>
  <w:style w:type="paragraph" w:customStyle="1" w:styleId="89">
    <w:name w:val="1  正  文"/>
    <w:autoRedefine/>
    <w:qFormat/>
    <w:uiPriority w:val="0"/>
    <w:pPr>
      <w:widowControl w:val="0"/>
      <w:spacing w:line="360" w:lineRule="auto"/>
      <w:ind w:firstLine="493"/>
    </w:pPr>
    <w:rPr>
      <w:rFonts w:ascii="Times New Roman" w:hAnsi="Times New Roman" w:eastAsia="宋体" w:cs="Times New Roman"/>
      <w:color w:val="000000"/>
      <w:sz w:val="24"/>
      <w:szCs w:val="28"/>
      <w:lang w:val="en-US" w:eastAsia="zh-CN" w:bidi="ar-SA"/>
    </w:rPr>
  </w:style>
  <w:style w:type="paragraph" w:customStyle="1" w:styleId="90">
    <w:name w:val="表头号"/>
    <w:basedOn w:val="1"/>
    <w:autoRedefine/>
    <w:qFormat/>
    <w:uiPriority w:val="0"/>
    <w:pPr>
      <w:spacing w:line="460" w:lineRule="exact"/>
      <w:jc w:val="left"/>
    </w:pPr>
    <w:rPr>
      <w:rFonts w:ascii="宋体" w:hAnsi="宋体" w:eastAsia="仿宋_GB2312"/>
      <w:b/>
      <w:bCs/>
      <w:kern w:val="44"/>
      <w:szCs w:val="30"/>
    </w:rPr>
  </w:style>
  <w:style w:type="paragraph" w:customStyle="1" w:styleId="91">
    <w:name w:val="正文喻"/>
    <w:basedOn w:val="1"/>
    <w:autoRedefine/>
    <w:qFormat/>
    <w:uiPriority w:val="0"/>
    <w:pPr>
      <w:spacing w:line="480" w:lineRule="exact"/>
      <w:ind w:firstLine="200" w:firstLineChars="200"/>
    </w:pPr>
    <w:rPr>
      <w:rFonts w:hAnsi="宋体"/>
      <w:sz w:val="24"/>
    </w:rPr>
  </w:style>
  <w:style w:type="paragraph" w:customStyle="1" w:styleId="92">
    <w:name w:val="表格内"/>
    <w:basedOn w:val="1"/>
    <w:autoRedefine/>
    <w:qFormat/>
    <w:uiPriority w:val="0"/>
    <w:pPr>
      <w:adjustRightInd w:val="0"/>
      <w:snapToGrid w:val="0"/>
      <w:spacing w:line="240" w:lineRule="auto"/>
      <w:ind w:firstLine="0" w:firstLineChars="0"/>
      <w:jc w:val="center"/>
    </w:pPr>
    <w:rPr>
      <w:snapToGrid w:val="0"/>
      <w:kern w:val="0"/>
      <w:sz w:val="21"/>
      <w:szCs w:val="21"/>
    </w:rPr>
  </w:style>
  <w:style w:type="paragraph" w:customStyle="1" w:styleId="93">
    <w:name w:val="【表中文字】"/>
    <w:basedOn w:val="1"/>
    <w:autoRedefine/>
    <w:qFormat/>
    <w:uiPriority w:val="0"/>
    <w:pPr>
      <w:jc w:val="center"/>
    </w:pPr>
    <w:rPr>
      <w:lang w:val="zh-CN"/>
    </w:rPr>
  </w:style>
  <w:style w:type="paragraph" w:customStyle="1" w:styleId="94">
    <w:name w:val="表头A"/>
    <w:basedOn w:val="43"/>
    <w:autoRedefine/>
    <w:qFormat/>
    <w:uiPriority w:val="0"/>
    <w:pPr>
      <w:widowControl w:val="0"/>
      <w:spacing w:line="400" w:lineRule="exact"/>
    </w:pPr>
    <w:rPr>
      <w:rFonts w:ascii="华文仿宋" w:hAnsi="华文仿宋" w:eastAsia="华文仿宋"/>
    </w:rPr>
  </w:style>
  <w:style w:type="paragraph" w:customStyle="1" w:styleId="95">
    <w:name w:val="环评正文"/>
    <w:basedOn w:val="96"/>
    <w:autoRedefine/>
    <w:qFormat/>
    <w:uiPriority w:val="0"/>
    <w:pPr>
      <w:keepNext w:val="0"/>
      <w:keepLines w:val="0"/>
      <w:widowControl w:val="0"/>
      <w:suppressLineNumbers w:val="0"/>
      <w:wordWrap w:val="0"/>
      <w:spacing w:before="0" w:beforeAutospacing="0" w:after="0" w:afterAutospacing="0" w:line="360" w:lineRule="auto"/>
      <w:ind w:left="0" w:right="0" w:firstLine="200" w:firstLineChars="200"/>
      <w:jc w:val="both"/>
      <w:outlineLvl w:val="9"/>
    </w:pPr>
    <w:rPr>
      <w:rFonts w:hint="default" w:ascii="Times New Roman" w:hAnsi="Times New Roman" w:eastAsia="宋体" w:cs="Times New Roman"/>
      <w:b w:val="0"/>
      <w:kern w:val="2"/>
      <w:sz w:val="24"/>
      <w:szCs w:val="24"/>
      <w:lang w:val="en-US" w:eastAsia="zh-CN" w:bidi="ar"/>
    </w:rPr>
  </w:style>
  <w:style w:type="paragraph" w:customStyle="1" w:styleId="96">
    <w:name w:val="标题5"/>
    <w:basedOn w:val="97"/>
    <w:autoRedefine/>
    <w:qFormat/>
    <w:uiPriority w:val="0"/>
    <w:pPr>
      <w:outlineLvl w:val="4"/>
    </w:pPr>
    <w:rPr>
      <w:sz w:val="24"/>
    </w:rPr>
  </w:style>
  <w:style w:type="paragraph" w:customStyle="1" w:styleId="97">
    <w:name w:val="标题4"/>
    <w:basedOn w:val="98"/>
    <w:autoRedefine/>
    <w:qFormat/>
    <w:uiPriority w:val="0"/>
    <w:pPr>
      <w:outlineLvl w:val="3"/>
    </w:pPr>
    <w:rPr>
      <w:sz w:val="28"/>
    </w:rPr>
  </w:style>
  <w:style w:type="paragraph" w:customStyle="1" w:styleId="98">
    <w:name w:val="样式1"/>
    <w:basedOn w:val="99"/>
    <w:autoRedefine/>
    <w:qFormat/>
    <w:uiPriority w:val="0"/>
    <w:pPr>
      <w:widowControl/>
      <w:spacing w:line="540" w:lineRule="atLeast"/>
      <w:jc w:val="left"/>
    </w:pPr>
    <w:rPr>
      <w:rFonts w:ascii="宋体" w:hAnsi="宋体" w:eastAsia="方正黑体简体" w:cs="宋体"/>
      <w:kern w:val="0"/>
      <w:sz w:val="28"/>
      <w:szCs w:val="20"/>
    </w:rPr>
  </w:style>
  <w:style w:type="paragraph" w:customStyle="1" w:styleId="99">
    <w:name w:val="标题3"/>
    <w:basedOn w:val="79"/>
    <w:autoRedefine/>
    <w:qFormat/>
    <w:uiPriority w:val="0"/>
    <w:pPr>
      <w:keepNext w:val="0"/>
      <w:keepLines w:val="0"/>
      <w:widowControl w:val="0"/>
      <w:suppressLineNumbers w:val="0"/>
      <w:spacing w:before="0" w:beforeAutospacing="0" w:after="0" w:afterAutospacing="0" w:line="360" w:lineRule="auto"/>
      <w:ind w:left="0" w:right="0"/>
      <w:jc w:val="left"/>
      <w:outlineLvl w:val="2"/>
    </w:pPr>
    <w:rPr>
      <w:rFonts w:hint="default" w:ascii="Times New Roman" w:hAnsi="Times New Roman" w:eastAsia="宋体" w:cs="Times New Roman"/>
      <w:kern w:val="2"/>
      <w:sz w:val="30"/>
      <w:szCs w:val="30"/>
      <w:lang w:val="en-US" w:eastAsia="zh-CN" w:bidi="ar"/>
    </w:rPr>
  </w:style>
  <w:style w:type="paragraph" w:customStyle="1" w:styleId="100">
    <w:name w:val="报告正文"/>
    <w:basedOn w:val="1"/>
    <w:autoRedefine/>
    <w:qFormat/>
    <w:uiPriority w:val="0"/>
    <w:pPr>
      <w:adjustRightInd w:val="0"/>
      <w:spacing w:line="360" w:lineRule="auto"/>
      <w:ind w:firstLine="200" w:firstLineChars="200"/>
      <w:textAlignment w:val="baseline"/>
    </w:pPr>
    <w:rPr>
      <w:rFonts w:ascii="仿宋_GB2312"/>
      <w:spacing w:val="-2"/>
      <w:sz w:val="24"/>
      <w:szCs w:val="20"/>
    </w:rPr>
  </w:style>
  <w:style w:type="character" w:customStyle="1" w:styleId="101">
    <w:name w:val="font21"/>
    <w:basedOn w:val="37"/>
    <w:autoRedefine/>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png"/><Relationship Id="rId97" Type="http://schemas.openxmlformats.org/officeDocument/2006/relationships/image" Target="media/image53.png"/><Relationship Id="rId96" Type="http://schemas.openxmlformats.org/officeDocument/2006/relationships/image" Target="media/image52.png"/><Relationship Id="rId95" Type="http://schemas.openxmlformats.org/officeDocument/2006/relationships/image" Target="media/image51.png"/><Relationship Id="rId94" Type="http://schemas.openxmlformats.org/officeDocument/2006/relationships/image" Target="media/image50.png"/><Relationship Id="rId93" Type="http://schemas.openxmlformats.org/officeDocument/2006/relationships/image" Target="media/image49.png"/><Relationship Id="rId92" Type="http://schemas.openxmlformats.org/officeDocument/2006/relationships/image" Target="media/image48.png"/><Relationship Id="rId91" Type="http://schemas.openxmlformats.org/officeDocument/2006/relationships/image" Target="media/image47.png"/><Relationship Id="rId90" Type="http://schemas.openxmlformats.org/officeDocument/2006/relationships/image" Target="media/image46.png"/><Relationship Id="rId9" Type="http://schemas.openxmlformats.org/officeDocument/2006/relationships/footer" Target="footer2.xml"/><Relationship Id="rId89" Type="http://schemas.openxmlformats.org/officeDocument/2006/relationships/image" Target="media/image45.png"/><Relationship Id="rId88" Type="http://schemas.openxmlformats.org/officeDocument/2006/relationships/image" Target="media/image44.png"/><Relationship Id="rId87" Type="http://schemas.openxmlformats.org/officeDocument/2006/relationships/image" Target="media/image43.png"/><Relationship Id="rId86" Type="http://schemas.openxmlformats.org/officeDocument/2006/relationships/image" Target="media/image42.png"/><Relationship Id="rId85" Type="http://schemas.openxmlformats.org/officeDocument/2006/relationships/image" Target="media/image41.png"/><Relationship Id="rId84" Type="http://schemas.openxmlformats.org/officeDocument/2006/relationships/image" Target="media/image40.png"/><Relationship Id="rId83" Type="http://schemas.openxmlformats.org/officeDocument/2006/relationships/image" Target="media/image39.png"/><Relationship Id="rId82" Type="http://schemas.openxmlformats.org/officeDocument/2006/relationships/image" Target="media/image38.png"/><Relationship Id="rId81" Type="http://schemas.openxmlformats.org/officeDocument/2006/relationships/image" Target="media/image37.png"/><Relationship Id="rId80" Type="http://schemas.openxmlformats.org/officeDocument/2006/relationships/image" Target="media/image36.png"/><Relationship Id="rId8" Type="http://schemas.openxmlformats.org/officeDocument/2006/relationships/footer" Target="footer1.xml"/><Relationship Id="rId79" Type="http://schemas.openxmlformats.org/officeDocument/2006/relationships/image" Target="media/image35.png"/><Relationship Id="rId78" Type="http://schemas.openxmlformats.org/officeDocument/2006/relationships/image" Target="media/image34.png"/><Relationship Id="rId77" Type="http://schemas.openxmlformats.org/officeDocument/2006/relationships/image" Target="media/image33.png"/><Relationship Id="rId76" Type="http://schemas.openxmlformats.org/officeDocument/2006/relationships/image" Target="media/image32.png"/><Relationship Id="rId75" Type="http://schemas.openxmlformats.org/officeDocument/2006/relationships/image" Target="media/image31.png"/><Relationship Id="rId74" Type="http://schemas.openxmlformats.org/officeDocument/2006/relationships/image" Target="media/image30.png"/><Relationship Id="rId73" Type="http://schemas.openxmlformats.org/officeDocument/2006/relationships/image" Target="media/image29.wmf"/><Relationship Id="rId72" Type="http://schemas.openxmlformats.org/officeDocument/2006/relationships/oleObject" Target="embeddings/oleObject17.bin"/><Relationship Id="rId71" Type="http://schemas.openxmlformats.org/officeDocument/2006/relationships/image" Target="media/image28.wmf"/><Relationship Id="rId70" Type="http://schemas.openxmlformats.org/officeDocument/2006/relationships/oleObject" Target="embeddings/oleObject16.bin"/><Relationship Id="rId7" Type="http://schemas.openxmlformats.org/officeDocument/2006/relationships/header" Target="header3.xml"/><Relationship Id="rId69" Type="http://schemas.openxmlformats.org/officeDocument/2006/relationships/image" Target="media/image27.wmf"/><Relationship Id="rId68" Type="http://schemas.openxmlformats.org/officeDocument/2006/relationships/oleObject" Target="embeddings/oleObject15.bin"/><Relationship Id="rId67" Type="http://schemas.openxmlformats.org/officeDocument/2006/relationships/image" Target="media/image26.wmf"/><Relationship Id="rId66" Type="http://schemas.openxmlformats.org/officeDocument/2006/relationships/oleObject" Target="embeddings/oleObject14.bin"/><Relationship Id="rId65" Type="http://schemas.openxmlformats.org/officeDocument/2006/relationships/image" Target="media/image25.wmf"/><Relationship Id="rId64" Type="http://schemas.openxmlformats.org/officeDocument/2006/relationships/oleObject" Target="embeddings/oleObject13.bin"/><Relationship Id="rId63" Type="http://schemas.openxmlformats.org/officeDocument/2006/relationships/image" Target="media/image24.wmf"/><Relationship Id="rId62" Type="http://schemas.openxmlformats.org/officeDocument/2006/relationships/oleObject" Target="embeddings/oleObject12.bin"/><Relationship Id="rId61" Type="http://schemas.openxmlformats.org/officeDocument/2006/relationships/image" Target="media/image23.wmf"/><Relationship Id="rId60" Type="http://schemas.openxmlformats.org/officeDocument/2006/relationships/oleObject" Target="embeddings/oleObject11.bin"/><Relationship Id="rId6" Type="http://schemas.openxmlformats.org/officeDocument/2006/relationships/header" Target="header2.xml"/><Relationship Id="rId59" Type="http://schemas.openxmlformats.org/officeDocument/2006/relationships/image" Target="media/image22.wmf"/><Relationship Id="rId58" Type="http://schemas.openxmlformats.org/officeDocument/2006/relationships/oleObject" Target="embeddings/oleObject10.bin"/><Relationship Id="rId57" Type="http://schemas.openxmlformats.org/officeDocument/2006/relationships/image" Target="media/image21.wmf"/><Relationship Id="rId56" Type="http://schemas.openxmlformats.org/officeDocument/2006/relationships/oleObject" Target="embeddings/oleObject9.bin"/><Relationship Id="rId55" Type="http://schemas.openxmlformats.org/officeDocument/2006/relationships/image" Target="media/image20.wmf"/><Relationship Id="rId54" Type="http://schemas.openxmlformats.org/officeDocument/2006/relationships/oleObject" Target="embeddings/oleObject8.bin"/><Relationship Id="rId53" Type="http://schemas.openxmlformats.org/officeDocument/2006/relationships/image" Target="media/image19.wmf"/><Relationship Id="rId52" Type="http://schemas.openxmlformats.org/officeDocument/2006/relationships/oleObject" Target="embeddings/oleObject7.bin"/><Relationship Id="rId51" Type="http://schemas.openxmlformats.org/officeDocument/2006/relationships/image" Target="media/image18.wmf"/><Relationship Id="rId50" Type="http://schemas.openxmlformats.org/officeDocument/2006/relationships/oleObject" Target="embeddings/oleObject6.bin"/><Relationship Id="rId5" Type="http://schemas.openxmlformats.org/officeDocument/2006/relationships/header" Target="header1.xml"/><Relationship Id="rId49" Type="http://schemas.openxmlformats.org/officeDocument/2006/relationships/image" Target="media/image17.wmf"/><Relationship Id="rId48" Type="http://schemas.openxmlformats.org/officeDocument/2006/relationships/oleObject" Target="embeddings/oleObject5.bin"/><Relationship Id="rId47" Type="http://schemas.openxmlformats.org/officeDocument/2006/relationships/image" Target="media/image16.wmf"/><Relationship Id="rId46" Type="http://schemas.openxmlformats.org/officeDocument/2006/relationships/oleObject" Target="embeddings/oleObject4.bin"/><Relationship Id="rId45" Type="http://schemas.openxmlformats.org/officeDocument/2006/relationships/image" Target="media/image15.wmf"/><Relationship Id="rId44" Type="http://schemas.openxmlformats.org/officeDocument/2006/relationships/oleObject" Target="embeddings/oleObject3.bin"/><Relationship Id="rId43" Type="http://schemas.openxmlformats.org/officeDocument/2006/relationships/image" Target="media/image14.wmf"/><Relationship Id="rId42" Type="http://schemas.openxmlformats.org/officeDocument/2006/relationships/oleObject" Target="embeddings/oleObject2.bin"/><Relationship Id="rId41" Type="http://schemas.openxmlformats.org/officeDocument/2006/relationships/image" Target="media/image13.wmf"/><Relationship Id="rId40" Type="http://schemas.openxmlformats.org/officeDocument/2006/relationships/oleObject" Target="embeddings/oleObject1.bin"/><Relationship Id="rId4" Type="http://schemas.openxmlformats.org/officeDocument/2006/relationships/endnotes" Target="endnotes.xml"/><Relationship Id="rId39" Type="http://schemas.openxmlformats.org/officeDocument/2006/relationships/chart" Target="charts/chart2.xml"/><Relationship Id="rId38" Type="http://schemas.openxmlformats.org/officeDocument/2006/relationships/chart" Target="charts/chart1.xml"/><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wmf"/><Relationship Id="rId33" Type="http://schemas.openxmlformats.org/officeDocument/2006/relationships/image" Target="media/image8.wmf"/><Relationship Id="rId32" Type="http://schemas.openxmlformats.org/officeDocument/2006/relationships/image" Target="media/image7.jpe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emf"/><Relationship Id="rId25" Type="http://schemas.openxmlformats.org/officeDocument/2006/relationships/theme" Target="theme/theme1.xml"/><Relationship Id="rId24" Type="http://schemas.openxmlformats.org/officeDocument/2006/relationships/footer" Target="footer7.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3" Type="http://schemas.openxmlformats.org/officeDocument/2006/relationships/fontTable" Target="fontTable.xml"/><Relationship Id="rId112" Type="http://schemas.microsoft.com/office/2006/relationships/keyMapCustomizations" Target="customizations.xml"/><Relationship Id="rId111" Type="http://schemas.openxmlformats.org/officeDocument/2006/relationships/customXml" Target="../customXml/item2.xml"/><Relationship Id="rId110" Type="http://schemas.openxmlformats.org/officeDocument/2006/relationships/numbering" Target="numbering.xml"/><Relationship Id="rId11" Type="http://schemas.openxmlformats.org/officeDocument/2006/relationships/footer" Target="footer4.xml"/><Relationship Id="rId109" Type="http://schemas.openxmlformats.org/officeDocument/2006/relationships/customXml" Target="../customXml/item1.xml"/><Relationship Id="rId108" Type="http://schemas.openxmlformats.org/officeDocument/2006/relationships/image" Target="media/image64.png"/><Relationship Id="rId107" Type="http://schemas.openxmlformats.org/officeDocument/2006/relationships/image" Target="media/image63.png"/><Relationship Id="rId106" Type="http://schemas.openxmlformats.org/officeDocument/2006/relationships/image" Target="media/image62.png"/><Relationship Id="rId105" Type="http://schemas.openxmlformats.org/officeDocument/2006/relationships/image" Target="media/image61.jpeg"/><Relationship Id="rId104" Type="http://schemas.openxmlformats.org/officeDocument/2006/relationships/image" Target="media/image60.png"/><Relationship Id="rId103" Type="http://schemas.openxmlformats.org/officeDocument/2006/relationships/image" Target="media/image59.png"/><Relationship Id="rId102" Type="http://schemas.openxmlformats.org/officeDocument/2006/relationships/image" Target="media/image58.png"/><Relationship Id="rId101" Type="http://schemas.openxmlformats.org/officeDocument/2006/relationships/image" Target="media/image57.jpeg"/><Relationship Id="rId100" Type="http://schemas.openxmlformats.org/officeDocument/2006/relationships/image" Target="media/image56.png"/><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F:\&#27700;&#20445;&#20013;&#24515;&#36164;&#26009;\2024&#24180;\&#29615;&#35780;\63&#22242;&#31181;&#40493;&#20859;&#27542;&#29615;&#35780;\&#29615;&#35780;&#25253;&#21578;&#20070;\&#35745;&#31639;.xls"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F:\&#27700;&#20445;&#20013;&#24515;&#36164;&#26009;\2024&#24180;\&#29615;&#35780;\63&#22242;&#31181;&#40493;&#20859;&#27542;&#29615;&#35780;\&#29615;&#35780;&#25253;&#21578;&#20070;\&#35745;&#3163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4089622060815"/>
          <c:y val="0.0856844305120167"/>
          <c:w val="0.748664286593623"/>
          <c:h val="0.777722048066876"/>
        </c:manualLayout>
      </c:layout>
      <c:lineChart>
        <c:grouping val="standard"/>
        <c:varyColors val="0"/>
        <c:ser>
          <c:idx val="0"/>
          <c:order val="0"/>
          <c:tx>
            <c:strRef>
              <c:f>[计算.xls]地下水预测!$B$2</c:f>
              <c:strCache>
                <c:ptCount val="1"/>
                <c:pt idx="0">
                  <c:v>30天</c:v>
                </c:pt>
              </c:strCache>
            </c:strRef>
          </c:tx>
          <c:spPr>
            <a:ln w="25400" cap="rnd" cmpd="sng">
              <a:solidFill>
                <a:schemeClr val="accent1"/>
              </a:solidFill>
              <a:prstDash val="solid"/>
              <a:round/>
              <a:tailEnd type="none"/>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[计算.xls]地下水预测!$B$3:$B$43</c:f>
              <c:numCache>
                <c:formatCode>General</c:formatCode>
                <c:ptCount val="41"/>
                <c:pt idx="0">
                  <c:v>3.01</c:v>
                </c:pt>
                <c:pt idx="1">
                  <c:v>2.2</c:v>
                </c:pt>
                <c:pt idx="2">
                  <c:v>0.00093</c:v>
                </c:pt>
                <c:pt idx="3">
                  <c:v>1.5e-8</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1"/>
          <c:order val="1"/>
          <c:tx>
            <c:strRef>
              <c:f>[计算.xls]地下水预测!$C$2</c:f>
              <c:strCache>
                <c:ptCount val="1"/>
                <c:pt idx="0">
                  <c:v>180天</c:v>
                </c:pt>
              </c:strCache>
            </c:strRef>
          </c:tx>
          <c:spPr>
            <a:ln w="25400" cap="rnd" cmpd="sng">
              <a:solidFill>
                <a:schemeClr val="accent2"/>
              </a:solidFill>
              <a:prstDash val="solid"/>
              <a:round/>
              <a:tailEnd type="none"/>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[计算.xls]地下水预测!$C$3:$C$43</c:f>
              <c:numCache>
                <c:formatCode>General</c:formatCode>
                <c:ptCount val="41"/>
                <c:pt idx="0">
                  <c:v>0.722</c:v>
                </c:pt>
                <c:pt idx="1">
                  <c:v>2.38</c:v>
                </c:pt>
                <c:pt idx="2">
                  <c:v>2.31</c:v>
                </c:pt>
                <c:pt idx="3">
                  <c:v>0.77</c:v>
                </c:pt>
                <c:pt idx="4">
                  <c:v>0.0933</c:v>
                </c:pt>
                <c:pt idx="5">
                  <c:v>0.00422</c:v>
                </c:pt>
                <c:pt idx="6">
                  <c:v>7e-5</c:v>
                </c:pt>
                <c:pt idx="7">
                  <c:v>4e-6</c:v>
                </c:pt>
                <c:pt idx="8">
                  <c:v>7e-8</c:v>
                </c:pt>
                <c:pt idx="9">
                  <c:v>1e-10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2"/>
          <c:order val="2"/>
          <c:tx>
            <c:strRef>
              <c:f>[计算.xls]地下水预测!$D$2</c:f>
              <c:strCache>
                <c:ptCount val="1"/>
                <c:pt idx="0">
                  <c:v>365天</c:v>
                </c:pt>
              </c:strCache>
            </c:strRef>
          </c:tx>
          <c:spPr>
            <a:ln w="25400" cap="rnd" cmpd="sng">
              <a:solidFill>
                <a:schemeClr val="accent3"/>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[计算.xls]地下水预测!$D$3:$D$43</c:f>
              <c:numCache>
                <c:formatCode>General</c:formatCode>
                <c:ptCount val="41"/>
                <c:pt idx="0">
                  <c:v>0.289</c:v>
                </c:pt>
                <c:pt idx="1">
                  <c:v>0.912</c:v>
                </c:pt>
                <c:pt idx="2">
                  <c:v>1.63</c:v>
                </c:pt>
                <c:pt idx="3">
                  <c:v>1.73</c:v>
                </c:pt>
                <c:pt idx="4">
                  <c:v>1.11</c:v>
                </c:pt>
                <c:pt idx="5">
                  <c:v>0.436</c:v>
                </c:pt>
                <c:pt idx="6">
                  <c:v>0.106</c:v>
                </c:pt>
                <c:pt idx="7">
                  <c:v>0.016</c:v>
                </c:pt>
                <c:pt idx="8">
                  <c:v>0.0015</c:v>
                </c:pt>
                <c:pt idx="9">
                  <c:v>0.000878</c:v>
                </c:pt>
                <c:pt idx="10">
                  <c:v>3.22e-5</c:v>
                </c:pt>
                <c:pt idx="11">
                  <c:v>7e-8</c:v>
                </c:pt>
                <c:pt idx="12">
                  <c:v>1e-9</c:v>
                </c:pt>
                <c:pt idx="13">
                  <c:v>1e-9</c:v>
                </c:pt>
                <c:pt idx="14">
                  <c:v>1e-9</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3"/>
          <c:order val="3"/>
          <c:tx>
            <c:strRef>
              <c:f>[计算.xls]地下水预测!$E$2</c:f>
              <c:strCache>
                <c:ptCount val="1"/>
                <c:pt idx="0">
                  <c:v>1095天</c:v>
                </c:pt>
              </c:strCache>
            </c:strRef>
          </c:tx>
          <c:spPr>
            <a:ln w="25400" cap="rnd" cmpd="sng">
              <a:solidFill>
                <a:schemeClr val="accent4"/>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[计算.xls]地下水预测!$E$3:$E$43</c:f>
              <c:numCache>
                <c:formatCode>General</c:formatCode>
                <c:ptCount val="41"/>
                <c:pt idx="0">
                  <c:v>0.0186</c:v>
                </c:pt>
                <c:pt idx="1">
                  <c:v>0.054</c:v>
                </c:pt>
                <c:pt idx="2">
                  <c:v>0.132</c:v>
                </c:pt>
                <c:pt idx="3">
                  <c:v>0.27</c:v>
                </c:pt>
                <c:pt idx="4">
                  <c:v>0.48</c:v>
                </c:pt>
                <c:pt idx="5">
                  <c:v>0.72</c:v>
                </c:pt>
                <c:pt idx="6">
                  <c:v>0.91</c:v>
                </c:pt>
                <c:pt idx="7">
                  <c:v>0.99</c:v>
                </c:pt>
                <c:pt idx="8">
                  <c:v>0.92</c:v>
                </c:pt>
                <c:pt idx="9">
                  <c:v>0.732</c:v>
                </c:pt>
                <c:pt idx="10">
                  <c:v>0.795</c:v>
                </c:pt>
                <c:pt idx="11">
                  <c:v>0.287</c:v>
                </c:pt>
                <c:pt idx="12">
                  <c:v>0.142</c:v>
                </c:pt>
                <c:pt idx="13">
                  <c:v>0.06</c:v>
                </c:pt>
                <c:pt idx="14">
                  <c:v>0.021</c:v>
                </c:pt>
                <c:pt idx="15">
                  <c:v>0.0066</c:v>
                </c:pt>
                <c:pt idx="16">
                  <c:v>0.0018</c:v>
                </c:pt>
                <c:pt idx="17">
                  <c:v>0.00041</c:v>
                </c:pt>
                <c:pt idx="18">
                  <c:v>0.0008</c:v>
                </c:pt>
                <c:pt idx="19">
                  <c:v>1.3e-5</c:v>
                </c:pt>
                <c:pt idx="20">
                  <c:v>1.9e-6</c:v>
                </c:pt>
                <c:pt idx="21">
                  <c:v>2.3e-7</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4"/>
          <c:order val="4"/>
          <c:tx>
            <c:strRef>
              <c:f>[计算.xls]地下水预测!$F$2</c:f>
              <c:strCache>
                <c:ptCount val="1"/>
                <c:pt idx="0">
                  <c:v>1825天</c:v>
                </c:pt>
              </c:strCache>
            </c:strRef>
          </c:tx>
          <c:spPr>
            <a:ln w="25400" cap="rnd" cmpd="sng">
              <a:solidFill>
                <a:schemeClr val="accent5"/>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[计算.xls]地下水预测!$F$3:$F$43</c:f>
              <c:numCache>
                <c:formatCode>General</c:formatCode>
                <c:ptCount val="41"/>
                <c:pt idx="0">
                  <c:v>0.0016</c:v>
                </c:pt>
                <c:pt idx="1">
                  <c:v>0.0045</c:v>
                </c:pt>
                <c:pt idx="2">
                  <c:v>0.011</c:v>
                </c:pt>
                <c:pt idx="3">
                  <c:v>0.027</c:v>
                </c:pt>
                <c:pt idx="4">
                  <c:v>0.0577</c:v>
                </c:pt>
                <c:pt idx="5">
                  <c:v>0.11</c:v>
                </c:pt>
                <c:pt idx="6">
                  <c:v>0.19</c:v>
                </c:pt>
                <c:pt idx="7">
                  <c:v>0.307</c:v>
                </c:pt>
                <c:pt idx="8">
                  <c:v>0.444</c:v>
                </c:pt>
                <c:pt idx="9">
                  <c:v>0.583</c:v>
                </c:pt>
                <c:pt idx="10">
                  <c:v>0.698</c:v>
                </c:pt>
                <c:pt idx="11">
                  <c:v>0.76</c:v>
                </c:pt>
                <c:pt idx="12">
                  <c:v>0.75</c:v>
                </c:pt>
                <c:pt idx="13">
                  <c:v>0.68</c:v>
                </c:pt>
                <c:pt idx="14">
                  <c:v>0.55</c:v>
                </c:pt>
                <c:pt idx="15">
                  <c:v>0.41</c:v>
                </c:pt>
                <c:pt idx="16">
                  <c:v>0.28</c:v>
                </c:pt>
                <c:pt idx="17">
                  <c:v>0.18</c:v>
                </c:pt>
                <c:pt idx="18" c:formatCode="0.00_ ">
                  <c:v>0.1</c:v>
                </c:pt>
                <c:pt idx="19">
                  <c:v>0.522</c:v>
                </c:pt>
                <c:pt idx="20">
                  <c:v>0.024</c:v>
                </c:pt>
                <c:pt idx="21">
                  <c:v>0.01</c:v>
                </c:pt>
                <c:pt idx="22">
                  <c:v>0.004</c:v>
                </c:pt>
                <c:pt idx="23">
                  <c:v>0.0014</c:v>
                </c:pt>
                <c:pt idx="24">
                  <c:v>0.00048</c:v>
                </c:pt>
                <c:pt idx="25">
                  <c:v>0.00014</c:v>
                </c:pt>
                <c:pt idx="26">
                  <c:v>3.8e-5</c:v>
                </c:pt>
                <c:pt idx="27">
                  <c:v>9.5e-5</c:v>
                </c:pt>
                <c:pt idx="28">
                  <c:v>2.1e-5</c:v>
                </c:pt>
                <c:pt idx="29">
                  <c:v>4.3e-6</c:v>
                </c:pt>
                <c:pt idx="30">
                  <c:v>8.2e-7</c:v>
                </c:pt>
                <c:pt idx="31">
                  <c:v>0</c:v>
                </c:pt>
                <c:pt idx="32">
                  <c:v>0</c:v>
                </c:pt>
                <c:pt idx="33">
                  <c:v>0</c:v>
                </c:pt>
                <c:pt idx="34">
                  <c:v>0</c:v>
                </c:pt>
                <c:pt idx="35">
                  <c:v>0</c:v>
                </c:pt>
                <c:pt idx="36">
                  <c:v>0</c:v>
                </c:pt>
                <c:pt idx="37">
                  <c:v>0</c:v>
                </c:pt>
                <c:pt idx="38">
                  <c:v>0</c:v>
                </c:pt>
                <c:pt idx="39">
                  <c:v>0</c:v>
                </c:pt>
                <c:pt idx="40">
                  <c:v>0</c:v>
                </c:pt>
              </c:numCache>
            </c:numRef>
          </c:val>
          <c:smooth val="1"/>
        </c:ser>
        <c:ser>
          <c:idx val="5"/>
          <c:order val="5"/>
          <c:tx>
            <c:strRef>
              <c:f>[计算.xls]地下水预测!$G$2</c:f>
              <c:strCache>
                <c:ptCount val="1"/>
                <c:pt idx="0">
                  <c:v>3650天</c:v>
                </c:pt>
              </c:strCache>
            </c:strRef>
          </c:tx>
          <c:spPr>
            <a:ln w="25400" cap="rnd" cmpd="sng">
              <a:solidFill>
                <a:schemeClr val="accent6"/>
              </a:solidFill>
              <a:prstDash val="solid"/>
              <a:round/>
            </a:ln>
            <a:effectLst/>
          </c:spPr>
          <c:marker>
            <c:symbol val="none"/>
          </c:marker>
          <c:dLbls>
            <c:delete val="1"/>
          </c:dLbls>
          <c:cat>
            <c:strRef>
              <c:f>[计算.xls]地下水预测!$A$3:$A$43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[计算.xls]地下水预测!$G$3:$G$43</c:f>
              <c:numCache>
                <c:formatCode>General</c:formatCode>
                <c:ptCount val="41"/>
                <c:pt idx="0">
                  <c:v>4.77e-6</c:v>
                </c:pt>
                <c:pt idx="1">
                  <c:v>1.33e-5</c:v>
                </c:pt>
                <c:pt idx="2">
                  <c:v>3.51e-5</c:v>
                </c:pt>
                <c:pt idx="3">
                  <c:v>8.87e-5</c:v>
                </c:pt>
                <c:pt idx="4">
                  <c:v>0.000214</c:v>
                </c:pt>
                <c:pt idx="5">
                  <c:v>0.000491</c:v>
                </c:pt>
                <c:pt idx="6">
                  <c:v>0.00108</c:v>
                </c:pt>
                <c:pt idx="7">
                  <c:v>0.0025</c:v>
                </c:pt>
                <c:pt idx="8">
                  <c:v>0.0044</c:v>
                </c:pt>
                <c:pt idx="9">
                  <c:v>0</c:v>
                </c:pt>
                <c:pt idx="10">
                  <c:v>0.0156</c:v>
                </c:pt>
                <c:pt idx="11">
                  <c:v>0.027</c:v>
                </c:pt>
                <c:pt idx="12">
                  <c:v>0.044</c:v>
                </c:pt>
                <c:pt idx="13">
                  <c:v>0.0706</c:v>
                </c:pt>
                <c:pt idx="14">
                  <c:v>0.106</c:v>
                </c:pt>
                <c:pt idx="15">
                  <c:v>0.153</c:v>
                </c:pt>
                <c:pt idx="16">
                  <c:v>0.211</c:v>
                </c:pt>
                <c:pt idx="17">
                  <c:v>0.276</c:v>
                </c:pt>
                <c:pt idx="18">
                  <c:v>0.346</c:v>
                </c:pt>
                <c:pt idx="19">
                  <c:v>0.414</c:v>
                </c:pt>
                <c:pt idx="20">
                  <c:v>0.473</c:v>
                </c:pt>
                <c:pt idx="21">
                  <c:v>0.515</c:v>
                </c:pt>
                <c:pt idx="22">
                  <c:v>0.536</c:v>
                </c:pt>
                <c:pt idx="23">
                  <c:v>0.533</c:v>
                </c:pt>
                <c:pt idx="24">
                  <c:v>0.506</c:v>
                </c:pt>
                <c:pt idx="25">
                  <c:v>0.458</c:v>
                </c:pt>
                <c:pt idx="26">
                  <c:v>0.396</c:v>
                </c:pt>
                <c:pt idx="27">
                  <c:v>0.327</c:v>
                </c:pt>
                <c:pt idx="28">
                  <c:v>0.258</c:v>
                </c:pt>
                <c:pt idx="29">
                  <c:v>0.195</c:v>
                </c:pt>
                <c:pt idx="30" c:formatCode="0.000_ ">
                  <c:v>0.14</c:v>
                </c:pt>
                <c:pt idx="31">
                  <c:v>0.096</c:v>
                </c:pt>
                <c:pt idx="32">
                  <c:v>0.063</c:v>
                </c:pt>
                <c:pt idx="33">
                  <c:v>0.039</c:v>
                </c:pt>
                <c:pt idx="34">
                  <c:v>0.023</c:v>
                </c:pt>
                <c:pt idx="35">
                  <c:v>0.013</c:v>
                </c:pt>
                <c:pt idx="36">
                  <c:v>0.0073</c:v>
                </c:pt>
                <c:pt idx="37">
                  <c:v>0.0038</c:v>
                </c:pt>
                <c:pt idx="38">
                  <c:v>0.0019</c:v>
                </c:pt>
                <c:pt idx="39">
                  <c:v>0.0009</c:v>
                </c:pt>
                <c:pt idx="40">
                  <c:v>0.00041</c:v>
                </c:pt>
              </c:numCache>
            </c:numRef>
          </c:val>
          <c:smooth val="1"/>
        </c:ser>
        <c:dLbls>
          <c:showLegendKey val="0"/>
          <c:showVal val="0"/>
          <c:showCatName val="0"/>
          <c:showSerName val="0"/>
          <c:showPercent val="0"/>
          <c:showBubbleSize val="0"/>
        </c:dLbls>
        <c:marker val="0"/>
        <c:smooth val="1"/>
        <c:axId val="740365546"/>
        <c:axId val="482189496"/>
      </c:lineChart>
      <c:catAx>
        <c:axId val="740365546"/>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2189496"/>
        <c:crosses val="autoZero"/>
        <c:auto val="1"/>
        <c:lblAlgn val="ctr"/>
        <c:lblOffset val="100"/>
        <c:noMultiLvlLbl val="0"/>
      </c:catAx>
      <c:valAx>
        <c:axId val="482189496"/>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40365546"/>
        <c:crosses val="autoZero"/>
        <c:crossBetween val="between"/>
      </c:valAx>
      <c:spPr>
        <a:solidFill>
          <a:schemeClr val="bg1"/>
        </a:solidFill>
        <a:ln>
          <a:noFill/>
        </a:ln>
        <a:effectLst>
          <a:outerShdw blurRad="50800" dist="38100" dir="2700000" algn="tl" rotWithShape="0">
            <a:prstClr val="black">
              <a:alpha val="20000"/>
            </a:prstClr>
          </a:outerShdw>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04212b1e-5952-4c00-9af1-1f11790d5008}"/>
      </c:ext>
    </c:extLst>
  </c:chart>
  <c:spPr>
    <a:pattFill prst="lgGrid">
      <a:fgClr>
        <a:schemeClr val="bg1">
          <a:lumMod val="95000"/>
        </a:schemeClr>
      </a:fgClr>
      <a:bgClr>
        <a:schemeClr val="bg1"/>
      </a:bgClr>
    </a:patt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'[计算.xls]地下水预测 (2)'!$B$2</c:f>
              <c:strCache>
                <c:ptCount val="1"/>
                <c:pt idx="0">
                  <c:v>30天</c:v>
                </c:pt>
              </c:strCache>
            </c:strRef>
          </c:tx>
          <c:spPr>
            <a:ln w="25400" cap="rnd" cmpd="sng">
              <a:solidFill>
                <a:schemeClr val="accent1"/>
              </a:solidFill>
              <a:prstDash val="solid"/>
              <a:round/>
              <a:tailEnd type="none"/>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(2)'!$B$3:$B$43</c:f>
              <c:numCache>
                <c:formatCode>General</c:formatCode>
                <c:ptCount val="41"/>
                <c:pt idx="0">
                  <c:v>0.778</c:v>
                </c:pt>
                <c:pt idx="1">
                  <c:v>0.57</c:v>
                </c:pt>
                <c:pt idx="2">
                  <c:v>0.00024</c:v>
                </c:pt>
                <c:pt idx="3">
                  <c:v>4e-8</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1"/>
          <c:order val="1"/>
          <c:tx>
            <c:strRef>
              <c:f>'[计算.xls]地下水预测 (2)'!$C$2</c:f>
              <c:strCache>
                <c:ptCount val="1"/>
                <c:pt idx="0">
                  <c:v>180天</c:v>
                </c:pt>
              </c:strCache>
            </c:strRef>
          </c:tx>
          <c:spPr>
            <a:ln w="25400" cap="rnd" cmpd="sng">
              <a:solidFill>
                <a:schemeClr val="accent2"/>
              </a:solidFill>
              <a:prstDash val="solid"/>
              <a:round/>
              <a:tailEnd type="none"/>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(2)'!$C$3:$C$43</c:f>
              <c:numCache>
                <c:formatCode>General</c:formatCode>
                <c:ptCount val="41"/>
                <c:pt idx="0">
                  <c:v>0.187</c:v>
                </c:pt>
                <c:pt idx="1">
                  <c:v>0.615</c:v>
                </c:pt>
                <c:pt idx="2">
                  <c:v>0.596</c:v>
                </c:pt>
                <c:pt idx="3">
                  <c:v>0.199</c:v>
                </c:pt>
                <c:pt idx="4">
                  <c:v>0.0241</c:v>
                </c:pt>
                <c:pt idx="5">
                  <c:v>0.00109</c:v>
                </c:pt>
                <c:pt idx="6">
                  <c:v>1.8e-5</c:v>
                </c:pt>
                <c:pt idx="7">
                  <c:v>1.2e-6</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2"/>
          <c:order val="2"/>
          <c:tx>
            <c:strRef>
              <c:f>'[计算.xls]地下水预测 (2)'!$D$2</c:f>
              <c:strCache>
                <c:ptCount val="1"/>
                <c:pt idx="0">
                  <c:v>365天</c:v>
                </c:pt>
              </c:strCache>
            </c:strRef>
          </c:tx>
          <c:spPr>
            <a:ln w="25400" cap="rnd" cmpd="sng">
              <a:solidFill>
                <a:schemeClr val="accent3"/>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(2)'!$D$3:$D$43</c:f>
              <c:numCache>
                <c:formatCode>General</c:formatCode>
                <c:ptCount val="41"/>
                <c:pt idx="0">
                  <c:v>0.0747</c:v>
                </c:pt>
                <c:pt idx="1">
                  <c:v>0.236</c:v>
                </c:pt>
                <c:pt idx="2">
                  <c:v>0.421</c:v>
                </c:pt>
                <c:pt idx="3">
                  <c:v>0.446</c:v>
                </c:pt>
                <c:pt idx="4">
                  <c:v>0.286</c:v>
                </c:pt>
                <c:pt idx="5">
                  <c:v>0.113</c:v>
                </c:pt>
                <c:pt idx="6">
                  <c:v>0.0274</c:v>
                </c:pt>
                <c:pt idx="7">
                  <c:v>0.00413</c:v>
                </c:pt>
                <c:pt idx="8">
                  <c:v>0.000387</c:v>
                </c:pt>
                <c:pt idx="9">
                  <c:v>2.27e-5</c:v>
                </c:pt>
                <c:pt idx="10">
                  <c:v>8.31e-7</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3"/>
          <c:order val="3"/>
          <c:tx>
            <c:strRef>
              <c:f>'[计算.xls]地下水预测 (2)'!$E$2</c:f>
              <c:strCache>
                <c:ptCount val="1"/>
                <c:pt idx="0">
                  <c:v>1095天</c:v>
                </c:pt>
              </c:strCache>
            </c:strRef>
          </c:tx>
          <c:spPr>
            <a:ln w="25400" cap="rnd" cmpd="sng">
              <a:solidFill>
                <a:schemeClr val="accent4"/>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(2)'!$E$3:$E$43</c:f>
              <c:numCache>
                <c:formatCode>General</c:formatCode>
                <c:ptCount val="41"/>
                <c:pt idx="0">
                  <c:v>0.0078</c:v>
                </c:pt>
                <c:pt idx="1">
                  <c:v>0.0139</c:v>
                </c:pt>
                <c:pt idx="2">
                  <c:v>0.0341</c:v>
                </c:pt>
                <c:pt idx="3">
                  <c:v>0.0707</c:v>
                </c:pt>
                <c:pt idx="4">
                  <c:v>0.124</c:v>
                </c:pt>
                <c:pt idx="5">
                  <c:v>0.186</c:v>
                </c:pt>
                <c:pt idx="6">
                  <c:v>0.237</c:v>
                </c:pt>
                <c:pt idx="7">
                  <c:v>0.257</c:v>
                </c:pt>
                <c:pt idx="8">
                  <c:v>0.239</c:v>
                </c:pt>
                <c:pt idx="9">
                  <c:v>0.189</c:v>
                </c:pt>
                <c:pt idx="10">
                  <c:v>0.128</c:v>
                </c:pt>
                <c:pt idx="11">
                  <c:v>0.0741</c:v>
                </c:pt>
                <c:pt idx="12">
                  <c:v>0.0367</c:v>
                </c:pt>
                <c:pt idx="13">
                  <c:v>0.0155</c:v>
                </c:pt>
                <c:pt idx="14">
                  <c:v>0.00564</c:v>
                </c:pt>
                <c:pt idx="15">
                  <c:v>0.00175</c:v>
                </c:pt>
                <c:pt idx="16">
                  <c:v>0.000466</c:v>
                </c:pt>
                <c:pt idx="17">
                  <c:v>0.000106</c:v>
                </c:pt>
                <c:pt idx="18">
                  <c:v>2.07e-5</c:v>
                </c:pt>
                <c:pt idx="19">
                  <c:v>3.46e-5</c:v>
                </c:pt>
                <c:pt idx="20">
                  <c:v>4.97e-7</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4"/>
          <c:order val="4"/>
          <c:tx>
            <c:strRef>
              <c:f>'[计算.xls]地下水预测 (2)'!$F$2</c:f>
              <c:strCache>
                <c:ptCount val="1"/>
                <c:pt idx="0">
                  <c:v>1825天</c:v>
                </c:pt>
              </c:strCache>
            </c:strRef>
          </c:tx>
          <c:spPr>
            <a:ln w="25400" cap="rnd" cmpd="sng">
              <a:solidFill>
                <a:schemeClr val="accent5"/>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(2)'!$F$3:$F$43</c:f>
              <c:numCache>
                <c:formatCode>General</c:formatCode>
                <c:ptCount val="41"/>
                <c:pt idx="0">
                  <c:v>0.000416</c:v>
                </c:pt>
                <c:pt idx="1">
                  <c:v>0.00118</c:v>
                </c:pt>
                <c:pt idx="2">
                  <c:v>0.00303</c:v>
                </c:pt>
                <c:pt idx="3">
                  <c:v>0.00705</c:v>
                </c:pt>
                <c:pt idx="4">
                  <c:v>0.0149</c:v>
                </c:pt>
                <c:pt idx="5">
                  <c:v>0.0286</c:v>
                </c:pt>
                <c:pt idx="6">
                  <c:v>0.05</c:v>
                </c:pt>
                <c:pt idx="7">
                  <c:v>0.0794</c:v>
                </c:pt>
                <c:pt idx="8">
                  <c:v>0.115</c:v>
                </c:pt>
                <c:pt idx="9">
                  <c:v>0.151</c:v>
                </c:pt>
                <c:pt idx="10">
                  <c:v>0.18</c:v>
                </c:pt>
                <c:pt idx="11">
                  <c:v>0.196</c:v>
                </c:pt>
                <c:pt idx="12">
                  <c:v>0.195</c:v>
                </c:pt>
                <c:pt idx="13">
                  <c:v>0.176</c:v>
                </c:pt>
                <c:pt idx="14">
                  <c:v>0.145</c:v>
                </c:pt>
                <c:pt idx="15">
                  <c:v>0.108</c:v>
                </c:pt>
                <c:pt idx="16">
                  <c:v>0.074</c:v>
                </c:pt>
                <c:pt idx="17">
                  <c:v>0.046</c:v>
                </c:pt>
                <c:pt idx="18" c:formatCode="0.00_ ">
                  <c:v>0.0261</c:v>
                </c:pt>
                <c:pt idx="19">
                  <c:v>0.0135</c:v>
                </c:pt>
                <c:pt idx="20">
                  <c:v>0.00635</c:v>
                </c:pt>
                <c:pt idx="21">
                  <c:v>0.00273</c:v>
                </c:pt>
                <c:pt idx="22">
                  <c:v>0.00107</c:v>
                </c:pt>
                <c:pt idx="23">
                  <c:v>0.000381</c:v>
                </c:pt>
                <c:pt idx="24">
                  <c:v>0.000124</c:v>
                </c:pt>
                <c:pt idx="25">
                  <c:v>3.68e-5</c:v>
                </c:pt>
                <c:pt idx="26">
                  <c:v>9.95e-6</c:v>
                </c:pt>
                <c:pt idx="27">
                  <c:v>2.46e-6</c:v>
                </c:pt>
                <c:pt idx="28">
                  <c:v>5.52e-7</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1"/>
        </c:ser>
        <c:ser>
          <c:idx val="5"/>
          <c:order val="5"/>
          <c:tx>
            <c:strRef>
              <c:f>'[计算.xls]地下水预测 (2)'!$G$2</c:f>
              <c:strCache>
                <c:ptCount val="1"/>
                <c:pt idx="0">
                  <c:v>3650天</c:v>
                </c:pt>
              </c:strCache>
            </c:strRef>
          </c:tx>
          <c:spPr>
            <a:ln w="25400" cap="rnd" cmpd="sng">
              <a:solidFill>
                <a:schemeClr val="accent6"/>
              </a:solidFill>
              <a:prstDash val="solid"/>
              <a:round/>
            </a:ln>
            <a:effectLst/>
          </c:spPr>
          <c:marker>
            <c:symbol val="none"/>
          </c:marker>
          <c:dLbls>
            <c:delete val="1"/>
          </c:dLbls>
          <c:cat>
            <c:strRef>
              <c:f>'[计算.xls]地下水预测 (2)'!$A$3:$A$43</c:f>
              <c:strCache>
                <c:ptCount val="41"/>
                <c:pt idx="0">
                  <c:v>0m</c:v>
                </c:pt>
                <c:pt idx="1">
                  <c:v>10m</c:v>
                </c:pt>
                <c:pt idx="2">
                  <c:v>20m</c:v>
                </c:pt>
                <c:pt idx="3">
                  <c:v>30m</c:v>
                </c:pt>
                <c:pt idx="4">
                  <c:v>40m</c:v>
                </c:pt>
                <c:pt idx="5">
                  <c:v>50m</c:v>
                </c:pt>
                <c:pt idx="6">
                  <c:v>60m</c:v>
                </c:pt>
                <c:pt idx="7">
                  <c:v>70m</c:v>
                </c:pt>
                <c:pt idx="8">
                  <c:v>80m</c:v>
                </c:pt>
                <c:pt idx="9">
                  <c:v>90m</c:v>
                </c:pt>
                <c:pt idx="10">
                  <c:v>100m</c:v>
                </c:pt>
                <c:pt idx="11">
                  <c:v>110m</c:v>
                </c:pt>
                <c:pt idx="12">
                  <c:v>120m</c:v>
                </c:pt>
                <c:pt idx="13">
                  <c:v>130m</c:v>
                </c:pt>
                <c:pt idx="14">
                  <c:v>140m</c:v>
                </c:pt>
                <c:pt idx="15">
                  <c:v>150m</c:v>
                </c:pt>
                <c:pt idx="16">
                  <c:v>160m</c:v>
                </c:pt>
                <c:pt idx="17">
                  <c:v>170m</c:v>
                </c:pt>
                <c:pt idx="18">
                  <c:v>180m</c:v>
                </c:pt>
                <c:pt idx="19">
                  <c:v>190m</c:v>
                </c:pt>
                <c:pt idx="20">
                  <c:v>200m</c:v>
                </c:pt>
                <c:pt idx="21">
                  <c:v>210m</c:v>
                </c:pt>
                <c:pt idx="22">
                  <c:v>220m</c:v>
                </c:pt>
                <c:pt idx="23">
                  <c:v>230m</c:v>
                </c:pt>
                <c:pt idx="24">
                  <c:v>240m</c:v>
                </c:pt>
                <c:pt idx="25">
                  <c:v>250m</c:v>
                </c:pt>
                <c:pt idx="26">
                  <c:v>260m</c:v>
                </c:pt>
                <c:pt idx="27">
                  <c:v>270m</c:v>
                </c:pt>
                <c:pt idx="28">
                  <c:v>280m</c:v>
                </c:pt>
                <c:pt idx="29">
                  <c:v>290m</c:v>
                </c:pt>
                <c:pt idx="30">
                  <c:v>300m</c:v>
                </c:pt>
                <c:pt idx="31">
                  <c:v>310m</c:v>
                </c:pt>
                <c:pt idx="32">
                  <c:v>320m</c:v>
                </c:pt>
                <c:pt idx="33">
                  <c:v>330m</c:v>
                </c:pt>
                <c:pt idx="34">
                  <c:v>340m</c:v>
                </c:pt>
                <c:pt idx="35">
                  <c:v>350m</c:v>
                </c:pt>
                <c:pt idx="36">
                  <c:v>360m</c:v>
                </c:pt>
                <c:pt idx="37">
                  <c:v>370m</c:v>
                </c:pt>
                <c:pt idx="38">
                  <c:v>380m</c:v>
                </c:pt>
                <c:pt idx="39">
                  <c:v>390m</c:v>
                </c:pt>
                <c:pt idx="40">
                  <c:v>400m</c:v>
                </c:pt>
              </c:strCache>
            </c:strRef>
          </c:cat>
          <c:val>
            <c:numRef>
              <c:f>'[计算.xls]地下水预测 (2)'!$G$3:$G$43</c:f>
              <c:numCache>
                <c:formatCode>General</c:formatCode>
                <c:ptCount val="41"/>
                <c:pt idx="0">
                  <c:v>1.23e-6</c:v>
                </c:pt>
                <c:pt idx="1">
                  <c:v>3.42e-6</c:v>
                </c:pt>
                <c:pt idx="2">
                  <c:v>9.07e-6</c:v>
                </c:pt>
                <c:pt idx="3">
                  <c:v>2.29e-5</c:v>
                </c:pt>
                <c:pt idx="4">
                  <c:v>5.52e-5</c:v>
                </c:pt>
                <c:pt idx="5">
                  <c:v>0.000127</c:v>
                </c:pt>
                <c:pt idx="6">
                  <c:v>0.000278</c:v>
                </c:pt>
                <c:pt idx="7">
                  <c:v>0.000582</c:v>
                </c:pt>
                <c:pt idx="8">
                  <c:v>0.00116</c:v>
                </c:pt>
                <c:pt idx="9">
                  <c:v>0.00221</c:v>
                </c:pt>
                <c:pt idx="10">
                  <c:v>0.00402</c:v>
                </c:pt>
                <c:pt idx="11">
                  <c:v>0.00697</c:v>
                </c:pt>
                <c:pt idx="12">
                  <c:v>0.0115</c:v>
                </c:pt>
                <c:pt idx="13">
                  <c:v>0.0182</c:v>
                </c:pt>
                <c:pt idx="14">
                  <c:v>0.0275</c:v>
                </c:pt>
                <c:pt idx="15">
                  <c:v>0.0396</c:v>
                </c:pt>
                <c:pt idx="16">
                  <c:v>0.0544</c:v>
                </c:pt>
                <c:pt idx="17">
                  <c:v>0.0714</c:v>
                </c:pt>
                <c:pt idx="18">
                  <c:v>0.0894</c:v>
                </c:pt>
                <c:pt idx="19">
                  <c:v>0.107</c:v>
                </c:pt>
                <c:pt idx="20">
                  <c:v>0.122</c:v>
                </c:pt>
                <c:pt idx="21">
                  <c:v>0.133</c:v>
                </c:pt>
                <c:pt idx="22">
                  <c:v>0.139</c:v>
                </c:pt>
                <c:pt idx="23">
                  <c:v>0.138</c:v>
                </c:pt>
                <c:pt idx="24">
                  <c:v>0.131</c:v>
                </c:pt>
                <c:pt idx="25">
                  <c:v>0.118</c:v>
                </c:pt>
                <c:pt idx="26">
                  <c:v>0.102</c:v>
                </c:pt>
                <c:pt idx="27">
                  <c:v>0.0846</c:v>
                </c:pt>
                <c:pt idx="28">
                  <c:v>0.0667</c:v>
                </c:pt>
                <c:pt idx="29">
                  <c:v>0.0503</c:v>
                </c:pt>
                <c:pt idx="30" c:formatCode="0.000_ ">
                  <c:v>0.0362</c:v>
                </c:pt>
                <c:pt idx="31">
                  <c:v>0.0248</c:v>
                </c:pt>
                <c:pt idx="32">
                  <c:v>0.0163</c:v>
                </c:pt>
                <c:pt idx="33">
                  <c:v>0.0102</c:v>
                </c:pt>
                <c:pt idx="34">
                  <c:v>0.00611</c:v>
                </c:pt>
                <c:pt idx="35">
                  <c:v>0.00349</c:v>
                </c:pt>
                <c:pt idx="36">
                  <c:v>0.0019</c:v>
                </c:pt>
                <c:pt idx="37">
                  <c:v>0.000992</c:v>
                </c:pt>
                <c:pt idx="38">
                  <c:v>0.000494</c:v>
                </c:pt>
                <c:pt idx="39">
                  <c:v>0.000235</c:v>
                </c:pt>
                <c:pt idx="40">
                  <c:v>0.000107</c:v>
                </c:pt>
              </c:numCache>
            </c:numRef>
          </c:val>
          <c:smooth val="1"/>
        </c:ser>
        <c:dLbls>
          <c:showLegendKey val="0"/>
          <c:showVal val="0"/>
          <c:showCatName val="0"/>
          <c:showSerName val="0"/>
          <c:showPercent val="0"/>
          <c:showBubbleSize val="0"/>
        </c:dLbls>
        <c:marker val="0"/>
        <c:smooth val="1"/>
        <c:axId val="740365546"/>
        <c:axId val="482189496"/>
      </c:lineChart>
      <c:catAx>
        <c:axId val="740365546"/>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2189496"/>
        <c:crosses val="autoZero"/>
        <c:auto val="1"/>
        <c:lblAlgn val="ctr"/>
        <c:lblOffset val="100"/>
        <c:noMultiLvlLbl val="0"/>
      </c:catAx>
      <c:valAx>
        <c:axId val="482189496"/>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40365546"/>
        <c:crosses val="autoZero"/>
        <c:crossBetween val="between"/>
      </c:valAx>
      <c:spPr>
        <a:solidFill>
          <a:schemeClr val="bg1"/>
        </a:solidFill>
        <a:ln>
          <a:noFill/>
        </a:ln>
        <a:effectLst>
          <a:outerShdw blurRad="50800" dist="38100" dir="2700000" algn="tl" rotWithShape="0">
            <a:prstClr val="black">
              <a:alpha val="20000"/>
            </a:prstClr>
          </a:outerShdw>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e43f0ea7-1a7c-4716-9264-1d949a36a7fe}"/>
      </c:ext>
    </c:extLst>
  </c:chart>
  <c:spPr>
    <a:pattFill prst="lgGrid">
      <a:fgClr>
        <a:schemeClr val="bg1">
          <a:lumMod val="95000"/>
        </a:schemeClr>
      </a:fgClr>
      <a:bgClr>
        <a:schemeClr val="bg1"/>
      </a:bgClr>
    </a:patt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ln w="6350">
          <a:solidFill>
            <a:prstClr val="black"/>
          </a:solidFill>
        </a:ln>
      </a:spPr>
      <a:bodyPr wrap="none" lIns="36000" rIns="36000" rtlCol="0">
        <a:spAutoFit/>
      </a:bodyPr>
      <a:lstStyle/>
      <a:style>
        <a:lnRef idx="0">
          <a:schemeClr val="accent1"/>
        </a:lnRef>
        <a:fillRef idx="0">
          <a:schemeClr val="accent1"/>
        </a:fillRef>
        <a:effectRef idx="0">
          <a:schemeClr val="accent1"/>
        </a:effectRef>
        <a:fontRef idx="minor">
          <a:schemeClr val="dk1"/>
        </a:fontRef>
      </a:style>
    </a:txDef>
  </a:objectDefaults>
</a:theme>
</file>

<file path=word/theme/themeOverride1.xml><?xml version="1.0" encoding="utf-8"?>
<a:themeOverride xmlns:a="http://schemas.openxmlformats.org/drawingml/2006/main">
  <a:clrScheme name="自定义 7">
    <a:dk1>
      <a:srgbClr val="000000"/>
    </a:dk1>
    <a:lt1>
      <a:srgbClr val="FFFFFF"/>
    </a:lt1>
    <a:dk2>
      <a:srgbClr val="44546A"/>
    </a:dk2>
    <a:lt2>
      <a:srgbClr val="E7E6E6"/>
    </a:lt2>
    <a:accent1>
      <a:srgbClr val="5283FF"/>
    </a:accent1>
    <a:accent2>
      <a:srgbClr val="1CCD8C"/>
    </a:accent2>
    <a:accent3>
      <a:srgbClr val="FAC521"/>
    </a:accent3>
    <a:accent4>
      <a:srgbClr val="FE9A25"/>
    </a:accent4>
    <a:accent5>
      <a:srgbClr val="E77869"/>
    </a:accent5>
    <a:accent6>
      <a:srgbClr val="DA4841"/>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7">
    <a:dk1>
      <a:srgbClr val="000000"/>
    </a:dk1>
    <a:lt1>
      <a:srgbClr val="FFFFFF"/>
    </a:lt1>
    <a:dk2>
      <a:srgbClr val="44546A"/>
    </a:dk2>
    <a:lt2>
      <a:srgbClr val="E7E6E6"/>
    </a:lt2>
    <a:accent1>
      <a:srgbClr val="5283FF"/>
    </a:accent1>
    <a:accent2>
      <a:srgbClr val="1CCD8C"/>
    </a:accent2>
    <a:accent3>
      <a:srgbClr val="FAC521"/>
    </a:accent3>
    <a:accent4>
      <a:srgbClr val="FE9A25"/>
    </a:accent4>
    <a:accent5>
      <a:srgbClr val="E77869"/>
    </a:accent5>
    <a:accent6>
      <a:srgbClr val="DA4841"/>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5aa242dd-fb6b-4c00-885e-5cd06d8c22e5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4A1A551F</paraID>
      <start>0</start>
      <end>2</end>
      <status>modified</status>
      <modifiedWord>1.</modifiedWord>
      <trackRevisions>false</trackRevisions>
    </reviewItem>
    <reviewItem>
      <errorID>49b1d0d8-1558-48e9-ad0f-c8007d2e22a0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2901DAEA</paraID>
      <start>0</start>
      <end>2</end>
      <status>modified</status>
      <modifiedWord>2.</modifiedWord>
      <trackRevisions>false</trackRevisions>
    </reviewItem>
    <reviewItem>
      <errorID>49c64aa3-6263-4d85-aa0c-6377e9cba6c9</errorID>
      <errorWord>〔2025〕05号</errorWord>
      <group>L1_Knowledge</group>
      <groupName>知识性问题</groupName>
      <ability>L2_Knowledge</ability>
      <abilityName>其他知识</abilityName>
      <candidateList>
        <item>〔2025〕5号</item>
      </candidateList>
      <explain>发文字号格式错误。</explain>
      <paraID>2901DAEA</paraID>
      <start>28</start>
      <end>36</end>
      <status>modified</status>
      <modifiedWord>〔2025〕5号</modifiedWord>
      <trackRevisions>false</trackRevisions>
    </reviewItem>
    <reviewItem>
      <errorID>d0dde752-85a2-4d8e-a6d3-b86c980466d8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69BBB1F8</paraID>
      <start>0</start>
      <end>2</end>
      <status>modified</status>
      <modifiedWord>3.</modifiedWord>
      <trackRevisions>false</trackRevisions>
    </reviewItem>
    <reviewItem>
      <errorID>b8d3cf10-d018-4149-9c33-b814b4f4f89d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64398BE8</paraID>
      <start>0</start>
      <end>2</end>
      <status>modified</status>
      <modifiedWord>4.</modifiedWord>
      <trackRevisions>false</trackRevisions>
    </reviewItem>
    <reviewItem>
      <errorID>3ca24453-e9d6-4a90-b01b-a50734c0e0c3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20360CE8</paraID>
      <start>0</start>
      <end>2</end>
      <status>modified</status>
      <modifiedWord>5.</modifiedWord>
      <trackRevisions>false</trackRevisions>
    </reviewItem>
    <reviewItem>
      <errorID>6f39a579-1301-4ebb-8bd9-bec0887916a1</errorID>
      <errorWord>间</errorWord>
      <group>L1_Word</group>
      <groupName>字词问题</groupName>
      <ability>L2_Typo</ability>
      <abilityName>字词错误</abilityName>
      <candidateList>
        <item>年</item>
      </candidateList>
      <explain/>
      <paraID> 17D76A0</paraID>
      <start>14</start>
      <end>15</end>
      <status>modified</status>
      <modifiedWord>年</modifiedWord>
      <trackRevisions>false</trackRevisions>
    </reviewItem>
    <reviewItem>
      <errorID>d6483abe-66d4-4335-873c-2b0fa1335d84</errorID>
      <errorWord>导向里</errorWord>
      <group>L1_Word</group>
      <groupName>字词问题</groupName>
      <ability>L2_Typo</ability>
      <abilityName>字词错误</abilityName>
      <candidateList>
        <item>导向</item>
      </candidateList>
      <explain/>
      <paraID>110C10FC</paraID>
      <start>43</start>
      <end>46</end>
      <status>ignored</status>
      <modifiedWord/>
      <trackRevisions>false</trackRevisions>
    </reviewItem>
    <reviewItem>
      <errorID>eb2eae37-efb4-4849-8b17-897ef362f0e6</errorID>
      <errorWord>用用</errorWord>
      <group>L1_Word</group>
      <groupName>字词问题</groupName>
      <ability>L2_Typo</ability>
      <abilityName>字词错误</abilityName>
      <candidateList>
        <item>用</item>
      </candidateList>
      <explain/>
      <paraID>1F70E950</paraID>
      <start>23</start>
      <end>24</end>
      <status>modified</status>
      <modifiedWord>用</modifiedWord>
      <trackRevisions>false</trackRevisions>
    </reviewItem>
    <reviewItem>
      <errorID>16e440e1-c563-4263-9511-f5843bd2a9c2</errorID>
      <errorWord>一二三产业的融合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词汇“一二三产业融合”在特定场景下为固定表述形式，请确认此处的“一二三产业的融合”是否存在不当。</explain>
      <paraID>1F70E950</paraID>
      <start>56</start>
      <end>63</end>
      <status>modified</status>
      <modifiedWord>一二三产业融合</modifiedWord>
      <trackRevisions>false</trackRevisions>
    </reviewItem>
    <reviewItem>
      <errorID>b4bec2d2-4ba6-42a9-8624-dc74d35ec8a7</errorID>
      <errorWord>〔2025〕05号</errorWord>
      <group>L1_Knowledge</group>
      <groupName>知识性问题</groupName>
      <ability>L2_Knowledge</ability>
      <abilityName>其他知识</abilityName>
      <candidateList>
        <item>〔2025〕5号</item>
      </candidateList>
      <explain>发文字号格式错误。</explain>
      <paraID>4F196309</paraID>
      <start>138</start>
      <end>146</end>
      <status>modified</status>
      <modifiedWord>〔2025〕5号</modifiedWord>
      <trackRevisions>false</trackRevisions>
    </reviewItem>
    <reviewItem>
      <errorID>499ed418-cc7b-4538-b792-9740ee8eba3e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545199E0</paraID>
      <start>0</start>
      <end>2</end>
      <status>modified</status>
      <modifiedWord>1.</modifiedWord>
      <trackRevisions>false</trackRevisions>
    </reviewItem>
    <reviewItem>
      <errorID>dbcbbc1e-eac7-487f-a6af-7077fc47b74b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7851A40A</paraID>
      <start>0</start>
      <end>2</end>
      <status>modified</status>
      <modifiedWord>2.</modifiedWord>
      <trackRevisions>false</trackRevisions>
    </reviewItem>
    <reviewItem>
      <errorID>80320e66-31de-4829-ba18-6dc2a72fd4eb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7C9C512A</paraID>
      <start>0</start>
      <end>2</end>
      <status>modified</status>
      <modifiedWord>1.</modifiedWord>
      <trackRevisions>false</trackRevisions>
    </reviewItem>
    <reviewItem>
      <errorID>35ddd352-eb22-435c-a8b6-d0cffe6caee4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117C0253</paraID>
      <start>0</start>
      <end>2</end>
      <status>modified</status>
      <modifiedWord>2.</modifiedWord>
      <trackRevisions>false</trackRevisions>
    </reviewItem>
    <reviewItem>
      <errorID>4713bd85-60c0-445b-8717-833699704dd3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4CEA6A32</paraID>
      <start>0</start>
      <end>2</end>
      <status>modified</status>
      <modifiedWord>3.</modifiedWord>
      <trackRevisions>false</trackRevisions>
    </reviewItem>
    <reviewItem>
      <errorID>c49c6a12-2835-414e-b55c-7605fa52b30e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48F738CC</paraID>
      <start>0</start>
      <end>2</end>
      <status>modified</status>
      <modifiedWord>4.</modifiedWord>
      <trackRevisions>false</trackRevisions>
    </reviewItem>
    <reviewItem>
      <errorID>100afab3-819e-40de-b7e0-14050262b076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29718E63</paraID>
      <start>0</start>
      <end>2</end>
      <status>modified</status>
      <modifiedWord>5.</modifiedWord>
      <trackRevisions>false</trackRevisions>
    </reviewItem>
    <reviewItem>
      <errorID>291b1ca3-2abe-4d46-b6a2-39cf7778c710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742BBA65</paraID>
      <start>0</start>
      <end>2</end>
      <status>modified</status>
      <modifiedWord>6.</modifiedWord>
      <trackRevisions>false</trackRevisions>
    </reviewItem>
    <reviewItem>
      <errorID>b88502c9-448d-4558-b12f-f8132571bf3b</errorID>
      <errorWord>，</errorWord>
      <group>L1_Word</group>
      <groupName>字词问题</groupName>
      <ability>L2_Typo</ability>
      <abilityName>字词错误</abilityName>
      <candidateList>
        <item>，要</item>
      </candidateList>
      <explain/>
      <paraID>71F12F84</paraID>
      <start>5</start>
      <end>6</end>
      <status>ignored</status>
      <modifiedWord/>
      <trackRevisions>false</trackRevisions>
    </reviewItem>
    <reviewItem>
      <errorID>0cbdb81e-ee4f-4d9d-9d2a-f94bf7c546ef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394EB39A</paraID>
      <start>0</start>
      <end>2</end>
      <status>modified</status>
      <modifiedWord>1.</modifiedWord>
      <trackRevisions>false</trackRevisions>
    </reviewItem>
    <reviewItem>
      <errorID>fbb68089-e59e-48e0-bd2e-ee54b891e8ff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56EB9D2F</paraID>
      <start>0</start>
      <end>2</end>
      <status>modified</status>
      <modifiedWord>2.</modifiedWord>
      <trackRevisions>false</trackRevisions>
    </reviewItem>
    <reviewItem>
      <errorID>a6178c18-b29e-4d41-8b81-2b7056140010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3C0CD181</paraID>
      <start>0</start>
      <end>2</end>
      <status>modified</status>
      <modifiedWord>3.</modifiedWord>
      <trackRevisions>false</trackRevisions>
    </reviewItem>
    <reviewItem>
      <errorID>7dc6f183-e5b9-4a0e-a0a4-fa1fbe9d2945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6611D7E9</paraID>
      <start>0</start>
      <end>2</end>
      <status>modified</status>
      <modifiedWord>4.</modifiedWord>
      <trackRevisions>false</trackRevisions>
    </reviewItem>
    <reviewItem>
      <errorID>16e91123-c018-4d61-a4da-5dbdb583ec97</errorID>
      <errorWord>~</errorWord>
      <group>L1_Format</group>
      <groupName>格式问题</groupName>
      <ability>L2_HalfPunc</ability>
      <abilityName>全半角检查</abilityName>
      <candidateList>
        <item>～</item>
      </candidateList>
      <explain>文本全半角错误。</explain>
      <paraID>437989BE</paraID>
      <start>137</start>
      <end>138</end>
      <status>modified</status>
      <modifiedWord>～</modifiedWord>
      <trackRevisions>false</trackRevisions>
    </reviewItem>
    <reviewItem>
      <errorID>b6e7b751-1176-48bc-bc3f-5c2cb5aed594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6890E54</paraID>
      <start>0</start>
      <end>2</end>
      <status>modified</status>
      <modifiedWord>5.</modifiedWord>
      <trackRevisions>false</trackRevisions>
    </reviewItem>
    <reviewItem>
      <errorID>7b73286e-96d8-497b-ae0a-df7910483bf5</errorID>
      <errorWord>~</errorWord>
      <group>L1_Format</group>
      <groupName>格式问题</groupName>
      <ability>L2_HalfPunc</ability>
      <abilityName>全半角检查</abilityName>
      <candidateList>
        <item>～</item>
      </candidateList>
      <explain>文本全半角错误。</explain>
      <paraID>6C064578</paraID>
      <start>44</start>
      <end>45</end>
      <status>modified</status>
      <modifiedWord>～</modifiedWord>
      <trackRevisions>false</trackRevisions>
    </reviewItem>
    <reviewItem>
      <errorID>c5ce7399-619e-4f49-824f-a82d66472498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6C064578</paraID>
      <start>78</start>
      <end>79</end>
      <status>modified</status>
      <modifiedWord>—</modifiedWord>
      <trackRevisions>false</trackRevisions>
    </reviewItem>
    <reviewItem>
      <errorID>21089bf2-423a-4bdd-b1a7-a1a4ebbe2ef8</errorID>
      <errorWord>他的</errorWord>
      <group>L1_Word</group>
      <groupName>字词问题</groupName>
      <ability>L2_Typo</ability>
      <abilityName>字词错误</abilityName>
      <candidateList>
        <item>他</item>
      </candidateList>
      <explain/>
      <paraID>  4F96D9</paraID>
      <start>115</start>
      <end>116</end>
      <status>modified</status>
      <modifiedWord>他</modifiedWord>
      <trackRevisions>false</trackRevisions>
    </reviewItem>
    <reviewItem>
      <errorID>25f2a9aa-9e5d-417d-a11e-dc5d714f58c9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2EFCA668</paraID>
      <start>0</start>
      <end>2</end>
      <status>modified</status>
      <modifiedWord>6.</modifiedWord>
      <trackRevisions>false</trackRevisions>
    </reviewItem>
    <reviewItem>
      <errorID>845b65bc-4e56-4c8d-86fe-0735a3936a74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7FE4CF20</paraID>
      <start>0</start>
      <end>2</end>
      <status>modified</status>
      <modifiedWord>7.</modifiedWord>
      <trackRevisions>false</trackRevisions>
    </reviewItem>
    <reviewItem>
      <errorID>7f0885c5-7949-4657-a49b-920363a36eca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637A0785</paraID>
      <start>0</start>
      <end>2</end>
      <status>modified</status>
      <modifiedWord>8.</modifiedWord>
      <trackRevisions>false</trackRevisions>
    </reviewItem>
    <reviewItem>
      <errorID>53ac0cc2-f29e-4c00-8bfd-c173a89273b3</errorID>
      <errorWord>(</errorWord>
      <group>L1_Format</group>
      <groupName>格式问题</groupName>
      <ability>L2_HalfPunc</ability>
      <abilityName>全半角检查</abilityName>
      <candidateList>
        <item>（</item>
      </candidateList>
      <explain>文本全半角错误。</explain>
      <paraID>637A0785</paraID>
      <start>23</start>
      <end>24</end>
      <status>modified</status>
      <modifiedWord>（</modifiedWord>
      <trackRevisions>false</trackRevisions>
    </reviewItem>
    <reviewItem>
      <errorID>004db436-25bd-41af-8509-7d613d541b3e</errorID>
      <errorWord>)</errorWord>
      <group>L1_Format</group>
      <groupName>格式问题</groupName>
      <ability>L2_HalfPunc</ability>
      <abilityName>全半角检查</abilityName>
      <candidateList>
        <item>）</item>
      </candidateList>
      <explain>文本全半角错误。</explain>
      <paraID>637A0785</paraID>
      <start>26</start>
      <end>27</end>
      <status>modified</status>
      <modifiedWord>）</modifiedWord>
      <trackRevisions>false</trackRevisions>
    </reviewItem>
    <reviewItem>
      <errorID>c5e79ea2-3b2a-4d5c-b97a-e4015497e745</errorID>
      <errorWord>(</errorWord>
      <group>L1_Format</group>
      <groupName>格式问题</groupName>
      <ability>L2_HalfPunc</ability>
      <abilityName>全半角检查</abilityName>
      <candidateList>
        <item>（</item>
      </candidateList>
      <explain>文本全半角错误。</explain>
      <paraID>37A3AA15</paraID>
      <start>100</start>
      <end>101</end>
      <status>modified</status>
      <modifiedWord>（</modifiedWord>
      <trackRevisions>false</trackRevisions>
    </reviewItem>
    <reviewItem>
      <errorID>ff8d5636-6194-4ccc-9abb-94c1f47246b0</errorID>
      <errorWord>)</errorWord>
      <group>L1_Format</group>
      <groupName>格式问题</groupName>
      <ability>L2_HalfPunc</ability>
      <abilityName>全半角检查</abilityName>
      <candidateList>
        <item>）</item>
      </candidateList>
      <explain>文本全半角错误。</explain>
      <paraID>37A3AA15</paraID>
      <start>103</start>
      <end>104</end>
      <status>modified</status>
      <modifiedWord>）</modifiedWord>
      <trackRevisions>false</trackRevisions>
    </reviewItem>
    <reviewItem>
      <errorID>94a07a8d-64dd-47df-adc3-438e2dacd5b4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27320EE5</paraID>
      <start>0</start>
      <end>2</end>
      <status>modified</status>
      <modifiedWord>9.</modifiedWord>
      <trackRevisions>false</trackRevisions>
    </reviewItem>
    <reviewItem>
      <errorID>7b694455-4f6a-424f-9126-f7dc826d1c39</errorID>
      <errorWord>了</errorWord>
      <group>L1_Word</group>
      <groupName>字词问题</groupName>
      <ability>L2_Typo</ability>
      <abilityName>字词错误</abilityName>
      <candidateList>
        <item>的</item>
      </candidateList>
      <explain>存在字形相近字词的误用。</explain>
      <paraID>2AD106BE</paraID>
      <start>56</start>
      <end>57</end>
      <status>modified</status>
      <modifiedWord>的</modifiedWord>
      <trackRevisions>false</trackRevisions>
    </reviewItem>
    <reviewItem>
      <errorID>198914e4-4972-4819-a680-56ba88b370b0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277A5BCB</paraID>
      <start>0</start>
      <end>3</end>
      <status>modified</status>
      <modifiedWord>10.</modifiedWord>
      <trackRevisions>false</trackRevisions>
    </reviewItem>
    <reviewItem>
      <errorID>c83b48ef-c016-40f1-82ce-d6cff375573a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301A5348</paraID>
      <start>0</start>
      <end>3</end>
      <status>modified</status>
      <modifiedWord>11.</modifiedWord>
      <trackRevisions>false</trackRevisions>
    </reviewItem>
    <reviewItem>
      <errorID>f662b6e3-58ac-4e29-aa15-d7a8a566e7ad</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3DB5A886</paraID>
      <start>50</start>
      <end>56</end>
      <status>modified</status>
      <modifiedWord>“三线一单”</modifiedWord>
      <trackRevisions>false</trackRevisions>
    </reviewItem>
    <reviewItem>
      <errorID>039b0c9a-b82a-44d9-8f1f-278359455c18</errorID>
      <errorWord>要</errorWord>
      <group>L1_Word</group>
      <groupName>字词问题</groupName>
      <ability>L2_Typo</ability>
      <abilityName>字词错误</abilityName>
      <candidateList>
        <item>要是</item>
      </candidateList>
      <explain/>
      <paraID>18E8EFB5</paraID>
      <start>12</start>
      <end>14</end>
      <status>modified</status>
      <modifiedWord>要是</modifiedWord>
      <trackRevisions>false</trackRevisions>
    </reviewItem>
    <reviewItem>
      <errorID>4d1478b3-20e1-4526-bf51-bce1f82ab5c9</errorID>
      <errorWord>上线</errorWord>
      <group>L1_Word</group>
      <groupName>字词问题</groupName>
      <ability>L2_Typo</ability>
      <abilityName>字词错误</abilityName>
      <candidateList>
        <item>上限</item>
      </candidateList>
      <explain/>
      <paraID>5DF37FCC</paraID>
      <start>143</start>
      <end>145</end>
      <status>modified</status>
      <modifiedWord>上限</modifiedWord>
      <trackRevisions>false</trackRevisions>
    </reviewItem>
    <reviewItem>
      <errorID>83b8d920-847d-49be-855a-617b0079ce36</errorID>
      <errorWord>农业部</errorWord>
      <group>L1_Knowledge</group>
      <groupName>知识性问题</groupName>
      <ability>L2_Knowledge</ability>
      <abilityName>其他知识</abilityName>
      <candidateList>
        <item>农业农村部</item>
      </candidateList>
      <explain/>
      <paraID>1EC28920</paraID>
      <start>208</start>
      <end>213</end>
      <status>modified</status>
      <modifiedWord>农业农村部</modifiedWord>
      <trackRevisions>false</trackRevisions>
    </reviewItem>
    <reviewItem>
      <errorID>7d855c59-8283-4aea-ab32-a805db8feb7f</errorID>
      <errorWord>~</errorWord>
      <group>L1_Format</group>
      <groupName>格式问题</groupName>
      <ability>L2_HalfPunc</ability>
      <abilityName>全半角检查</abilityName>
      <candidateList>
        <item>～</item>
      </candidateList>
      <explain>文本全半角错误。</explain>
      <paraID>1EC28920</paraID>
      <start>375</start>
      <end>376</end>
      <status>modified</status>
      <modifiedWord>～</modifiedWord>
      <trackRevisions>false</trackRevisions>
    </reviewItem>
    <reviewItem>
      <errorID>239f04b2-fffa-4817-9ae3-262f71912ad6</errorID>
      <errorWord>~</errorWord>
      <group>L1_Format</group>
      <groupName>格式问题</groupName>
      <ability>L2_HalfPunc</ability>
      <abilityName>全半角检查</abilityName>
      <candidateList>
        <item>～</item>
      </candidateList>
      <explain>文本全半角错误。</explain>
      <paraID>1EC28920</paraID>
      <start>388</start>
      <end>389</end>
      <status>modified</status>
      <modifiedWord>～</modifiedWord>
      <trackRevisions>false</trackRevisions>
    </reviewItem>
    <reviewItem>
      <errorID>ec1a73f1-6b04-4c0c-b9fd-9d62db5c3c49</errorID>
      <errorWord>~</errorWord>
      <group>L1_Format</group>
      <groupName>格式问题</groupName>
      <ability>L2_HalfPunc</ability>
      <abilityName>全半角检查</abilityName>
      <candidateList>
        <item>～</item>
      </candidateList>
      <explain>文本全半角错误。</explain>
      <paraID>1EC28920</paraID>
      <start>409</start>
      <end>410</end>
      <status>modified</status>
      <modifiedWord>～</modifiedWord>
      <trackRevisions>false</trackRevisions>
    </reviewItem>
    <reviewItem>
      <errorID>3a78559d-a02e-4be6-957f-0cef63bf2131</errorID>
      <errorWord>~</errorWord>
      <group>L1_Format</group>
      <groupName>格式问题</groupName>
      <ability>L2_HalfPunc</ability>
      <abilityName>全半角检查</abilityName>
      <candidateList>
        <item>～</item>
      </candidateList>
      <explain>文本全半角错误。</explain>
      <paraID>1EC28920</paraID>
      <start>418</start>
      <end>419</end>
      <status>modified</status>
      <modifiedWord>～</modifiedWord>
      <trackRevisions>false</trackRevisions>
    </reviewItem>
    <reviewItem>
      <errorID>ae284740-db00-4c0d-8207-d84cbe45b479</errorID>
      <errorWord>农业部</errorWord>
      <group>L1_Knowledge</group>
      <groupName>知识性问题</groupName>
      <ability>L2_Knowledge</ability>
      <abilityName>其他知识</abilityName>
      <candidateList>
        <item>农业农村部</item>
      </candidateList>
      <explain/>
      <paraID>6D7674EA</paraID>
      <start>22</start>
      <end>27</end>
      <status>modified</status>
      <modifiedWord>农业农村部</modifiedWord>
      <trackRevisions>false</trackRevisions>
    </reviewItem>
    <reviewItem>
      <errorID>46051edc-87c8-4a6a-9132-a0a618e2bfb2</errorID>
      <errorWord>要</errorWord>
      <group>L1_Word</group>
      <groupName>字词问题</groupName>
      <ability>L2_Typo</ability>
      <abilityName>字词错误</abilityName>
      <candidateList>
        <item>要是</item>
      </candidateList>
      <explain/>
      <paraID>5FF3821E</paraID>
      <start>58</start>
      <end>60</end>
      <status>modified</status>
      <modifiedWord>要是</modifiedWord>
      <trackRevisions>false</trackRevisions>
    </reviewItem>
    <reviewItem>
      <errorID>498230d1-d735-498c-b84b-26fe0528d2e1</errorID>
      <errorWord>程</errorWord>
      <group>L1_Word</group>
      <groupName>字词问题</groupName>
      <ability>L2_Typo</ability>
      <abilityName>字词错误</abilityName>
      <candidateList>
        <item>程中</item>
      </candidateList>
      <explain/>
      <paraID>5FF3821E</paraID>
      <start>96</start>
      <end>98</end>
      <status>modified</status>
      <modifiedWord>程中</modifiedWord>
      <trackRevisions>false</trackRevisions>
    </reviewItem>
    <reviewItem>
      <errorID>e96695a1-1a7e-4cb3-9fa5-39c7612722bc</errorID>
      <errorWord>其它</errorWord>
      <group>L1_Word</group>
      <groupName>字词问题</groupName>
      <ability>L2_Alias</ability>
      <abilityName>也作/曾用词</abilityName>
      <candidateList>
        <item>其他</item>
      </candidateList>
      <explain>词汇[其它]为不规范表述或旧称，其规范书面表述为[其他]。</explain>
      <paraID>1898CBCE</paraID>
      <start>101</start>
      <end>103</end>
      <status>modified</status>
      <modifiedWord>其他</modifiedWord>
      <trackRevisions>false</trackRevisions>
    </reviewItem>
    <reviewItem>
      <errorID>9f6d68ca-a187-4fa1-96bc-01ac4e88e5bf</errorID>
      <errorWord>农业部</errorWord>
      <group>L1_Knowledge</group>
      <groupName>知识性问题</groupName>
      <ability>L2_Knowledge</ability>
      <abilityName>其他知识</abilityName>
      <candidateList>
        <item>农业农村部</item>
      </candidateList>
      <explain/>
      <paraID> E5C71F9</paraID>
      <start>84</start>
      <end>89</end>
      <status>modified</status>
      <modifiedWord>农业农村部</modifiedWord>
      <trackRevisions>false</trackRevisions>
    </reviewItem>
    <reviewItem>
      <errorID>0ea9caf1-8832-4db0-b174-b35d9af563b5</errorID>
      <errorWord>(</errorWord>
      <group>L1_Format</group>
      <groupName>格式问题</groupName>
      <ability>L2_HalfPunc</ability>
      <abilityName>全半角检查</abilityName>
      <candidateList>
        <item>（</item>
      </candidateList>
      <explain>文本全半角错误。</explain>
      <paraID>28477FFD</paraID>
      <start>89</start>
      <end>90</end>
      <status>modified</status>
      <modifiedWord>（</modifiedWord>
      <trackRevisions>false</trackRevisions>
    </reviewItem>
    <reviewItem>
      <errorID>cf7cc8cf-8671-4e5f-b519-aea7e9cc197e</errorID>
      <errorWord>)</errorWord>
      <group>L1_Format</group>
      <groupName>格式问题</groupName>
      <ability>L2_HalfPunc</ability>
      <abilityName>全半角检查</abilityName>
      <candidateList>
        <item>）</item>
      </candidateList>
      <explain>文本全半角错误。</explain>
      <paraID>28477FFD</paraID>
      <start>102</start>
      <end>103</end>
      <status>modified</status>
      <modifiedWord>）</modifiedWord>
      <trackRevisions>false</trackRevisions>
    </reviewItem>
    <reviewItem>
      <errorID>48df5dc6-6649-4c30-9667-1197fe3c95b3</errorID>
      <errorWord>泄露</errorWord>
      <group>L1_Word</group>
      <groupName>字词问题</groupName>
      <ability>L2_Typo</ability>
      <abilityName>字词错误</abilityName>
      <candidateList>
        <item>泄漏</item>
      </candidateList>
      <explain>存在发音相同字词的误用。</explain>
      <paraID>30956273</paraID>
      <start>11</start>
      <end>13</end>
      <status>modified</status>
      <modifiedWord>泄漏</modifiedWord>
      <trackRevisions>false</trackRevisions>
    </reviewItem>
    <reviewItem>
      <errorID>af943408-367f-4379-b3c1-c9927298b5dd</errorID>
      <errorWord>并</errorWord>
      <group>L1_Word</group>
      <groupName>字词问题</groupName>
      <ability>L2_Typo</ability>
      <abilityName>字词错误</abilityName>
      <candidateList>
        <item>并在</item>
      </candidateList>
      <explain/>
      <paraID>27D438ED</paraID>
      <start>78</start>
      <end>80</end>
      <status>modified</status>
      <modifiedWord>并在</modifiedWord>
      <trackRevisions>false</trackRevisions>
    </reviewItem>
    <reviewItem>
      <errorID>6974414e-a713-4a58-af74-cb5d45c1e261</errorID>
      <errorWord>爆发</errorWord>
      <group>L1_Word</group>
      <groupName>字词问题</groupName>
      <ability>L2_Typo</ability>
      <abilityName>字词错误</abilityName>
      <candidateList>
        <item>暴发</item>
      </candidateList>
      <explain>〈动〉❶突然发财或得势（多含贬义）：～户。❷突然发作：山洪～。</explain>
      <paraID>3B0ECA29</paraID>
      <start>31</start>
      <end>33</end>
      <status>modified</status>
      <modifiedWord>暴发</modifiedWord>
      <trackRevisions>false</trackRevisions>
    </reviewItem>
    <reviewItem>
      <errorID>2150cc0f-4b56-49cf-99ed-4df00249da87</errorID>
      <errorWord>，</errorWord>
      <group>L1_Word</group>
      <groupName>字词问题</groupName>
      <ability>L2_Typo</ability>
      <abilityName>字词错误</abilityName>
      <candidateList>
        <item>，在</item>
      </candidateList>
      <explain/>
      <paraID>3B0ECA29</paraID>
      <start>150</start>
      <end>152</end>
      <status>modified</status>
      <modifiedWord>，在</modifiedWord>
      <trackRevisions>false</trackRevisions>
    </reviewItem>
    <reviewItem>
      <errorID>9a2584ec-a83e-4818-85e1-158e321ed7b9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65EB6EA</paraID>
      <start>203</start>
      <end>204</end>
      <status>modified</status>
      <modifiedWord>地</modifiedWord>
      <trackRevisions>false</trackRevisions>
    </reviewItem>
    <reviewItem>
      <errorID>d9434f9f-00a1-43e3-97ac-91de8dc5050e</errorID>
      <errorWord>中华人民共和国环境噪声污染防治法</errorWord>
      <group>L1_Knowledge</group>
      <groupName>知识性问题</groupName>
      <ability>L2_Knowledge</ability>
      <abilityName>其他知识</abilityName>
      <candidateList/>
      <explain>该法律于2018年12月29日由全国人民代表大会常务委员会制定，已于2022年6月5日废止，请注意检查引用是否正确。</explain>
      <paraID> 722EB9D</paraID>
      <start>4</start>
      <end>20</end>
      <status>ignored</status>
      <modifiedWord/>
      <trackRevisions>false</trackRevisions>
    </reviewItem>
    <reviewItem>
      <errorID>809719eb-1f67-4688-ad6e-31ac7971a769</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2BEFDF1D</paraID>
      <start>5</start>
      <end>13</end>
      <status>modified</status>
      <modifiedWord>中共中央、国务院</modifiedWord>
      <trackRevisions>false</trackRevisions>
    </reviewItem>
    <reviewItem>
      <errorID>cb75ffa0-d561-465c-9998-8b006f9ab0fb</errorID>
      <errorWord>2020年6月04日</errorWord>
      <group>L1_Knowledge</group>
      <groupName>知识性问题</groupName>
      <ability>L2_Time</ability>
      <abilityName>日期时间</abilityName>
      <candidateList>
        <item>2020年6月4日</item>
      </candidateList>
      <explain>根据日常书写习惯，日期一般会省略前导零。</explain>
      <paraID>4AF99AA7</paraID>
      <start>48</start>
      <end>57</end>
      <status>modified</status>
      <modifiedWord>2020年6月4日</modifiedWord>
      <trackRevisions>false</trackRevisions>
    </reviewItem>
    <reviewItem>
      <errorID>d48998fb-1754-41e4-9fef-43f999fcb093</errorID>
      <errorWord>农业部</errorWord>
      <group>L1_Knowledge</group>
      <groupName>知识性问题</groupName>
      <ability>L2_Knowledge</ability>
      <abilityName>其他知识</abilityName>
      <candidateList>
        <item>农业农村部</item>
      </candidateList>
      <explain/>
      <paraID> F9761CF</paraID>
      <start>31</start>
      <end>36</end>
      <status>modified</status>
      <modifiedWord>农业农村部</modifiedWord>
      <trackRevisions>false</trackRevisions>
    </reviewItem>
    <reviewItem>
      <errorID>baefe430-6199-4304-8d6f-1f714e335caf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751BFEE7</paraID>
      <start>23</start>
      <end>24</end>
      <status>modified</status>
      <modifiedWord>—</modifiedWord>
      <trackRevisions>false</trackRevisions>
    </reviewItem>
    <reviewItem>
      <errorID>f27a554f-8d25-4951-94f4-7cf61e55c4c9</errorID>
      <errorWord>制</errorWord>
      <group>L1_Word</group>
      <groupName>字词问题</groupName>
      <ability>L2_Typo</ability>
      <abilityName>字词错误</abilityName>
      <candidateList>
        <item>制度</item>
      </candidateList>
      <explain/>
      <paraID>59C36A9F</paraID>
      <start>22</start>
      <end>24</end>
      <status>modified</status>
      <modifiedWord>制度</modifiedWord>
      <trackRevisions>false</trackRevisions>
    </reviewItem>
    <reviewItem>
      <errorID>e85adf0a-5b3b-4868-b6fe-98ba70bce425</errorID>
      <errorWord>农业部</errorWord>
      <group>L1_Knowledge</group>
      <groupName>知识性问题</groupName>
      <ability>L2_Knowledge</ability>
      <abilityName>其他知识</abilityName>
      <candidateList>
        <item>农业农村部</item>
      </candidateList>
      <explain/>
      <paraID>71468D7B</paraID>
      <start>4</start>
      <end>9</end>
      <status>modified</status>
      <modifiedWord>农业农村部</modifiedWord>
      <trackRevisions>false</trackRevisions>
    </reviewItem>
    <reviewItem>
      <errorID>db7505da-2fc8-4445-ae11-a8edb348e2bd</errorID>
      <errorWord>农业部</errorWord>
      <group>L1_Knowledge</group>
      <groupName>知识性问题</groupName>
      <ability>L2_Knowledge</ability>
      <abilityName>其他知识</abilityName>
      <candidateList>
        <item>农业农村部</item>
      </candidateList>
      <explain/>
      <paraID>7BC4ECD4</paraID>
      <start>10</start>
      <end>15</end>
      <status>modified</status>
      <modifiedWord>农业农村部</modifiedWord>
      <trackRevisions>false</trackRevisions>
    </reviewItem>
    <reviewItem>
      <errorID>81f67233-8125-46ac-a20f-38035e9b4743</errorID>
      <errorWord>)</errorWord>
      <group>L1_Format</group>
      <groupName>格式问题</groupName>
      <ability>L2_HalfPunc</ability>
      <abilityName>全半角检查</abilityName>
      <candidateList>
        <item>）</item>
      </candidateList>
      <explain>文本全半角错误。</explain>
      <paraID> FC96366</paraID>
      <start>46</start>
      <end>47</end>
      <status>modified</status>
      <modifiedWord>）</modifiedWord>
      <trackRevisions>false</trackRevisions>
    </reviewItem>
    <reviewItem>
      <errorID>cb6ec887-94e7-41d2-8dbd-3a3fc1eeb561</errorID>
      <errorWord>(</errorWord>
      <group>L1_Format</group>
      <groupName>格式问题</groupName>
      <ability>L2_HalfPunc</ability>
      <abilityName>全半角检查</abilityName>
      <candidateList>
        <item>（</item>
      </candidateList>
      <explain>文本全半角错误。</explain>
      <paraID>2208E23B</paraID>
      <start>10</start>
      <end>11</end>
      <status>modified</status>
      <modifiedWord>（</modifiedWord>
      <trackRevisions>false</trackRevisions>
    </reviewItem>
    <reviewItem>
      <errorID>618568fc-a9a8-4e90-ad49-28da5d738864</errorID>
      <errorWord>)</errorWord>
      <group>L1_Format</group>
      <groupName>格式问题</groupName>
      <ability>L2_HalfPunc</ability>
      <abilityName>全半角检查</abilityName>
      <candidateList>
        <item>）</item>
      </candidateList>
      <explain>文本全半角错误。</explain>
      <paraID>2208E23B</paraID>
      <start>13</start>
      <end>14</end>
      <status>modified</status>
      <modifiedWord>）</modifiedWord>
      <trackRevisions>false</trackRevisions>
    </reviewItem>
    <reviewItem>
      <errorID>784f57ee-5a3c-43c5-b9f1-d02ef68f113a</errorID>
      <errorWord>新疆自治区</errorWord>
      <group>L1_Word</group>
      <groupName>字词问题</groupName>
      <ability>L2_Typo</ability>
      <abilityName>字词错误</abilityName>
      <candidateList>
        <item>新疆维吾尔自治区</item>
      </candidateList>
      <explain/>
      <paraID>24120CF1</paraID>
      <start>18</start>
      <end>26</end>
      <status>modified</status>
      <modifiedWord>新疆维吾尔自治区</modifiedWord>
      <trackRevisions>false</trackRevisions>
    </reviewItem>
    <reviewItem>
      <errorID>c7253b5f-b6ff-4f78-b223-578c3a3f18d6</errorID>
      <errorWord>二O三五</errorWord>
      <group>L1_Knowledge</group>
      <groupName>知识性问题</groupName>
      <ability>L2_Knowledge</ability>
      <abilityName>其他知识</abilityName>
      <candidateList>
        <item>二〇三五</item>
      </candidateList>
      <explain/>
      <paraID> 8509B18</paraID>
      <start>31</start>
      <end>35</end>
      <status>modified</status>
      <modifiedWord>二〇三五</modifiedWord>
      <trackRevisions>false</trackRevisions>
    </reviewItem>
    <reviewItem>
      <errorID>20baedcd-43f5-4395-ac7b-98759a7f29c4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6FE0A107</paraID>
      <start>26</start>
      <end>27</end>
      <status>modified</status>
      <modifiedWord>—</modifiedWord>
      <trackRevisions>false</trackRevisions>
    </reviewItem>
    <reviewItem>
      <errorID>215563a3-79fb-445c-a1f3-08cf94af0142</errorID>
      <errorWord>(</errorWord>
      <group>L1_Format</group>
      <groupName>格式问题</groupName>
      <ability>L2_HalfPunc</ability>
      <abilityName>全半角检查</abilityName>
      <candidateList>
        <item>（</item>
      </candidateList>
      <explain>文本全半角错误。</explain>
      <paraID>4CE8B102</paraID>
      <start>23</start>
      <end>24</end>
      <status>modified</status>
      <modifiedWord>（</modifiedWord>
      <trackRevisions>false</trackRevisions>
    </reviewItem>
    <reviewItem>
      <errorID>96aea599-3676-4726-a1ee-2bc02f67a6fd</errorID>
      <errorWord>)</errorWord>
      <group>L1_Format</group>
      <groupName>格式问题</groupName>
      <ability>L2_HalfPunc</ability>
      <abilityName>全半角检查</abilityName>
      <candidateList>
        <item>）</item>
      </candidateList>
      <explain>文本全半角错误。</explain>
      <paraID>4CE8B102</paraID>
      <start>36</start>
      <end>37</end>
      <status>modified</status>
      <modifiedWord>）</modifiedWord>
      <trackRevisions>false</trackRevisions>
    </reviewItem>
    <reviewItem>
      <errorID>29240014-e15b-4348-bad8-c3567de7aa35</errorID>
      <errorWord>(</errorWord>
      <group>L1_Format</group>
      <groupName>格式问题</groupName>
      <ability>L2_HalfPunc</ability>
      <abilityName>全半角检查</abilityName>
      <candidateList>
        <item>（</item>
      </candidateList>
      <explain>文本全半角错误。</explain>
      <paraID>4BDA0177</paraID>
      <start>15</start>
      <end>16</end>
      <status>modified</status>
      <modifiedWord>（</modifiedWord>
      <trackRevisions>false</trackRevisions>
    </reviewItem>
    <reviewItem>
      <errorID>475942e6-c213-4a58-a3e6-105de5293c17</errorID>
      <errorWord>)</errorWord>
      <group>L1_Format</group>
      <groupName>格式问题</groupName>
      <ability>L2_HalfPunc</ability>
      <abilityName>全半角检查</abilityName>
      <candidateList>
        <item>）</item>
      </candidateList>
      <explain>文本全半角错误。</explain>
      <paraID>4BDA0177</paraID>
      <start>30</start>
      <end>31</end>
      <status>modified</status>
      <modifiedWord>）</modifiedWord>
      <trackRevisions>false</trackRevisions>
    </reviewItem>
    <reviewItem>
      <errorID>14b8a364-d043-4795-9060-d150cc446f08</errorID>
      <errorWord>施工期的</errorWord>
      <group>L1_Word</group>
      <groupName>字词问题</groupName>
      <ability>L2_Typo</ability>
      <abilityName>字词错误</abilityName>
      <candidateList>
        <item>施工期</item>
      </candidateList>
      <explain/>
      <paraID>2DC3EF35</paraID>
      <start>246</start>
      <end>249</end>
      <status>modified</status>
      <modifiedWord>施工期</modifiedWord>
      <trackRevisions>false</trackRevisions>
    </reviewItem>
    <reviewItem>
      <errorID>eb257247-c9d0-42ba-a562-4ed84d89dbe6</errorID>
      <errorWord>，</errorWord>
      <group>L1_Word</group>
      <groupName>字词问题</groupName>
      <ability>L2_Typo</ability>
      <abilityName>字词错误</abilityName>
      <candidateList>
        <item>，选</item>
      </candidateList>
      <explain/>
      <paraID>29616308</paraID>
      <start>25</start>
      <end>27</end>
      <status>modified</status>
      <modifiedWord>，选</modifiedWord>
      <trackRevisions>false</trackRevisions>
    </reviewItem>
    <reviewItem>
      <errorID>5ba996da-a4d0-421d-8441-e1af89a7b0a9</errorID>
      <errorWord>)</errorWord>
      <group>L1_Format</group>
      <groupName>格式问题</groupName>
      <ability>L2_HalfPunc</ability>
      <abilityName>全半角检查</abilityName>
      <candidateList>
        <item>）</item>
      </candidateList>
      <explain>文本全半角错误。</explain>
      <paraID>313DC217</paraID>
      <start>35</start>
      <end>36</end>
      <status>modified</status>
      <modifiedWord>）</modifiedWord>
      <trackRevisions>false</trackRevisions>
    </reviewItem>
    <reviewItem>
      <errorID>d363aa5d-da3d-42e2-bd2c-ee741dfa779a</errorID>
      <errorWord>～</errorWord>
      <group>L1_Format</group>
      <groupName>格式问题</groupName>
      <ability>L2_HalfPunc</ability>
      <abilityName>全半角检查</abilityName>
      <candidateList>
        <item>~</item>
      </candidateList>
      <explain>文本全半角错误。</explain>
      <paraID>23EC624E</paraID>
      <start>3</start>
      <end>4</end>
      <status>modified</status>
      <modifiedWord>~</modifiedWord>
      <trackRevisions>false</trackRevisions>
    </reviewItem>
    <reviewItem>
      <errorID>9c33e35b-3180-4def-b346-3246585dabcd</errorID>
      <errorWord>(</errorWord>
      <group>L1_Format</group>
      <groupName>格式问题</groupName>
      <ability>L2_HalfPunc</ability>
      <abilityName>全半角检查</abilityName>
      <candidateList>
        <item>（</item>
      </candidateList>
      <explain>文本全半角错误。</explain>
      <paraID>7DB31085</paraID>
      <start>20</start>
      <end>21</end>
      <status>modified</status>
      <modifiedWord>（</modifiedWord>
      <trackRevisions>false</trackRevisions>
    </reviewItem>
    <reviewItem>
      <errorID>e83a3d4f-48ce-4311-8b90-d5e0afd165f4</errorID>
      <errorWord>)</errorWord>
      <group>L1_Format</group>
      <groupName>格式问题</groupName>
      <ability>L2_HalfPunc</ability>
      <abilityName>全半角检查</abilityName>
      <candidateList>
        <item>）</item>
      </candidateList>
      <explain>文本全半角错误。</explain>
      <paraID>7DB31085</paraID>
      <start>32</start>
      <end>33</end>
      <status>modified</status>
      <modifiedWord>）</modifiedWord>
      <trackRevisions>false</trackRevisions>
    </reviewItem>
    <reviewItem>
      <errorID>4f9d3a72-057d-49bf-aedd-32b95addd590</errorID>
      <errorWord>&gt;</errorWord>
      <group>L1_Punc</group>
      <groupName>标点问题</groupName>
      <ability>L2_Punc</ability>
      <abilityName>标点符号检查</abilityName>
      <candidateList/>
      <explain/>
      <paraID>52C32408</paraID>
      <start>0</start>
      <end>1</end>
      <status>ignored</status>
      <modifiedWord/>
      <trackRevisions>false</trackRevisions>
    </reviewItem>
    <reviewItem>
      <errorID>2713230f-a2ce-4d41-a321-eba4706e0ff3</errorID>
      <errorWord>(</errorWord>
      <group>L1_Format</group>
      <groupName>格式问题</groupName>
      <ability>L2_HalfPunc</ability>
      <abilityName>全半角检查</abilityName>
      <candidateList>
        <item>（</item>
      </candidateList>
      <explain>文本全半角错误。</explain>
      <paraID>34EB0354</paraID>
      <start>19</start>
      <end>20</end>
      <status>modified</status>
      <modifiedWord>（</modifiedWord>
      <trackRevisions>false</trackRevisions>
    </reviewItem>
    <reviewItem>
      <errorID>7a82e6ab-b3a4-492e-a3cb-b97c3c9f85b3</errorID>
      <errorWord>)</errorWord>
      <group>L1_Format</group>
      <groupName>格式问题</groupName>
      <ability>L2_HalfPunc</ability>
      <abilityName>全半角检查</abilityName>
      <candidateList>
        <item>）</item>
      </candidateList>
      <explain>文本全半角错误。</explain>
      <paraID>34EB0354</paraID>
      <start>31</start>
      <end>32</end>
      <status>modified</status>
      <modifiedWord>）</modifiedWord>
      <trackRevisions>false</trackRevisions>
    </reviewItem>
    <reviewItem>
      <errorID>0cb50cc1-c2c0-43c7-a12e-d7c2aaba9266</errorID>
      <errorWord>(</errorWord>
      <group>L1_Format</group>
      <groupName>格式问题</groupName>
      <ability>L2_HalfPunc</ability>
      <abilityName>全半角检查</abilityName>
      <candidateList>
        <item>（</item>
      </candidateList>
      <explain>文本全半角错误。</explain>
      <paraID> 7E1BDEE</paraID>
      <start>3</start>
      <end>4</end>
      <status>modified</status>
      <modifiedWord>（</modifiedWord>
      <trackRevisions>false</trackRevisions>
    </reviewItem>
    <reviewItem>
      <errorID>ec0ceeb2-4fd6-4b1b-8851-26f7bf6d3168</errorID>
      <errorWord>(</errorWord>
      <group>L1_Format</group>
      <groupName>格式问题</groupName>
      <ability>L2_HalfPunc</ability>
      <abilityName>全半角检查</abilityName>
      <candidateList>
        <item>（</item>
      </candidateList>
      <explain>文本全半角错误。</explain>
      <paraID>6BE37230</paraID>
      <start>19</start>
      <end>20</end>
      <status>modified</status>
      <modifiedWord>（</modifiedWord>
      <trackRevisions>false</trackRevisions>
    </reviewItem>
    <reviewItem>
      <errorID>ebf1b1d7-fb6f-44d7-a7c3-62dda618ec38</errorID>
      <errorWord>)</errorWord>
      <group>L1_Format</group>
      <groupName>格式问题</groupName>
      <ability>L2_HalfPunc</ability>
      <abilityName>全半角检查</abilityName>
      <candidateList>
        <item>）</item>
      </candidateList>
      <explain>文本全半角错误。</explain>
      <paraID>6BE37230</paraID>
      <start>30</start>
      <end>31</end>
      <status>modified</status>
      <modifiedWord>）</modifiedWord>
      <trackRevisions>false</trackRevisions>
    </reviewItem>
    <reviewItem>
      <errorID>0ac77c3f-89a2-4c9c-95d2-b05460ec0fab</errorID>
      <errorWord>(</errorWord>
      <group>L1_Format</group>
      <groupName>格式问题</groupName>
      <ability>L2_HalfPunc</ability>
      <abilityName>全半角检查</abilityName>
      <candidateList>
        <item>（</item>
      </candidateList>
      <explain>文本全半角错误。</explain>
      <paraID>6EEDE82C</paraID>
      <start>19</start>
      <end>20</end>
      <status>modified</status>
      <modifiedWord>（</modifiedWord>
      <trackRevisions>false</trackRevisions>
    </reviewItem>
    <reviewItem>
      <errorID>6cc9468f-7b85-46c4-b276-e6cd375bad9b</errorID>
      <errorWord>)</errorWord>
      <group>L1_Format</group>
      <groupName>格式问题</groupName>
      <ability>L2_HalfPunc</ability>
      <abilityName>全半角检查</abilityName>
      <candidateList>
        <item>）</item>
      </candidateList>
      <explain>文本全半角错误。</explain>
      <paraID>6EEDE82C</paraID>
      <start>30</start>
      <end>31</end>
      <status>modified</status>
      <modifiedWord>）</modifiedWord>
      <trackRevisions>false</trackRevisions>
    </reviewItem>
    <reviewItem>
      <errorID>b8b8e3df-8e63-46ff-84ab-61642c135574</errorID>
      <errorWord>＜</errorWord>
      <group>L1_Format</group>
      <groupName>格式问题</groupName>
      <ability>L2_HalfPunc</ability>
      <abilityName>全半角检查</abilityName>
      <candidateList>
        <item>&lt;</item>
      </candidateList>
      <explain>文本全半角错误。</explain>
      <paraID>42908D8B</paraID>
      <start>7</start>
      <end>8</end>
      <status>modified</status>
      <modifiedWord>&lt;</modifiedWord>
      <trackRevisions>false</trackRevisions>
    </reviewItem>
    <reviewItem>
      <errorID>32b0ea93-bd32-482c-a741-3648dbc81fb7</errorID>
      <errorWord>＜</errorWord>
      <group>L1_Format</group>
      <groupName>格式问题</groupName>
      <ability>L2_HalfPunc</ability>
      <abilityName>全半角检查</abilityName>
      <candidateList>
        <item>&lt;</item>
      </candidateList>
      <explain>文本全半角错误。</explain>
      <paraID>646AE788</paraID>
      <start>4</start>
      <end>5</end>
      <status>modified</status>
      <modifiedWord>&lt;</modifiedWord>
      <trackRevisions>false</trackRevisions>
    </reviewItem>
    <reviewItem>
      <errorID>3aaee970-c68b-4109-811f-28dd49c7cd39</errorID>
      <errorWord>见</errorWord>
      <group>L1_Word</group>
      <groupName>字词问题</groupName>
      <ability>L2_Typo</ability>
      <abilityName>字词错误</abilityName>
      <candidateList>
        <item>见下</item>
      </candidateList>
      <explain/>
      <paraID>3E8A9C9F</paraID>
      <start>99</start>
      <end>101</end>
      <status>modified</status>
      <modifiedWord>见下</modifiedWord>
      <trackRevisions>false</trackRevisions>
    </reviewItem>
    <reviewItem>
      <errorID>81d29d15-25e5-486d-b76e-699e795da68a</errorID>
      <errorWord>(</errorWord>
      <group>L1_Format</group>
      <groupName>格式问题</groupName>
      <ability>L2_HalfPunc</ability>
      <abilityName>全半角检查</abilityName>
      <candidateList>
        <item>（</item>
      </candidateList>
      <explain>文本全半角错误。</explain>
      <paraID>435E1E05</paraID>
      <start>3</start>
      <end>4</end>
      <status>modified</status>
      <modifiedWord>（</modifiedWord>
      <trackRevisions>false</trackRevisions>
    </reviewItem>
    <reviewItem>
      <errorID>a0d03a71-dfbc-4ddf-87bd-3743ae04f042</errorID>
      <errorWord>)</errorWord>
      <group>L1_Format</group>
      <groupName>格式问题</groupName>
      <ability>L2_HalfPunc</ability>
      <abilityName>全半角检查</abilityName>
      <candidateList>
        <item>）</item>
      </candidateList>
      <explain>文本全半角错误。</explain>
      <paraID>435E1E05</paraID>
      <start>9</start>
      <end>10</end>
      <status>modified</status>
      <modifiedWord>）</modifiedWord>
      <trackRevisions>false</trackRevisions>
    </reviewItem>
    <reviewItem>
      <errorID>48104785-9678-4ff2-9f8e-0883334d39de</errorID>
      <errorWord>(</errorWord>
      <group>L1_Format</group>
      <groupName>格式问题</groupName>
      <ability>L2_HalfPunc</ability>
      <abilityName>全半角检查</abilityName>
      <candidateList>
        <item>（</item>
      </candidateList>
      <explain>文本全半角错误。</explain>
      <paraID>38579AF3</paraID>
      <start>7</start>
      <end>8</end>
      <status>modified</status>
      <modifiedWord>（</modifiedWord>
      <trackRevisions>false</trackRevisions>
    </reviewItem>
    <reviewItem>
      <errorID>b78b6d87-8583-456e-a025-b95b41b89c55</errorID>
      <errorWord>)</errorWord>
      <group>L1_Format</group>
      <groupName>格式问题</groupName>
      <ability>L2_HalfPunc</ability>
      <abilityName>全半角检查</abilityName>
      <candidateList>
        <item>）</item>
      </candidateList>
      <explain>文本全半角错误。</explain>
      <paraID>38579AF3</paraID>
      <start>9</start>
      <end>10</end>
      <status>modified</status>
      <modifiedWord>）</modifiedWord>
      <trackRevisions>false</trackRevisions>
    </reviewItem>
    <reviewItem>
      <errorID>1d9e0e4b-c21f-4da7-8e03-c55873d7e177</errorID>
      <errorWord>(</errorWord>
      <group>L1_Format</group>
      <groupName>格式问题</groupName>
      <ability>L2_HalfPunc</ability>
      <abilityName>全半角检查</abilityName>
      <candidateList>
        <item>（</item>
      </candidateList>
      <explain>文本全半角错误。</explain>
      <paraID> 11D4CD1</paraID>
      <start>4</start>
      <end>5</end>
      <status>modified</status>
      <modifiedWord>（</modifiedWord>
      <trackRevisions>false</trackRevisions>
    </reviewItem>
    <reviewItem>
      <errorID>b6da35ee-a3ee-4cc7-b536-2459ea6f07fa</errorID>
      <errorWord>)</errorWord>
      <group>L1_Format</group>
      <groupName>格式问题</groupName>
      <ability>L2_HalfPunc</ability>
      <abilityName>全半角检查</abilityName>
      <candidateList>
        <item>）</item>
      </candidateList>
      <explain>文本全半角错误。</explain>
      <paraID> 11D4CD1</paraID>
      <start>10</start>
      <end>11</end>
      <status>modified</status>
      <modifiedWord>）</modifiedWord>
      <trackRevisions>false</trackRevisions>
    </reviewItem>
    <reviewItem>
      <errorID>da1eab2f-7dd6-4e01-b402-3ed7db302931</errorID>
      <errorWord>定期定期</errorWord>
      <group>L1_Word</group>
      <groupName>字词问题</groupName>
      <ability>L2_Typo</ability>
      <abilityName>字词错误</abilityName>
      <candidateList>
        <item>定期</item>
      </candidateList>
      <explain/>
      <paraID>1732921E</paraID>
      <start>39</start>
      <end>41</end>
      <status>modified</status>
      <modifiedWord>定期</modifiedWord>
      <trackRevisions>false</trackRevisions>
    </reviewItem>
    <reviewItem>
      <errorID>46614207-a540-4fc7-a13a-5a887a411369</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6ACC3345</paraID>
      <start>71</start>
      <end>76</end>
      <status>modified</status>
      <modifiedWord>相关的其他</modifiedWord>
      <trackRevisions>false</trackRevisions>
    </reviewItem>
    <reviewItem>
      <errorID>e3dfd14d-7a75-49ce-9ef0-e2210c37cc32</errorID>
      <errorWord>)</errorWord>
      <group>L1_Format</group>
      <groupName>格式问题</groupName>
      <ability>L2_HalfPunc</ability>
      <abilityName>全半角检查</abilityName>
      <candidateList>
        <item>）</item>
      </candidateList>
      <explain>文本全半角错误。</explain>
      <paraID>702FED7A</paraID>
      <start>73</start>
      <end>74</end>
      <status>modified</status>
      <modifiedWord>）</modifiedWord>
      <trackRevisions>false</trackRevisions>
    </reviewItem>
    <reviewItem>
      <errorID>dd3fec0d-71d8-42ba-aedb-16725222d153</errorID>
      <errorWord>，</errorWord>
      <group>L1_Word</group>
      <groupName>字词问题</groupName>
      <ability>L2_Typo</ability>
      <abilityName>字词错误</abilityName>
      <candidateList>
        <item>，以</item>
      </candidateList>
      <explain/>
      <paraID>168C0D4C</paraID>
      <start>35</start>
      <end>37</end>
      <status>modified</status>
      <modifiedWord>，以</modifiedWord>
      <trackRevisions>false</trackRevisions>
    </reviewItem>
    <reviewItem>
      <errorID>c0c5c650-5dc3-4c4a-b3c3-53b87693e604</errorID>
      <errorWord>位于位于</errorWord>
      <group>L1_Word</group>
      <groupName>字词问题</groupName>
      <ability>L2_Typo</ability>
      <abilityName>字词错误</abilityName>
      <candidateList>
        <item>位于</item>
      </candidateList>
      <explain/>
      <paraID>31B23F5B</paraID>
      <start>3</start>
      <end>5</end>
      <status>modified</status>
      <modifiedWord>位于</modifiedWord>
      <trackRevisions>false</trackRevisions>
    </reviewItem>
    <reviewItem>
      <errorID>cdd76b1f-d450-42ef-a82a-e883d3c1e68b</errorID>
      <errorWord>大</errorWord>
      <group>L1_Word</group>
      <groupName>字词问题</groupName>
      <ability>L2_Typo</ability>
      <abilityName>字词错误</abilityName>
      <candidateList>
        <item>的</item>
      </candidateList>
      <explain>“的”常用于连接修饰语与名词性中心语，表示属性、所属或描述。</explain>
      <paraID>65C1D7D0</paraID>
      <start>0</start>
      <end>1</end>
      <status>ignored</status>
      <modifiedWord/>
      <trackRevisions>false</trackRevisions>
    </reviewItem>
    <reviewItem>
      <errorID>a81da67c-38ca-402f-8602-fdfcbeb0daad</errorID>
      <errorWord>大</errorWord>
      <group>L1_Word</group>
      <groupName>字词问题</groupName>
      <ability>L2_Typo</ability>
      <abilityName>字词错误</abilityName>
      <candidateList>
        <item>的</item>
      </candidateList>
      <explain>“的”常用于连接修饰语与名词性中心语，表示属性、所属或描述。</explain>
      <paraID>5F305C11</paraID>
      <start>0</start>
      <end>1</end>
      <status>ignored</status>
      <modifiedWord/>
      <trackRevisions>false</trackRevisions>
    </reviewItem>
    <reviewItem>
      <errorID>9b5784ad-571e-40ab-812a-dbb2aeb7c05a</errorID>
      <errorWord>大</errorWord>
      <group>L1_Word</group>
      <groupName>字词问题</groupName>
      <ability>L2_Typo</ability>
      <abilityName>字词错误</abilityName>
      <candidateList>
        <item>的</item>
      </candidateList>
      <explain>“的”常用于连接修饰语与名词性中心语，表示属性、所属或描述。</explain>
      <paraID>5121E69C</paraID>
      <start>0</start>
      <end>1</end>
      <status>ignored</status>
      <modifiedWord/>
      <trackRevisions>false</trackRevisions>
    </reviewItem>
    <reviewItem>
      <errorID>b426e3dd-59f1-47d7-9c10-7487b7235535</errorID>
      <errorWord>-</errorWord>
      <group>L1_Format</group>
      <groupName>格式问题</groupName>
      <ability>L2_HalfPunc</ability>
      <abilityName>全半角检查</abilityName>
      <candidateList>
        <item>－</item>
      </candidateList>
      <explain>文本全半角错误。</explain>
      <paraID> 1B6C6C4</paraID>
      <start>3</start>
      <end>4</end>
      <status>modified</status>
      <modifiedWord>－</modifiedWord>
      <trackRevisions>false</trackRevisions>
    </reviewItem>
    <reviewItem>
      <errorID>10bc2ad6-cba3-491a-a78d-87a6a8d52580</errorID>
      <errorWord>)</errorWord>
      <group>L1_Format</group>
      <groupName>格式问题</groupName>
      <ability>L2_HalfPunc</ability>
      <abilityName>全半角检查</abilityName>
      <candidateList>
        <item>）</item>
      </candidateList>
      <explain>文本全半角错误。</explain>
      <paraID>4F15CC46</paraID>
      <start>30</start>
      <end>31</end>
      <status>modified</status>
      <modifiedWord>）</modifiedWord>
      <trackRevisions>false</trackRevisions>
    </reviewItem>
    <reviewItem>
      <errorID>077d4adb-592b-4515-86e7-79050441f38f</errorID>
      <errorWord>受纳</errorWord>
      <group>L1_Word</group>
      <groupName>字词问题</groupName>
      <ability>L2_Typo</ability>
      <abilityName>字词错误</abilityName>
      <candidateList>
        <item>收纳</item>
      </candidateList>
      <explain/>
      <paraID>2556C223</paraID>
      <start>28</start>
      <end>30</end>
      <status>modified</status>
      <modifiedWord>收纳</modifiedWord>
      <trackRevisions>false</trackRevisions>
    </reviewItem>
    <reviewItem>
      <errorID>0ddf8eda-1e4b-4196-bf61-af7d53cd68ac</errorID>
      <errorWord>.</errorWord>
      <group>L1_Format</group>
      <groupName>格式问题</groupName>
      <ability>L2_HalfPunc</ability>
      <abilityName>全半角检查</abilityName>
      <candidateList>
        <item>。</item>
      </candidateList>
      <explain>文本全半角错误。</explain>
      <paraID>28198F10</paraID>
      <start>11</start>
      <end>12</end>
      <status>modified</status>
      <modifiedWord>。</modifiedWord>
      <trackRevisions>false</trackRevisions>
    </reviewItem>
    <reviewItem>
      <errorID>e3a86b38-fffc-4aad-865c-91c4f592c8ef</errorID>
      <errorWord>.</errorWord>
      <group>L1_Format</group>
      <groupName>格式问题</groupName>
      <ability>L2_HalfPunc</ability>
      <abilityName>全半角检查</abilityName>
      <candidateList>
        <item>。</item>
      </candidateList>
      <explain>文本全半角错误。</explain>
      <paraID>1366A77C</paraID>
      <start>15</start>
      <end>16</end>
      <status>modified</status>
      <modifiedWord>。</modifiedWord>
      <trackRevisions>false</trackRevisions>
    </reviewItem>
    <reviewItem>
      <errorID>0ecde068-2f58-42bd-b340-4262889066d9</errorID>
      <errorWord>.</errorWord>
      <group>L1_Format</group>
      <groupName>格式问题</groupName>
      <ability>L2_HalfPunc</ability>
      <abilityName>全半角检查</abilityName>
      <candidateList>
        <item>。</item>
      </candidateList>
      <explain>文本全半角错误。</explain>
      <paraID>1366A77C</paraID>
      <start>27</start>
      <end>28</end>
      <status>modified</status>
      <modifiedWord>。</modifiedWord>
      <trackRevisions>false</trackRevisions>
    </reviewItem>
    <reviewItem>
      <errorID>92274281-c484-4191-873c-762369f86de9</errorID>
      <errorWord>kw</errorWord>
      <group>L1_Word</group>
      <groupName>字词问题</groupName>
      <ability>L2_Typo</ability>
      <abilityName>字词错误</abilityName>
      <candidateList>
        <item>kW</item>
      </candidateList>
      <explain/>
      <paraID>6719C613</paraID>
      <start>1</start>
      <end>3</end>
      <status>modified</status>
      <modifiedWord>kW</modifiedWord>
      <trackRevisions>false</trackRevisions>
    </reviewItem>
    <reviewItem>
      <errorID>f53f6b98-dabf-43ea-bdf2-231203da58a8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60A2EF5F</paraID>
      <start>0</start>
      <end>2</end>
      <status>modified</status>
      <modifiedWord>1.</modifiedWord>
      <trackRevisions>false</trackRevisions>
    </reviewItem>
    <reviewItem>
      <errorID>db84a5e9-8a39-4d37-881f-bc6cd882fbee</errorID>
      <errorWord>平米</errorWord>
      <group>L1_Word</group>
      <groupName>字词问题</groupName>
      <ability>L2_Typo</ability>
      <abilityName>字词错误</abilityName>
      <candidateList>
        <item>平方米</item>
      </candidateList>
      <explain>〈量〉面积单位，边长1米的正方形的面积是1平方米，符号为m²。</explain>
      <paraID>4C7A9D98</paraID>
      <start>47</start>
      <end>50</end>
      <status>modified</status>
      <modifiedWord>平方米</modifiedWord>
      <trackRevisions>false</trackRevisions>
    </reviewItem>
    <reviewItem>
      <errorID>c0c0ef32-6928-4c6d-a997-5cd25b8a55c2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4D15F09</paraID>
      <start>0</start>
      <end>2</end>
      <status>modified</status>
      <modifiedWord>2.</modifiedWord>
      <trackRevisions>false</trackRevisions>
    </reviewItem>
    <reviewItem>
      <errorID>c3f22d03-0d7f-4d93-8e81-a8b1c10141da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5EB4F53</paraID>
      <start>0</start>
      <end>2</end>
      <status>modified</status>
      <modifiedWord>3.</modifiedWord>
      <trackRevisions>false</trackRevisions>
    </reviewItem>
    <reviewItem>
      <errorID>b687b969-32b2-4399-ab37-9cc9543ef04a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739ED47A</paraID>
      <start>0</start>
      <end>2</end>
      <status>modified</status>
      <modifiedWord>4.</modifiedWord>
      <trackRevisions>false</trackRevisions>
    </reviewItem>
    <reviewItem>
      <errorID>f992d3d9-3dde-4cf3-b8dc-96cf04f2ad65</errorID>
      <errorWord>需</errorWord>
      <group>L1_Word</group>
      <groupName>字词问题</groupName>
      <ability>L2_Typo</ability>
      <abilityName>字词错误</abilityName>
      <candidateList>
        <item>须</item>
      </candidateList>
      <explain>存在发音相同字词的误用。</explain>
      <paraID>72DF4C54</paraID>
      <start>33</start>
      <end>34</end>
      <status>modified</status>
      <modifiedWord>须</modifiedWord>
      <trackRevisions>false</trackRevisions>
    </reviewItem>
    <reviewItem>
      <errorID>f3a86af0-26b9-4561-9769-b138ca5c704d</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72DF4C54</paraID>
      <start>34</start>
      <end>36</end>
      <status>modified</status>
      <modifiedWord>经过</modifiedWord>
      <trackRevisions>false</trackRevisions>
    </reviewItem>
    <reviewItem>
      <errorID>d6f841e0-ea15-46da-9e34-1b3ffcbfc295</errorID>
      <errorWord>以其</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 A9407D3</paraID>
      <start>17</start>
      <end>18</end>
      <status>modified</status>
      <modifiedWord>以</modifiedWord>
      <trackRevisions>false</trackRevisions>
    </reviewItem>
    <reviewItem>
      <errorID>45007df1-d551-4da3-9af4-305768fb0968</errorID>
      <errorWord>~</errorWord>
      <group>L1_Format</group>
      <groupName>格式问题</groupName>
      <ability>L2_HalfPunc</ability>
      <abilityName>全半角检查</abilityName>
      <candidateList>
        <item>～</item>
      </candidateList>
      <explain>文本全半角错误。</explain>
      <paraID> A9407D3</paraID>
      <start>74</start>
      <end>75</end>
      <status>modified</status>
      <modifiedWord>～</modifiedWord>
      <trackRevisions>false</trackRevisions>
    </reviewItem>
    <reviewItem>
      <errorID>b8a52bf3-9ff2-4315-8385-fe1cfe0e4e34</errorID>
      <errorWord>~</errorWord>
      <group>L1_Format</group>
      <groupName>格式问题</groupName>
      <ability>L2_HalfPunc</ability>
      <abilityName>全半角检查</abilityName>
      <candidateList>
        <item>～</item>
      </candidateList>
      <explain>文本全半角错误。</explain>
      <paraID> A9407D3</paraID>
      <start>104</start>
      <end>105</end>
      <status>modified</status>
      <modifiedWord>～</modifiedWord>
      <trackRevisions>false</trackRevisions>
    </reviewItem>
    <reviewItem>
      <errorID>dbcdfeab-6c64-4692-a221-28b574cc23c2</errorID>
      <errorWord>，</errorWord>
      <group>L1_Word</group>
      <groupName>字词问题</groupName>
      <ability>L2_Typo</ability>
      <abilityName>字词错误</abilityName>
      <candidateList>
        <item>，对</item>
      </candidateList>
      <explain/>
      <paraID>6FE488F2</paraID>
      <start>86</start>
      <end>88</end>
      <status>modified</status>
      <modifiedWord>，对</modifiedWord>
      <trackRevisions>false</trackRevisions>
    </reviewItem>
    <reviewItem>
      <errorID>e1862c6d-e4d9-417a-b6cc-46f5c8cc34ef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2491D1B4</paraID>
      <start>0</start>
      <end>2</end>
      <status>modified</status>
      <modifiedWord>1.</modifiedWord>
      <trackRevisions>false</trackRevisions>
    </reviewItem>
    <reviewItem>
      <errorID>a6ca8595-ac29-45d9-8df1-0e4fea4e634a</errorID>
      <errorWord>配置</errorWord>
      <group>L1_Word</group>
      <groupName>字词问题</groupName>
      <ability>L2_Typo</ability>
      <abilityName>字词错误</abilityName>
      <candidateList>
        <item>配制</item>
      </candidateList>
      <explain/>
      <paraID>65EC1A5C</paraID>
      <start>42</start>
      <end>44</end>
      <status>modified</status>
      <modifiedWord>配制</modifiedWord>
      <trackRevisions>false</trackRevisions>
    </reviewItem>
    <reviewItem>
      <errorID>4035afb9-fe3c-44f8-b49e-a37c19c85fa9</errorID>
      <errorWord>配置</errorWord>
      <group>L1_Word</group>
      <groupName>字词问题</groupName>
      <ability>L2_Typo</ability>
      <abilityName>字词错误</abilityName>
      <candidateList>
        <item>配制</item>
      </candidateList>
      <explain/>
      <paraID>28D71F9D</paraID>
      <start>10</start>
      <end>12</end>
      <status>modified</status>
      <modifiedWord>配制</modifiedWord>
      <trackRevisions>false</trackRevisions>
    </reviewItem>
    <reviewItem>
      <errorID>81bc4ff0-4005-49a2-bba2-ef4cf30a715b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6FEB5C13</paraID>
      <start>0</start>
      <end>2</end>
      <status>modified</status>
      <modifiedWord>2.</modifiedWord>
      <trackRevisions>false</trackRevisions>
    </reviewItem>
    <reviewItem>
      <errorID>ed80fcee-f24e-41db-b257-0b495b1b3725</errorID>
      <errorWord>配置</errorWord>
      <group>L1_Word</group>
      <groupName>字词问题</groupName>
      <ability>L2_Typo</ability>
      <abilityName>字词错误</abilityName>
      <candidateList>
        <item>配制</item>
      </candidateList>
      <explain/>
      <paraID>74E608E0</paraID>
      <start>7</start>
      <end>9</end>
      <status>modified</status>
      <modifiedWord>配制</modifiedWord>
      <trackRevisions>false</trackRevisions>
    </reviewItem>
    <reviewItem>
      <errorID>22f8323b-7775-425b-b818-21dd157530ed</errorID>
      <errorWord>~</errorWord>
      <group>L1_Format</group>
      <groupName>格式问题</groupName>
      <ability>L2_HalfPunc</ability>
      <abilityName>全半角检查</abilityName>
      <candidateList>
        <item>～</item>
      </candidateList>
      <explain>文本全半角错误。</explain>
      <paraID>6AC27B2A</paraID>
      <start>181</start>
      <end>182</end>
      <status>modified</status>
      <modifiedWord>～</modifiedWord>
      <trackRevisions>false</trackRevisions>
    </reviewItem>
    <reviewItem>
      <errorID>b36eacc8-cea2-4a4d-bf09-da15b1bfce2b</errorID>
      <errorWord>施工期</errorWord>
      <group>L1_Word</group>
      <groupName>字词问题</groupName>
      <ability>L2_Typo</ability>
      <abilityName>字词错误</abilityName>
      <candidateList>
        <item>施工</item>
      </candidateList>
      <explain>〈动〉按照设计的规格和要求建筑房屋、桥梁、道路、水利工程等。</explain>
      <paraID> D1EB897</paraID>
      <start>2</start>
      <end>4</end>
      <status>modified</status>
      <modifiedWord>施工</modifiedWord>
      <trackRevisions>false</trackRevisions>
    </reviewItem>
    <reviewItem>
      <errorID>16cdc406-71fe-46fc-8f39-877935b7534f</errorID>
      <errorWord>(</errorWord>
      <group>L1_Format</group>
      <groupName>格式问题</groupName>
      <ability>L2_HalfPunc</ability>
      <abilityName>全半角检查</abilityName>
      <candidateList>
        <item>（</item>
      </candidateList>
      <explain>文本全半角错误。</explain>
      <paraID>20385623</paraID>
      <start>4</start>
      <end>5</end>
      <status>modified</status>
      <modifiedWord>（</modifiedWord>
      <trackRevisions>false</trackRevisions>
    </reviewItem>
    <reviewItem>
      <errorID>fd5721be-4dff-4d55-bb9c-6ce336ad235e</errorID>
      <errorWord>)</errorWord>
      <group>L1_Format</group>
      <groupName>格式问题</groupName>
      <ability>L2_HalfPunc</ability>
      <abilityName>全半角检查</abilityName>
      <candidateList>
        <item>）</item>
      </candidateList>
      <explain>文本全半角错误。</explain>
      <paraID>20385623</paraID>
      <start>7</start>
      <end>8</end>
      <status>modified</status>
      <modifiedWord>）</modifiedWord>
      <trackRevisions>false</trackRevisions>
    </reviewItem>
    <reviewItem>
      <errorID>981c24ab-5255-467c-b8ac-fa6f25b03fd7</errorID>
      <errorWord>～</errorWord>
      <group>L1_Format</group>
      <groupName>格式问题</groupName>
      <ability>L2_HalfPunc</ability>
      <abilityName>全半角检查</abilityName>
      <candidateList>
        <item>~</item>
      </candidateList>
      <explain>文本全半角错误。</explain>
      <paraID>1172D8B5</paraID>
      <start>6</start>
      <end>7</end>
      <status>modified</status>
      <modifiedWord>~</modifiedWord>
      <trackRevisions>false</trackRevisions>
    </reviewItem>
    <reviewItem>
      <errorID>78147477-5beb-41a2-ab5f-a1b2b280815d</errorID>
      <errorWord>～</errorWord>
      <group>L1_Format</group>
      <groupName>格式问题</groupName>
      <ability>L2_HalfPunc</ability>
      <abilityName>全半角检查</abilityName>
      <candidateList>
        <item>~</item>
      </candidateList>
      <explain>文本全半角错误。</explain>
      <paraID>5C2C8DA7</paraID>
      <start>5</start>
      <end>6</end>
      <status>modified</status>
      <modifiedWord>~</modifiedWord>
      <trackRevisions>false</trackRevisions>
    </reviewItem>
    <reviewItem>
      <errorID>cde1480c-e5c9-490a-94ab-cb9661b87b03</errorID>
      <errorWord>～</errorWord>
      <group>L1_Format</group>
      <groupName>格式问题</groupName>
      <ability>L2_HalfPunc</ability>
      <abilityName>全半角检查</abilityName>
      <candidateList>
        <item>~</item>
      </candidateList>
      <explain>文本全半角错误。</explain>
      <paraID>20083EC5</paraID>
      <start>6</start>
      <end>7</end>
      <status>modified</status>
      <modifiedWord>~</modifiedWord>
      <trackRevisions>false</trackRevisions>
    </reviewItem>
    <reviewItem>
      <errorID>20673505-00a6-420d-801d-d8bd7edbffb1</errorID>
      <errorWord>～</errorWord>
      <group>L1_Format</group>
      <groupName>格式问题</groupName>
      <ability>L2_HalfPunc</ability>
      <abilityName>全半角检查</abilityName>
      <candidateList>
        <item>~</item>
      </candidateList>
      <explain>文本全半角错误。</explain>
      <paraID>2CD1473D</paraID>
      <start>5</start>
      <end>6</end>
      <status>modified</status>
      <modifiedWord>~</modifiedWord>
      <trackRevisions>false</trackRevisions>
    </reviewItem>
    <reviewItem>
      <errorID>7430e2d9-9245-4567-8bed-47fbfe33950c</errorID>
      <errorWord>～</errorWord>
      <group>L1_Format</group>
      <groupName>格式问题</groupName>
      <ability>L2_HalfPunc</ability>
      <abilityName>全半角检查</abilityName>
      <candidateList>
        <item>~</item>
      </candidateList>
      <explain>文本全半角错误。</explain>
      <paraID>5563472A</paraID>
      <start>6</start>
      <end>7</end>
      <status>modified</status>
      <modifiedWord>~</modifiedWord>
      <trackRevisions>false</trackRevisions>
    </reviewItem>
    <reviewItem>
      <errorID>88db2f66-0234-4c22-88a4-c9aa98e7f98d</errorID>
      <errorWord>～</errorWord>
      <group>L1_Format</group>
      <groupName>格式问题</groupName>
      <ability>L2_HalfPunc</ability>
      <abilityName>全半角检查</abilityName>
      <candidateList>
        <item>~</item>
      </candidateList>
      <explain>文本全半角错误。</explain>
      <paraID>3AAC8223</paraID>
      <start>4</start>
      <end>5</end>
      <status>modified</status>
      <modifiedWord>~</modifiedWord>
      <trackRevisions>false</trackRevisions>
    </reviewItem>
    <reviewItem>
      <errorID>24b69f4e-1c05-4756-836f-f5fc821f358b</errorID>
      <errorWord>(</errorWord>
      <group>L1_Format</group>
      <groupName>格式问题</groupName>
      <ability>L2_HalfPunc</ability>
      <abilityName>全半角检查</abilityName>
      <candidateList>
        <item>（</item>
      </candidateList>
      <explain>文本全半角错误。</explain>
      <paraID>78242DAE</paraID>
      <start>5</start>
      <end>6</end>
      <status>modified</status>
      <modifiedWord>（</modifiedWord>
      <trackRevisions>false</trackRevisions>
    </reviewItem>
    <reviewItem>
      <errorID>b8cde789-e470-40b8-92fa-14a358f1482b</errorID>
      <errorWord>)</errorWord>
      <group>L1_Format</group>
      <groupName>格式问题</groupName>
      <ability>L2_HalfPunc</ability>
      <abilityName>全半角检查</abilityName>
      <candidateList>
        <item>）</item>
      </candidateList>
      <explain>文本全半角错误。</explain>
      <paraID>78242DAE</paraID>
      <start>10</start>
      <end>11</end>
      <status>modified</status>
      <modifiedWord>）</modifiedWord>
      <trackRevisions>false</trackRevisions>
    </reviewItem>
    <reviewItem>
      <errorID>ba6b5285-8765-499e-88ca-600698edcc63</errorID>
      <errorWord>(</errorWord>
      <group>L1_Format</group>
      <groupName>格式问题</groupName>
      <ability>L2_HalfPunc</ability>
      <abilityName>全半角检查</abilityName>
      <candidateList>
        <item>（</item>
      </candidateList>
      <explain>文本全半角错误。</explain>
      <paraID>428D40E0</paraID>
      <start>4</start>
      <end>5</end>
      <status>modified</status>
      <modifiedWord>（</modifiedWord>
      <trackRevisions>false</trackRevisions>
    </reviewItem>
    <reviewItem>
      <errorID>52cca025-12c5-44c2-ad44-4ea3ec715ef6</errorID>
      <errorWord>)</errorWord>
      <group>L1_Format</group>
      <groupName>格式问题</groupName>
      <ability>L2_HalfPunc</ability>
      <abilityName>全半角检查</abilityName>
      <candidateList>
        <item>）</item>
      </candidateList>
      <explain>文本全半角错误。</explain>
      <paraID>428D40E0</paraID>
      <start>7</start>
      <end>8</end>
      <status>modified</status>
      <modifiedWord>）</modifiedWord>
      <trackRevisions>false</trackRevisions>
    </reviewItem>
    <reviewItem>
      <errorID>de33d8c5-2768-48a3-8433-dbe5c25554d4</errorID>
      <errorWord>(</errorWord>
      <group>L1_Format</group>
      <groupName>格式问题</groupName>
      <ability>L2_HalfPunc</ability>
      <abilityName>全半角检查</abilityName>
      <candidateList>
        <item>（</item>
      </candidateList>
      <explain>文本全半角错误。</explain>
      <paraID>2C503B2F</paraID>
      <start>5</start>
      <end>6</end>
      <status>modified</status>
      <modifiedWord>（</modifiedWord>
      <trackRevisions>false</trackRevisions>
    </reviewItem>
    <reviewItem>
      <errorID>4b6e63ab-332b-46ab-b7cd-2f78b1e4237b</errorID>
      <errorWord>)</errorWord>
      <group>L1_Format</group>
      <groupName>格式问题</groupName>
      <ability>L2_HalfPunc</ability>
      <abilityName>全半角检查</abilityName>
      <candidateList>
        <item>）</item>
      </candidateList>
      <explain>文本全半角错误。</explain>
      <paraID>2C503B2F</paraID>
      <start>10</start>
      <end>11</end>
      <status>modified</status>
      <modifiedWord>）</modifiedWord>
      <trackRevisions>false</trackRevisions>
    </reviewItem>
    <reviewItem>
      <errorID>a6199416-389c-4f10-9089-5a8f4a40e2e6</errorID>
      <errorWord>(</errorWord>
      <group>L1_Format</group>
      <groupName>格式问题</groupName>
      <ability>L2_HalfPunc</ability>
      <abilityName>全半角检查</abilityName>
      <candidateList>
        <item>（</item>
      </candidateList>
      <explain>文本全半角错误。</explain>
      <paraID>1642BCBB</paraID>
      <start>4</start>
      <end>5</end>
      <status>modified</status>
      <modifiedWord>（</modifiedWord>
      <trackRevisions>false</trackRevisions>
    </reviewItem>
    <reviewItem>
      <errorID>8a2f00b1-0f7b-42c1-a120-fbd7d7f41db1</errorID>
      <errorWord>)</errorWord>
      <group>L1_Format</group>
      <groupName>格式问题</groupName>
      <ability>L2_HalfPunc</ability>
      <abilityName>全半角检查</abilityName>
      <candidateList>
        <item>）</item>
      </candidateList>
      <explain>文本全半角错误。</explain>
      <paraID>1642BCBB</paraID>
      <start>7</start>
      <end>8</end>
      <status>modified</status>
      <modifiedWord>）</modifiedWord>
      <trackRevisions>false</trackRevisions>
    </reviewItem>
    <reviewItem>
      <errorID>86986d86-fdc9-474c-b60d-7c93774656e4</errorID>
      <errorWord>~</errorWord>
      <group>L1_Format</group>
      <groupName>格式问题</groupName>
      <ability>L2_HalfPunc</ability>
      <abilityName>全半角检查</abilityName>
      <candidateList>
        <item>～</item>
      </candidateList>
      <explain>文本全半角错误。</explain>
      <paraID>2639FAF6</paraID>
      <start>52</start>
      <end>53</end>
      <status>modified</status>
      <modifiedWord>～</modifiedWord>
      <trackRevisions>false</trackRevisions>
    </reviewItem>
    <reviewItem>
      <errorID>ede5e42b-b9e2-48b2-bc95-1f9d43453fbb</errorID>
      <errorWord>~</errorWord>
      <group>L1_Format</group>
      <groupName>格式问题</groupName>
      <ability>L2_HalfPunc</ability>
      <abilityName>全半角检查</abilityName>
      <candidateList>
        <item>～</item>
      </candidateList>
      <explain>文本全半角错误。</explain>
      <paraID> 7387A91</paraID>
      <start>20</start>
      <end>21</end>
      <status>modified</status>
      <modifiedWord>～</modifiedWord>
      <trackRevisions>false</trackRevisions>
    </reviewItem>
    <reviewItem>
      <errorID>69105992-f320-40cc-a881-1a0f30950592</errorID>
      <errorWord>~</errorWord>
      <group>L1_Format</group>
      <groupName>格式问题</groupName>
      <ability>L2_HalfPunc</ability>
      <abilityName>全半角检查</abilityName>
      <candidateList>
        <item>～</item>
      </candidateList>
      <explain>文本全半角错误。</explain>
      <paraID> 7387A91</paraID>
      <start>62</start>
      <end>63</end>
      <status>modified</status>
      <modifiedWord>～</modifiedWord>
      <trackRevisions>false</trackRevisions>
    </reviewItem>
    <reviewItem>
      <errorID>7d1216fa-5bbf-4602-aac0-23f734a7f56b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48CF7D6D</paraID>
      <start>0</start>
      <end>2</end>
      <status>modified</status>
      <modifiedWord>1.</modifiedWord>
      <trackRevisions>false</trackRevisions>
    </reviewItem>
    <reviewItem>
      <errorID>f1770d30-c299-458f-a829-6aea9900290f</errorID>
      <errorWord>：</errorWord>
      <group>L1_Format</group>
      <groupName>格式问题</groupName>
      <ability>L2_HalfPunc</ability>
      <abilityName>全半角检查</abilityName>
      <candidateList>
        <item>:</item>
      </candidateList>
      <explain>文本全半角错误。</explain>
      <paraID>7D227EEF</paraID>
      <start>283</start>
      <end>284</end>
      <status>modified</status>
      <modifiedWord>:</modifiedWord>
      <trackRevisions>false</trackRevisions>
    </reviewItem>
    <reviewItem>
      <errorID>ed6a0cbb-34ae-4cee-9511-e774f2838969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63D00A4C</paraID>
      <start>4</start>
      <end>5</end>
      <status>modified</status>
      <modifiedWord>地</modifiedWord>
      <trackRevisions>false</trackRevisions>
    </reviewItem>
    <reviewItem>
      <errorID>9f8c5525-49af-47cc-9fea-2954c373ae06</errorID>
      <errorWord>：</errorWord>
      <group>L1_Format</group>
      <groupName>格式问题</groupName>
      <ability>L2_HalfPunc</ability>
      <abilityName>全半角检查</abilityName>
      <candidateList>
        <item>:</item>
      </candidateList>
      <explain>文本全半角错误。</explain>
      <paraID>3E0B4F34</paraID>
      <start>57</start>
      <end>58</end>
      <status>modified</status>
      <modifiedWord>:</modifiedWord>
      <trackRevisions>false</trackRevisions>
    </reviewItem>
    <reviewItem>
      <errorID>8fccfd16-cc3a-41b2-8456-f97512d9bd52</errorID>
      <errorWord>：</errorWord>
      <group>L1_Format</group>
      <groupName>格式问题</groupName>
      <ability>L2_HalfPunc</ability>
      <abilityName>全半角检查</abilityName>
      <candidateList>
        <item>:</item>
      </candidateList>
      <explain>文本全半角错误。</explain>
      <paraID>3E0B4F34</paraID>
      <start>90</start>
      <end>91</end>
      <status>modified</status>
      <modifiedWord>:</modifiedWord>
      <trackRevisions>false</trackRevisions>
    </reviewItem>
    <reviewItem>
      <errorID>5ce941a0-de29-4edd-9fd9-1ead2438c2e2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26F0A6F5</paraID>
      <start>0</start>
      <end>2</end>
      <status>modified</status>
      <modifiedWord>2.</modifiedWord>
      <trackRevisions>false</trackRevisions>
    </reviewItem>
    <reviewItem>
      <errorID>78070935-849c-4025-98b0-bd71495ba286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7630F536</paraID>
      <start>0</start>
      <end>2</end>
      <status>modified</status>
      <modifiedWord>3.</modifiedWord>
      <trackRevisions>false</trackRevisions>
    </reviewItem>
    <reviewItem>
      <errorID>45fedc08-cf7b-45ea-810a-cb4dddaa415f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E1ED0B4</paraID>
      <start>0</start>
      <end>2</end>
      <status>modified</status>
      <modifiedWord>4.</modifiedWord>
      <trackRevisions>false</trackRevisions>
    </reviewItem>
    <reviewItem>
      <errorID>ce38aee6-5b11-4e71-82ff-8db97a0e2b96</errorID>
      <errorWord>(</errorWord>
      <group>L1_Format</group>
      <groupName>格式问题</groupName>
      <ability>L2_HalfPunc</ability>
      <abilityName>全半角检查</abilityName>
      <candidateList>
        <item>（</item>
      </candidateList>
      <explain>文本全半角错误。</explain>
      <paraID>1D6C01B5</paraID>
      <start>45</start>
      <end>46</end>
      <status>modified</status>
      <modifiedWord>（</modifiedWord>
      <trackRevisions>false</trackRevisions>
    </reviewItem>
    <reviewItem>
      <errorID>172abc95-6db9-4eca-8cb7-65143c870c10</errorID>
      <errorWord>)</errorWord>
      <group>L1_Format</group>
      <groupName>格式问题</groupName>
      <ability>L2_HalfPunc</ability>
      <abilityName>全半角检查</abilityName>
      <candidateList>
        <item>）</item>
      </candidateList>
      <explain>文本全半角错误。</explain>
      <paraID>1D6C01B5</paraID>
      <start>60</start>
      <end>61</end>
      <status>modified</status>
      <modifiedWord>）</modifiedWord>
      <trackRevisions>false</trackRevisions>
    </reviewItem>
    <reviewItem>
      <errorID>67bd219f-eb46-4b51-ac8d-75043be965d1</errorID>
      <errorWord>(</errorWord>
      <group>L1_Format</group>
      <groupName>格式问题</groupName>
      <ability>L2_HalfPunc</ability>
      <abilityName>全半角检查</abilityName>
      <candidateList>
        <item>（</item>
      </candidateList>
      <explain>文本全半角错误。</explain>
      <paraID>1D6C01B5</paraID>
      <start>207</start>
      <end>208</end>
      <status>modified</status>
      <modifiedWord>（</modifiedWord>
      <trackRevisions>false</trackRevisions>
    </reviewItem>
    <reviewItem>
      <errorID>94737e9c-2469-4805-94fe-8387e12f56ad</errorID>
      <errorWord>)</errorWord>
      <group>L1_Format</group>
      <groupName>格式问题</groupName>
      <ability>L2_HalfPunc</ability>
      <abilityName>全半角检查</abilityName>
      <candidateList>
        <item>）</item>
      </candidateList>
      <explain>文本全半角错误。</explain>
      <paraID>1D6C01B5</paraID>
      <start>222</start>
      <end>223</end>
      <status>modified</status>
      <modifiedWord>）</modifiedWord>
      <trackRevisions>false</trackRevisions>
    </reviewItem>
    <reviewItem>
      <errorID>e45f2976-032a-4488-96a3-c4c1760a4b9e</errorID>
      <errorWord>计</errorWord>
      <group>L1_Word</group>
      <groupName>字词问题</groupName>
      <ability>L2_Typo</ability>
      <abilityName>字词错误</abilityName>
      <candidateList>
        <item>计算</item>
      </candidateList>
      <explain/>
      <paraID> E4CB72A</paraID>
      <start>47</start>
      <end>49</end>
      <status>modified</status>
      <modifiedWord>计算</modifiedWord>
      <trackRevisions>false</trackRevisions>
    </reviewItem>
    <reviewItem>
      <errorID>aa85db46-327e-4417-a1f5-c4a01edc235c</errorID>
      <errorWord>销</errorWord>
      <group>L1_Word</group>
      <groupName>字词问题</groupName>
      <ability>L2_Typo</ability>
      <abilityName>字词错误</abilityName>
      <candidateList>
        <item>硝</item>
      </candidateList>
      <explain/>
      <paraID> E4CB72A</paraID>
      <start>106</start>
      <end>107</end>
      <status>modified</status>
      <modifiedWord>硝</modifiedWord>
      <trackRevisions>false</trackRevisions>
    </reviewItem>
    <reviewItem>
      <errorID>a463c5c6-d1c1-4c4a-96af-6eb69af7cbca</errorID>
      <errorWord>硫份</errorWord>
      <group>L1_Word</group>
      <groupName>字词问题</groupName>
      <ability>L2_Typo</ability>
      <abilityName>字词错误</abilityName>
      <candidateList>
        <item>硫分</item>
      </candidateList>
      <explain/>
      <paraID>1AB1DBCA</paraID>
      <start>132</start>
      <end>134</end>
      <status>modified</status>
      <modifiedWord>硫分</modifiedWord>
      <trackRevisions>false</trackRevisions>
    </reviewItem>
    <reviewItem>
      <errorID>637d011d-ab66-42b9-bab9-531872feaba9</errorID>
      <errorWord>：</errorWord>
      <group>L1_Format</group>
      <groupName>格式问题</groupName>
      <ability>L2_HalfPunc</ability>
      <abilityName>全半角检查</abilityName>
      <candidateList>
        <item>:</item>
      </candidateList>
      <explain>文本全半角错误。</explain>
      <paraID>61C9FEDF</paraID>
      <start>73</start>
      <end>74</end>
      <status>modified</status>
      <modifiedWord>:</modifiedWord>
      <trackRevisions>false</trackRevisions>
    </reviewItem>
    <reviewItem>
      <errorID>9206a11f-e20e-4895-9347-3c885f8b6de4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4BB72768</paraID>
      <start>0</start>
      <end>2</end>
      <status>modified</status>
      <modifiedWord>5.</modifiedWord>
      <trackRevisions>false</trackRevisions>
    </reviewItem>
    <reviewItem>
      <errorID>294b1369-8b48-499e-9f4f-0b3fa1cdb1ee</errorID>
      <errorWord>场</errorWord>
      <group>L1_Word</group>
      <groupName>字词问题</groupName>
      <ability>L2_Typo</ability>
      <abilityName>字词错误</abilityName>
      <candidateList>
        <item>厂</item>
      </candidateList>
      <explain/>
      <paraID>3AAD85CD</paraID>
      <start>12</start>
      <end>13</end>
      <status>ignored</status>
      <modifiedWord/>
      <trackRevisions>false</trackRevisions>
    </reviewItem>
    <reviewItem>
      <errorID>3df3e5aa-669c-4723-9055-7b19f06ec304</errorID>
      <errorWord>＜</errorWord>
      <group>L1_Format</group>
      <groupName>格式问题</groupName>
      <ability>L2_HalfPunc</ability>
      <abilityName>全半角检查</abilityName>
      <candidateList>
        <item>&lt;</item>
      </candidateList>
      <explain>文本全半角错误。</explain>
      <paraID> 80966C5</paraID>
      <start>0</start>
      <end>1</end>
      <status>modified</status>
      <modifiedWord>&lt;</modifiedWord>
      <trackRevisions>false</trackRevisions>
    </reviewItem>
    <reviewItem>
      <errorID>51cfc1f4-1ac5-42da-b9c2-ab91f5169f2f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414AD5FE</paraID>
      <start>0</start>
      <end>2</end>
      <status>modified</status>
      <modifiedWord>1.</modifiedWord>
      <trackRevisions>false</trackRevisions>
    </reviewItem>
    <reviewItem>
      <errorID>ae186c43-92b4-482c-afcf-8336c846e2bd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3153FABF</paraID>
      <start>0</start>
      <end>2</end>
      <status>modified</status>
      <modifiedWord>2.</modifiedWord>
      <trackRevisions>false</trackRevisions>
    </reviewItem>
    <reviewItem>
      <errorID>61bde5d7-eac1-4237-92cc-629e854d191a</errorID>
      <errorWord>(</errorWord>
      <group>L1_Format</group>
      <groupName>格式问题</groupName>
      <ability>L2_HalfPunc</ability>
      <abilityName>全半角检查</abilityName>
      <candidateList>
        <item>（</item>
      </candidateList>
      <explain>文本全半角错误。</explain>
      <paraID>161C6E04</paraID>
      <start>33</start>
      <end>34</end>
      <status>modified</status>
      <modifiedWord>（</modifiedWord>
      <trackRevisions>false</trackRevisions>
    </reviewItem>
    <reviewItem>
      <errorID>a2e62668-154c-42a3-b533-72b248d5d74b</errorID>
      <errorWord>)</errorWord>
      <group>L1_Format</group>
      <groupName>格式问题</groupName>
      <ability>L2_HalfPunc</ability>
      <abilityName>全半角检查</abilityName>
      <candidateList>
        <item>）</item>
      </candidateList>
      <explain>文本全半角错误。</explain>
      <paraID>161C6E04</paraID>
      <start>39</start>
      <end>40</end>
      <status>modified</status>
      <modifiedWord>）</modifiedWord>
      <trackRevisions>false</trackRevisions>
    </reviewItem>
    <reviewItem>
      <errorID>0ec9e9b7-4403-4428-9017-52e931c13bd0</errorID>
      <errorWord>(</errorWord>
      <group>L1_Format</group>
      <groupName>格式问题</groupName>
      <ability>L2_HalfPunc</ability>
      <abilityName>全半角检查</abilityName>
      <candidateList>
        <item>（</item>
      </candidateList>
      <explain>文本全半角错误。</explain>
      <paraID>37EEE1C3</paraID>
      <start>26</start>
      <end>27</end>
      <status>modified</status>
      <modifiedWord>（</modifiedWord>
      <trackRevisions>false</trackRevisions>
    </reviewItem>
    <reviewItem>
      <errorID>e46550e7-54ae-416a-9abb-6869cf07a8df</errorID>
      <errorWord>)</errorWord>
      <group>L1_Format</group>
      <groupName>格式问题</groupName>
      <ability>L2_HalfPunc</ability>
      <abilityName>全半角检查</abilityName>
      <candidateList>
        <item>）</item>
      </candidateList>
      <explain>文本全半角错误。</explain>
      <paraID>37EEE1C3</paraID>
      <start>32</start>
      <end>33</end>
      <status>modified</status>
      <modifiedWord>）</modifiedWord>
      <trackRevisions>false</trackRevisions>
    </reviewItem>
    <reviewItem>
      <errorID>9b7af96b-6810-4227-8c14-07fde351fc4c</errorID>
      <errorWord>其它货物</errorWord>
      <group>L1_Word</group>
      <groupName>字词问题</groupName>
      <ability>L2_Alias</ability>
      <abilityName>也作/曾用词</abilityName>
      <candidateList>
        <item>其他货物</item>
      </candidateList>
      <explain>词汇[其它货物]为不规范表述或旧称，其规范书面表述为[其他货物]。</explain>
      <paraID>2D8E05E4</paraID>
      <start>15</start>
      <end>19</end>
      <status>ignored</status>
      <modifiedWord/>
      <trackRevisions>false</trackRevisions>
    </reviewItem>
    <reviewItem>
      <errorID>2e64199b-4fc9-4c31-8c76-102d6080e332</errorID>
      <errorWord>称谓</errorWord>
      <group>L1_Word</group>
      <groupName>字词问题</groupName>
      <ability>L2_Typo</ability>
      <abilityName>字词错误</abilityName>
      <candidateList>
        <item>称为</item>
      </candidateList>
      <explain/>
      <paraID>65FC8D56</paraID>
      <start>121</start>
      <end>123</end>
      <status>modified</status>
      <modifiedWord>称为</modifiedWord>
      <trackRevisions>false</trackRevisions>
    </reviewItem>
    <reviewItem>
      <errorID>20e73cf5-05df-488c-a988-5d6084459f5b</errorID>
      <errorWord>：</errorWord>
      <group>L1_Format</group>
      <groupName>格式问题</groupName>
      <ability>L2_HalfPunc</ability>
      <abilityName>全半角检查</abilityName>
      <candidateList>
        <item>:</item>
      </candidateList>
      <explain>文本全半角错误。</explain>
      <paraID> 6162838</paraID>
      <start>3</start>
      <end>4</end>
      <status>modified</status>
      <modifiedWord>:</modifiedWord>
      <trackRevisions>false</trackRevisions>
    </reviewItem>
    <reviewItem>
      <errorID>accb2733-9f53-434f-8a16-2f2aaf18f821</errorID>
      <errorWord>：</errorWord>
      <group>L1_Format</group>
      <groupName>格式问题</groupName>
      <ability>L2_HalfPunc</ability>
      <abilityName>全半角检查</abilityName>
      <candidateList>
        <item>:</item>
      </candidateList>
      <explain>文本全半角错误。</explain>
      <paraID>59CE56D9</paraID>
      <start>3</start>
      <end>4</end>
      <status>modified</status>
      <modifiedWord>:</modifiedWord>
      <trackRevisions>false</trackRevisions>
    </reviewItem>
    <reviewItem>
      <errorID>6576f42c-5734-4756-8850-5d787f6aafb5</errorID>
      <errorWord>：</errorWord>
      <group>L1_Format</group>
      <groupName>格式问题</groupName>
      <ability>L2_HalfPunc</ability>
      <abilityName>全半角检查</abilityName>
      <candidateList>
        <item>:</item>
      </candidateList>
      <explain>文本全半角错误。</explain>
      <paraID> 407A3E8</paraID>
      <start>3</start>
      <end>4</end>
      <status>modified</status>
      <modifiedWord>:</modifiedWord>
      <trackRevisions>false</trackRevisions>
    </reviewItem>
    <reviewItem>
      <errorID>6448042c-b718-4cc2-9fd1-bb5f1295b3b3</errorID>
      <errorWord>：</errorWord>
      <group>L1_Format</group>
      <groupName>格式问题</groupName>
      <ability>L2_HalfPunc</ability>
      <abilityName>全半角检查</abilityName>
      <candidateList>
        <item>:</item>
      </candidateList>
      <explain>文本全半角错误。</explain>
      <paraID>2F5415A2</paraID>
      <start>3</start>
      <end>4</end>
      <status>modified</status>
      <modifiedWord>:</modifiedWord>
      <trackRevisions>false</trackRevisions>
    </reviewItem>
    <reviewItem>
      <errorID>0e4ee27d-faf4-4926-a15f-cc2f1879ef9b</errorID>
      <errorWord>:</errorWord>
      <group>L1_Format</group>
      <groupName>格式问题</groupName>
      <ability>L2_HalfPunc</ability>
      <abilityName>全半角检查</abilityName>
      <candidateList>
        <item>：</item>
      </candidateList>
      <explain>文本全半角错误。</explain>
      <paraID>4293918B</paraID>
      <start>3</start>
      <end>4</end>
      <status>modified</status>
      <modifiedWord>：</modifiedWord>
      <trackRevisions>false</trackRevisions>
    </reviewItem>
    <reviewItem>
      <errorID>d3be1dd9-d8c0-479d-ba93-d8b3077dc51d</errorID>
      <errorWord>:</errorWord>
      <group>L1_Format</group>
      <groupName>格式问题</groupName>
      <ability>L2_HalfPunc</ability>
      <abilityName>全半角检查</abilityName>
      <candidateList>
        <item>：</item>
      </candidateList>
      <explain>文本全半角错误。</explain>
      <paraID>55133C65</paraID>
      <start>3</start>
      <end>4</end>
      <status>modified</status>
      <modifiedWord>：</modifiedWord>
      <trackRevisions>false</trackRevisions>
    </reviewItem>
    <reviewItem>
      <errorID>599b8a80-8716-47bd-b0e7-f649aef1d481</errorID>
      <errorWord>：</errorWord>
      <group>L1_Format</group>
      <groupName>格式问题</groupName>
      <ability>L2_HalfPunc</ability>
      <abilityName>全半角检查</abilityName>
      <candidateList>
        <item>:</item>
      </candidateList>
      <explain>文本全半角错误。</explain>
      <paraID> DBC751B</paraID>
      <start>3</start>
      <end>4</end>
      <status>modified</status>
      <modifiedWord>:</modifiedWord>
      <trackRevisions>false</trackRevisions>
    </reviewItem>
    <reviewItem>
      <errorID>2be8bfc7-320a-407f-9c64-f416aeb98632</errorID>
      <errorWord>：</errorWord>
      <group>L1_Format</group>
      <groupName>格式问题</groupName>
      <ability>L2_HalfPunc</ability>
      <abilityName>全半角检查</abilityName>
      <candidateList>
        <item>:</item>
      </candidateList>
      <explain>文本全半角错误。</explain>
      <paraID>3F0A9B2A</paraID>
      <start>3</start>
      <end>4</end>
      <status>modified</status>
      <modifiedWord>:</modifiedWord>
      <trackRevisions>false</trackRevisions>
    </reviewItem>
    <reviewItem>
      <errorID>7537acf1-f500-4003-808c-fda1e93ea047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37184086</paraID>
      <start>0</start>
      <end>2</end>
      <status>modified</status>
      <modifiedWord>1.</modifiedWord>
      <trackRevisions>false</trackRevisions>
    </reviewItem>
    <reviewItem>
      <errorID>f85c8efe-075c-40c8-aa60-7f50ebce764b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71612C55</paraID>
      <start>0</start>
      <end>2</end>
      <status>modified</status>
      <modifiedWord>2.</modifiedWord>
      <trackRevisions>false</trackRevisions>
    </reviewItem>
    <reviewItem>
      <errorID>4884c918-8d43-4c4f-a37f-d9888d5e8530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7B491433</paraID>
      <start>0</start>
      <end>2</end>
      <status>modified</status>
      <modifiedWord>3.</modifiedWord>
      <trackRevisions>false</trackRevisions>
    </reviewItem>
    <reviewItem>
      <errorID>9447c467-210c-4d2f-95f6-428767800973</errorID>
      <errorWord>程</errorWord>
      <group>L1_Word</group>
      <groupName>字词问题</groupName>
      <ability>L2_Typo</ability>
      <abilityName>字词错误</abilityName>
      <candidateList>
        <item>程中</item>
      </candidateList>
      <explain/>
      <paraID>70F3708A</paraID>
      <start>88</start>
      <end>90</end>
      <status>modified</status>
      <modifiedWord>程中</modifiedWord>
      <trackRevisions>false</trackRevisions>
    </reviewItem>
    <reviewItem>
      <errorID>b2e9a4de-005e-4a66-81cc-f024629ac1a6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60D52BE4</paraID>
      <start>0</start>
      <end>2</end>
      <status>modified</status>
      <modifiedWord>4.</modifiedWord>
      <trackRevisions>false</trackRevisions>
    </reviewItem>
    <reviewItem>
      <errorID>c3e32f67-68d6-40c6-93d2-ab6bd41f02e3</errorID>
      <errorWord>度</errorWord>
      <group>L1_Word</group>
      <groupName>字词问题</groupName>
      <ability>L2_Typo</ability>
      <abilityName>字词错误</abilityName>
      <candidateList>
        <item>度地</item>
      </candidateList>
      <explain/>
      <paraID>56BC469C</paraID>
      <start>29</start>
      <end>31</end>
      <status>modified</status>
      <modifiedWord>度地</modifiedWord>
      <trackRevisions>false</trackRevisions>
    </reviewItem>
    <reviewItem>
      <errorID>29f3e788-339b-4960-85eb-b97a3580822f</errorID>
      <errorWord>饮用中</errorWord>
      <group>L1_Word</group>
      <groupName>字词问题</groupName>
      <ability>L2_Typo</ability>
      <abilityName>字词错误</abilityName>
      <candidateList>
        <item>饮用</item>
      </candidateList>
      <explain/>
      <paraID>1A5C5E55</paraID>
      <start>26</start>
      <end>28</end>
      <status>modified</status>
      <modifiedWord>饮用</modifiedWord>
      <trackRevisions>false</trackRevisions>
    </reviewItem>
    <reviewItem>
      <errorID>60d42284-fb99-45ad-86c7-f8ab2b5e26f5</errorID>
      <errorWord>其它</errorWord>
      <group>L1_Word</group>
      <groupName>字词问题</groupName>
      <ability>L2_Alias</ability>
      <abilityName>也作/曾用词</abilityName>
      <candidateList>
        <item>其他</item>
      </candidateList>
      <explain>词汇[其它]为不规范表述或旧称，其规范书面表述为[其他]。</explain>
      <paraID>1A5C5E55</paraID>
      <start>38</start>
      <end>40</end>
      <status>modified</status>
      <modifiedWord>其他</modifiedWord>
      <trackRevisions>false</trackRevisions>
    </reviewItem>
    <reviewItem>
      <errorID>61c6cf04-ceb7-4053-9355-2b8645b0c018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62FE4C3E</paraID>
      <start>0</start>
      <end>2</end>
      <status>modified</status>
      <modifiedWord>5.</modifiedWord>
      <trackRevisions>false</trackRevisions>
    </reviewItem>
    <reviewItem>
      <errorID>eaecbfbf-e4c5-4e1e-9303-2db7d3bff72a</errorID>
      <errorWord>个职</errorWord>
      <group>L1_Word</group>
      <groupName>字词问题</groupName>
      <ability>L2_Typo</ability>
      <abilityName>字词错误</abilityName>
      <candidateList>
        <item>名职</item>
      </candidateList>
      <explain/>
      <paraID>64188B7C</paraID>
      <start>54</start>
      <end>56</end>
      <status>ignored</status>
      <modifiedWord/>
      <trackRevisions>false</trackRevisions>
    </reviewItem>
    <reviewItem>
      <errorID>1e26fd1f-fd5a-459f-aeb7-7f4a9ad94fa3</errorID>
      <errorWord>-</errorWord>
      <group>L1_Format</group>
      <groupName>格式问题</groupName>
      <ability>L2_HalfPunc</ability>
      <abilityName>全半角检查</abilityName>
      <candidateList>
        <item>－</item>
      </candidateList>
      <explain>文本全半角错误。</explain>
      <paraID>2E1E324F</paraID>
      <start>13</start>
      <end>14</end>
      <status>modified</status>
      <modifiedWord>－</modifiedWord>
      <trackRevisions>false</trackRevisions>
    </reviewItem>
    <reviewItem>
      <errorID>59f5b607-8a25-4911-9c53-611069bcdcbe</errorID>
      <errorWord>-</errorWord>
      <group>L1_Format</group>
      <groupName>格式问题</groupName>
      <ability>L2_HalfPunc</ability>
      <abilityName>全半角检查</abilityName>
      <candidateList>
        <item>－</item>
      </candidateList>
      <explain>文本全半角错误。</explain>
      <paraID>2E1E324F</paraID>
      <start>34</start>
      <end>35</end>
      <status>modified</status>
      <modifiedWord>－</modifiedWord>
      <trackRevisions>false</trackRevisions>
    </reviewItem>
    <reviewItem>
      <errorID>79fa36c5-9b58-48f9-be80-add678f3cdbb</errorID>
      <errorWord>~</errorWord>
      <group>L1_Format</group>
      <groupName>格式问题</groupName>
      <ability>L2_HalfPunc</ability>
      <abilityName>全半角检查</abilityName>
      <candidateList>
        <item>～</item>
      </candidateList>
      <explain>文本全半角错误。</explain>
      <paraID>70DF9327</paraID>
      <start>37</start>
      <end>38</end>
      <status>modified</status>
      <modifiedWord>～</modifiedWord>
      <trackRevisions>false</trackRevisions>
    </reviewItem>
    <reviewItem>
      <errorID>c10a02f5-a192-41f5-bfa4-d220f994082e</errorID>
      <errorWord>了有</errorWord>
      <group>L1_Word</group>
      <groupName>字词问题</groupName>
      <ability>L2_Typo</ability>
      <abilityName>字词错误</abilityName>
      <candidateList>
        <item>了</item>
      </candidateList>
      <explain>（瞭）liǎo明白；懂得：～然｜～解｜明～｜～如指掌。</explain>
      <paraID> 1BF65A7</paraID>
      <start>151</start>
      <end>152</end>
      <status>modified</status>
      <modifiedWord>了</modifiedWord>
      <trackRevisions>false</trackRevisions>
    </reviewItem>
    <reviewItem>
      <errorID>fcbb4b52-f91d-45a0-b438-a4a2aca5b9c5</errorID>
      <errorWord>,</errorWord>
      <group>L1_Format</group>
      <groupName>格式问题</groupName>
      <ability>L2_HalfPunc</ability>
      <abilityName>全半角检查</abilityName>
      <candidateList>
        <item>，</item>
      </candidateList>
      <explain>文本全半角错误。</explain>
      <paraID> 1BF65A7</paraID>
      <start>209</start>
      <end>210</end>
      <status>modified</status>
      <modifiedWord>，</modifiedWord>
      <trackRevisions>false</trackRevisions>
    </reviewItem>
    <reviewItem>
      <errorID>72ea2e41-d013-4575-9c2b-a5620b2f5315</errorID>
      <errorWord>,</errorWord>
      <group>L1_Format</group>
      <groupName>格式问题</groupName>
      <ability>L2_HalfPunc</ability>
      <abilityName>全半角检查</abilityName>
      <candidateList>
        <item>，</item>
      </candidateList>
      <explain>文本全半角错误。</explain>
      <paraID> 1BF65A7</paraID>
      <start>228</start>
      <end>229</end>
      <status>modified</status>
      <modifiedWord>，</modifiedWord>
      <trackRevisions>false</trackRevisions>
    </reviewItem>
    <reviewItem>
      <errorID>f7e4f16a-5b1f-4ef2-9f4c-0be9813061ec</errorID>
      <errorWord>,</errorWord>
      <group>L1_Format</group>
      <groupName>格式问题</groupName>
      <ability>L2_HalfPunc</ability>
      <abilityName>全半角检查</abilityName>
      <candidateList>
        <item>，</item>
      </candidateList>
      <explain>文本全半角错误。</explain>
      <paraID> 1BF65A7</paraID>
      <start>300</start>
      <end>301</end>
      <status>modified</status>
      <modifiedWord>，</modifiedWord>
      <trackRevisions>false</trackRevisions>
    </reviewItem>
    <reviewItem>
      <errorID>1fcfcf73-1d72-45dc-9175-39417bbb2609</errorID>
      <errorWord>,</errorWord>
      <group>L1_Format</group>
      <groupName>格式问题</groupName>
      <ability>L2_HalfPunc</ability>
      <abilityName>全半角检查</abilityName>
      <candidateList>
        <item>，</item>
      </candidateList>
      <explain>文本全半角错误。</explain>
      <paraID> 1BF65A7</paraID>
      <start>306</start>
      <end>307</end>
      <status>modified</status>
      <modifiedWord>，</modifiedWord>
      <trackRevisions>false</trackRevisions>
    </reviewItem>
    <reviewItem>
      <errorID>4e86d505-72d4-4172-88bf-71caa55c88c1</errorID>
      <errorWord>~</errorWord>
      <group>L1_Format</group>
      <groupName>格式问题</groupName>
      <ability>L2_HalfPunc</ability>
      <abilityName>全半角检查</abilityName>
      <candidateList>
        <item>～</item>
      </candidateList>
      <explain>文本全半角错误。</explain>
      <paraID> D0426A3</paraID>
      <start>20</start>
      <end>21</end>
      <status>modified</status>
      <modifiedWord>～</modifiedWord>
      <trackRevisions>false</trackRevisions>
    </reviewItem>
    <reviewItem>
      <errorID>6450ec3d-af76-458b-be94-e35bc06f7212</errorID>
      <errorWord>~</errorWord>
      <group>L1_Format</group>
      <groupName>格式问题</groupName>
      <ability>L2_HalfPunc</ability>
      <abilityName>全半角检查</abilityName>
      <candidateList>
        <item>～</item>
      </candidateList>
      <explain>文本全半角错误。</explain>
      <paraID> D0426A3</paraID>
      <start>25</start>
      <end>26</end>
      <status>modified</status>
      <modifiedWord>～</modifiedWord>
      <trackRevisions>false</trackRevisions>
    </reviewItem>
    <reviewItem>
      <errorID>939bcbd9-3d33-4ed6-8158-47d2f25f0cb3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D0426A3</paraID>
      <start>53</start>
      <end>54</end>
      <status>modified</status>
      <modifiedWord>—</modifiedWord>
      <trackRevisions>false</trackRevisions>
    </reviewItem>
    <reviewItem>
      <errorID>2aea77f0-a3ea-407f-bff8-eee94a973b38</errorID>
      <errorWord>)</errorWord>
      <group>L1_Format</group>
      <groupName>格式问题</groupName>
      <ability>L2_HalfPunc</ability>
      <abilityName>全半角检查</abilityName>
      <candidateList>
        <item>）</item>
      </candidateList>
      <explain>文本全半角错误。</explain>
      <paraID>34A61D83</paraID>
      <start>64</start>
      <end>65</end>
      <status>modified</status>
      <modifiedWord>）</modifiedWord>
      <trackRevisions>false</trackRevisions>
    </reviewItem>
    <reviewItem>
      <errorID>fc482c3d-a8a4-492a-9eb0-ef33edd69c07</errorID>
      <errorWord>)</errorWord>
      <group>L1_Format</group>
      <groupName>格式问题</groupName>
      <ability>L2_HalfPunc</ability>
      <abilityName>全半角检查</abilityName>
      <candidateList>
        <item>）</item>
      </candidateList>
      <explain>文本全半角错误。</explain>
      <paraID>34A61D83</paraID>
      <start>89</start>
      <end>90</end>
      <status>modified</status>
      <modifiedWord>）</modifiedWord>
      <trackRevisions>false</trackRevisions>
    </reviewItem>
    <reviewItem>
      <errorID>ca11e172-89e2-4ff5-a6e9-e63e3e6da75f</errorID>
      <errorWord>年平</errorWord>
      <group>L1_Word</group>
      <groupName>字词问题</groupName>
      <ability>L2_Typo</ability>
      <abilityName>字词错误</abilityName>
      <candidateList>
        <item>年均</item>
      </candidateList>
      <explain/>
      <paraID>31DB6BC0</paraID>
      <start>4</start>
      <end>6</end>
      <status>modified</status>
      <modifiedWord>年均</modifiedWord>
      <trackRevisions>false</trackRevisions>
    </reviewItem>
    <reviewItem>
      <errorID>4dd72cfc-ec48-49a4-aae7-2d95eca006c6</errorID>
      <errorWord>年</errorWord>
      <group>L1_Knowledge</group>
      <groupName>知识性问题</groupName>
      <ability>L2_Knowledge</ability>
      <abilityName>其他知识</abilityName>
      <candidateList>
        <item>月</item>
      </candidateList>
      <explain>请检查“年”是否为量词使用错误，建议修改为“月”。</explain>
      <paraID>31DB6BC0</paraID>
      <start>93</start>
      <end>94</end>
      <status>modified</status>
      <modifiedWord>月</modifiedWord>
      <trackRevisions>false</trackRevisions>
    </reviewItem>
    <reviewItem>
      <errorID>e2b0c237-34f9-40db-a67d-34c7a197e044</errorID>
      <errorWord>)</errorWord>
      <group>L1_Format</group>
      <groupName>格式问题</groupName>
      <ability>L2_HalfPunc</ability>
      <abilityName>全半角检查</abilityName>
      <candidateList>
        <item>）</item>
      </candidateList>
      <explain>文本全半角错误。</explain>
      <paraID>31DB6BC0</paraID>
      <start>94</start>
      <end>95</end>
      <status>modified</status>
      <modifiedWord>）</modifiedWord>
      <trackRevisions>false</trackRevisions>
    </reviewItem>
    <reviewItem>
      <errorID>78aebbfe-da67-438f-b3f7-a29fc6195c1e</errorID>
      <errorWord>1962年04月4日</errorWord>
      <group>L1_Knowledge</group>
      <groupName>知识性问题</groupName>
      <ability>L2_Time</ability>
      <abilityName>日期时间</abilityName>
      <candidateList>
        <item>1962年4月4日</item>
      </candidateList>
      <explain>根据日常书写习惯，月份一般会省略前导零。</explain>
      <paraID>482BA4CD</paraID>
      <start>44</start>
      <end>53</end>
      <status>modified</status>
      <modifiedWord>1962年4月4日</modifiedWord>
      <trackRevisions>false</trackRevisions>
    </reviewItem>
    <reviewItem>
      <errorID>d02658b9-91f7-4d3a-8a06-c3fe957c4a27</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482BA4CD</paraID>
      <start>53</start>
      <end>54</end>
      <status>modified</status>
      <modifiedWord>或</modifiedWord>
      <trackRevisions>false</trackRevisions>
    </reviewItem>
    <reviewItem>
      <errorID>0421504e-9284-4025-a709-1676de60962a</errorID>
      <errorWord>)</errorWord>
      <group>L1_Format</group>
      <groupName>格式问题</groupName>
      <ability>L2_HalfPunc</ability>
      <abilityName>全半角检查</abilityName>
      <candidateList>
        <item>）</item>
      </candidateList>
      <explain>文本全半角错误。</explain>
      <paraID>482BA4CD</paraID>
      <start>63</start>
      <end>64</end>
      <status>modified</status>
      <modifiedWord>）</modifiedWord>
      <trackRevisions>false</trackRevisions>
    </reviewItem>
    <reviewItem>
      <errorID>44a77ae0-08ba-4f09-9492-88ce67defa36</errorID>
      <errorWord>(</errorWord>
      <group>L1_Format</group>
      <groupName>格式问题</groupName>
      <ability>L2_HalfPunc</ability>
      <abilityName>全半角检查</abilityName>
      <candidateList>
        <item>（</item>
      </candidateList>
      <explain>文本全半角错误。</explain>
      <paraID>5F043966</paraID>
      <start>40</start>
      <end>41</end>
      <status>modified</status>
      <modifiedWord>（</modifiedWord>
      <trackRevisions>false</trackRevisions>
    </reviewItem>
    <reviewItem>
      <errorID>9ec97802-40d7-48d4-ba1b-8879ca46a2bb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5F043966</paraID>
      <start>46</start>
      <end>47</end>
      <status>modified</status>
      <modifiedWord>—</modifiedWord>
      <trackRevisions>false</trackRevisions>
    </reviewItem>
    <reviewItem>
      <errorID>0de3fcd9-185b-44e2-841d-db86fc03dbbf</errorID>
      <errorWord>)</errorWord>
      <group>L1_Format</group>
      <groupName>格式问题</groupName>
      <ability>L2_HalfPunc</ability>
      <abilityName>全半角检查</abilityName>
      <candidateList>
        <item>）</item>
      </candidateList>
      <explain>文本全半角错误。</explain>
      <paraID>5F043966</paraID>
      <start>52</start>
      <end>53</end>
      <status>modified</status>
      <modifiedWord>）</modifiedWord>
      <trackRevisions>false</trackRevisions>
    </reviewItem>
    <reviewItem>
      <errorID>dc34797d-6eab-41b7-86f8-5a78754a4dfc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4EB3298</paraID>
      <start>0</start>
      <end>2</end>
      <status>modified</status>
      <modifiedWord>2.</modifiedWord>
      <trackRevisions>false</trackRevisions>
    </reviewItem>
    <reviewItem>
      <errorID>765307aa-bc5b-4b49-b00d-a98144353302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245BC54</paraID>
      <start>0</start>
      <end>2</end>
      <status>modified</status>
      <modifiedWord>3.</modifiedWord>
      <trackRevisions>false</trackRevisions>
    </reviewItem>
    <reviewItem>
      <errorID>801e8bb0-8720-468b-8a2e-4f706d377285</errorID>
      <errorWord>主要是以物理分化作用和堆积形式为主</errorWord>
      <group>L1_Grammar</group>
      <groupName>语法问题</groupName>
      <ability>L2_Grammar</ability>
      <abilityName>语法错误</abilityName>
      <candidateList>
        <item>是以物理分化作用和堆积形式为主</item>
      </candidateList>
      <explain/>
      <paraID>1BCFC0B4</paraID>
      <start>61</start>
      <end>76</end>
      <status>modified</status>
      <modifiedWord>是以物理分化作用和堆积形式为主</modifiedWord>
      <trackRevisions>false</trackRevisions>
    </reviewItem>
    <reviewItem>
      <errorID>a5ce3166-2353-4fcd-9463-3d4be210f8b8</errorID>
      <errorWord>各两</errorWord>
      <group>L1_Word</group>
      <groupName>字词问题</groupName>
      <ability>L2_Typo</ability>
      <abilityName>字词错误</abilityName>
      <candidateList>
        <item>各个</item>
      </candidateList>
      <explain>❶〈代〉指示代词。每个；所有的那些个：～厂矿｜～方面。❷〈副〉逐个：～击破。</explain>
      <paraID>7D7FBCAE</paraID>
      <start>4</start>
      <end>6</end>
      <status>modified</status>
      <modifiedWord>各个</modifiedWord>
      <trackRevisions>false</trackRevisions>
    </reviewItem>
    <reviewItem>
      <errorID>0de814d4-4aa8-4abe-ab21-a653525be117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63F36FB8</paraID>
      <start>110</start>
      <end>111</end>
      <status>modified</status>
      <modifiedWord>—</modifiedWord>
      <trackRevisions>false</trackRevisions>
    </reviewItem>
    <reviewItem>
      <errorID>42ea783f-c1bb-4354-a7e6-ee0b198150cb</errorID>
      <errorWord>颗粒的</errorWord>
      <group>L1_Word</group>
      <groupName>字词问题</groupName>
      <ability>L2_Typo</ability>
      <abilityName>字词错误</abilityName>
      <candidateList>
        <item>颗粒</item>
      </candidateList>
      <explain>〈名〉❶小而圆的东西：珍珠的～大小不一｜这个玉米棒子上有多少～？❷（粮食）一颗一粒：～无收｜精收细打，～归仓。</explain>
      <paraID>30572192</paraID>
      <start>28</start>
      <end>30</end>
      <status>modified</status>
      <modifiedWord>颗粒</modifiedWord>
      <trackRevisions>false</trackRevisions>
    </reviewItem>
    <reviewItem>
      <errorID>07e01a2c-b638-49a9-93d9-81cea56f4fc8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73E56C36</paraID>
      <start>129</start>
      <end>130</end>
      <status>modified</status>
      <modifiedWord>地</modifiedWord>
      <trackRevisions>false</trackRevisions>
    </reviewItem>
    <reviewItem>
      <errorID>d4e8e493-e2aa-4937-a053-f739db92608a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3EFE50FF</paraID>
      <start>33</start>
      <end>34</end>
      <status>modified</status>
      <modifiedWord>—</modifiedWord>
      <trackRevisions>false</trackRevisions>
    </reviewItem>
    <reviewItem>
      <errorID>7810d327-fda8-4fcd-8b49-556b7bceb2d3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2BA9B007</paraID>
      <start>6</start>
      <end>7</end>
      <status>modified</status>
      <modifiedWord>—</modifiedWord>
      <trackRevisions>false</trackRevisions>
    </reviewItem>
    <reviewItem>
      <errorID>2cf60939-c9b6-40f6-a936-4c2468d86d16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69A25431</paraID>
      <start>6</start>
      <end>7</end>
      <status>modified</status>
      <modifiedWord>—</modifiedWord>
      <trackRevisions>false</trackRevisions>
    </reviewItem>
    <reviewItem>
      <errorID>bd4f2d5d-8c2b-4a22-a5d1-b1f4d1658236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44BE4D74</paraID>
      <start>6</start>
      <end>7</end>
      <status>modified</status>
      <modifiedWord>—</modifiedWord>
      <trackRevisions>false</trackRevisions>
    </reviewItem>
    <reviewItem>
      <errorID>72834be3-e577-4eeb-83a1-cf811ca51496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95681A2</paraID>
      <start>6</start>
      <end>7</end>
      <status>modified</status>
      <modifiedWord>—</modifiedWord>
      <trackRevisions>false</trackRevisions>
    </reviewItem>
    <reviewItem>
      <errorID>b252251b-3cb4-4afe-9dd4-0d8ff6c15d85</errorID>
      <errorWord>＜</errorWord>
      <group>L1_Format</group>
      <groupName>格式问题</groupName>
      <ability>L2_HalfPunc</ability>
      <abilityName>全半角检查</abilityName>
      <candidateList>
        <item>&lt;</item>
      </candidateList>
      <explain>文本全半角错误。</explain>
      <paraID>73A72B34</paraID>
      <start>0</start>
      <end>1</end>
      <status>modified</status>
      <modifiedWord>&lt;</modifiedWord>
      <trackRevisions>false</trackRevisions>
    </reviewItem>
    <reviewItem>
      <errorID>fc10a57f-d623-4d75-836a-a1363d356cb7</errorID>
      <errorWord>＜</errorWord>
      <group>L1_Format</group>
      <groupName>格式问题</groupName>
      <ability>L2_HalfPunc</ability>
      <abilityName>全半角检查</abilityName>
      <candidateList>
        <item>&lt;</item>
      </candidateList>
      <explain>文本全半角错误。</explain>
      <paraID>3F9BC0B1</paraID>
      <start>0</start>
      <end>1</end>
      <status>modified</status>
      <modifiedWord>&lt;</modifiedWord>
      <trackRevisions>false</trackRevisions>
    </reviewItem>
    <reviewItem>
      <errorID>7b9e62ac-5eec-45b0-be91-7315bdf6af70</errorID>
      <errorWord>＜</errorWord>
      <group>L1_Format</group>
      <groupName>格式问题</groupName>
      <ability>L2_HalfPunc</ability>
      <abilityName>全半角检查</abilityName>
      <candidateList>
        <item>&lt;</item>
      </candidateList>
      <explain>文本全半角错误。</explain>
      <paraID>166EA93A</paraID>
      <start>0</start>
      <end>1</end>
      <status>modified</status>
      <modifiedWord>&lt;</modifiedWord>
      <trackRevisions>false</trackRevisions>
    </reviewItem>
    <reviewItem>
      <errorID>16c0e0c8-285f-4285-86c2-ddf32ec936fa</errorID>
      <errorWord>＜</errorWord>
      <group>L1_Format</group>
      <groupName>格式问题</groupName>
      <ability>L2_HalfPunc</ability>
      <abilityName>全半角检查</abilityName>
      <candidateList>
        <item>&lt;</item>
      </candidateList>
      <explain>文本全半角错误。</explain>
      <paraID>71CA21F9</paraID>
      <start>0</start>
      <end>1</end>
      <status>modified</status>
      <modifiedWord>&lt;</modifiedWord>
      <trackRevisions>false</trackRevisions>
    </reviewItem>
    <reviewItem>
      <errorID>732820fa-8bd4-4438-9447-81110467974e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36E4A2CA</paraID>
      <start>6</start>
      <end>7</end>
      <status>modified</status>
      <modifiedWord>—</modifiedWord>
      <trackRevisions>false</trackRevisions>
    </reviewItem>
    <reviewItem>
      <errorID>5315f72b-4008-488f-8bf6-85ad1f39eee6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13F07E0E</paraID>
      <start>6</start>
      <end>7</end>
      <status>modified</status>
      <modifiedWord>—</modifiedWord>
      <trackRevisions>false</trackRevisions>
    </reviewItem>
    <reviewItem>
      <errorID>8c01cca5-5f3d-4334-89f1-1d6435f87e2d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4B92AA8</paraID>
      <start>6</start>
      <end>7</end>
      <status>modified</status>
      <modifiedWord>—</modifiedWord>
      <trackRevisions>false</trackRevisions>
    </reviewItem>
    <reviewItem>
      <errorID>307c6f3d-4d67-403b-830f-b2147be8cd77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584F5037</paraID>
      <start>6</start>
      <end>7</end>
      <status>modified</status>
      <modifiedWord>—</modifiedWord>
      <trackRevisions>false</trackRevisions>
    </reviewItem>
    <reviewItem>
      <errorID>719a9c44-d4eb-4229-916a-206c41ad2718</errorID>
      <errorWord>＜</errorWord>
      <group>L1_Format</group>
      <groupName>格式问题</groupName>
      <ability>L2_HalfPunc</ability>
      <abilityName>全半角检查</abilityName>
      <candidateList>
        <item>&lt;</item>
      </candidateList>
      <explain>文本全半角错误。</explain>
      <paraID>201B6583</paraID>
      <start>0</start>
      <end>1</end>
      <status>modified</status>
      <modifiedWord>&lt;</modifiedWord>
      <trackRevisions>false</trackRevisions>
    </reviewItem>
    <reviewItem>
      <errorID>812ee951-997d-41a8-b4cd-3fa55cb9a48f</errorID>
      <errorWord>＜</errorWord>
      <group>L1_Format</group>
      <groupName>格式问题</groupName>
      <ability>L2_HalfPunc</ability>
      <abilityName>全半角检查</abilityName>
      <candidateList>
        <item>&lt;</item>
      </candidateList>
      <explain>文本全半角错误。</explain>
      <paraID>38DC674F</paraID>
      <start>0</start>
      <end>1</end>
      <status>modified</status>
      <modifiedWord>&lt;</modifiedWord>
      <trackRevisions>false</trackRevisions>
    </reviewItem>
    <reviewItem>
      <errorID>a7656d93-7b1e-4a7f-b6f9-83c90613fd3d</errorID>
      <errorWord>＜</errorWord>
      <group>L1_Format</group>
      <groupName>格式问题</groupName>
      <ability>L2_HalfPunc</ability>
      <abilityName>全半角检查</abilityName>
      <candidateList>
        <item>&lt;</item>
      </candidateList>
      <explain>文本全半角错误。</explain>
      <paraID>2592AF70</paraID>
      <start>0</start>
      <end>1</end>
      <status>modified</status>
      <modifiedWord>&lt;</modifiedWord>
      <trackRevisions>false</trackRevisions>
    </reviewItem>
    <reviewItem>
      <errorID>474cb3ba-9951-48c8-a2ab-ceee94a0a1af</errorID>
      <errorWord>＜</errorWord>
      <group>L1_Format</group>
      <groupName>格式问题</groupName>
      <ability>L2_HalfPunc</ability>
      <abilityName>全半角检查</abilityName>
      <candidateList>
        <item>&lt;</item>
      </candidateList>
      <explain>文本全半角错误。</explain>
      <paraID>5B82C8A4</paraID>
      <start>0</start>
      <end>1</end>
      <status>modified</status>
      <modifiedWord>&lt;</modifiedWord>
      <trackRevisions>false</trackRevisions>
    </reviewItem>
    <reviewItem>
      <errorID>2f1d703d-5090-437f-92e1-43a86bce3a53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3388B52F</paraID>
      <start>6</start>
      <end>7</end>
      <status>modified</status>
      <modifiedWord>—</modifiedWord>
      <trackRevisions>false</trackRevisions>
    </reviewItem>
    <reviewItem>
      <errorID>9299c326-112a-4df9-8a3f-ca1c61c29940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2777AFE8</paraID>
      <start>6</start>
      <end>7</end>
      <status>modified</status>
      <modifiedWord>—</modifiedWord>
      <trackRevisions>false</trackRevisions>
    </reviewItem>
    <reviewItem>
      <errorID>97d62d3d-ed6d-4bcb-9c94-def8e4e9a808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61CD691F</paraID>
      <start>6</start>
      <end>7</end>
      <status>modified</status>
      <modifiedWord>—</modifiedWord>
      <trackRevisions>false</trackRevisions>
    </reviewItem>
    <reviewItem>
      <errorID>7908faba-2065-49b6-90c3-17e44229bb0a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38E0F05B</paraID>
      <start>6</start>
      <end>7</end>
      <status>modified</status>
      <modifiedWord>—</modifiedWord>
      <trackRevisions>false</trackRevisions>
    </reviewItem>
    <reviewItem>
      <errorID>bed3dbba-790a-43f2-86d8-f281200fac72</errorID>
      <errorWord>＜</errorWord>
      <group>L1_Format</group>
      <groupName>格式问题</groupName>
      <ability>L2_HalfPunc</ability>
      <abilityName>全半角检查</abilityName>
      <candidateList>
        <item>&lt;</item>
      </candidateList>
      <explain>文本全半角错误。</explain>
      <paraID>1EEF3786</paraID>
      <start>0</start>
      <end>1</end>
      <status>modified</status>
      <modifiedWord>&lt;</modifiedWord>
      <trackRevisions>false</trackRevisions>
    </reviewItem>
    <reviewItem>
      <errorID>993025db-8e35-46a7-9419-cf9d2747fe45</errorID>
      <errorWord>＜</errorWord>
      <group>L1_Format</group>
      <groupName>格式问题</groupName>
      <ability>L2_HalfPunc</ability>
      <abilityName>全半角检查</abilityName>
      <candidateList>
        <item>&lt;</item>
      </candidateList>
      <explain>文本全半角错误。</explain>
      <paraID>121F0EDF</paraID>
      <start>0</start>
      <end>1</end>
      <status>modified</status>
      <modifiedWord>&lt;</modifiedWord>
      <trackRevisions>false</trackRevisions>
    </reviewItem>
    <reviewItem>
      <errorID>cc5fc7aa-5690-4183-9008-4c30d4b9eac0</errorID>
      <errorWord>＜</errorWord>
      <group>L1_Format</group>
      <groupName>格式问题</groupName>
      <ability>L2_HalfPunc</ability>
      <abilityName>全半角检查</abilityName>
      <candidateList>
        <item>&lt;</item>
      </candidateList>
      <explain>文本全半角错误。</explain>
      <paraID>536C9AF4</paraID>
      <start>0</start>
      <end>1</end>
      <status>modified</status>
      <modifiedWord>&lt;</modifiedWord>
      <trackRevisions>false</trackRevisions>
    </reviewItem>
    <reviewItem>
      <errorID>5311e9e7-3683-437d-8cfe-452fa4f94934</errorID>
      <errorWord>＜</errorWord>
      <group>L1_Format</group>
      <groupName>格式问题</groupName>
      <ability>L2_HalfPunc</ability>
      <abilityName>全半角检查</abilityName>
      <candidateList>
        <item>&lt;</item>
      </candidateList>
      <explain>文本全半角错误。</explain>
      <paraID> 88761A3</paraID>
      <start>0</start>
      <end>1</end>
      <status>modified</status>
      <modifiedWord>&lt;</modifiedWord>
      <trackRevisions>false</trackRevisions>
    </reviewItem>
    <reviewItem>
      <errorID>068f40d9-1e45-4050-a364-447d5edcaa8e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2432777C</paraID>
      <start>6</start>
      <end>7</end>
      <status>modified</status>
      <modifiedWord>—</modifiedWord>
      <trackRevisions>false</trackRevisions>
    </reviewItem>
    <reviewItem>
      <errorID>a3b74b9e-b665-4969-b29d-c486ceae5715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685FE9BA</paraID>
      <start>6</start>
      <end>7</end>
      <status>modified</status>
      <modifiedWord>—</modifiedWord>
      <trackRevisions>false</trackRevisions>
    </reviewItem>
    <reviewItem>
      <errorID>c6003d01-04bd-4c44-97a9-f44600413adb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744688F3</paraID>
      <start>6</start>
      <end>7</end>
      <status>modified</status>
      <modifiedWord>—</modifiedWord>
      <trackRevisions>false</trackRevisions>
    </reviewItem>
    <reviewItem>
      <errorID>a65f6e6a-06bf-4a68-b5a3-91d7c08b6067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48D86C52</paraID>
      <start>6</start>
      <end>7</end>
      <status>modified</status>
      <modifiedWord>—</modifiedWord>
      <trackRevisions>false</trackRevisions>
    </reviewItem>
    <reviewItem>
      <errorID>e3d2521f-2b12-4235-8ca8-8864df8eb0f5</errorID>
      <errorWord>＜</errorWord>
      <group>L1_Format</group>
      <groupName>格式问题</groupName>
      <ability>L2_HalfPunc</ability>
      <abilityName>全半角检查</abilityName>
      <candidateList>
        <item>&lt;</item>
      </candidateList>
      <explain>文本全半角错误。</explain>
      <paraID>44EBD208</paraID>
      <start>0</start>
      <end>1</end>
      <status>modified</status>
      <modifiedWord>&lt;</modifiedWord>
      <trackRevisions>false</trackRevisions>
    </reviewItem>
    <reviewItem>
      <errorID>8fa12431-b054-4877-9759-a2c6111fd170</errorID>
      <errorWord>＜</errorWord>
      <group>L1_Format</group>
      <groupName>格式问题</groupName>
      <ability>L2_HalfPunc</ability>
      <abilityName>全半角检查</abilityName>
      <candidateList>
        <item>&lt;</item>
      </candidateList>
      <explain>文本全半角错误。</explain>
      <paraID>35BEF498</paraID>
      <start>0</start>
      <end>1</end>
      <status>modified</status>
      <modifiedWord>&lt;</modifiedWord>
      <trackRevisions>false</trackRevisions>
    </reviewItem>
    <reviewItem>
      <errorID>12329af9-53c7-49d7-9d46-9b7353f492db</errorID>
      <errorWord>＜</errorWord>
      <group>L1_Format</group>
      <groupName>格式问题</groupName>
      <ability>L2_HalfPunc</ability>
      <abilityName>全半角检查</abilityName>
      <candidateList>
        <item>&lt;</item>
      </candidateList>
      <explain>文本全半角错误。</explain>
      <paraID>651C62FC</paraID>
      <start>0</start>
      <end>1</end>
      <status>modified</status>
      <modifiedWord>&lt;</modifiedWord>
      <trackRevisions>false</trackRevisions>
    </reviewItem>
    <reviewItem>
      <errorID>88c0f5f9-4b9f-4f2b-a194-57b93cbf0d85</errorID>
      <errorWord>＜</errorWord>
      <group>L1_Format</group>
      <groupName>格式问题</groupName>
      <ability>L2_HalfPunc</ability>
      <abilityName>全半角检查</abilityName>
      <candidateList>
        <item>&lt;</item>
      </candidateList>
      <explain>文本全半角错误。</explain>
      <paraID>2F666B6F</paraID>
      <start>0</start>
      <end>1</end>
      <status>modified</status>
      <modifiedWord>&lt;</modifiedWord>
      <trackRevisions>false</trackRevisions>
    </reviewItem>
    <reviewItem>
      <errorID>3808f09a-b031-45d8-8de3-8b7560de42b5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502A7F23</paraID>
      <start>6</start>
      <end>7</end>
      <status>modified</status>
      <modifiedWord>—</modifiedWord>
      <trackRevisions>false</trackRevisions>
    </reviewItem>
    <reviewItem>
      <errorID>2e65e6b6-69f3-4461-9a58-c431d5873abe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1385F5F9</paraID>
      <start>6</start>
      <end>7</end>
      <status>modified</status>
      <modifiedWord>—</modifiedWord>
      <trackRevisions>false</trackRevisions>
    </reviewItem>
    <reviewItem>
      <errorID>c839d1c3-2a3e-48c7-a3ae-ff5bec11b212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6CB72F34</paraID>
      <start>6</start>
      <end>7</end>
      <status>modified</status>
      <modifiedWord>—</modifiedWord>
      <trackRevisions>false</trackRevisions>
    </reviewItem>
    <reviewItem>
      <errorID>4f7f463c-17f6-4b96-a8df-b96f77399287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1200F301</paraID>
      <start>6</start>
      <end>7</end>
      <status>modified</status>
      <modifiedWord>—</modifiedWord>
      <trackRevisions>false</trackRevisions>
    </reviewItem>
    <reviewItem>
      <errorID>90e9b9b8-0404-4420-8352-11be4ce4b589</errorID>
      <errorWord>＜</errorWord>
      <group>L1_Format</group>
      <groupName>格式问题</groupName>
      <ability>L2_HalfPunc</ability>
      <abilityName>全半角检查</abilityName>
      <candidateList>
        <item>&lt;</item>
      </candidateList>
      <explain>文本全半角错误。</explain>
      <paraID>116D4D14</paraID>
      <start>0</start>
      <end>1</end>
      <status>modified</status>
      <modifiedWord>&lt;</modifiedWord>
      <trackRevisions>false</trackRevisions>
    </reviewItem>
    <reviewItem>
      <errorID>fe798af4-4d1b-4cac-bbce-6e178653cd51</errorID>
      <errorWord>＜</errorWord>
      <group>L1_Format</group>
      <groupName>格式问题</groupName>
      <ability>L2_HalfPunc</ability>
      <abilityName>全半角检查</abilityName>
      <candidateList>
        <item>&lt;</item>
      </candidateList>
      <explain>文本全半角错误。</explain>
      <paraID>412E3460</paraID>
      <start>0</start>
      <end>1</end>
      <status>modified</status>
      <modifiedWord>&lt;</modifiedWord>
      <trackRevisions>false</trackRevisions>
    </reviewItem>
    <reviewItem>
      <errorID>eea4a55e-ec97-4c22-b1d6-21a8c2cc300e</errorID>
      <errorWord>＜</errorWord>
      <group>L1_Format</group>
      <groupName>格式问题</groupName>
      <ability>L2_HalfPunc</ability>
      <abilityName>全半角检查</abilityName>
      <candidateList>
        <item>&lt;</item>
      </candidateList>
      <explain>文本全半角错误。</explain>
      <paraID>7CD7522B</paraID>
      <start>0</start>
      <end>1</end>
      <status>modified</status>
      <modifiedWord>&lt;</modifiedWord>
      <trackRevisions>false</trackRevisions>
    </reviewItem>
    <reviewItem>
      <errorID>616726bc-4d04-4578-8578-b8b7e417bea3</errorID>
      <errorWord>＜</errorWord>
      <group>L1_Format</group>
      <groupName>格式问题</groupName>
      <ability>L2_HalfPunc</ability>
      <abilityName>全半角检查</abilityName>
      <candidateList>
        <item>&lt;</item>
      </candidateList>
      <explain>文本全半角错误。</explain>
      <paraID> F33D5C7</paraID>
      <start>0</start>
      <end>1</end>
      <status>modified</status>
      <modifiedWord>&lt;</modifiedWord>
      <trackRevisions>false</trackRevisions>
    </reviewItem>
    <reviewItem>
      <errorID>e0b764d5-a0ac-4a4b-b75e-a8ca060c2f4c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618BB230</paraID>
      <start>6</start>
      <end>7</end>
      <status>modified</status>
      <modifiedWord>—</modifiedWord>
      <trackRevisions>false</trackRevisions>
    </reviewItem>
    <reviewItem>
      <errorID>69b4097f-d5b2-40ab-bfab-7b86c2222bf8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43B68246</paraID>
      <start>6</start>
      <end>7</end>
      <status>modified</status>
      <modifiedWord>—</modifiedWord>
      <trackRevisions>false</trackRevisions>
    </reviewItem>
    <reviewItem>
      <errorID>c3074152-bcbf-4169-8d1b-2eb14b6cab48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4819D655</paraID>
      <start>6</start>
      <end>7</end>
      <status>modified</status>
      <modifiedWord>—</modifiedWord>
      <trackRevisions>false</trackRevisions>
    </reviewItem>
    <reviewItem>
      <errorID>3d7bb56a-6482-4579-9b76-551a26051ae8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3DA444B2</paraID>
      <start>6</start>
      <end>7</end>
      <status>modified</status>
      <modifiedWord>—</modifiedWord>
      <trackRevisions>false</trackRevisions>
    </reviewItem>
    <reviewItem>
      <errorID>a117a23a-f617-4f15-befd-1d161e10c7b7</errorID>
      <errorWord>＜</errorWord>
      <group>L1_Format</group>
      <groupName>格式问题</groupName>
      <ability>L2_HalfPunc</ability>
      <abilityName>全半角检查</abilityName>
      <candidateList>
        <item>&lt;</item>
      </candidateList>
      <explain>文本全半角错误。</explain>
      <paraID>5D47A214</paraID>
      <start>0</start>
      <end>1</end>
      <status>modified</status>
      <modifiedWord>&lt;</modifiedWord>
      <trackRevisions>false</trackRevisions>
    </reviewItem>
    <reviewItem>
      <errorID>186dd085-e7b8-4fe8-b51a-e123f8fb9023</errorID>
      <errorWord>＜</errorWord>
      <group>L1_Format</group>
      <groupName>格式问题</groupName>
      <ability>L2_HalfPunc</ability>
      <abilityName>全半角检查</abilityName>
      <candidateList>
        <item>&lt;</item>
      </candidateList>
      <explain>文本全半角错误。</explain>
      <paraID>7CFAC436</paraID>
      <start>0</start>
      <end>1</end>
      <status>modified</status>
      <modifiedWord>&lt;</modifiedWord>
      <trackRevisions>false</trackRevisions>
    </reviewItem>
    <reviewItem>
      <errorID>4dd177a7-98a5-4fb0-b99b-fd4eeac5f177</errorID>
      <errorWord>＜</errorWord>
      <group>L1_Format</group>
      <groupName>格式问题</groupName>
      <ability>L2_HalfPunc</ability>
      <abilityName>全半角检查</abilityName>
      <candidateList>
        <item>&lt;</item>
      </candidateList>
      <explain>文本全半角错误。</explain>
      <paraID> A77574D</paraID>
      <start>0</start>
      <end>1</end>
      <status>modified</status>
      <modifiedWord>&lt;</modifiedWord>
      <trackRevisions>false</trackRevisions>
    </reviewItem>
    <reviewItem>
      <errorID>4a706a92-cfd7-428d-8a65-dd5c16aa7ec1</errorID>
      <errorWord>＜</errorWord>
      <group>L1_Format</group>
      <groupName>格式问题</groupName>
      <ability>L2_HalfPunc</ability>
      <abilityName>全半角检查</abilityName>
      <candidateList>
        <item>&lt;</item>
      </candidateList>
      <explain>文本全半角错误。</explain>
      <paraID> D6247F1</paraID>
      <start>0</start>
      <end>1</end>
      <status>modified</status>
      <modifiedWord>&lt;</modifiedWord>
      <trackRevisions>false</trackRevisions>
    </reviewItem>
    <reviewItem>
      <errorID>6fd73bc1-0794-4868-87ac-c4156f6a3942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2F3B7E76</paraID>
      <start>6</start>
      <end>7</end>
      <status>modified</status>
      <modifiedWord>—</modifiedWord>
      <trackRevisions>false</trackRevisions>
    </reviewItem>
    <reviewItem>
      <errorID>3758ac66-7086-4b37-aee1-63df95402a26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1814BBD</paraID>
      <start>6</start>
      <end>7</end>
      <status>modified</status>
      <modifiedWord>—</modifiedWord>
      <trackRevisions>false</trackRevisions>
    </reviewItem>
    <reviewItem>
      <errorID>a9102ab4-ca0a-42ab-901d-fb84afc5f3c7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F4FF1E7</paraID>
      <start>6</start>
      <end>7</end>
      <status>modified</status>
      <modifiedWord>—</modifiedWord>
      <trackRevisions>false</trackRevisions>
    </reviewItem>
    <reviewItem>
      <errorID>b7e607d1-ac53-4b3a-a39c-cfdcb1cbea6f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4D3744F</paraID>
      <start>6</start>
      <end>7</end>
      <status>modified</status>
      <modifiedWord>—</modifiedWord>
      <trackRevisions>false</trackRevisions>
    </reviewItem>
    <reviewItem>
      <errorID>bcc5c456-94ae-44f4-9778-c7465ae33385</errorID>
      <errorWord>＜</errorWord>
      <group>L1_Format</group>
      <groupName>格式问题</groupName>
      <ability>L2_HalfPunc</ability>
      <abilityName>全半角检查</abilityName>
      <candidateList>
        <item>&lt;</item>
      </candidateList>
      <explain>文本全半角错误。</explain>
      <paraID>715B253F</paraID>
      <start>0</start>
      <end>1</end>
      <status>modified</status>
      <modifiedWord>&lt;</modifiedWord>
      <trackRevisions>false</trackRevisions>
    </reviewItem>
    <reviewItem>
      <errorID>ae7697c8-0363-42db-af8d-4e4d709320d9</errorID>
      <errorWord>＜</errorWord>
      <group>L1_Format</group>
      <groupName>格式问题</groupName>
      <ability>L2_HalfPunc</ability>
      <abilityName>全半角检查</abilityName>
      <candidateList>
        <item>&lt;</item>
      </candidateList>
      <explain>文本全半角错误。</explain>
      <paraID>35229D42</paraID>
      <start>0</start>
      <end>1</end>
      <status>modified</status>
      <modifiedWord>&lt;</modifiedWord>
      <trackRevisions>false</trackRevisions>
    </reviewItem>
    <reviewItem>
      <errorID>8a2b86f0-b837-449f-b3e8-da02aa834752</errorID>
      <errorWord>＜</errorWord>
      <group>L1_Format</group>
      <groupName>格式问题</groupName>
      <ability>L2_HalfPunc</ability>
      <abilityName>全半角检查</abilityName>
      <candidateList>
        <item>&lt;</item>
      </candidateList>
      <explain>文本全半角错误。</explain>
      <paraID>4C30F26C</paraID>
      <start>0</start>
      <end>1</end>
      <status>modified</status>
      <modifiedWord>&lt;</modifiedWord>
      <trackRevisions>false</trackRevisions>
    </reviewItem>
    <reviewItem>
      <errorID>aeaa0591-e01d-470a-82dc-77274a6b1f22</errorID>
      <errorWord>＜</errorWord>
      <group>L1_Format</group>
      <groupName>格式问题</groupName>
      <ability>L2_HalfPunc</ability>
      <abilityName>全半角检查</abilityName>
      <candidateList>
        <item>&lt;</item>
      </candidateList>
      <explain>文本全半角错误。</explain>
      <paraID>12CA8C90</paraID>
      <start>0</start>
      <end>1</end>
      <status>modified</status>
      <modifiedWord>&lt;</modifiedWord>
      <trackRevisions>false</trackRevisions>
    </reviewItem>
    <reviewItem>
      <errorID>28eab6c6-fd6d-47c9-a919-306b7f23f19f</errorID>
      <errorWord>＜</errorWord>
      <group>L1_Format</group>
      <groupName>格式问题</groupName>
      <ability>L2_HalfPunc</ability>
      <abilityName>全半角检查</abilityName>
      <candidateList>
        <item>&lt;</item>
      </candidateList>
      <explain>文本全半角错误。</explain>
      <paraID>226CCF7F</paraID>
      <start>0</start>
      <end>1</end>
      <status>modified</status>
      <modifiedWord>&lt;</modifiedWord>
      <trackRevisions>false</trackRevisions>
    </reviewItem>
    <reviewItem>
      <errorID>874eb16c-41eb-4b6a-bcb4-1dbdec2f9c29</errorID>
      <errorWord>&lt;</errorWord>
      <group>L1_Format</group>
      <groupName>格式问题</groupName>
      <ability>L2_HalfPunc</ability>
      <abilityName>全半角检查</abilityName>
      <candidateList>
        <item>〈</item>
      </candidateList>
      <explain>文本全半角错误。</explain>
      <paraID>43354D70</paraID>
      <start>13</start>
      <end>14</end>
      <status>modified</status>
      <modifiedWord>〈</modifiedWord>
      <trackRevisions>false</trackRevisions>
    </reviewItem>
    <reviewItem>
      <errorID>103d550d-9f7e-4a98-9cd5-e49f087bb997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10E85D5F</paraID>
      <start>0</start>
      <end>2</end>
      <status>modified</status>
      <modifiedWord>1.</modifiedWord>
      <trackRevisions>false</trackRevisions>
    </reviewItem>
    <reviewItem>
      <errorID>28f89e60-ae30-4faa-88fc-65e40c1b7e42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4EF17806</paraID>
      <start>120</start>
      <end>121</end>
      <status>ignored</status>
      <modifiedWord/>
      <trackRevisions>false</trackRevisions>
    </reviewItem>
    <reviewItem>
      <errorID>24b9fc72-44cd-4e32-a463-a89ab03e44b6</errorID>
      <errorWord>，</errorWord>
      <group>L1_Format</group>
      <groupName>格式问题</groupName>
      <ability>L2_HalfPunc</ability>
      <abilityName>全半角检查</abilityName>
      <candidateList>
        <item>,</item>
      </candidateList>
      <explain>文本全半角错误。</explain>
      <paraID>3CBA50CA</paraID>
      <start>9</start>
      <end>10</end>
      <status>modified</status>
      <modifiedWord>,</modifiedWord>
      <trackRevisions>false</trackRevisions>
    </reviewItem>
    <reviewItem>
      <errorID>22910dfb-7477-413e-a81b-e1dfe42aae74</errorID>
      <errorWord>，</errorWord>
      <group>L1_Format</group>
      <groupName>格式问题</groupName>
      <ability>L2_HalfPunc</ability>
      <abilityName>全半角检查</abilityName>
      <candidateList>
        <item>,</item>
      </candidateList>
      <explain>文本全半角错误。</explain>
      <paraID>6F594963</paraID>
      <start>8</start>
      <end>9</end>
      <status>modified</status>
      <modifiedWord>,</modifiedWord>
      <trackRevisions>false</trackRevisions>
    </reviewItem>
    <reviewItem>
      <errorID>31827454-b916-4ba7-ae24-11697f9f09ac</errorID>
      <errorWord>(</errorWord>
      <group>L1_Format</group>
      <groupName>格式问题</groupName>
      <ability>L2_HalfPunc</ability>
      <abilityName>全半角检查</abilityName>
      <candidateList>
        <item>（</item>
      </candidateList>
      <explain>文本全半角错误。</explain>
      <paraID>2F5CDEB9</paraID>
      <start>5</start>
      <end>6</end>
      <status>modified</status>
      <modifiedWord>（</modifiedWord>
      <trackRevisions>false</trackRevisions>
    </reviewItem>
    <reviewItem>
      <errorID>56003140-60f8-4aaf-8ab1-3e4e90ab3c61</errorID>
      <errorWord>，</errorWord>
      <group>L1_Format</group>
      <groupName>格式问题</groupName>
      <ability>L2_HalfPunc</ability>
      <abilityName>全半角检查</abilityName>
      <candidateList>
        <item>,</item>
      </candidateList>
      <explain>文本全半角错误。</explain>
      <paraID>4A826B26</paraID>
      <start>9</start>
      <end>10</end>
      <status>modified</status>
      <modifiedWord>,</modifiedWord>
      <trackRevisions>false</trackRevisions>
    </reviewItem>
    <reviewItem>
      <errorID>67875e21-4f60-49dd-ba56-86be292cefd6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3CCCB8F</paraID>
      <start>0</start>
      <end>2</end>
      <status>modified</status>
      <modifiedWord>2.</modifiedWord>
      <trackRevisions>false</trackRevisions>
    </reviewItem>
    <reviewItem>
      <errorID>6dbe419b-873f-4934-bb7e-11eb24acbb54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613BE196</paraID>
      <start>0</start>
      <end>2</end>
      <status>modified</status>
      <modifiedWord>3.</modifiedWord>
      <trackRevisions>false</trackRevisions>
    </reviewItem>
    <reviewItem>
      <errorID>daf34c49-7456-413f-be36-c9c42d1f6b4a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6BE2C3B3</paraID>
      <start>0</start>
      <end>2</end>
      <status>modified</status>
      <modifiedWord>4.</modifiedWord>
      <trackRevisions>false</trackRevisions>
    </reviewItem>
    <reviewItem>
      <errorID>afbcef5e-3ca4-47d4-85ba-aef0be7c29ac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2F0AEE8C</paraID>
      <start>0</start>
      <end>2</end>
      <status>modified</status>
      <modifiedWord>5.</modifiedWord>
      <trackRevisions>false</trackRevisions>
    </reviewItem>
    <reviewItem>
      <errorID>406d65ef-f303-4424-95b0-677b09f6ca17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1EAC354F</paraID>
      <start>6</start>
      <end>7</end>
      <status>modified</status>
      <modifiedWord>—</modifiedWord>
      <trackRevisions>false</trackRevisions>
    </reviewItem>
    <reviewItem>
      <errorID>28fdf1b8-4070-4675-9609-14bcf280a7a9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1740710B</paraID>
      <start>6</start>
      <end>7</end>
      <status>modified</status>
      <modifiedWord>—</modifiedWord>
      <trackRevisions>false</trackRevisions>
    </reviewItem>
    <reviewItem>
      <errorID>000845a1-0f22-4151-a990-f777b64f37de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25F6CAA3</paraID>
      <start>6</start>
      <end>7</end>
      <status>modified</status>
      <modifiedWord>—</modifiedWord>
      <trackRevisions>false</trackRevisions>
    </reviewItem>
    <reviewItem>
      <errorID>8263f154-d26b-4c3b-a7a6-7642aee4d257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41DB7CE8</paraID>
      <start>6</start>
      <end>7</end>
      <status>modified</status>
      <modifiedWord>—</modifiedWord>
      <trackRevisions>false</trackRevisions>
    </reviewItem>
    <reviewItem>
      <errorID>424f9648-7364-44bc-bf3d-56b53d56ead9</errorID>
      <errorWord>、</errorWord>
      <group>L1_Punc</group>
      <groupName>标点问题</groupName>
      <ability>L2_Punc</ability>
      <abilityName>标点符号检查</abilityName>
      <candidateList/>
      <explain/>
      <paraID>735590ED</paraID>
      <start>0</start>
      <end>1</end>
      <status>ignored</status>
      <modifiedWord/>
      <trackRevisions>false</trackRevisions>
    </reviewItem>
    <reviewItem>
      <errorID>4e807f36-c1e0-4232-9bed-dd26271a41a3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585486E6</paraID>
      <start>6</start>
      <end>7</end>
      <status>modified</status>
      <modifiedWord>—</modifiedWord>
      <trackRevisions>false</trackRevisions>
    </reviewItem>
    <reviewItem>
      <errorID>ead03446-c44b-471b-bdd7-7f053c5250bc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4C45BF94</paraID>
      <start>6</start>
      <end>7</end>
      <status>modified</status>
      <modifiedWord>—</modifiedWord>
      <trackRevisions>false</trackRevisions>
    </reviewItem>
    <reviewItem>
      <errorID>8512f55a-f3a0-4c9b-a49b-2b9f77a51352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1AE94041</paraID>
      <start>6</start>
      <end>7</end>
      <status>modified</status>
      <modifiedWord>—</modifiedWord>
      <trackRevisions>false</trackRevisions>
    </reviewItem>
    <reviewItem>
      <errorID>ef41179a-47c0-4f55-9b68-a113d1f5848c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5DDFE54</paraID>
      <start>16</start>
      <end>17</end>
      <status>modified</status>
      <modifiedWord>—</modifiedWord>
      <trackRevisions>false</trackRevisions>
    </reviewItem>
    <reviewItem>
      <errorID>87ddfbc9-ea94-4b2e-bc44-c6e65b766585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1E24E7A1</paraID>
      <start>0</start>
      <end>2</end>
      <status>modified</status>
      <modifiedWord>1.</modifiedWord>
      <trackRevisions>false</trackRevisions>
    </reviewItem>
    <reviewItem>
      <errorID>68a57dbf-e4e4-4859-8e79-e42849647e52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72214593</paraID>
      <start>80</start>
      <end>81</end>
      <status>modified</status>
      <modifiedWord>—</modifiedWord>
      <trackRevisions>false</trackRevisions>
    </reviewItem>
    <reviewItem>
      <errorID>0acbdc12-a00a-449d-aac5-c434fe255b39</errorID>
      <errorWord>程</errorWord>
      <group>L1_Word</group>
      <groupName>字词问题</groupName>
      <ability>L2_Typo</ability>
      <abilityName>字词错误</abilityName>
      <candidateList>
        <item>程中</item>
      </candidateList>
      <explain/>
      <paraID>2586419C</paraID>
      <start>55</start>
      <end>57</end>
      <status>modified</status>
      <modifiedWord>程中</modifiedWord>
      <trackRevisions>false</trackRevisions>
    </reviewItem>
    <reviewItem>
      <errorID>8917f2cc-5d2e-436f-a3ed-7515746606d1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2BD15215</paraID>
      <start>0</start>
      <end>2</end>
      <status>modified</status>
      <modifiedWord>2.</modifiedWord>
      <trackRevisions>false</trackRevisions>
    </reviewItem>
    <reviewItem>
      <errorID>e41c813d-f659-46d2-a791-3f5735aaf408</errorID>
      <errorWord>程</errorWord>
      <group>L1_Word</group>
      <groupName>字词问题</groupName>
      <ability>L2_Typo</ability>
      <abilityName>字词错误</abilityName>
      <candidateList>
        <item>程中</item>
      </candidateList>
      <explain/>
      <paraID>3B220EBE</paraID>
      <start>57</start>
      <end>59</end>
      <status>modified</status>
      <modifiedWord>程中</modifiedWord>
      <trackRevisions>false</trackRevisions>
    </reviewItem>
    <reviewItem>
      <errorID>f2db39cd-c9dd-48f0-82c0-e9cce8509488</errorID>
      <errorWord>－</errorWord>
      <group>L1_Format</group>
      <groupName>格式问题</groupName>
      <ability>L2_HalfPunc</ability>
      <abilityName>全半角检查</abilityName>
      <candidateList>
        <item>-</item>
      </candidateList>
      <explain>文本全半角错误。</explain>
      <paraID>186C7DED</paraID>
      <start>9</start>
      <end>10</end>
      <status>modified</status>
      <modifiedWord>-</modifiedWord>
      <trackRevisions>false</trackRevisions>
    </reviewItem>
    <reviewItem>
      <errorID>99b869d9-13c4-4338-90b9-2f968fdd9b8a</errorID>
      <errorWord>－</errorWord>
      <group>L1_Format</group>
      <groupName>格式问题</groupName>
      <ability>L2_HalfPunc</ability>
      <abilityName>全半角检查</abilityName>
      <candidateList>
        <item>-</item>
      </candidateList>
      <explain>文本全半角错误。</explain>
      <paraID>186C7DED</paraID>
      <start>15</start>
      <end>16</end>
      <status>modified</status>
      <modifiedWord>-</modifiedWord>
      <trackRevisions>false</trackRevisions>
    </reviewItem>
    <reviewItem>
      <errorID>e3eb900e-02c1-40b3-a493-b2eabc25b259</errorID>
      <errorWord>)</errorWord>
      <group>L1_Format</group>
      <groupName>格式问题</groupName>
      <ability>L2_HalfPunc</ability>
      <abilityName>全半角检查</abilityName>
      <candidateList>
        <item>）</item>
      </candidateList>
      <explain>文本全半角错误。</explain>
      <paraID>601D3182</paraID>
      <start>28</start>
      <end>29</end>
      <status>modified</status>
      <modifiedWord>）</modifiedWord>
      <trackRevisions>false</trackRevisions>
    </reviewItem>
    <reviewItem>
      <errorID>5454123b-5ca3-41b8-93eb-94013f26f119</errorID>
      <errorWord>)</errorWord>
      <group>L1_Format</group>
      <groupName>格式问题</groupName>
      <ability>L2_HalfPunc</ability>
      <abilityName>全半角检查</abilityName>
      <candidateList>
        <item>）</item>
      </candidateList>
      <explain>文本全半角错误。</explain>
      <paraID>2E310448</paraID>
      <start>18</start>
      <end>19</end>
      <status>modified</status>
      <modifiedWord>）</modifiedWord>
      <trackRevisions>false</trackRevisions>
    </reviewItem>
    <reviewItem>
      <errorID>fd77542f-88ce-4f13-a3dc-5134d7cea023</errorID>
      <errorWord>)</errorWord>
      <group>L1_Format</group>
      <groupName>格式问题</groupName>
      <ability>L2_HalfPunc</ability>
      <abilityName>全半角检查</abilityName>
      <candidateList>
        <item>）</item>
      </candidateList>
      <explain>文本全半角错误。</explain>
      <paraID> FDA4F64</paraID>
      <start>28</start>
      <end>29</end>
      <status>modified</status>
      <modifiedWord>）</modifiedWord>
      <trackRevisions>false</trackRevisions>
    </reviewItem>
    <reviewItem>
      <errorID>4f611110-31be-4a58-baab-834879f79e0e</errorID>
      <errorWord>)</errorWord>
      <group>L1_Format</group>
      <groupName>格式问题</groupName>
      <ability>L2_HalfPunc</ability>
      <abilityName>全半角检查</abilityName>
      <candidateList>
        <item>）</item>
      </candidateList>
      <explain>文本全半角错误。</explain>
      <paraID> FDA4F64</paraID>
      <start>84</start>
      <end>85</end>
      <status>modified</status>
      <modifiedWord>）</modifiedWord>
      <trackRevisions>false</trackRevisions>
    </reviewItem>
    <reviewItem>
      <errorID>c8291769-ee69-4bcf-b613-78407ad79e2d</errorID>
      <errorWord>)</errorWord>
      <group>L1_Format</group>
      <groupName>格式问题</groupName>
      <ability>L2_HalfPunc</ability>
      <abilityName>全半角检查</abilityName>
      <candidateList>
        <item>）</item>
      </candidateList>
      <explain>文本全半角错误。</explain>
      <paraID>3A3D584E</paraID>
      <start>69</start>
      <end>70</end>
      <status>modified</status>
      <modifiedWord>）</modifiedWord>
      <trackRevisions>false</trackRevisions>
    </reviewItem>
    <reviewItem>
      <errorID>9c507ee3-7cda-4c43-90bb-fa467054e504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167DE26A</paraID>
      <start>10</start>
      <end>11</end>
      <status>modified</status>
      <modifiedWord>地</modifiedWord>
      <trackRevisions>false</trackRevisions>
    </reviewItem>
    <reviewItem>
      <errorID>c6696bab-5a16-470f-99ab-485485e198fe</errorID>
      <errorWord>程</errorWord>
      <group>L1_Word</group>
      <groupName>字词问题</groupName>
      <ability>L2_Typo</ability>
      <abilityName>字词错误</abilityName>
      <candidateList>
        <item>程中</item>
      </candidateList>
      <explain/>
      <paraID>17D1D31F</paraID>
      <start>28</start>
      <end>30</end>
      <status>modified</status>
      <modifiedWord>程中</modifiedWord>
      <trackRevisions>false</trackRevisions>
    </reviewItem>
    <reviewItem>
      <errorID>88a34322-d70e-4b58-bf29-7acb850972f1</errorID>
      <errorWord>要</errorWord>
      <group>L1_Word</group>
      <groupName>字词问题</groupName>
      <ability>L2_Typo</ability>
      <abilityName>字词错误</abilityName>
      <candidateList>
        <item>要是</item>
      </candidateList>
      <explain/>
      <paraID> 202F96C</paraID>
      <start>8</start>
      <end>10</end>
      <status>modified</status>
      <modifiedWord>要是</modifiedWord>
      <trackRevisions>false</trackRevisions>
    </reviewItem>
    <reviewItem>
      <errorID>26aff383-33f2-4df6-b838-47334abc66b7</errorID>
      <errorWord>(</errorWord>
      <group>L1_Format</group>
      <groupName>格式问题</groupName>
      <ability>L2_HalfPunc</ability>
      <abilityName>全半角检查</abilityName>
      <candidateList>
        <item>（</item>
      </candidateList>
      <explain>文本全半角错误。</explain>
      <paraID>2C395807</paraID>
      <start>3</start>
      <end>4</end>
      <status>modified</status>
      <modifiedWord>（</modifiedWord>
      <trackRevisions>false</trackRevisions>
    </reviewItem>
    <reviewItem>
      <errorID>35252ecc-dc99-4b20-8c48-62c89ef924d3</errorID>
      <errorWord>)</errorWord>
      <group>L1_Format</group>
      <groupName>格式问题</groupName>
      <ability>L2_HalfPunc</ability>
      <abilityName>全半角检查</abilityName>
      <candidateList>
        <item>）</item>
      </candidateList>
      <explain>文本全半角错误。</explain>
      <paraID>2C395807</paraID>
      <start>9</start>
      <end>10</end>
      <status>modified</status>
      <modifiedWord>）</modifiedWord>
      <trackRevisions>false</trackRevisions>
    </reviewItem>
    <reviewItem>
      <errorID>13ce7ccc-17da-4e93-9f11-5f6dd8ef319e</errorID>
      <errorWord>限区</errorWord>
      <group>L1_Word</group>
      <groupName>字词问题</groupName>
      <ability>L2_Typo</ability>
      <abilityName>字词错误</abilityName>
      <candidateList>
        <item>辖区</item>
      </candidateList>
      <explain>存在发音相近字词的误用。</explain>
      <paraID>7588B943</paraID>
      <start>2</start>
      <end>4</end>
      <status>ignored</status>
      <modifiedWord/>
      <trackRevisions>false</trackRevisions>
    </reviewItem>
    <reviewItem>
      <errorID>42fb435f-6f02-4848-a9e1-8cd8f617c94d</errorID>
      <errorWord>(</errorWord>
      <group>L1_Format</group>
      <groupName>格式问题</groupName>
      <ability>L2_HalfPunc</ability>
      <abilityName>全半角检查</abilityName>
      <candidateList>
        <item>（</item>
      </candidateList>
      <explain>文本全半角错误。</explain>
      <paraID>23018A34</paraID>
      <start>8</start>
      <end>9</end>
      <status>modified</status>
      <modifiedWord>（</modifiedWord>
      <trackRevisions>false</trackRevisions>
    </reviewItem>
    <reviewItem>
      <errorID>9891ea70-1618-4dcb-adba-eea9c36c5ee7</errorID>
      <errorWord>)</errorWord>
      <group>L1_Format</group>
      <groupName>格式问题</groupName>
      <ability>L2_HalfPunc</ability>
      <abilityName>全半角检查</abilityName>
      <candidateList>
        <item>）</item>
      </candidateList>
      <explain>文本全半角错误。</explain>
      <paraID>23018A34</paraID>
      <start>21</start>
      <end>22</end>
      <status>modified</status>
      <modifiedWord>）</modifiedWord>
      <trackRevisions>false</trackRevisions>
    </reviewItem>
    <reviewItem>
      <errorID>fa94111a-f7ab-4ac5-a3ca-3a3d7b5e40bd</errorID>
      <errorWord>限区</errorWord>
      <group>L1_Word</group>
      <groupName>字词问题</groupName>
      <ability>L2_Typo</ability>
      <abilityName>字词错误</abilityName>
      <candidateList>
        <item>辖区</item>
      </candidateList>
      <explain>存在发音相近字词的误用。</explain>
      <paraID>1315CBB3</paraID>
      <start>2</start>
      <end>4</end>
      <status>ignored</status>
      <modifiedWord/>
      <trackRevisions>false</trackRevisions>
    </reviewItem>
    <reviewItem>
      <errorID>c933673f-7d8a-4ee1-803b-612c90a08726</errorID>
      <errorWord>(</errorWord>
      <group>L1_Format</group>
      <groupName>格式问题</groupName>
      <ability>L2_HalfPunc</ability>
      <abilityName>全半角检查</abilityName>
      <candidateList>
        <item>（</item>
      </candidateList>
      <explain>文本全半角错误。</explain>
      <paraID>6CF226F0</paraID>
      <start>8</start>
      <end>9</end>
      <status>modified</status>
      <modifiedWord>（</modifiedWord>
      <trackRevisions>false</trackRevisions>
    </reviewItem>
    <reviewItem>
      <errorID>244caf2c-d3e2-4573-b0f6-dd8fb11eb0c5</errorID>
      <errorWord>)</errorWord>
      <group>L1_Format</group>
      <groupName>格式问题</groupName>
      <ability>L2_HalfPunc</ability>
      <abilityName>全半角检查</abilityName>
      <candidateList>
        <item>）</item>
      </candidateList>
      <explain>文本全半角错误。</explain>
      <paraID>6CF226F0</paraID>
      <start>21</start>
      <end>22</end>
      <status>modified</status>
      <modifiedWord>）</modifiedWord>
      <trackRevisions>false</trackRevisions>
    </reviewItem>
    <reviewItem>
      <errorID>8effcc8b-f28c-4600-a405-1b04e80866e7</errorID>
      <errorWord>限区</errorWord>
      <group>L1_Word</group>
      <groupName>字词问题</groupName>
      <ability>L2_Typo</ability>
      <abilityName>字词错误</abilityName>
      <candidateList>
        <item>辖区</item>
      </candidateList>
      <explain>存在发音相近字词的误用。</explain>
      <paraID>6E43D033</paraID>
      <start>2</start>
      <end>4</end>
      <status>ignored</status>
      <modifiedWord/>
      <trackRevisions>false</trackRevisions>
    </reviewItem>
    <reviewItem>
      <errorID>0f9f64c9-8468-496c-bdd4-460e17b8475a</errorID>
      <errorWord>(</errorWord>
      <group>L1_Format</group>
      <groupName>格式问题</groupName>
      <ability>L2_HalfPunc</ability>
      <abilityName>全半角检查</abilityName>
      <candidateList>
        <item>（</item>
      </candidateList>
      <explain>文本全半角错误。</explain>
      <paraID> D0B9BAC</paraID>
      <start>8</start>
      <end>9</end>
      <status>modified</status>
      <modifiedWord>（</modifiedWord>
      <trackRevisions>false</trackRevisions>
    </reviewItem>
    <reviewItem>
      <errorID>be91611e-16e4-42d0-98cd-ab6dfc86458b</errorID>
      <errorWord>)</errorWord>
      <group>L1_Format</group>
      <groupName>格式问题</groupName>
      <ability>L2_HalfPunc</ability>
      <abilityName>全半角检查</abilityName>
      <candidateList>
        <item>）</item>
      </candidateList>
      <explain>文本全半角错误。</explain>
      <paraID> D0B9BAC</paraID>
      <start>21</start>
      <end>22</end>
      <status>modified</status>
      <modifiedWord>）</modifiedWord>
      <trackRevisions>false</trackRevisions>
    </reviewItem>
    <reviewItem>
      <errorID>58d60158-f88a-4e5e-a0c2-7bb9c341479a</errorID>
      <errorWord>限区</errorWord>
      <group>L1_Word</group>
      <groupName>字词问题</groupName>
      <ability>L2_Typo</ability>
      <abilityName>字词错误</abilityName>
      <candidateList>
        <item>辖区</item>
      </candidateList>
      <explain>存在发音相近字词的误用。</explain>
      <paraID>24363BA7</paraID>
      <start>2</start>
      <end>4</end>
      <status>ignored</status>
      <modifiedWord/>
      <trackRevisions>false</trackRevisions>
    </reviewItem>
    <reviewItem>
      <errorID>1d59563a-a717-4172-b0d8-cd0596ed179f</errorID>
      <errorWord>限区</errorWord>
      <group>L1_Word</group>
      <groupName>字词问题</groupName>
      <ability>L2_Typo</ability>
      <abilityName>字词错误</abilityName>
      <candidateList>
        <item>辖区</item>
      </candidateList>
      <explain>存在发音相近字词的误用。</explain>
      <paraID>348B02C8</paraID>
      <start>2</start>
      <end>4</end>
      <status>ignored</status>
      <modifiedWord/>
      <trackRevisions>false</trackRevisions>
    </reviewItem>
    <reviewItem>
      <errorID>f6d5426a-d076-434f-8293-6247cfd1fd1a</errorID>
      <errorWord>(</errorWord>
      <group>L1_Format</group>
      <groupName>格式问题</groupName>
      <ability>L2_HalfPunc</ability>
      <abilityName>全半角检查</abilityName>
      <candidateList>
        <item>（</item>
      </candidateList>
      <explain>文本全半角错误。</explain>
      <paraID>640BB7FA</paraID>
      <start>3</start>
      <end>4</end>
      <status>modified</status>
      <modifiedWord>（</modifiedWord>
      <trackRevisions>false</trackRevisions>
    </reviewItem>
    <reviewItem>
      <errorID>4226c3d5-4c26-4621-9cd5-82c6f948b91b</errorID>
      <errorWord>)</errorWord>
      <group>L1_Format</group>
      <groupName>格式问题</groupName>
      <ability>L2_HalfPunc</ability>
      <abilityName>全半角检查</abilityName>
      <candidateList>
        <item>）</item>
      </candidateList>
      <explain>文本全半角错误。</explain>
      <paraID>640BB7FA</paraID>
      <start>9</start>
      <end>10</end>
      <status>modified</status>
      <modifiedWord>）</modifiedWord>
      <trackRevisions>false</trackRevisions>
    </reviewItem>
    <reviewItem>
      <errorID>35294d3e-11ad-4624-9367-4236f04d9554</errorID>
      <errorWord>(</errorWord>
      <group>L1_Format</group>
      <groupName>格式问题</groupName>
      <ability>L2_HalfPunc</ability>
      <abilityName>全半角检查</abilityName>
      <candidateList>
        <item>（</item>
      </candidateList>
      <explain>文本全半角错误。</explain>
      <paraID>1536A0BE</paraID>
      <start>7</start>
      <end>8</end>
      <status>modified</status>
      <modifiedWord>（</modifiedWord>
      <trackRevisions>false</trackRevisions>
    </reviewItem>
    <reviewItem>
      <errorID>f66b19a8-6c93-491f-b4fc-0f6b553bbf82</errorID>
      <errorWord>)</errorWord>
      <group>L1_Format</group>
      <groupName>格式问题</groupName>
      <ability>L2_HalfPunc</ability>
      <abilityName>全半角检查</abilityName>
      <candidateList>
        <item>）</item>
      </candidateList>
      <explain>文本全半角错误。</explain>
      <paraID>1536A0BE</paraID>
      <start>9</start>
      <end>10</end>
      <status>modified</status>
      <modifiedWord>）</modifiedWord>
      <trackRevisions>false</trackRevisions>
    </reviewItem>
    <reviewItem>
      <errorID>61969aa9-f6d8-43b1-80cc-11c1e89a4325</errorID>
      <errorWord>(</errorWord>
      <group>L1_Format</group>
      <groupName>格式问题</groupName>
      <ability>L2_HalfPunc</ability>
      <abilityName>全半角检查</abilityName>
      <candidateList>
        <item>（</item>
      </candidateList>
      <explain>文本全半角错误。</explain>
      <paraID>63690CC5</paraID>
      <start>4</start>
      <end>5</end>
      <status>modified</status>
      <modifiedWord>（</modifiedWord>
      <trackRevisions>false</trackRevisions>
    </reviewItem>
    <reviewItem>
      <errorID>9d767cc0-a319-4edd-8a1f-9c5ddf568f15</errorID>
      <errorWord>)</errorWord>
      <group>L1_Format</group>
      <groupName>格式问题</groupName>
      <ability>L2_HalfPunc</ability>
      <abilityName>全半角检查</abilityName>
      <candidateList>
        <item>）</item>
      </candidateList>
      <explain>文本全半角错误。</explain>
      <paraID>63690CC5</paraID>
      <start>10</start>
      <end>11</end>
      <status>modified</status>
      <modifiedWord>）</modifiedWord>
      <trackRevisions>false</trackRevisions>
    </reviewItem>
    <reviewItem>
      <errorID>b8e07aaa-9ae7-4b59-96cc-3afd7a69a553</errorID>
      <errorWord>(</errorWord>
      <group>L1_Format</group>
      <groupName>格式问题</groupName>
      <ability>L2_HalfPunc</ability>
      <abilityName>全半角检查</abilityName>
      <candidateList>
        <item>（</item>
      </candidateList>
      <explain>文本全半角错误。</explain>
      <paraID> 236BDE1</paraID>
      <start>5</start>
      <end>6</end>
      <status>modified</status>
      <modifiedWord>（</modifiedWord>
      <trackRevisions>false</trackRevisions>
    </reviewItem>
    <reviewItem>
      <errorID>a08de39e-5483-4a3a-9306-77c2a829498e</errorID>
      <errorWord>)</errorWord>
      <group>L1_Format</group>
      <groupName>格式问题</groupName>
      <ability>L2_HalfPunc</ability>
      <abilityName>全半角检查</abilityName>
      <candidateList>
        <item>）</item>
      </candidateList>
      <explain>文本全半角错误。</explain>
      <paraID> 236BDE1</paraID>
      <start>11</start>
      <end>12</end>
      <status>modified</status>
      <modifiedWord>）</modifiedWord>
      <trackRevisions>false</trackRevisions>
    </reviewItem>
    <reviewItem>
      <errorID>72e6f653-2993-4a76-a96b-873cc5e346ba</errorID>
      <errorWord>(</errorWord>
      <group>L1_Format</group>
      <groupName>格式问题</groupName>
      <ability>L2_HalfPunc</ability>
      <abilityName>全半角检查</abilityName>
      <candidateList>
        <item>（</item>
      </candidateList>
      <explain>文本全半角错误。</explain>
      <paraID> 9770FEE</paraID>
      <start>6</start>
      <end>7</end>
      <status>modified</status>
      <modifiedWord>（</modifiedWord>
      <trackRevisions>false</trackRevisions>
    </reviewItem>
    <reviewItem>
      <errorID>69f6337b-19d3-4dfb-a7ea-5596d4b53f85</errorID>
      <errorWord>)</errorWord>
      <group>L1_Format</group>
      <groupName>格式问题</groupName>
      <ability>L2_HalfPunc</ability>
      <abilityName>全半角检查</abilityName>
      <candidateList>
        <item>）</item>
      </candidateList>
      <explain>文本全半角错误。</explain>
      <paraID> 9770FEE</paraID>
      <start>8</start>
      <end>9</end>
      <status>modified</status>
      <modifiedWord>）</modifiedWord>
      <trackRevisions>false</trackRevisions>
    </reviewItem>
    <reviewItem>
      <errorID>a275f82d-b619-4178-9730-42dc1cd06836</errorID>
      <errorWord>(</errorWord>
      <group>L1_Format</group>
      <groupName>格式问题</groupName>
      <ability>L2_HalfPunc</ability>
      <abilityName>全半角检查</abilityName>
      <candidateList>
        <item>（</item>
      </candidateList>
      <explain>文本全半角错误。</explain>
      <paraID>42AAC7D5</paraID>
      <start>5</start>
      <end>6</end>
      <status>modified</status>
      <modifiedWord>（</modifiedWord>
      <trackRevisions>false</trackRevisions>
    </reviewItem>
    <reviewItem>
      <errorID>4845ca0f-a3c6-45e8-87e9-c4120b7cbc0f</errorID>
      <errorWord>)</errorWord>
      <group>L1_Format</group>
      <groupName>格式问题</groupName>
      <ability>L2_HalfPunc</ability>
      <abilityName>全半角检查</abilityName>
      <candidateList>
        <item>）</item>
      </candidateList>
      <explain>文本全半角错误。</explain>
      <paraID>42AAC7D5</paraID>
      <start>11</start>
      <end>12</end>
      <status>modified</status>
      <modifiedWord>）</modifiedWord>
      <trackRevisions>false</trackRevisions>
    </reviewItem>
    <reviewItem>
      <errorID>884b712b-b521-4cab-bfe6-d514ca2da029</errorID>
      <errorWord>(</errorWord>
      <group>L1_Format</group>
      <groupName>格式问题</groupName>
      <ability>L2_HalfPunc</ability>
      <abilityName>全半角检查</abilityName>
      <candidateList>
        <item>（</item>
      </candidateList>
      <explain>文本全半角错误。</explain>
      <paraID> F7A5E46</paraID>
      <start>6</start>
      <end>7</end>
      <status>modified</status>
      <modifiedWord>（</modifiedWord>
      <trackRevisions>false</trackRevisions>
    </reviewItem>
    <reviewItem>
      <errorID>a94377d2-dabe-494a-9f82-27f96e613774</errorID>
      <errorWord>)</errorWord>
      <group>L1_Format</group>
      <groupName>格式问题</groupName>
      <ability>L2_HalfPunc</ability>
      <abilityName>全半角检查</abilityName>
      <candidateList>
        <item>）</item>
      </candidateList>
      <explain>文本全半角错误。</explain>
      <paraID> F7A5E46</paraID>
      <start>8</start>
      <end>9</end>
      <status>modified</status>
      <modifiedWord>）</modifiedWord>
      <trackRevisions>false</trackRevisions>
    </reviewItem>
    <reviewItem>
      <errorID>0b055605-d643-404e-aa07-bc168b2731d8</errorID>
      <errorWord>(</errorWord>
      <group>L1_Format</group>
      <groupName>格式问题</groupName>
      <ability>L2_HalfPunc</ability>
      <abilityName>全半角检查</abilityName>
      <candidateList>
        <item>（</item>
      </candidateList>
      <explain>文本全半角错误。</explain>
      <paraID>226AEE76</paraID>
      <start>6</start>
      <end>7</end>
      <status>modified</status>
      <modifiedWord>（</modifiedWord>
      <trackRevisions>false</trackRevisions>
    </reviewItem>
    <reviewItem>
      <errorID>4f78b16f-857e-4ed8-9cd3-e0109b6ecd64</errorID>
      <errorWord>)</errorWord>
      <group>L1_Format</group>
      <groupName>格式问题</groupName>
      <ability>L2_HalfPunc</ability>
      <abilityName>全半角检查</abilityName>
      <candidateList>
        <item>）</item>
      </candidateList>
      <explain>文本全半角错误。</explain>
      <paraID>226AEE76</paraID>
      <start>12</start>
      <end>13</end>
      <status>modified</status>
      <modifiedWord>）</modifiedWord>
      <trackRevisions>false</trackRevisions>
    </reviewItem>
    <reviewItem>
      <errorID>f5af7dc1-7309-43b1-bf6d-df68751ac2dc</errorID>
      <errorWord>(</errorWord>
      <group>L1_Format</group>
      <groupName>格式问题</groupName>
      <ability>L2_HalfPunc</ability>
      <abilityName>全半角检查</abilityName>
      <candidateList>
        <item>（</item>
      </candidateList>
      <explain>文本全半角错误。</explain>
      <paraID>14AC9A04</paraID>
      <start>7</start>
      <end>8</end>
      <status>modified</status>
      <modifiedWord>（</modifiedWord>
      <trackRevisions>false</trackRevisions>
    </reviewItem>
    <reviewItem>
      <errorID>9651d389-6107-486e-b859-f0738bc3cdc0</errorID>
      <errorWord>)</errorWord>
      <group>L1_Format</group>
      <groupName>格式问题</groupName>
      <ability>L2_HalfPunc</ability>
      <abilityName>全半角检查</abilityName>
      <candidateList>
        <item>）</item>
      </candidateList>
      <explain>文本全半角错误。</explain>
      <paraID>14AC9A04</paraID>
      <start>9</start>
      <end>10</end>
      <status>modified</status>
      <modifiedWord>）</modifiedWord>
      <trackRevisions>false</trackRevisions>
    </reviewItem>
    <reviewItem>
      <errorID>50ed73fd-22c7-4135-91b1-db7dd899e0d3</errorID>
      <errorWord>(</errorWord>
      <group>L1_Format</group>
      <groupName>格式问题</groupName>
      <ability>L2_HalfPunc</ability>
      <abilityName>全半角检查</abilityName>
      <candidateList>
        <item>（</item>
      </candidateList>
      <explain>文本全半角错误。</explain>
      <paraID>6446704E</paraID>
      <start>5</start>
      <end>6</end>
      <status>modified</status>
      <modifiedWord>（</modifiedWord>
      <trackRevisions>false</trackRevisions>
    </reviewItem>
    <reviewItem>
      <errorID>231a973b-2ec7-4af4-9599-cc80e7394237</errorID>
      <errorWord>)</errorWord>
      <group>L1_Format</group>
      <groupName>格式问题</groupName>
      <ability>L2_HalfPunc</ability>
      <abilityName>全半角检查</abilityName>
      <candidateList>
        <item>）</item>
      </candidateList>
      <explain>文本全半角错误。</explain>
      <paraID>6446704E</paraID>
      <start>11</start>
      <end>12</end>
      <status>modified</status>
      <modifiedWord>）</modifiedWord>
      <trackRevisions>false</trackRevisions>
    </reviewItem>
    <reviewItem>
      <errorID>7ce01e82-4f49-4e81-ae15-4879960f02da</errorID>
      <errorWord>(</errorWord>
      <group>L1_Format</group>
      <groupName>格式问题</groupName>
      <ability>L2_HalfPunc</ability>
      <abilityName>全半角检查</abilityName>
      <candidateList>
        <item>（</item>
      </candidateList>
      <explain>文本全半角错误。</explain>
      <paraID>34592D65</paraID>
      <start>6</start>
      <end>7</end>
      <status>modified</status>
      <modifiedWord>（</modifiedWord>
      <trackRevisions>false</trackRevisions>
    </reviewItem>
    <reviewItem>
      <errorID>f70fed1a-dd7f-4ba7-a3eb-757b6a711ab6</errorID>
      <errorWord>)</errorWord>
      <group>L1_Format</group>
      <groupName>格式问题</groupName>
      <ability>L2_HalfPunc</ability>
      <abilityName>全半角检查</abilityName>
      <candidateList>
        <item>）</item>
      </candidateList>
      <explain>文本全半角错误。</explain>
      <paraID>34592D65</paraID>
      <start>8</start>
      <end>9</end>
      <status>modified</status>
      <modifiedWord>）</modifiedWord>
      <trackRevisions>false</trackRevisions>
    </reviewItem>
    <reviewItem>
      <errorID>ece61941-c8ae-4d28-8bba-7792af681930</errorID>
      <errorWord>(</errorWord>
      <group>L1_Format</group>
      <groupName>格式问题</groupName>
      <ability>L2_HalfPunc</ability>
      <abilityName>全半角检查</abilityName>
      <candidateList>
        <item>（</item>
      </candidateList>
      <explain>文本全半角错误。</explain>
      <paraID>6A1471E1</paraID>
      <start>5</start>
      <end>6</end>
      <status>modified</status>
      <modifiedWord>（</modifiedWord>
      <trackRevisions>false</trackRevisions>
    </reviewItem>
    <reviewItem>
      <errorID>93fd8e05-5cd9-4753-8b49-12118c4edc4f</errorID>
      <errorWord>)</errorWord>
      <group>L1_Format</group>
      <groupName>格式问题</groupName>
      <ability>L2_HalfPunc</ability>
      <abilityName>全半角检查</abilityName>
      <candidateList>
        <item>）</item>
      </candidateList>
      <explain>文本全半角错误。</explain>
      <paraID>6A1471E1</paraID>
      <start>11</start>
      <end>12</end>
      <status>modified</status>
      <modifiedWord>）</modifiedWord>
      <trackRevisions>false</trackRevisions>
    </reviewItem>
    <reviewItem>
      <errorID>89e2244f-3a2c-4ffa-831e-9599f1594ee8</errorID>
      <errorWord>(</errorWord>
      <group>L1_Format</group>
      <groupName>格式问题</groupName>
      <ability>L2_HalfPunc</ability>
      <abilityName>全半角检查</abilityName>
      <candidateList>
        <item>（</item>
      </candidateList>
      <explain>文本全半角错误。</explain>
      <paraID>77A05455</paraID>
      <start>6</start>
      <end>7</end>
      <status>modified</status>
      <modifiedWord>（</modifiedWord>
      <trackRevisions>false</trackRevisions>
    </reviewItem>
    <reviewItem>
      <errorID>2a1eb39c-fbdf-4bbb-b185-64f37a07b04f</errorID>
      <errorWord>)</errorWord>
      <group>L1_Format</group>
      <groupName>格式问题</groupName>
      <ability>L2_HalfPunc</ability>
      <abilityName>全半角检查</abilityName>
      <candidateList>
        <item>）</item>
      </candidateList>
      <explain>文本全半角错误。</explain>
      <paraID>77A05455</paraID>
      <start>8</start>
      <end>9</end>
      <status>modified</status>
      <modifiedWord>）</modifiedWord>
      <trackRevisions>false</trackRevisions>
    </reviewItem>
    <reviewItem>
      <errorID>b0db0ded-db85-4359-b8ab-ed109ed77728</errorID>
      <errorWord>(</errorWord>
      <group>L1_Format</group>
      <groupName>格式问题</groupName>
      <ability>L2_HalfPunc</ability>
      <abilityName>全半角检查</abilityName>
      <candidateList>
        <item>（</item>
      </candidateList>
      <explain>文本全半角错误。</explain>
      <paraID>3F8CA2E6</paraID>
      <start>186</start>
      <end>187</end>
      <status>modified</status>
      <modifiedWord>（</modifiedWord>
      <trackRevisions>false</trackRevisions>
    </reviewItem>
    <reviewItem>
      <errorID>88218cbf-6c91-4d9c-bcef-17ec3c5e0266</errorID>
      <errorWord>)</errorWord>
      <group>L1_Format</group>
      <groupName>格式问题</groupName>
      <ability>L2_HalfPunc</ability>
      <abilityName>全半角检查</abilityName>
      <candidateList>
        <item>）</item>
      </candidateList>
      <explain>文本全半角错误。</explain>
      <paraID>3F8CA2E6</paraID>
      <start>199</start>
      <end>200</end>
      <status>modified</status>
      <modifiedWord>）</modifiedWord>
      <trackRevisions>false</trackRevisions>
    </reviewItem>
    <reviewItem>
      <errorID>d79229a3-9553-48ca-b41d-997d15f40a16</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7A6A47F8</paraID>
      <start>201</start>
      <end>204</end>
      <status>ignored</status>
      <modifiedWord/>
      <trackRevisions>false</trackRevisions>
    </reviewItem>
    <reviewItem>
      <errorID>9dd3bbe8-b10c-48a1-b2b3-e9725badc2bf</errorID>
      <errorWord>综合症</errorWord>
      <group>L1_Word</group>
      <groupName>字词问题</groupName>
      <ability>L2_Typo</ability>
      <abilityName>字词错误</abilityName>
      <candidateList>
        <item>综合征</item>
      </candidateList>
      <explain/>
      <paraID>2AD7BB9A</paraID>
      <start>193</start>
      <end>196</end>
      <status>ignored</status>
      <modifiedWord/>
      <trackRevisions>false</trackRevisions>
    </reviewItem>
    <reviewItem>
      <errorID>f2d2157f-fb93-4082-8476-8dc5d58d9bb0</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2AD7BB9A</paraID>
      <start>197</start>
      <end>201</end>
      <status>modified</status>
      <modifiedWord>自主神经</modifiedWord>
      <trackRevisions>false</trackRevisions>
    </reviewItem>
    <reviewItem>
      <errorID>0820900f-7503-4f3e-b466-9abeaecf903b</errorID>
      <errorWord>阀值</errorWord>
      <group>L1_Word</group>
      <groupName>字词问题</groupName>
      <ability>L2_Alias</ability>
      <abilityName>也作/曾用词</abilityName>
      <candidateList>
        <item>阈值</item>
      </candidateList>
      <explain>词汇[阀值]为不规范表述或旧称，其规范书面表述为[阈值]。</explain>
      <paraID>4DD00998</paraID>
      <start>155</start>
      <end>157</end>
      <status>modified</status>
      <modifiedWord>阈值</modifiedWord>
      <trackRevisions>false</trackRevisions>
    </reviewItem>
    <reviewItem>
      <errorID>24b5ec89-a519-4e0f-80ba-b414e1e2cd89</errorID>
      <errorWord>阀值</errorWord>
      <group>L1_Word</group>
      <groupName>字词问题</groupName>
      <ability>L2_Alias</ability>
      <abilityName>也作/曾用词</abilityName>
      <candidateList>
        <item>阈值</item>
      </candidateList>
      <explain>词汇[阀值]为不规范表述或旧称，其规范书面表述为[阈值]。</explain>
      <paraID>13E93539</paraID>
      <start>17</start>
      <end>19</end>
      <status>modified</status>
      <modifiedWord>阈值</modifiedWord>
      <trackRevisions>false</trackRevisions>
    </reviewItem>
    <reviewItem>
      <errorID>5323ea9f-4c17-4d22-b3b1-62536b296b56</errorID>
      <errorWord>阀值</errorWord>
      <group>L1_Word</group>
      <groupName>字词问题</groupName>
      <ability>L2_Alias</ability>
      <abilityName>也作/曾用词</abilityName>
      <candidateList>
        <item>阈值</item>
      </candidateList>
      <explain>词汇[阀值]为不规范表述或旧称，其规范书面表述为[阈值]。</explain>
      <paraID>18C58A41</paraID>
      <start>1</start>
      <end>3</end>
      <status>modified</status>
      <modifiedWord>阈值</modifiedWord>
      <trackRevisions>false</trackRevisions>
    </reviewItem>
    <reviewItem>
      <errorID>a0355c3b-acb5-48e7-889b-76dba4413b46</errorID>
      <errorWord>阀值</errorWord>
      <group>L1_Word</group>
      <groupName>字词问题</groupName>
      <ability>L2_Alias</ability>
      <abilityName>也作/曾用词</abilityName>
      <candidateList>
        <item>阈值</item>
      </candidateList>
      <explain>词汇[阀值]为不规范表述或旧称，其规范书面表述为[阈值]。</explain>
      <paraID>7156FD0C</paraID>
      <start>1</start>
      <end>3</end>
      <status>modified</status>
      <modifiedWord>阈值</modifiedWord>
      <trackRevisions>false</trackRevisions>
    </reviewItem>
    <reviewItem>
      <errorID>dac402ed-5e05-4e9b-8b17-19e32895198a</errorID>
      <errorWord>＜</errorWord>
      <group>L1_Format</group>
      <groupName>格式问题</groupName>
      <ability>L2_HalfPunc</ability>
      <abilityName>全半角检查</abilityName>
      <candidateList>
        <item>&lt;</item>
      </candidateList>
      <explain>文本全半角错误。</explain>
      <paraID>4597FDCB</paraID>
      <start>0</start>
      <end>1</end>
      <status>modified</status>
      <modifiedWord>&lt;</modifiedWord>
      <trackRevisions>false</trackRevisions>
    </reviewItem>
    <reviewItem>
      <errorID>dc4844d6-a70a-4cbb-bd0d-3cd06044ba45</errorID>
      <errorWord>＜</errorWord>
      <group>L1_Format</group>
      <groupName>格式问题</groupName>
      <ability>L2_HalfPunc</ability>
      <abilityName>全半角检查</abilityName>
      <candidateList>
        <item>&lt;</item>
      </candidateList>
      <explain>文本全半角错误。</explain>
      <paraID>56F3AECA</paraID>
      <start>0</start>
      <end>1</end>
      <status>modified</status>
      <modifiedWord>&lt;</modifiedWord>
      <trackRevisions>false</trackRevisions>
    </reviewItem>
    <reviewItem>
      <errorID>32623026-8f21-4fc9-84d5-4fa190cd4498</errorID>
      <errorWord>，</errorWord>
      <group>L1_Word</group>
      <groupName>字词问题</groupName>
      <ability>L2_Typo</ability>
      <abilityName>字词错误</abilityName>
      <candidateList>
        <item>，以</item>
      </candidateList>
      <explain/>
      <paraID>7C4B6F46</paraID>
      <start>31</start>
      <end>33</end>
      <status>modified</status>
      <modifiedWord>，以</modifiedWord>
      <trackRevisions>false</trackRevisions>
    </reviewItem>
    <reviewItem>
      <errorID>457cdb3f-1f6c-43b3-bbae-767c6a980efc</errorID>
      <errorWord>：</errorWord>
      <group>L1_Format</group>
      <groupName>格式问题</groupName>
      <ability>L2_HalfPunc</ability>
      <abilityName>全半角检查</abilityName>
      <candidateList>
        <item>:</item>
      </candidateList>
      <explain>文本全半角错误。</explain>
      <paraID>7C4B6F46</paraID>
      <start>253</start>
      <end>254</end>
      <status>modified</status>
      <modifiedWord>:</modifiedWord>
      <trackRevisions>false</trackRevisions>
    </reviewItem>
    <reviewItem>
      <errorID>02283013-13c3-446e-b4ab-94a376c27801</errorID>
      <errorWord>(</errorWord>
      <group>L1_Format</group>
      <groupName>格式问题</groupName>
      <ability>L2_HalfPunc</ability>
      <abilityName>全半角检查</abilityName>
      <candidateList>
        <item>（</item>
      </candidateList>
      <explain>文本全半角错误。</explain>
      <paraID>7C4B6F46</paraID>
      <start>443</start>
      <end>444</end>
      <status>modified</status>
      <modifiedWord>（</modifiedWord>
      <trackRevisions>false</trackRevisions>
    </reviewItem>
    <reviewItem>
      <errorID>ff05db19-c96a-4e0f-adb8-0a73ae174148</errorID>
      <errorWord>)</errorWord>
      <group>L1_Format</group>
      <groupName>格式问题</groupName>
      <ability>L2_HalfPunc</ability>
      <abilityName>全半角检查</abilityName>
      <candidateList>
        <item>）</item>
      </candidateList>
      <explain>文本全半角错误。</explain>
      <paraID>7C4B6F46</paraID>
      <start>456</start>
      <end>457</end>
      <status>modified</status>
      <modifiedWord>）</modifiedWord>
      <trackRevisions>false</trackRevisions>
    </reviewItem>
    <reviewItem>
      <errorID>8e98224d-45cd-4f1d-bf07-ca24f480a30c</errorID>
      <errorWord>级别的</errorWord>
      <group>L1_Word</group>
      <groupName>字词问题</groupName>
      <ability>L2_Typo</ability>
      <abilityName>字词错误</abilityName>
      <candidateList>
        <item>级别</item>
      </candidateList>
      <explain/>
      <paraID>7A10EEA9</paraID>
      <start>5</start>
      <end>7</end>
      <status>modified</status>
      <modifiedWord>级别</modifiedWord>
      <trackRevisions>false</trackRevisions>
    </reviewItem>
    <reviewItem>
      <errorID>c8f1476f-db56-4cd0-bee3-bf47f3b5b386</errorID>
      <errorWord>养殖厂</errorWord>
      <group>L1_Word</group>
      <groupName>字词问题</groupName>
      <ability>L2_Typo</ability>
      <abilityName>字词错误</abilityName>
      <candidateList>
        <item>养殖场</item>
      </candidateList>
      <explain/>
      <paraID>67A26D5F</paraID>
      <start>46</start>
      <end>49</end>
      <status>modified</status>
      <modifiedWord>养殖场</modifiedWord>
      <trackRevisions>false</trackRevisions>
    </reviewItem>
    <reviewItem>
      <errorID>a5e9f09b-9bb4-4e57-a75c-861354ab3d89</errorID>
      <errorWord>(</errorWord>
      <group>L1_Format</group>
      <groupName>格式问题</groupName>
      <ability>L2_HalfPunc</ability>
      <abilityName>全半角检查</abilityName>
      <candidateList>
        <item>（</item>
      </candidateList>
      <explain>文本全半角错误。</explain>
      <paraID>696F502A</paraID>
      <start>174</start>
      <end>175</end>
      <status>modified</status>
      <modifiedWord>（</modifiedWord>
      <trackRevisions>false</trackRevisions>
    </reviewItem>
    <reviewItem>
      <errorID>c50fc65f-345c-4da3-a1c7-024d2c2b07df</errorID>
      <errorWord>(</errorWord>
      <group>L1_Format</group>
      <groupName>格式问题</groupName>
      <ability>L2_HalfPunc</ability>
      <abilityName>全半角检查</abilityName>
      <candidateList>
        <item>（</item>
      </candidateList>
      <explain>文本全半角错误。</explain>
      <paraID>696F502A</paraID>
      <start>202</start>
      <end>203</end>
      <status>modified</status>
      <modifiedWord>（</modifiedWord>
      <trackRevisions>false</trackRevisions>
    </reviewItem>
    <reviewItem>
      <errorID>3ec5e721-c577-42a3-a5f7-f3224cc721d0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7B61A9AF</paraID>
      <start>3</start>
      <end>4</end>
      <status>modified</status>
      <modifiedWord>—</modifiedWord>
      <trackRevisions>false</trackRevisions>
    </reviewItem>
    <reviewItem>
      <errorID>24667c72-4a98-4ab9-88ef-ab80e969044c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133ED7E0</paraID>
      <start>3</start>
      <end>4</end>
      <status>modified</status>
      <modifiedWord>—</modifiedWord>
      <trackRevisions>false</trackRevisions>
    </reviewItem>
    <reviewItem>
      <errorID>a3a76c45-d7c4-4bfa-96e2-c14c1ba6cddb</errorID>
      <errorWord>＜</errorWord>
      <group>L1_Format</group>
      <groupName>格式问题</groupName>
      <ability>L2_HalfPunc</ability>
      <abilityName>全半角检查</abilityName>
      <candidateList>
        <item>&lt;</item>
      </candidateList>
      <explain>文本全半角错误。</explain>
      <paraID>7A798815</paraID>
      <start>0</start>
      <end>1</end>
      <status>modified</status>
      <modifiedWord>&lt;</modifiedWord>
      <trackRevisions>false</trackRevisions>
    </reviewItem>
    <reviewItem>
      <errorID>c96f8270-a27f-45fa-bf6d-0495f5d81269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20CF3FE4</paraID>
      <start>3</start>
      <end>4</end>
      <status>modified</status>
      <modifiedWord>—</modifiedWord>
      <trackRevisions>false</trackRevisions>
    </reviewItem>
    <reviewItem>
      <errorID>51aefd50-90c6-4d37-8369-846f94de06c6</errorID>
      <errorWord>＞</errorWord>
      <group>L1_Format</group>
      <groupName>格式问题</groupName>
      <ability>L2_HalfPunc</ability>
      <abilityName>全半角检查</abilityName>
      <candidateList>
        <item>&gt;</item>
      </candidateList>
      <explain>文本全半角错误。</explain>
      <paraID> 737719D</paraID>
      <start>1</start>
      <end>2</end>
      <status>modified</status>
      <modifiedWord>&gt;</modifiedWord>
      <trackRevisions>false</trackRevisions>
    </reviewItem>
    <reviewItem>
      <errorID>44bee726-d335-4151-8346-5b26f9dd9fc4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285D8611</paraID>
      <start>0</start>
      <end>2</end>
      <status>modified</status>
      <modifiedWord>1.</modifiedWord>
      <trackRevisions>false</trackRevisions>
    </reviewItem>
    <reviewItem>
      <errorID>bcae1a73-d3a4-4f00-b605-090590f00992</errorID>
      <errorWord>主要是以物理分化作用和堆积形式为主</errorWord>
      <group>L1_Grammar</group>
      <groupName>语法问题</groupName>
      <ability>L2_Grammar</ability>
      <abilityName>语法错误</abilityName>
      <candidateList>
        <item>是以物理分化作用和堆积形式为主</item>
      </candidateList>
      <explain/>
      <paraID>6299FA91</paraID>
      <start>61</start>
      <end>76</end>
      <status>modified</status>
      <modifiedWord>是以物理分化作用和堆积形式为主</modifiedWord>
      <trackRevisions>false</trackRevisions>
    </reviewItem>
    <reviewItem>
      <errorID>19e3cbb1-2622-4c1c-bad1-fe7aef33f65b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425422CE</paraID>
      <start>39</start>
      <end>40</end>
      <status>modified</status>
      <modifiedWord>—</modifiedWord>
      <trackRevisions>false</trackRevisions>
    </reviewItem>
    <reviewItem>
      <errorID>5bf9b4a7-d666-4e18-9da3-4419e57650b7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7B7CF3BD</paraID>
      <start>46</start>
      <end>47</end>
      <status>modified</status>
      <modifiedWord>—</modifiedWord>
      <trackRevisions>false</trackRevisions>
    </reviewItem>
    <reviewItem>
      <errorID>9dfff8e0-2d95-43d5-953b-e5bd1a89d03e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7B7CF3BD</paraID>
      <start>58</start>
      <end>59</end>
      <status>modified</status>
      <modifiedWord>—</modifiedWord>
      <trackRevisions>false</trackRevisions>
    </reviewItem>
    <reviewItem>
      <errorID>72634a58-e502-4c90-b4d2-719057cbbffa</errorID>
      <errorWord>据区域水文地质资料显示</errorWord>
      <group>L1_Grammar</group>
      <groupName>语法问题</groupName>
      <ability>L2_Grammar</ability>
      <abilityName>语法错误</abilityName>
      <candidateList>
        <item>据区域水文地质资料</item>
      </candidateList>
      <explain/>
      <paraID>16D40DF3</paraID>
      <start>0</start>
      <end>9</end>
      <status>modified</status>
      <modifiedWord>据区域水文地质资料</modifiedWord>
      <trackRevisions>false</trackRevisions>
    </reviewItem>
    <reviewItem>
      <errorID>f6ed0cde-324d-4947-936f-94dd0a287b54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659939E6</paraID>
      <start>0</start>
      <end>2</end>
      <status>modified</status>
      <modifiedWord>2.</modifiedWord>
      <trackRevisions>false</trackRevisions>
    </reviewItem>
    <reviewItem>
      <errorID>6a1e44a1-980e-4330-b169-05e7597fa818</errorID>
      <errorWord>深入</errorWord>
      <group>L1_Word</group>
      <groupName>字词问题</groupName>
      <ability>L2_Typo</ability>
      <abilityName>字词错误</abilityName>
      <candidateList>
        <item>渗入</item>
      </candidateList>
      <explain>〈动〉❶液体慢慢地渗到里面去：融化了的雪水～大地。❷比喻某种势力无孔不入地钻进来（多含贬义）。</explain>
      <paraID>363D5DE4</paraID>
      <start>58</start>
      <end>60</end>
      <status>modified</status>
      <modifiedWord>渗入</modifiedWord>
      <trackRevisions>false</trackRevisions>
    </reviewItem>
    <reviewItem>
      <errorID>15f1a359-70ba-49c8-97a8-aea787e61ccf</errorID>
      <errorWord>、进而</errorWord>
      <group>L1_Punc</group>
      <groupName>标点问题</groupName>
      <ability>L2_Punc</ability>
      <abilityName>标点符号检查</abilityName>
      <candidateList>
        <item>进而</item>
      </candidateList>
      <explain>〈连〉表示在已有的基础上进一步：先提出计划，～落实实施措施。</explain>
      <paraID>363D5DE4</paraID>
      <start>78</start>
      <end>80</end>
      <status>modified</status>
      <modifiedWord>进而</modifiedWord>
      <trackRevisions>false</trackRevisions>
    </reviewItem>
    <reviewItem>
      <errorID>83f4ad37-ce9a-43d9-b731-bcce217d83a1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2BA6D20</paraID>
      <start>0</start>
      <end>2</end>
      <status>modified</status>
      <modifiedWord>3.</modifiedWord>
      <trackRevisions>false</trackRevisions>
    </reviewItem>
    <reviewItem>
      <errorID>2a8d1247-3063-454c-a50b-9d7e7dad37e4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19EDB1F</paraID>
      <start>0</start>
      <end>2</end>
      <status>modified</status>
      <modifiedWord>a.</modifiedWord>
      <trackRevisions>false</trackRevisions>
    </reviewItem>
    <reviewItem>
      <errorID>c0d37f6c-c908-4251-832f-8f12a9988aa5</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6DD9F917</paraID>
      <start>0</start>
      <end>2</end>
      <status>modified</status>
      <modifiedWord>b.</modifiedWord>
      <trackRevisions>false</trackRevisions>
    </reviewItem>
    <reviewItem>
      <errorID>e59c14d5-863b-4377-890a-94d1ecf1b466</errorID>
      <errorWord>(</errorWord>
      <group>L1_Format</group>
      <groupName>格式问题</groupName>
      <ability>L2_HalfPunc</ability>
      <abilityName>全半角检查</abilityName>
      <candidateList>
        <item>（</item>
      </candidateList>
      <explain>文本全半角错误。</explain>
      <paraID>77D83842</paraID>
      <start>292</start>
      <end>293</end>
      <status>modified</status>
      <modifiedWord>（</modifiedWord>
      <trackRevisions>false</trackRevisions>
    </reviewItem>
    <reviewItem>
      <errorID>a2860850-9080-47ed-8d0c-23cf581796bb</errorID>
      <errorWord>)</errorWord>
      <group>L1_Format</group>
      <groupName>格式问题</groupName>
      <ability>L2_HalfPunc</ability>
      <abilityName>全半角检查</abilityName>
      <candidateList>
        <item>）</item>
      </candidateList>
      <explain>文本全半角错误。</explain>
      <paraID>77D83842</paraID>
      <start>306</start>
      <end>307</end>
      <status>modified</status>
      <modifiedWord>）</modifiedWord>
      <trackRevisions>false</trackRevisions>
    </reviewItem>
    <reviewItem>
      <errorID>5d379dcf-e5ca-4091-a5de-bd8462f70b63</errorID>
      <errorWord>)</errorWord>
      <group>L1_Format</group>
      <groupName>格式问题</groupName>
      <ability>L2_HalfPunc</ability>
      <abilityName>全半角检查</abilityName>
      <candidateList>
        <item>）</item>
      </candidateList>
      <explain>文本全半角错误。</explain>
      <paraID>77D83842</paraID>
      <start>371</start>
      <end>372</end>
      <status>modified</status>
      <modifiedWord>）</modifiedWord>
      <trackRevisions>false</trackRevisions>
    </reviewItem>
    <reviewItem>
      <errorID>3069d802-50ed-421c-824e-0e0bc9280194</errorID>
      <errorWord>)</errorWord>
      <group>L1_Format</group>
      <groupName>格式问题</groupName>
      <ability>L2_HalfPunc</ability>
      <abilityName>全半角检查</abilityName>
      <candidateList>
        <item>）</item>
      </candidateList>
      <explain>文本全半角错误。</explain>
      <paraID>577009AF</paraID>
      <start>22</start>
      <end>23</end>
      <status>modified</status>
      <modifiedWord>）</modifiedWord>
      <trackRevisions>false</trackRevisions>
    </reviewItem>
    <reviewItem>
      <errorID>37e6f044-0dc9-42cb-a242-2ac955228764</errorID>
      <errorWord>(</errorWord>
      <group>L1_Format</group>
      <groupName>格式问题</groupName>
      <ability>L2_HalfPunc</ability>
      <abilityName>全半角检查</abilityName>
      <candidateList>
        <item>（</item>
      </candidateList>
      <explain>文本全半角错误。</explain>
      <paraID>577009AF</paraID>
      <start>26</start>
      <end>27</end>
      <status>modified</status>
      <modifiedWord>（</modifiedWord>
      <trackRevisions>false</trackRevisions>
    </reviewItem>
    <reviewItem>
      <errorID>7b9b7d45-0d60-44c6-bc82-2a4908dad280</errorID>
      <errorWord>)</errorWord>
      <group>L1_Format</group>
      <groupName>格式问题</groupName>
      <ability>L2_HalfPunc</ability>
      <abilityName>全半角检查</abilityName>
      <candidateList>
        <item>）</item>
      </candidateList>
      <explain>文本全半角错误。</explain>
      <paraID>577009AF</paraID>
      <start>38</start>
      <end>39</end>
      <status>modified</status>
      <modifiedWord>）</modifiedWord>
      <trackRevisions>false</trackRevisions>
    </reviewItem>
    <reviewItem>
      <errorID>05ee41f1-ed98-4dad-917c-c9ed18bd870a</errorID>
      <errorWord>25%~40%</errorWord>
      <group>L1_Knowledge</group>
      <groupName>知识性问题</groupName>
      <ability>L2_Knowledge</ability>
      <abilityName>其他知识</abilityName>
      <candidateList>
        <item>25%～40%</item>
      </candidateList>
      <explain>1. “25%~40%”中的单位“%”仅出现在后一个数字上，容易引起歧义；根据《现代汉语标点符号数字用法规范手册》，数字表示范围两边需要使用统一的格式。2. 根据标点国标 4.13 中的规则，数字、时间或地域连接符应使用（视觉上更长的）“—”或“～”。</explain>
      <paraID>577009AF</paraID>
      <start>62</start>
      <end>69</end>
      <status>modified</status>
      <modifiedWord>25%～40%</modifiedWord>
      <trackRevisions>false</trackRevisions>
    </reviewItem>
    <reviewItem>
      <errorID>0bcde9dd-a01f-409e-bafa-4eb37e1bbeda</errorID>
      <errorWord>；</errorWord>
      <group>L1_Format</group>
      <groupName>格式问题</groupName>
      <ability>L2_HalfPunc</ability>
      <abilityName>全半角检查</abilityName>
      <candidateList>
        <item>;</item>
      </candidateList>
      <explain>文本全半角错误。</explain>
      <paraID>5BDB1859</paraID>
      <start>30</start>
      <end>31</end>
      <status>modified</status>
      <modifiedWord>;</modifiedWord>
      <trackRevisions>false</trackRevisions>
    </reviewItem>
    <reviewItem>
      <errorID>6b6bbcfa-a400-46a6-90f3-8ee25d31a9ff</errorID>
      <errorWord>25~50%</errorWord>
      <group>L1_Knowledge</group>
      <groupName>知识性问题</groupName>
      <ability>L2_Knowledge</ability>
      <abilityName>其他知识</abilityName>
      <candidateList>
        <item>25%～50%</item>
      </candidateList>
      <explain>1. “25~50%”中的单位“%”仅出现在后一个数字上，容易引起歧义；根据《现代汉语标点符号数字用法规范手册》，数字表示范围两边需要使用统一的格式。2. 根据标点国标 4.13 中的规则，数字、时间或地域连接符应使用（视觉上更长的）“—”或“～”。</explain>
      <paraID>236E3168</paraID>
      <start>2</start>
      <end>9</end>
      <status>modified</status>
      <modifiedWord>25%～50%</modifiedWord>
      <trackRevisions>false</trackRevisions>
    </reviewItem>
    <reviewItem>
      <errorID>9f32cc8d-3126-412e-bbbf-b3b93668ab6e</errorID>
      <errorWord>)</errorWord>
      <group>L1_Format</group>
      <groupName>格式问题</groupName>
      <ability>L2_HalfPunc</ability>
      <abilityName>全半角检查</abilityName>
      <candidateList>
        <item>）</item>
      </candidateList>
      <explain>文本全半角错误。</explain>
      <paraID>2A9DD1CA</paraID>
      <start>274</start>
      <end>275</end>
      <status>modified</status>
      <modifiedWord>）</modifiedWord>
      <trackRevisions>false</trackRevisions>
    </reviewItem>
    <reviewItem>
      <errorID>9414529f-c530-4ef6-b5a3-3b8659aab190</errorID>
      <errorWord>増</errorWord>
      <group>L1_Word</group>
      <groupName>字词问题</groupName>
      <ability>L2_Variant</ability>
      <abilityName>异形词</abilityName>
      <candidateList>
        <item>增</item>
      </candidateList>
      <explain>词汇[増]的规范词形写作[增]。</explain>
      <paraID>588D7B7F</paraID>
      <start>214</start>
      <end>215</end>
      <status>modified</status>
      <modifiedWord>增</modifiedWord>
      <trackRevisions>false</trackRevisions>
    </reviewItem>
    <reviewItem>
      <errorID>19330a4b-bcfd-46c8-bea0-126ae7c8c3de</errorID>
      <errorWord>)</errorWord>
      <group>L1_Format</group>
      <groupName>格式问题</groupName>
      <ability>L2_HalfPunc</ability>
      <abilityName>全半角检查</abilityName>
      <candidateList>
        <item>）</item>
      </candidateList>
      <explain>文本全半角错误。</explain>
      <paraID>588D7B7F</paraID>
      <start>277</start>
      <end>278</end>
      <status>modified</status>
      <modifiedWord>）</modifiedWord>
      <trackRevisions>false</trackRevisions>
    </reviewItem>
    <reviewItem>
      <errorID>8cbf767f-90c4-4979-bb5d-6374f60a9aa0</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5A8D2345</paraID>
      <start>191</start>
      <end>196</end>
      <status>modified</status>
      <modifiedWord>相关的其他</modifiedWord>
      <trackRevisions>false</trackRevisions>
    </reviewItem>
    <reviewItem>
      <errorID>a0edc26b-4499-4973-b355-36a4f0fe6269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9305A2C</paraID>
      <start>0</start>
      <end>2</end>
      <status>modified</status>
      <modifiedWord>1.</modifiedWord>
      <trackRevisions>false</trackRevisions>
    </reviewItem>
    <reviewItem>
      <errorID>3559d11a-e610-40d1-8d89-ffe30a1f7737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779CA774</paraID>
      <start>0</start>
      <end>2</end>
      <status>modified</status>
      <modifiedWord>2.</modifiedWord>
      <trackRevisions>false</trackRevisions>
    </reviewItem>
    <reviewItem>
      <errorID>0c0ba0f1-0dc2-4474-a780-5a2ec3c888d9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5A41ABC5</paraID>
      <start>0</start>
      <end>2</end>
      <status>modified</status>
      <modifiedWord>3.</modifiedWord>
      <trackRevisions>false</trackRevisions>
    </reviewItem>
    <reviewItem>
      <errorID>c401da5f-6bae-434b-8628-d2c1b8e70a19</errorID>
      <errorWord>)</errorWord>
      <group>L1_Format</group>
      <groupName>格式问题</groupName>
      <ability>L2_HalfPunc</ability>
      <abilityName>全半角检查</abilityName>
      <candidateList>
        <item>）</item>
      </candidateList>
      <explain>文本全半角错误。</explain>
      <paraID> F43C323</paraID>
      <start>103</start>
      <end>104</end>
      <status>modified</status>
      <modifiedWord>）</modifiedWord>
      <trackRevisions>false</trackRevisions>
    </reviewItem>
    <reviewItem>
      <errorID>08a89ad2-7fbe-46f7-9ac1-9fa40fce1102</errorID>
      <errorWord>)</errorWord>
      <group>L1_Format</group>
      <groupName>格式问题</groupName>
      <ability>L2_HalfPunc</ability>
      <abilityName>全半角检查</abilityName>
      <candidateList>
        <item>）</item>
      </candidateList>
      <explain>文本全半角错误。</explain>
      <paraID> F43C323</paraID>
      <start>113</start>
      <end>114</end>
      <status>modified</status>
      <modifiedWord>）</modifiedWord>
      <trackRevisions>false</trackRevisions>
    </reviewItem>
    <reviewItem>
      <errorID>f932767a-c01d-41ee-a9c9-1809393ac7a3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592ABB9B</paraID>
      <start>0</start>
      <end>2</end>
      <status>modified</status>
      <modifiedWord>4.</modifiedWord>
      <trackRevisions>false</trackRevisions>
    </reviewItem>
    <reviewItem>
      <errorID>167bd7eb-2739-4020-a5d0-3009f434db0d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176D0544</paraID>
      <start>0</start>
      <end>2</end>
      <status>modified</status>
      <modifiedWord>5.</modifiedWord>
      <trackRevisions>false</trackRevisions>
    </reviewItem>
    <reviewItem>
      <errorID>2bc05348-6aa2-4f59-b62a-f0da56d11551</errorID>
      <errorWord>：</errorWord>
      <group>L1_Punc</group>
      <groupName>标点问题</groupName>
      <ability>L2_Punc</ability>
      <abilityName>标点符号检查</abilityName>
      <candidateList/>
      <explain/>
      <paraID>58862028</paraID>
      <start>21</start>
      <end>22</end>
      <status>ignored</status>
      <modifiedWord/>
      <trackRevisions>false</trackRevisions>
    </reviewItem>
    <reviewItem>
      <errorID>8db6a89c-05d8-4903-9b72-a5fb28a704be</errorID>
      <errorWord>：</errorWord>
      <group>L1_Punc</group>
      <groupName>标点问题</groupName>
      <ability>L2_Punc</ability>
      <abilityName>标点符号检查</abilityName>
      <candidateList/>
      <explain/>
      <paraID>500BB1C4</paraID>
      <start>21</start>
      <end>22</end>
      <status>ignored</status>
      <modifiedWord/>
      <trackRevisions>false</trackRevisions>
    </reviewItem>
    <reviewItem>
      <errorID>c259bb48-82d9-4c96-a7b8-b357d0df6682</errorID>
      <errorWord>：</errorWord>
      <group>L1_Punc</group>
      <groupName>标点问题</groupName>
      <ability>L2_Punc</ability>
      <abilityName>标点符号检查</abilityName>
      <candidateList/>
      <explain/>
      <paraID>734F2730</paraID>
      <start>21</start>
      <end>22</end>
      <status>ignored</status>
      <modifiedWord/>
      <trackRevisions>false</trackRevisions>
    </reviewItem>
    <reviewItem>
      <errorID>74a1b2d3-8bba-477d-b8cf-5deae0b1a8a6</errorID>
      <errorWord>：</errorWord>
      <group>L1_Punc</group>
      <groupName>标点问题</groupName>
      <ability>L2_Punc</ability>
      <abilityName>标点符号检查</abilityName>
      <candidateList/>
      <explain/>
      <paraID>18E5D528</paraID>
      <start>21</start>
      <end>22</end>
      <status>ignored</status>
      <modifiedWord/>
      <trackRevisions>false</trackRevisions>
    </reviewItem>
    <reviewItem>
      <errorID>3c19254e-dc01-40be-8849-937b997fee3f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244D71A7</paraID>
      <start>0</start>
      <end>2</end>
      <status>modified</status>
      <modifiedWord>6.</modifiedWord>
      <trackRevisions>false</trackRevisions>
    </reviewItem>
    <reviewItem>
      <errorID>210fbf72-d59e-4530-b235-77e498d69abf</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64B4A37C</paraID>
      <start>0</start>
      <end>1</end>
      <status>ignored</status>
      <modifiedWord/>
      <trackRevisions>false</trackRevisions>
    </reviewItem>
    <reviewItem>
      <errorID>4d3803b1-1d2d-4f97-8ac1-ec3c64acee89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6A4763EF</paraID>
      <start>0</start>
      <end>2</end>
      <status>modified</status>
      <modifiedWord>1.</modifiedWord>
      <trackRevisions>false</trackRevisions>
    </reviewItem>
    <reviewItem>
      <errorID>cd28f4eb-51a1-41c0-8fa9-1698edb5887b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175812C2</paraID>
      <start>0</start>
      <end>2</end>
      <status>modified</status>
      <modifiedWord>2.</modifiedWord>
      <trackRevisions>false</trackRevisions>
    </reviewItem>
    <reviewItem>
      <errorID>7eeadf23-822f-401f-9e4c-7139fe0d6ed0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CFCA1EA</paraID>
      <start>0</start>
      <end>2</end>
      <status>modified</status>
      <modifiedWord>3.</modifiedWord>
      <trackRevisions>false</trackRevisions>
    </reviewItem>
    <reviewItem>
      <errorID>c4b36f17-b843-42a4-a948-31f8a489c216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68E7FC76</paraID>
      <start>0</start>
      <end>2</end>
      <status>modified</status>
      <modifiedWord>4.</modifiedWord>
      <trackRevisions>false</trackRevisions>
    </reviewItem>
    <reviewItem>
      <errorID>98d276cf-17bf-4b9b-a1d3-92255e6f9271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265AF90E</paraID>
      <start>0</start>
      <end>2</end>
      <status>modified</status>
      <modifiedWord>5.</modifiedWord>
      <trackRevisions>false</trackRevisions>
    </reviewItem>
    <reviewItem>
      <errorID>e35810cd-91c6-4a5e-9f81-994bf939d11c</errorID>
      <errorWord>程</errorWord>
      <group>L1_Word</group>
      <groupName>字词问题</groupName>
      <ability>L2_Typo</ability>
      <abilityName>字词错误</abilityName>
      <candidateList>
        <item>程中</item>
      </candidateList>
      <explain/>
      <paraID>7E5C29F3</paraID>
      <start>44</start>
      <end>46</end>
      <status>modified</status>
      <modifiedWord>程中</modifiedWord>
      <trackRevisions>false</trackRevisions>
    </reviewItem>
    <reviewItem>
      <errorID>2ea43ce7-ccf3-4b74-ae2a-5fbcb4175abb</errorID>
      <errorWord>其它缺陷</errorWord>
      <group>L1_Word</group>
      <groupName>字词问题</groupName>
      <ability>L2_Alias</ability>
      <abilityName>也作/曾用词</abilityName>
      <candidateList>
        <item>其他缺陷</item>
      </candidateList>
      <explain>词汇[其它缺陷]为不规范表述或旧称，其规范书面表述为[其他缺陷]。</explain>
      <paraID>5ACA9DDE</paraID>
      <start>40</start>
      <end>44</end>
      <status>modified</status>
      <modifiedWord>其他缺陷</modifiedWord>
      <trackRevisions>false</trackRevisions>
    </reviewItem>
    <reviewItem>
      <errorID>cff7c1f6-27df-4273-9146-beb2a9cfe052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16653F25</paraID>
      <start>208</start>
      <end>209</end>
      <status>modified</status>
      <modifiedWord>—</modifiedWord>
      <trackRevisions>false</trackRevisions>
    </reviewItem>
    <reviewItem>
      <errorID>0aa79c05-9726-4ba7-b9e3-b5493665faed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15AC5115</paraID>
      <start>24</start>
      <end>25</end>
      <status>modified</status>
      <modifiedWord>—</modifiedWord>
      <trackRevisions>false</trackRevisions>
    </reviewItem>
    <reviewItem>
      <errorID>84c8d387-eb90-4d77-90cf-6cde92df2df1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15AC5115</paraID>
      <start>46</start>
      <end>47</end>
      <status>modified</status>
      <modifiedWord>—</modifiedWord>
      <trackRevisions>false</trackRevisions>
    </reviewItem>
    <reviewItem>
      <errorID>eb08f491-81a7-42c6-8873-7875a4d874a8</errorID>
      <errorWord>，</errorWord>
      <group>L1_Word</group>
      <groupName>字词问题</groupName>
      <ability>L2_Typo</ability>
      <abilityName>字词错误</abilityName>
      <candidateList>
        <item>，对</item>
      </candidateList>
      <explain/>
      <paraID> 28ACFFE</paraID>
      <start>31</start>
      <end>33</end>
      <status>modified</status>
      <modifiedWord>，对</modifiedWord>
      <trackRevisions>false</trackRevisions>
    </reviewItem>
    <reviewItem>
      <errorID>6ba96350-4712-447f-ab8b-f3a95fc80b23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1CFDFEE6</paraID>
      <start>0</start>
      <end>2</end>
      <status>modified</status>
      <modifiedWord>1.</modifiedWord>
      <trackRevisions>false</trackRevisions>
    </reviewItem>
    <reviewItem>
      <errorID>c8b630d4-72be-499b-aea4-bcd4da8293e9</errorID>
      <errorWord>(</errorWord>
      <group>L1_Format</group>
      <groupName>格式问题</groupName>
      <ability>L2_HalfPunc</ability>
      <abilityName>全半角检查</abilityName>
      <candidateList>
        <item>（</item>
      </candidateList>
      <explain>文本全半角错误。</explain>
      <paraID>  208989</paraID>
      <start>111</start>
      <end>112</end>
      <status>modified</status>
      <modifiedWord>（</modifiedWord>
      <trackRevisions>false</trackRevisions>
    </reviewItem>
    <reviewItem>
      <errorID>9cb0b9bf-139e-4595-820e-440ec067f370</errorID>
      <errorWord>)</errorWord>
      <group>L1_Format</group>
      <groupName>格式问题</groupName>
      <ability>L2_HalfPunc</ability>
      <abilityName>全半角检查</abilityName>
      <candidateList>
        <item>）</item>
      </candidateList>
      <explain>文本全半角错误。</explain>
      <paraID>  208989</paraID>
      <start>123</start>
      <end>124</end>
      <status>modified</status>
      <modifiedWord>）</modifiedWord>
      <trackRevisions>false</trackRevisions>
    </reviewItem>
    <reviewItem>
      <errorID>1e29267c-fe14-4850-9674-9c0337c952a4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55544381</paraID>
      <start>0</start>
      <end>2</end>
      <status>modified</status>
      <modifiedWord>2.</modifiedWord>
      <trackRevisions>false</trackRevisions>
    </reviewItem>
    <reviewItem>
      <errorID>6bcc78ae-217a-4192-9e5e-8b6faabc5c41</errorID>
      <errorWord>得</errorWord>
      <group>L1_Word</group>
      <groupName>字词问题</groupName>
      <ability>L2_DDD</ability>
      <abilityName>的地得用法</abilityName>
      <candidateList>
        <item>的</item>
      </candidateList>
      <explain>“的”常用于连接修饰语与名词性中心语，表示属性、所属或描述。</explain>
      <paraID>27C2CF8B</paraID>
      <start>49</start>
      <end>50</end>
      <status>modified</status>
      <modifiedWord>的</modifiedWord>
      <trackRevisions>false</trackRevisions>
    </reviewItem>
    <reviewItem>
      <errorID>0b443fd3-dc77-43ef-901f-fe57e4f58065</errorID>
      <errorWord>爆发</errorWord>
      <group>L1_Word</group>
      <groupName>字词问题</groupName>
      <ability>L2_Typo</ability>
      <abilityName>字词错误</abilityName>
      <candidateList>
        <item>暴发</item>
      </candidateList>
      <explain>〈动〉❶突然发财或得势（多含贬义）：～户。❷突然发作：山洪～。</explain>
      <paraID>4A799F7C</paraID>
      <start>100</start>
      <end>102</end>
      <status>modified</status>
      <modifiedWord>暴发</modifiedWord>
      <trackRevisions>false</trackRevisions>
    </reviewItem>
    <reviewItem>
      <errorID>4c483cd4-9dff-412f-a83b-deb9380e2495</errorID>
      <errorWord>非常巨大</errorWord>
      <group>L1_Grammar</group>
      <groupName>语法问题</groupName>
      <ability>L2_Grammar</ability>
      <abilityName>语法错误</abilityName>
      <candidateList>
        <item>非常大</item>
      </candidateList>
      <explain/>
      <paraID>4A799F7C</paraID>
      <start>116</start>
      <end>119</end>
      <status>modified</status>
      <modifiedWord>非常大</modifiedWord>
      <trackRevisions>false</trackRevisions>
    </reviewItem>
    <reviewItem>
      <errorID>7b4849ed-94c7-4353-86ac-01cf40dd12d4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9B40112</paraID>
      <start>0</start>
      <end>2</end>
      <status>modified</status>
      <modifiedWord>3.</modifiedWord>
      <trackRevisions>false</trackRevisions>
    </reviewItem>
    <reviewItem>
      <errorID>c552cb63-1db2-4198-9252-86ac91eceb33</errorID>
      <errorWord>疫病</errorWord>
      <group>L1_Grammar</group>
      <groupName>语法问题</groupName>
      <ability>L2_Grammar</ability>
      <abilityName>语法错误</abilityName>
      <candidateList>
        <item>疫情</item>
      </candidateList>
      <explain>“疫病～发生”搭配不当，建议修改为“疫情～发生”。</explain>
      <paraID>6A63E6CF</paraID>
      <start>97</start>
      <end>99</end>
      <status>ignored</status>
      <modifiedWord/>
      <trackRevisions>false</trackRevisions>
    </reviewItem>
    <reviewItem>
      <errorID>39ce0c5b-17a1-4f3d-9f73-f3beafa82454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1A6ABCD4</paraID>
      <start>0</start>
      <end>2</end>
      <status>modified</status>
      <modifiedWord>4.</modifiedWord>
      <trackRevisions>false</trackRevisions>
    </reviewItem>
    <reviewItem>
      <errorID>76e5554e-6b51-4274-aa79-6d5b92a03454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23F0677B</paraID>
      <start>0</start>
      <end>2</end>
      <status>modified</status>
      <modifiedWord>5.</modifiedWord>
      <trackRevisions>false</trackRevisions>
    </reviewItem>
    <reviewItem>
      <errorID>8394a8ed-b332-4b39-8510-50f97cbe50c3</errorID>
      <errorWord>场区</errorWord>
      <group>L1_Word</group>
      <groupName>字词问题</groupName>
      <ability>L2_Typo</ability>
      <abilityName>字词错误</abilityName>
      <candidateList>
        <item>厂区</item>
      </candidateList>
      <explain/>
      <paraID>58CB9A6F</paraID>
      <start>76</start>
      <end>78</end>
      <status>ignored</status>
      <modifiedWord/>
      <trackRevisions>false</trackRevisions>
    </reviewItem>
    <reviewItem>
      <errorID>a4aa846f-dbb8-4fdf-98fe-299fc9b695fd</errorID>
      <errorWord>程</errorWord>
      <group>L1_Word</group>
      <groupName>字词问题</groupName>
      <ability>L2_Typo</ability>
      <abilityName>字词错误</abilityName>
      <candidateList>
        <item>程中</item>
      </candidateList>
      <explain/>
      <paraID>17DD5947</paraID>
      <start>21</start>
      <end>23</end>
      <status>modified</status>
      <modifiedWord>程中</modifiedWord>
      <trackRevisions>false</trackRevisions>
    </reviewItem>
    <reviewItem>
      <errorID>0a06e3e9-90a8-4185-a215-aeefd931598e</errorID>
      <errorWord>，</errorWord>
      <group>L1_Word</group>
      <groupName>字词问题</groupName>
      <ability>L2_Typo</ability>
      <abilityName>字词错误</abilityName>
      <candidateList>
        <item>，对</item>
      </candidateList>
      <explain/>
      <paraID> 846A634</paraID>
      <start>108</start>
      <end>110</end>
      <status>modified</status>
      <modifiedWord>，对</modifiedWord>
      <trackRevisions>false</trackRevisions>
    </reviewItem>
    <reviewItem>
      <errorID>8d3ca01a-8f12-46e2-8857-3a9294667b7d</errorID>
      <errorWord>回报</errorWord>
      <group>L1_Word</group>
      <groupName>字词问题</groupName>
      <ability>L2_Typo</ability>
      <abilityName>字词错误</abilityName>
      <candidateList>
        <item>汇报</item>
      </candidateList>
      <explain>〈动〉综合材料向上级报告，也指综合材料向群众报告：听～｜～处理结果。</explain>
      <paraID>1BCE0E6F</paraID>
      <start>74</start>
      <end>76</end>
      <status>modified</status>
      <modifiedWord>汇报</modifiedWord>
      <trackRevisions>false</trackRevisions>
    </reviewItem>
    <reviewItem>
      <errorID>e89a504c-db1d-404a-850e-c57e4bb9fd2c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4C4F38A9</paraID>
      <start>0</start>
      <end>2</end>
      <status>modified</status>
      <modifiedWord>a.</modifiedWord>
      <trackRevisions>false</trackRevisions>
    </reviewItem>
    <reviewItem>
      <errorID>fc918328-34c0-43ef-ae13-0f965987f21c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13DCE1B4</paraID>
      <start>0</start>
      <end>2</end>
      <status>modified</status>
      <modifiedWord>b.</modifiedWord>
      <trackRevisions>false</trackRevisions>
    </reviewItem>
    <reviewItem>
      <errorID>313e5f97-b97d-40e2-a217-a380f3bf7250</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4FB80EF7</paraID>
      <start>0</start>
      <end>2</end>
      <status>modified</status>
      <modifiedWord>c.</modifiedWord>
      <trackRevisions>false</trackRevisions>
    </reviewItem>
    <reviewItem>
      <errorID>92e69fc0-a63d-4ee6-a5bb-de1bda224231</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6CDB6F6F</paraID>
      <start>0</start>
      <end>2</end>
      <status>modified</status>
      <modifiedWord>d.</modifiedWord>
      <trackRevisions>false</trackRevisions>
    </reviewItem>
    <reviewItem>
      <errorID>4fa3e94d-cb2e-41f2-90e3-8ae5f5eef6c6</errorID>
      <errorWord>作</errorWord>
      <group>L1_Word</group>
      <groupName>字词问题</groupName>
      <ability>L2_Typo</ability>
      <abilityName>字词错误</abilityName>
      <candidateList>
        <item>做</item>
      </candidateList>
      <explain>存在发音相同字词的误用。</explain>
      <paraID>6CDB6F6F</paraID>
      <start>18</start>
      <end>19</end>
      <status>modified</status>
      <modifiedWord>做</modifiedWord>
      <trackRevisions>false</trackRevisions>
    </reviewItem>
    <reviewItem>
      <errorID>8b7ffa0c-8450-40c1-9d79-22506fcf40eb</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2FE42E18</paraID>
      <start>0</start>
      <end>2</end>
      <status>modified</status>
      <modifiedWord>a.</modifiedWord>
      <trackRevisions>false</trackRevisions>
    </reviewItem>
    <reviewItem>
      <errorID>170d9928-02e5-4457-9203-a879d6dd6f09</errorID>
      <errorWord>场区</errorWord>
      <group>L1_Word</group>
      <groupName>字词问题</groupName>
      <ability>L2_Typo</ability>
      <abilityName>字词错误</abilityName>
      <candidateList>
        <item>厂区</item>
      </candidateList>
      <explain>存在发音相同字词的误用。</explain>
      <paraID>2FE42E18</paraID>
      <start>15</start>
      <end>17</end>
      <status>ignored</status>
      <modifiedWord/>
      <trackRevisions>false</trackRevisions>
    </reviewItem>
    <reviewItem>
      <errorID>5de2b3e0-027e-4f62-8e0f-378390884f93</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6403D8C</paraID>
      <start>0</start>
      <end>2</end>
      <status>modified</status>
      <modifiedWord>b.</modifiedWord>
      <trackRevisions>false</trackRevisions>
    </reviewItem>
    <reviewItem>
      <errorID>06ae1b82-8420-4ff2-b6b9-40bc1e828bed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1362521A</paraID>
      <start>0</start>
      <end>2</end>
      <status>modified</status>
      <modifiedWord>6.</modifiedWord>
      <trackRevisions>false</trackRevisions>
    </reviewItem>
    <reviewItem>
      <errorID>2d48cf71-4a6b-4d5b-92d8-abf78f7b845a</errorID>
      <errorWord>、以及</errorWord>
      <group>L1_Punc</group>
      <groupName>标点问题</groupName>
      <ability>L2_Punc</ability>
      <abilityName>标点符号检查</abilityName>
      <candidateList>
        <item>，以及</item>
      </candidateList>
      <explain>连接词前后不宜使用顿号，建议使用逗号。</explain>
      <paraID>30DB68EE</paraID>
      <start>65</start>
      <end>68</end>
      <status>modified</status>
      <modifiedWord>，以及</modifiedWord>
      <trackRevisions>false</trackRevisions>
    </reviewItem>
    <reviewItem>
      <errorID>3ae742a9-1ab0-4777-9718-4018820d67ff</errorID>
      <errorWord>其它</errorWord>
      <group>L1_Word</group>
      <groupName>字词问题</groupName>
      <ability>L2_Alias</ability>
      <abilityName>也作/曾用词</abilityName>
      <candidateList>
        <item>其他</item>
      </candidateList>
      <explain>词汇[其它]为不规范表述或旧称，其规范书面表述为[其他]。</explain>
      <paraID>30DB68EE</paraID>
      <start>68</start>
      <end>70</end>
      <status>modified</status>
      <modifiedWord>其他</modifiedWord>
      <trackRevisions>false</trackRevisions>
    </reviewItem>
    <reviewItem>
      <errorID>59f8787e-8f17-4b34-a4bf-ba588cd004dd</errorID>
      <errorWord>区</errorWord>
      <group>L1_Word</group>
      <groupName>字词问题</groupName>
      <ability>L2_Typo</ability>
      <abilityName>字词错误</abilityName>
      <candidateList>
        <item>区域</item>
      </candidateList>
      <explain/>
      <paraID>21C60FDC</paraID>
      <start>10</start>
      <end>12</end>
      <status>modified</status>
      <modifiedWord>区域</modifiedWord>
      <trackRevisions>false</trackRevisions>
    </reviewItem>
    <reviewItem>
      <errorID>f69d0cb7-5c4c-4c8f-acb6-21909aba9cad</errorID>
      <errorWord>需具备</errorWord>
      <group>L1_Word</group>
      <groupName>字词问题</groupName>
      <ability>L2_Typo</ability>
      <abilityName>字词错误</abilityName>
      <candidateList>
        <item>须具备</item>
      </candidateList>
      <explain/>
      <paraID>693E0512</paraID>
      <start>2</start>
      <end>5</end>
      <status>modified</status>
      <modifiedWord>须具备</modifiedWord>
      <trackRevisions>false</trackRevisions>
    </reviewItem>
    <reviewItem>
      <errorID>f7880475-1be0-4a82-81ac-6e73be82d9e3</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317EE720</paraID>
      <start>0</start>
      <end>2</end>
      <status>modified</status>
      <modifiedWord>a.</modifiedWord>
      <trackRevisions>false</trackRevisions>
    </reviewItem>
    <reviewItem>
      <errorID>787fce84-f7ad-4d2f-9e64-ca8438dbd1ec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17E6DC38</paraID>
      <start>0</start>
      <end>2</end>
      <status>modified</status>
      <modifiedWord>b.</modifiedWord>
      <trackRevisions>false</trackRevisions>
    </reviewItem>
    <reviewItem>
      <errorID>a866c1a4-5cc5-4960-af61-241a7e9b9d4f</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17E6DC38</paraID>
      <start>15</start>
      <end>18</end>
      <status>ignored</status>
      <modifiedWord/>
      <trackRevisions>false</trackRevisions>
    </reviewItem>
    <reviewItem>
      <errorID>05c0d0a4-d9ea-417a-a830-21ddace2c0fb</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505F41EE</paraID>
      <start>0</start>
      <end>2</end>
      <status>modified</status>
      <modifiedWord>c.</modifiedWord>
      <trackRevisions>false</trackRevisions>
    </reviewItem>
    <reviewItem>
      <errorID>48d97206-60ce-4c00-b74f-851620e49c9f</errorID>
      <errorWord>无须</errorWord>
      <group>L1_Word</group>
      <groupName>字词问题</groupName>
      <ability>L2_Typo</ability>
      <abilityName>字词错误</abilityName>
      <candidateList>
        <item>无需</item>
      </candidateList>
      <explain>存在发音相同字词的误用。</explain>
      <paraID>28F8C852</paraID>
      <start>61</start>
      <end>63</end>
      <status>modified</status>
      <modifiedWord>无需</modifiedWord>
      <trackRevisions>false</trackRevisions>
    </reviewItem>
    <reviewItem>
      <errorID>733f90b9-a5ef-4a1d-9feb-488f65e76728</errorID>
      <errorWord>制定</errorWord>
      <group>L1_Word</group>
      <groupName>字词问题</groupName>
      <ability>L2_Typo</ability>
      <abilityName>字词错误</abilityName>
      <candidateList>
        <item>指定</item>
      </candidateList>
      <explain/>
      <paraID>3FE771EE</paraID>
      <start>48</start>
      <end>50</end>
      <status>modified</status>
      <modifiedWord>指定</modifiedWord>
      <trackRevisions>false</trackRevisions>
    </reviewItem>
    <reviewItem>
      <errorID>b74249dc-250c-4cd9-b955-a330f13938a3</errorID>
      <errorWord>提高</errorWord>
      <group>L1_Grammar</group>
      <groupName>语法问题</groupName>
      <ability>L2_Grammar</ability>
      <abilityName>语法错误</abilityName>
      <candidateList>
        <item>增强</item>
      </candidateList>
      <explain>“提高～意识”搭配不当，建议修改为“增强～意识”。</explain>
      <paraID>5D561D35</paraID>
      <start>34</start>
      <end>36</end>
      <status>modified</status>
      <modifiedWord>增强</modifiedWord>
      <trackRevisions>false</trackRevisions>
    </reviewItem>
    <reviewItem>
      <errorID>16b03eea-6b31-4194-985c-795602b346ab</errorID>
      <errorWord>适时</errorWord>
      <group>L1_Word</group>
      <groupName>字词问题</groupName>
      <ability>L2_Typo</ability>
      <abilityName>字词错误</abilityName>
      <candidateList>
        <item>实时</item>
      </candidateList>
      <explain>〈副〉与某事发生、发展过程同时（做某事）：进行～报道｜～传递股市行情。</explain>
      <paraID>6C5EFC23</paraID>
      <start>78</start>
      <end>80</end>
      <status>ignored</status>
      <modifiedWord/>
      <trackRevisions>false</trackRevisions>
    </reviewItem>
    <reviewItem>
      <errorID>74f86928-aefa-4f75-9d8a-bfd7e5f0e2b1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3D2C1507</paraID>
      <start>0</start>
      <end>2</end>
      <status>modified</status>
      <modifiedWord>7.</modifiedWord>
      <trackRevisions>false</trackRevisions>
    </reviewItem>
    <reviewItem>
      <errorID>079c6f52-a5ae-4204-9cc7-acaa6f09a074</errorID>
      <errorWord>生态环境环保部</errorWord>
      <group>L1_Knowledge</group>
      <groupName>知识性问题</groupName>
      <ability>L2_Organization</ability>
      <abilityName>机构检查</abilityName>
      <candidateList>
        <item>生态环境部</item>
      </candidateList>
      <explain>机关单位全简称表述错误</explain>
      <paraID>3FABAF3D</paraID>
      <start>2</start>
      <end>7</end>
      <status>modified</status>
      <modifiedWord>生态环境部</modifiedWord>
      <trackRevisions>false</trackRevisions>
    </reviewItem>
    <reviewItem>
      <errorID>8f175255-8dd5-4a1e-8941-a6dfe228f82d</errorID>
      <errorWord>(</errorWord>
      <group>L1_Format</group>
      <groupName>格式问题</groupName>
      <ability>L2_HalfPunc</ability>
      <abilityName>全半角检查</abilityName>
      <candidateList>
        <item>（</item>
      </candidateList>
      <explain>文本全半角错误。</explain>
      <paraID>3FABAF3D</paraID>
      <start>40</start>
      <end>41</end>
      <status>modified</status>
      <modifiedWord>（</modifiedWord>
      <trackRevisions>false</trackRevisions>
    </reviewItem>
    <reviewItem>
      <errorID>d348006c-923e-49ce-b27c-0e0f89e0e14f</errorID>
      <errorWord>)</errorWord>
      <group>L1_Format</group>
      <groupName>格式问题</groupName>
      <ability>L2_HalfPunc</ability>
      <abilityName>全半角检查</abilityName>
      <candidateList>
        <item>）</item>
      </candidateList>
      <explain>文本全半角错误。</explain>
      <paraID>3FABAF3D</paraID>
      <start>55</start>
      <end>56</end>
      <status>modified</status>
      <modifiedWord>）</modifiedWord>
      <trackRevisions>false</trackRevisions>
    </reviewItem>
    <reviewItem>
      <errorID>d3ca0513-90aa-4b2b-98b8-6b96b7d2d6de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3FABAF3D</paraID>
      <start>61</start>
      <end>62</end>
      <status>ignored</status>
      <modifiedWord/>
      <trackRevisions>false</trackRevisions>
    </reviewItem>
    <reviewItem>
      <errorID>cc349b4f-e071-4470-8571-1d9191934f9b</errorID>
      <errorWord>，</errorWord>
      <group>L1_Format</group>
      <groupName>格式问题</groupName>
      <ability>L2_HalfPunc</ability>
      <abilityName>全半角检查</abilityName>
      <candidateList>
        <item>, </item>
      </candidateList>
      <explain>文本全半角错误。</explain>
      <paraID>5795865E</paraID>
      <start>7</start>
      <end>9</end>
      <status>modified</status>
      <modifiedWord>, </modifiedWord>
      <trackRevisions>false</trackRevisions>
    </reviewItem>
    <reviewItem>
      <errorID>3dd5c69f-886f-48a4-ba40-66d606f0f312</errorID>
      <errorWord>程</errorWord>
      <group>L1_Word</group>
      <groupName>字词问题</groupName>
      <ability>L2_Typo</ability>
      <abilityName>字词错误</abilityName>
      <candidateList>
        <item>程中</item>
      </candidateList>
      <explain/>
      <paraID>21099D4A</paraID>
      <start>50</start>
      <end>52</end>
      <status>modified</status>
      <modifiedWord>程中</modifiedWord>
      <trackRevisions>false</trackRevisions>
    </reviewItem>
    <reviewItem>
      <errorID>8bcc161f-384e-4699-85fb-ed7191bc7c62</errorID>
      <errorWord>MM</errorWord>
      <group>L1_Official</group>
      <groupName>公文问题</groupName>
      <ability>L2_Official</ability>
      <abilityName>公文问题</abilityName>
      <candidateList/>
      <explain>公文中禁止出现该词语</explain>
      <paraID>66760181</paraID>
      <start>3</start>
      <end>5</end>
      <status>ignored</status>
      <modifiedWord/>
      <trackRevisions>false</trackRevisions>
    </reviewItem>
    <reviewItem>
      <errorID>a546f663-9557-4c3f-a878-3f3c3b875374</errorID>
      <errorWord>MM</errorWord>
      <group>L1_Official</group>
      <groupName>公文问题</groupName>
      <ability>L2_Official</ability>
      <abilityName>公文问题</abilityName>
      <candidateList/>
      <explain>公文中禁止出现该词语</explain>
      <paraID>340D450E</paraID>
      <start>3</start>
      <end>5</end>
      <status>ignored</status>
      <modifiedWord/>
      <trackRevisions>false</trackRevisions>
    </reviewItem>
    <reviewItem>
      <errorID>c0db7923-7197-4271-958b-9049a0dbf8e1</errorID>
      <errorWord>MM</errorWord>
      <group>L1_Official</group>
      <groupName>公文问题</groupName>
      <ability>L2_Official</ability>
      <abilityName>公文问题</abilityName>
      <candidateList/>
      <explain>公文中禁止出现该词语</explain>
      <paraID>1BB7DC42</paraID>
      <start>3</start>
      <end>5</end>
      <status>ignored</status>
      <modifiedWord/>
      <trackRevisions>false</trackRevisions>
    </reviewItem>
    <reviewItem>
      <errorID>6a1f5582-6db3-4d64-bc38-507b4397f5cd</errorID>
      <errorWord>)</errorWord>
      <group>L1_Format</group>
      <groupName>格式问题</groupName>
      <ability>L2_HalfPunc</ability>
      <abilityName>全半角检查</abilityName>
      <candidateList>
        <item>）</item>
      </candidateList>
      <explain>文本全半角错误。</explain>
      <paraID>4A29F1AB</paraID>
      <start>24</start>
      <end>25</end>
      <status>modified</status>
      <modifiedWord>）</modifiedWord>
      <trackRevisions>false</trackRevisions>
    </reviewItem>
    <reviewItem>
      <errorID>1b5b690f-7108-4ac3-9968-9e95edc53f80</errorID>
      <errorWord>时效性</errorWord>
      <group>L1_Word</group>
      <groupName>字词问题</groupName>
      <ability>L2_Typo</ability>
      <abilityName>字词错误</abilityName>
      <candidateList>
        <item>实效性</item>
      </candidateList>
      <explain/>
      <paraID> D1ECB76</paraID>
      <start>160</start>
      <end>163</end>
      <status>ignored</status>
      <modifiedWord/>
      <trackRevisions>false</trackRevisions>
    </reviewItem>
    <reviewItem>
      <errorID>1b8caa61-8f9d-4422-9bcf-aca2c4229b61</errorID>
      <errorWord>工地</errorWord>
      <group>L1_Word</group>
      <groupName>字词问题</groupName>
      <ability>L2_Typo</ability>
      <abilityName>字词错误</abilityName>
      <candidateList>
        <item>场地</item>
      </candidateList>
      <explain/>
      <paraID>2F85FE39</paraID>
      <start>26</start>
      <end>28</end>
      <status>ignored</status>
      <modifiedWord/>
      <trackRevisions>false</trackRevisions>
    </reviewItem>
    <reviewItem>
      <errorID>9600d756-9222-4b1a-8bf6-39b279fc239e</errorID>
      <errorWord>程</errorWord>
      <group>L1_Word</group>
      <groupName>字词问题</groupName>
      <ability>L2_Typo</ability>
      <abilityName>字词错误</abilityName>
      <candidateList>
        <item>程中</item>
      </candidateList>
      <explain/>
      <paraID>486A07E5</paraID>
      <start>6</start>
      <end>8</end>
      <status>modified</status>
      <modifiedWord>程中</modifiedWord>
      <trackRevisions>false</trackRevisions>
    </reviewItem>
    <reviewItem>
      <errorID>cdca75d1-f6d4-44e8-816d-9717568b1839</errorID>
      <errorWord>设</errorWord>
      <group>L1_Word</group>
      <groupName>字词问题</groupName>
      <ability>L2_Typo</ability>
      <abilityName>字词错误</abilityName>
      <candidateList>
        <item>设置</item>
      </candidateList>
      <explain>〈动〉❶设立：这座剧院是为儿童～的。❷安放；安装：～障碍。</explain>
      <paraID>4FA3E758</paraID>
      <start>24</start>
      <end>26</end>
      <status>modified</status>
      <modifiedWord>设置</modifiedWord>
      <trackRevisions>false</trackRevisions>
    </reviewItem>
    <reviewItem>
      <errorID>3334e7e0-87a6-44bb-82c0-dc5feaa9e9e8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5459C7BD</paraID>
      <start>0</start>
      <end>2</end>
      <status>modified</status>
      <modifiedWord>1.</modifiedWord>
      <trackRevisions>false</trackRevisions>
    </reviewItem>
    <reviewItem>
      <errorID>36e89074-5df8-47b0-a19e-4c42929fe447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62A73323</paraID>
      <start>0</start>
      <end>2</end>
      <status>modified</status>
      <modifiedWord>2.</modifiedWord>
      <trackRevisions>false</trackRevisions>
    </reviewItem>
    <reviewItem>
      <errorID>9c31eb1f-095c-4e53-acc5-417fa016ea00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32F7D9FD</paraID>
      <start>0</start>
      <end>2</end>
      <status>modified</status>
      <modifiedWord>3.</modifiedWord>
      <trackRevisions>false</trackRevisions>
    </reviewItem>
    <reviewItem>
      <errorID>d9fb27c4-d2c6-4e72-a132-a8b610f825ac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1D84A1D3</paraID>
      <start>0</start>
      <end>2</end>
      <status>modified</status>
      <modifiedWord>4.</modifiedWord>
      <trackRevisions>false</trackRevisions>
    </reviewItem>
    <reviewItem>
      <errorID>9c8dd7c5-fa94-43e7-8c70-03969d6b5bc7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29E12C6</paraID>
      <start>0</start>
      <end>2</end>
      <status>modified</status>
      <modifiedWord>1.</modifiedWord>
      <trackRevisions>false</trackRevisions>
    </reviewItem>
    <reviewItem>
      <errorID>625223d6-2818-45ca-bf28-18b773882d6a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495478DA</paraID>
      <start>3</start>
      <end>4</end>
      <status>modified</status>
      <modifiedWord>地</modifiedWord>
      <trackRevisions>false</trackRevisions>
    </reviewItem>
    <reviewItem>
      <errorID>c2f05cab-83cd-429e-9661-94a0ab7669a8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7B460DF6</paraID>
      <start>0</start>
      <end>2</end>
      <status>modified</status>
      <modifiedWord>1.</modifiedWord>
      <trackRevisions>false</trackRevisions>
    </reviewItem>
    <reviewItem>
      <errorID>ddcd3561-16ca-4ee3-aa92-a87ff8b7c5df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6918B14F</paraID>
      <start>0</start>
      <end>2</end>
      <status>modified</status>
      <modifiedWord>2.</modifiedWord>
      <trackRevisions>false</trackRevisions>
    </reviewItem>
    <reviewItem>
      <errorID>f7c80832-b521-4d98-ad03-bb445872a1a9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2ECD1B92</paraID>
      <start>0</start>
      <end>2</end>
      <status>modified</status>
      <modifiedWord>3.</modifiedWord>
      <trackRevisions>false</trackRevisions>
    </reviewItem>
    <reviewItem>
      <errorID>4a976fff-eef7-4960-a939-2e2e2c216187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3851D13C</paraID>
      <start>0</start>
      <end>2</end>
      <status>modified</status>
      <modifiedWord>4.</modifiedWord>
      <trackRevisions>false</trackRevisions>
    </reviewItem>
    <reviewItem>
      <errorID>a1d33949-1437-4c5c-82d4-51a8a29a8f37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50806765</paraID>
      <start>0</start>
      <end>2</end>
      <status>modified</status>
      <modifiedWord>1.</modifiedWord>
      <trackRevisions>false</trackRevisions>
    </reviewItem>
    <reviewItem>
      <errorID>2ee36b38-365c-44bd-9571-e1c58d184eb5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1F5DDA2F</paraID>
      <start>0</start>
      <end>2</end>
      <status>modified</status>
      <modifiedWord>2.</modifiedWord>
      <trackRevisions>false</trackRevisions>
    </reviewItem>
    <reviewItem>
      <errorID>a2a39182-9cfe-462d-9a09-cbc9a2759a0f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7C56CD1E</paraID>
      <start>0</start>
      <end>2</end>
      <status>modified</status>
      <modifiedWord>3.</modifiedWord>
      <trackRevisions>false</trackRevisions>
    </reviewItem>
    <reviewItem>
      <errorID>e847b8b5-619a-43c1-83d1-dbd2e47e6f98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44A9FAFE</paraID>
      <start>0</start>
      <end>2</end>
      <status>modified</status>
      <modifiedWord>4.</modifiedWord>
      <trackRevisions>false</trackRevisions>
    </reviewItem>
    <reviewItem>
      <errorID>34e59d8d-76f1-4f63-a55b-51bddbed2775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56DB993D</paraID>
      <start>0</start>
      <end>2</end>
      <status>modified</status>
      <modifiedWord>1.</modifiedWord>
      <trackRevisions>false</trackRevisions>
    </reviewItem>
    <reviewItem>
      <errorID>36341df0-a79c-48fa-82e4-c3a6e06502f6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616E8287</paraID>
      <start>0</start>
      <end>2</end>
      <status>modified</status>
      <modifiedWord>2.</modifiedWord>
      <trackRevisions>false</trackRevisions>
    </reviewItem>
    <reviewItem>
      <errorID>8167289a-8c6b-4b66-abe5-b73608170b3c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173B984A</paraID>
      <start>0</start>
      <end>2</end>
      <status>modified</status>
      <modifiedWord>3.</modifiedWord>
      <trackRevisions>false</trackRevisions>
    </reviewItem>
    <reviewItem>
      <errorID>a9d8c1c5-8fb0-48c4-aed6-3afd790f8e80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301BD184</paraID>
      <start>0</start>
      <end>2</end>
      <status>modified</status>
      <modifiedWord>1.</modifiedWord>
      <trackRevisions>false</trackRevisions>
    </reviewItem>
    <reviewItem>
      <errorID>1dba4768-7273-4124-a2b5-13b2d46bef37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6982E68E</paraID>
      <start>0</start>
      <end>2</end>
      <status>modified</status>
      <modifiedWord>2.</modifiedWord>
      <trackRevisions>false</trackRevisions>
    </reviewItem>
    <reviewItem>
      <errorID>136a3b87-c89f-4cf8-a879-134f7adf7dd1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6FB1CB67</paraID>
      <start>0</start>
      <end>2</end>
      <status>modified</status>
      <modifiedWord>3.</modifiedWord>
      <trackRevisions>false</trackRevisions>
    </reviewItem>
    <reviewItem>
      <errorID>8c4e066a-c7be-47c4-9484-0772f35ace71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671BEDDF</paraID>
      <start>0</start>
      <end>2</end>
      <status>modified</status>
      <modifiedWord>1.</modifiedWord>
      <trackRevisions>false</trackRevisions>
    </reviewItem>
    <reviewItem>
      <errorID>6209d36e-cb2f-43cb-8ee5-9b1394b855bb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21BA7B88</paraID>
      <start>0</start>
      <end>2</end>
      <status>modified</status>
      <modifiedWord>2.</modifiedWord>
      <trackRevisions>false</trackRevisions>
    </reviewItem>
    <reviewItem>
      <errorID>7c1f5b98-151e-442c-828a-af57c6a8504e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3A667EDC</paraID>
      <start>0</start>
      <end>2</end>
      <status>modified</status>
      <modifiedWord>1.</modifiedWord>
      <trackRevisions>false</trackRevisions>
    </reviewItem>
    <reviewItem>
      <errorID>c1ce1a6b-3688-4c59-b1c2-9f600ec17fd0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1FDA6619</paraID>
      <start>0</start>
      <end>2</end>
      <status>modified</status>
      <modifiedWord>2.</modifiedWord>
      <trackRevisions>false</trackRevisions>
    </reviewItem>
    <reviewItem>
      <errorID>957118e2-9be7-4f15-833d-caddb5cd0b15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21453C91</paraID>
      <start>0</start>
      <end>2</end>
      <status>modified</status>
      <modifiedWord>2.</modifiedWord>
      <trackRevisions>false</trackRevisions>
    </reviewItem>
    <reviewItem>
      <errorID>333e8c5a-1064-4f0b-ade9-be9424ca305c</errorID>
      <errorWord>~</errorWord>
      <group>L1_Format</group>
      <groupName>格式问题</groupName>
      <ability>L2_HalfPunc</ability>
      <abilityName>全半角检查</abilityName>
      <candidateList>
        <item>～</item>
      </candidateList>
      <explain>文本全半角错误。</explain>
      <paraID>6AA6FC8D</paraID>
      <start>119</start>
      <end>120</end>
      <status>modified</status>
      <modifiedWord>～</modifiedWord>
      <trackRevisions>false</trackRevisions>
    </reviewItem>
    <reviewItem>
      <errorID>dcb2747d-ea98-4cd0-8a50-1e9ffbfdb773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6AA6FC8D</paraID>
      <start>153</start>
      <end>154</end>
      <status>modified</status>
      <modifiedWord>—</modifiedWord>
      <trackRevisions>false</trackRevisions>
    </reviewItem>
    <reviewItem>
      <errorID>3b311bd7-27d2-4c39-901d-e0f481cf0a11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2EDB53AF</paraID>
      <start>0</start>
      <end>2</end>
      <status>modified</status>
      <modifiedWord>3.</modifiedWord>
      <trackRevisions>false</trackRevisions>
    </reviewItem>
    <reviewItem>
      <errorID>2c47da23-4f4e-4918-bdd6-0bdb1c880c35</errorID>
      <errorWord>销</errorWord>
      <group>L1_Word</group>
      <groupName>字词问题</groupName>
      <ability>L2_Typo</ability>
      <abilityName>字词错误</abilityName>
      <candidateList>
        <item>硝</item>
      </candidateList>
      <explain/>
      <paraID>218A5774</paraID>
      <start>21</start>
      <end>22</end>
      <status>modified</status>
      <modifiedWord>硝</modifiedWord>
      <trackRevisions>false</trackRevisions>
    </reviewItem>
    <reviewItem>
      <errorID>c368c423-8191-45c9-bc9b-3e6b3a5d0941</errorID>
      <errorWord>PH值</errorWord>
      <group>L1_Word</group>
      <groupName>字词问题</groupName>
      <ability>L2_Typo</ability>
      <abilityName>字词错误</abilityName>
      <candidateList>
        <item>pH值</item>
      </candidateList>
      <explain/>
      <paraID>218A5774</paraID>
      <start>52</start>
      <end>55</end>
      <status>modified</status>
      <modifiedWord>pH值</modifiedWord>
      <trackRevisions>false</trackRevisions>
    </reviewItem>
    <reviewItem>
      <errorID>7fbc41f5-5b4a-4169-a19a-0894de68e22c</errorID>
      <errorWord>：</errorWord>
      <group>L1_Format</group>
      <groupName>格式问题</groupName>
      <ability>L2_HalfPunc</ability>
      <abilityName>全半角检查</abilityName>
      <candidateList>
        <item>:</item>
      </candidateList>
      <explain>文本全半角错误。</explain>
      <paraID>218A5774</paraID>
      <start>245</start>
      <end>246</end>
      <status>modified</status>
      <modifiedWord>:</modifiedWord>
      <trackRevisions>false</trackRevisions>
    </reviewItem>
    <reviewItem>
      <errorID>824882fe-18ce-4413-b819-6bfcd992624c</errorID>
      <errorWord>：</errorWord>
      <group>L1_Format</group>
      <groupName>格式问题</groupName>
      <ability>L2_HalfPunc</ability>
      <abilityName>全半角检查</abilityName>
      <candidateList>
        <item>:</item>
      </candidateList>
      <explain>文本全半角错误。</explain>
      <paraID>218A5774</paraID>
      <start>257</start>
      <end>258</end>
      <status>modified</status>
      <modifiedWord>:</modifiedWord>
      <trackRevisions>false</trackRevisions>
    </reviewItem>
    <reviewItem>
      <errorID>fb847700-7f99-434a-bfe4-5d3b2b29fa5b</errorID>
      <errorWord>(</errorWord>
      <group>L1_Format</group>
      <groupName>格式问题</groupName>
      <ability>L2_HalfPunc</ability>
      <abilityName>全半角检查</abilityName>
      <candidateList>
        <item>（</item>
      </candidateList>
      <explain>文本全半角错误。</explain>
      <paraID>218A5774</paraID>
      <start>435</start>
      <end>436</end>
      <status>modified</status>
      <modifiedWord>（</modifiedWord>
      <trackRevisions>false</trackRevisions>
    </reviewItem>
    <reviewItem>
      <errorID>6c134ebd-020d-4e14-8938-e5051f51886f</errorID>
      <errorWord>)</errorWord>
      <group>L1_Format</group>
      <groupName>格式问题</groupName>
      <ability>L2_HalfPunc</ability>
      <abilityName>全半角检查</abilityName>
      <candidateList>
        <item>）</item>
      </candidateList>
      <explain>文本全半角错误。</explain>
      <paraID>218A5774</paraID>
      <start>448</start>
      <end>449</end>
      <status>modified</status>
      <modifiedWord>）</modifiedWord>
      <trackRevisions>false</trackRevisions>
    </reviewItem>
    <reviewItem>
      <errorID>0538dcdf-ce35-4398-b4f8-df69ce8f5cf0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49CD0400</paraID>
      <start>0</start>
      <end>2</end>
      <status>modified</status>
      <modifiedWord>4.</modifiedWord>
      <trackRevisions>false</trackRevisions>
    </reviewItem>
    <reviewItem>
      <errorID>a606fc8d-7222-49f5-9dec-0d1fae8a7f5b</errorID>
      <errorWord>场</errorWord>
      <group>L1_Word</group>
      <groupName>字词问题</groupName>
      <ability>L2_Typo</ability>
      <abilityName>字词错误</abilityName>
      <candidateList>
        <item>厂</item>
      </candidateList>
      <explain/>
      <paraID>70FB0FA0</paraID>
      <start>12</start>
      <end>13</end>
      <status>ignored</status>
      <modifiedWord/>
      <trackRevisions>false</trackRevisions>
    </reviewItem>
    <reviewItem>
      <errorID>0eb3d08b-99f5-4f8a-9fb3-ecad68b522ad</errorID>
      <errorWord>储存于</errorWord>
      <group>L1_Word</group>
      <groupName>字词问题</groupName>
      <ability>L2_Typo</ability>
      <abilityName>字词错误</abilityName>
      <candidateList>
        <item>储存</item>
      </candidateList>
      <explain/>
      <paraID>70FB0FA0</paraID>
      <start>58</start>
      <end>60</end>
      <status>modified</status>
      <modifiedWord>储存</modifiedWord>
      <trackRevisions>false</trackRevisions>
    </reviewItem>
    <reviewItem>
      <errorID>021d4f13-56a9-4e07-83ba-62e89694bd33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2858C782</paraID>
      <start>0</start>
      <end>2</end>
      <status>modified</status>
      <modifiedWord>5.</modifiedWord>
      <trackRevisions>false</trackRevisions>
    </reviewItem>
    <reviewItem>
      <errorID>a6eeba51-9cf2-491c-abe5-ae7ff7937ac6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2348FE44</paraID>
      <start>0</start>
      <end>2</end>
      <status>modified</status>
      <modifiedWord>1.</modifiedWord>
      <trackRevisions>false</trackRevisions>
    </reviewItem>
    <reviewItem>
      <errorID>95dbd3a5-36e5-45a4-8e4b-155a87f17430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5986A9D1</paraID>
      <start>0</start>
      <end>2</end>
      <status>modified</status>
      <modifiedWord>2.</modifiedWord>
      <trackRevisions>false</trackRevisions>
    </reviewItem>
    <reviewItem>
      <errorID>c509af16-1430-485d-ac1d-f3f7bc1e6bb2</errorID>
      <errorWord>舍舍</errorWord>
      <group>L1_Word</group>
      <groupName>字词问题</groupName>
      <ability>L2_Typo</ability>
      <abilityName>字词错误</abilityName>
      <candidateList>
        <item>舍</item>
      </candidateList>
      <explain/>
      <paraID>77259BF7</paraID>
      <start>7</start>
      <end>8</end>
      <status>modified</status>
      <modifiedWord>舍</modifiedWord>
      <trackRevisions>false</trackRevisions>
    </reviewItem>
    <reviewItem>
      <errorID>ba1e285d-1569-4f19-9b96-643f5feba587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328AA5E6</paraID>
      <start>4</start>
      <end>5</end>
      <status>modified</status>
      <modifiedWord>地</modifiedWord>
      <trackRevisions>false</trackRevisions>
    </reviewItem>
    <reviewItem>
      <errorID>76b649af-97de-468b-a9b5-61c553bbce8b</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7B5EFDB8</paraID>
      <start>0</start>
      <end>2</end>
      <status>modified</status>
      <modifiedWord>a.</modifiedWord>
      <trackRevisions>false</trackRevisions>
    </reviewItem>
    <reviewItem>
      <errorID>e2e03626-f7e5-4a91-b789-ede4d458e9c7</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3E49BFB4</paraID>
      <start>0</start>
      <end>2</end>
      <status>modified</status>
      <modifiedWord>b.</modifiedWord>
      <trackRevisions>false</trackRevisions>
    </reviewItem>
    <reviewItem>
      <errorID>d6cb12aa-8a61-4134-bf56-71ecf08627b9</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449AF047</paraID>
      <start>0</start>
      <end>2</end>
      <status>modified</status>
      <modifiedWord>c.</modifiedWord>
      <trackRevisions>false</trackRevisions>
    </reviewItem>
    <reviewItem>
      <errorID>9ab9c362-b3d5-4afb-a4f6-fb11f2738f29</errorID>
      <errorWord>项目对</errorWord>
      <group>L1_Word</group>
      <groupName>字词问题</groupName>
      <ability>L2_Typo</ability>
      <abilityName>字词错误</abilityName>
      <candidateList>
        <item>项目</item>
      </candidateList>
      <explain>〈名〉事物分成的门类：服务～｜体育～｜建设～。</explain>
      <paraID>449AF047</paraID>
      <start>50</start>
      <end>52</end>
      <status>modified</status>
      <modifiedWord>项目</modifiedWord>
      <trackRevisions>false</trackRevisions>
    </reviewItem>
    <reviewItem>
      <errorID>533e3d44-e73b-415d-8226-167ed70aef51</errorID>
      <errorWord>-</errorWord>
      <group>L1_Format</group>
      <groupName>格式问题</groupName>
      <ability>L2_HalfPunc</ability>
      <abilityName>全半角检查</abilityName>
      <candidateList>
        <item>－</item>
      </candidateList>
      <explain>文本全半角错误。</explain>
      <paraID>30A4275F</paraID>
      <start>60</start>
      <end>61</end>
      <status>modified</status>
      <modifiedWord>－</modifiedWord>
      <trackRevisions>false</trackRevisions>
    </reviewItem>
    <reviewItem>
      <errorID>390da360-3d27-44a4-a93c-0fc9fa0c1f04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61AB8E9D</paraID>
      <start>21</start>
      <end>22</end>
      <status>modified</status>
      <modifiedWord>—</modifiedWord>
      <trackRevisions>false</trackRevisions>
    </reviewItem>
    <reviewItem>
      <errorID>545e1452-4a57-4dcf-88ab-ac9818965dd1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57FB64E4</paraID>
      <start>21</start>
      <end>22</end>
      <status>modified</status>
      <modifiedWord>—</modifiedWord>
      <trackRevisions>false</trackRevisions>
    </reviewItem>
    <reviewItem>
      <errorID>a4b893b5-6947-4435-bbe9-8ac07619a120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4086A3D6</paraID>
      <start>32</start>
      <end>33</end>
      <status>modified</status>
      <modifiedWord>—</modifiedWord>
      <trackRevisions>false</trackRevisions>
    </reviewItem>
    <reviewItem>
      <errorID>13d44e02-02be-4737-a686-4fd1b18089dd</errorID>
      <errorWord>其它</errorWord>
      <group>L1_Word</group>
      <groupName>字词问题</groupName>
      <ability>L2_Alias</ability>
      <abilityName>也作/曾用词</abilityName>
      <candidateList>
        <item>其他</item>
      </candidateList>
      <explain>词汇[其它]为不规范表述或旧称，其规范书面表述为[其他]。</explain>
      <paraID>70AC6FEA</paraID>
      <start>23</start>
      <end>25</end>
      <status>modified</status>
      <modifiedWord>其他</modifiedWord>
      <trackRevisions>false</trackRevisions>
    </reviewItem>
    <reviewItem>
      <errorID>d2d42f4d-444b-446f-a9c6-d95f7c2eb5bc</errorID>
      <errorWord>~</errorWord>
      <group>L1_Format</group>
      <groupName>格式问题</groupName>
      <ability>L2_HalfPunc</ability>
      <abilityName>全半角检查</abilityName>
      <candidateList>
        <item>～</item>
      </candidateList>
      <explain>文本全半角错误。</explain>
      <paraID>70AC6FEA</paraID>
      <start>38</start>
      <end>39</end>
      <status>modified</status>
      <modifiedWord>～</modifiedWord>
      <trackRevisions>false</trackRevisions>
    </reviewItem>
    <reviewItem>
      <errorID>2e4960f8-dcd5-4516-a899-b745bfa129c0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6796C6D7</paraID>
      <start>32</start>
      <end>33</end>
      <status>modified</status>
      <modifiedWord>—</modifiedWord>
      <trackRevisions>false</trackRevisions>
    </reviewItem>
    <reviewItem>
      <errorID>0d9d3584-4614-43aa-833b-1a4b861a64c1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6796C6D7</paraID>
      <start>114</start>
      <end>115</end>
      <status>modified</status>
      <modifiedWord>—</modifiedWord>
      <trackRevisions>false</trackRevisions>
    </reviewItem>
    <reviewItem>
      <errorID>eebf0ba4-e6bc-4761-8569-c2edf69f4489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6796C6D7</paraID>
      <start>157</start>
      <end>158</end>
      <status>modified</status>
      <modifiedWord>—</modifiedWord>
      <trackRevisions>false</trackRevisions>
    </reviewItem>
    <reviewItem>
      <errorID>fe2ac2c5-5304-4b6d-90e5-e1b738dc4754</errorID>
      <errorWord>~</errorWord>
      <group>L1_Format</group>
      <groupName>格式问题</groupName>
      <ability>L2_HalfPunc</ability>
      <abilityName>全半角检查</abilityName>
      <candidateList>
        <item>～</item>
      </candidateList>
      <explain>文本全半角错误。</explain>
      <paraID>71CB4B12</paraID>
      <start>30</start>
      <end>31</end>
      <status>modified</status>
      <modifiedWord>～</modifiedWord>
      <trackRevisions>false</trackRevisions>
    </reviewItem>
    <reviewItem>
      <errorID>4ab4cca6-66a7-40e1-a898-926b35186fd7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35A9FB2C</paraID>
      <start>21</start>
      <end>22</end>
      <status>modified</status>
      <modifiedWord>—</modifiedWord>
      <trackRevisions>false</trackRevisions>
    </reviewItem>
    <reviewItem>
      <errorID>f50be9a8-2e6b-4677-a374-f31091b5feff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11F4E207</paraID>
      <start>22</start>
      <end>23</end>
      <status>modified</status>
      <modifiedWord>—</modifiedWord>
      <trackRevisions>false</trackRevisions>
    </reviewItem>
    <reviewItem>
      <errorID>d5f53898-0e5b-43dd-bb4d-0f6fa6b8ca77</errorID>
      <errorWord>绝了</errorWord>
      <group>L1_Official</group>
      <groupName>公文问题</groupName>
      <ability>L2_Official</ability>
      <abilityName>公文问题</abilityName>
      <candidateList/>
      <explain>公文中禁止出现该词语</explain>
      <paraID>6082B588</paraID>
      <start>20</start>
      <end>22</end>
      <status>ignored</status>
      <modifiedWord/>
      <trackRevisions>false</trackRevisions>
    </reviewItem>
    <reviewItem>
      <errorID>52795759-050c-4940-aaee-6a7d1393d4d6</errorID>
      <errorWord>吸音材料</errorWord>
      <group>L1_Word</group>
      <groupName>字词问题</groupName>
      <ability>L2_Typo</ability>
      <abilityName>字词错误</abilityName>
      <candidateList>
        <item>吸声材料</item>
      </candidateList>
      <explain/>
      <paraID>5669C110</paraID>
      <start>18</start>
      <end>22</end>
      <status>ignored</status>
      <modifiedWord/>
      <trackRevisions>false</trackRevisions>
    </reviewItem>
    <reviewItem>
      <errorID>11288357-532c-40d1-92ad-8917f93bfad8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33176AC7</paraID>
      <start>0</start>
      <end>2</end>
      <status>modified</status>
      <modifiedWord>1.</modifiedWord>
      <trackRevisions>false</trackRevisions>
    </reviewItem>
    <reviewItem>
      <errorID>a0b2ea1b-d070-4caf-9885-4bc04dcf2e17</errorID>
      <errorWord>》</errorWord>
      <group>L1_Word</group>
      <groupName>字词问题</groupName>
      <ability>L2_Typo</ability>
      <abilityName>字词错误</abilityName>
      <candidateList>
        <item>》和</item>
      </candidateList>
      <explain/>
      <paraID>7C186DF8</paraID>
      <start>23</start>
      <end>24</end>
      <status>ignored</status>
      <modifiedWord/>
      <trackRevisions>false</trackRevisions>
    </reviewItem>
    <reviewItem>
      <errorID>94276081-a865-4f4f-8190-39f0d36a429c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74208B1B</paraID>
      <start>0</start>
      <end>2</end>
      <status>modified</status>
      <modifiedWord>2.</modifiedWord>
      <trackRevisions>false</trackRevisions>
    </reviewItem>
    <reviewItem>
      <errorID>194d5ce4-8103-4877-8f29-59dd6f838fa8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7EE9D9BE</paraID>
      <start>0</start>
      <end>2</end>
      <status>modified</status>
      <modifiedWord>3.</modifiedWord>
      <trackRevisions>false</trackRevisions>
    </reviewItem>
    <reviewItem>
      <errorID>32fcb255-6337-4989-a602-c66c422226e4</errorID>
      <errorWord>程</errorWord>
      <group>L1_Word</group>
      <groupName>字词问题</groupName>
      <ability>L2_Typo</ability>
      <abilityName>字词错误</abilityName>
      <candidateList>
        <item>程中</item>
      </candidateList>
      <explain/>
      <paraID>4E7A5F50</paraID>
      <start>40</start>
      <end>42</end>
      <status>modified</status>
      <modifiedWord>程中</modifiedWord>
      <trackRevisions>false</trackRevisions>
    </reviewItem>
    <reviewItem>
      <errorID>53b0df8f-ec15-4ade-a16b-f42f8a8c37cf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4DFBAAD2</paraID>
      <start>88</start>
      <end>89</end>
      <status>modified</status>
      <modifiedWord>—</modifiedWord>
      <trackRevisions>false</trackRevisions>
    </reviewItem>
    <reviewItem>
      <errorID>a1b4ac4c-04d8-4044-92fa-b3482aeaa6b9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3C13BB2B</paraID>
      <start>0</start>
      <end>2</end>
      <status>modified</status>
      <modifiedWord>1）</modifiedWord>
      <trackRevisions>false</trackRevisions>
    </reviewItem>
    <reviewItem>
      <errorID>67ac70dd-acb5-4104-9cb9-3deda57aee60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358EECDA</paraID>
      <start>0</start>
      <end>2</end>
      <status>modified</status>
      <modifiedWord>2）</modifiedWord>
      <trackRevisions>false</trackRevisions>
    </reviewItem>
    <reviewItem>
      <errorID>df41832f-9178-4b25-ad6a-f6b2e2e797ba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3DB98E4E</paraID>
      <start>0</start>
      <end>2</end>
      <status>modified</status>
      <modifiedWord>3）</modifiedWord>
      <trackRevisions>false</trackRevisions>
    </reviewItem>
    <reviewItem>
      <errorID>0c4c67c8-81c8-4d06-a8d3-ddf5d2657203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566A0283</paraID>
      <start>0</start>
      <end>2</end>
      <status>modified</status>
      <modifiedWord>4）</modifiedWord>
      <trackRevisions>false</trackRevisions>
    </reviewItem>
    <reviewItem>
      <errorID>ade182a0-681d-4abf-b3a0-f8be211c5ee2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37A6E926</paraID>
      <start>0</start>
      <end>2</end>
      <status>modified</status>
      <modifiedWord>5）</modifiedWord>
      <trackRevisions>false</trackRevisions>
    </reviewItem>
    <reviewItem>
      <errorID>2028e686-f127-41cc-8cf5-7f8f91673e7b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3EA3925C</paraID>
      <start>0</start>
      <end>2</end>
      <status>modified</status>
      <modifiedWord>6）</modifiedWord>
      <trackRevisions>false</trackRevisions>
    </reviewItem>
    <reviewItem>
      <errorID>e964f8b4-5753-430b-8aca-85ce18227cbc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75C65956</paraID>
      <start>0</start>
      <end>2</end>
      <status>modified</status>
      <modifiedWord>7）</modifiedWord>
      <trackRevisions>false</trackRevisions>
    </reviewItem>
    <reviewItem>
      <errorID>b2204ec9-dab2-4419-b569-133803bd1fa1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3A5AA84F</paraID>
      <start>0</start>
      <end>2</end>
      <status>modified</status>
      <modifiedWord>8）</modifiedWord>
      <trackRevisions>false</trackRevisions>
    </reviewItem>
    <reviewItem>
      <errorID>c506dd50-996d-4cfa-bf8c-4d342b7d8eb1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34F13B89</paraID>
      <start>0</start>
      <end>2</end>
      <status>modified</status>
      <modifiedWord>4.</modifiedWord>
      <trackRevisions>false</trackRevisions>
    </reviewItem>
    <reviewItem>
      <errorID>ef97d4a4-a9e8-46d4-bec3-267892cc6e73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52E9DC06</paraID>
      <start>0</start>
      <end>2</end>
      <status>modified</status>
      <modifiedWord>5.</modifiedWord>
      <trackRevisions>false</trackRevisions>
    </reviewItem>
    <reviewItem>
      <errorID>2b273167-d291-4a2a-baa3-be76048df840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77E29328</paraID>
      <start>0</start>
      <end>2</end>
      <status>modified</status>
      <modifiedWord>1.</modifiedWord>
      <trackRevisions>false</trackRevisions>
    </reviewItem>
    <reviewItem>
      <errorID>01d4c87a-1cf1-436f-80e5-009887894765</errorID>
      <errorWord>加强</errorWord>
      <group>L1_Grammar</group>
      <groupName>语法问题</groupName>
      <ability>L2_Grammar</ability>
      <abilityName>语法错误</abilityName>
      <candidateList>
        <item>加大</item>
      </candidateList>
      <explain>“加强～力度”搭配不当，建议修改为“加大～力度”。</explain>
      <paraID>2E511EB8</paraID>
      <start>47</start>
      <end>49</end>
      <status>modified</status>
      <modifiedWord>加大</modifiedWord>
      <trackRevisions>false</trackRevisions>
    </reviewItem>
    <reviewItem>
      <errorID>d3e936e8-f7d5-4608-9892-e531192d9859</errorID>
      <errorWord>减震措施</errorWord>
      <group>L1_Knowledge</group>
      <groupName>知识性问题</groupName>
      <ability>L2_Term</ability>
      <abilityName>专业术语</abilityName>
      <candidateList>
        <item>减振措施</item>
      </candidateList>
      <explain/>
      <paraID>32C26618</paraID>
      <start>26</start>
      <end>30</end>
      <status>modified</status>
      <modifiedWord>减振措施</modifiedWord>
      <trackRevisions>false</trackRevisions>
    </reviewItem>
    <reviewItem>
      <errorID>fab41826-3e19-4816-8015-1cc5f133b843</errorID>
      <errorWord>(</errorWord>
      <group>L1_Format</group>
      <groupName>格式问题</groupName>
      <ability>L2_HalfPunc</ability>
      <abilityName>全半角检查</abilityName>
      <candidateList>
        <item>（</item>
      </candidateList>
      <explain>文本全半角错误。</explain>
      <paraID>63F14FC9</paraID>
      <start>2</start>
      <end>3</end>
      <status>modified</status>
      <modifiedWord>（</modifiedWord>
      <trackRevisions>false</trackRevisions>
    </reviewItem>
    <reviewItem>
      <errorID>06cdb531-ee16-4b88-82d7-999f18b709fe</errorID>
      <errorWord>)</errorWord>
      <group>L1_Format</group>
      <groupName>格式问题</groupName>
      <ability>L2_HalfPunc</ability>
      <abilityName>全半角检查</abilityName>
      <candidateList>
        <item>）</item>
      </candidateList>
      <explain>文本全半角错误。</explain>
      <paraID>63F14FC9</paraID>
      <start>5</start>
      <end>6</end>
      <status>modified</status>
      <modifiedWord>）</modifiedWord>
      <trackRevisions>false</trackRevisions>
    </reviewItem>
    <reviewItem>
      <errorID>eec36bd4-9f6e-465e-871c-b47e4efcb1e1</errorID>
      <errorWord>主要是</errorWord>
      <group>L1_Word</group>
      <groupName>字词问题</groupName>
      <ability>L2_Typo</ability>
      <abilityName>字词错误</abilityName>
      <candidateList>
        <item>主要</item>
      </candidateList>
      <explain>〈形〉属性词。有关事物中最重要的；起决定作用的：～原因｜～目的｜～人物。</explain>
      <paraID>5FCA3C99</paraID>
      <start>8</start>
      <end>10</end>
      <status>modified</status>
      <modifiedWord>主要</modifiedWord>
      <trackRevisions>false</trackRevisions>
    </reviewItem>
    <reviewItem>
      <errorID>a1a8879e-55a7-4c66-a859-8ae3d1670731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5FCA3C99</paraID>
      <start>29</start>
      <end>31</end>
      <status>modified</status>
      <modifiedWord>”“</modifiedWord>
      <trackRevisions>false</trackRevisions>
    </reviewItem>
    <reviewItem>
      <errorID>bc08ea87-e682-4c00-8fd0-8e5020aad0f3</errorID>
      <errorWord>做出贡献</errorWord>
      <group>L1_Word</group>
      <groupName>字词问题</groupName>
      <ability>L2_Typo</ability>
      <abilityName>字词错误</abilityName>
      <candidateList>
        <item>作出贡献</item>
      </candidateList>
      <explain>存在发音相同字词的误用。</explain>
      <paraID>4A886841</paraID>
      <start>285</start>
      <end>289</end>
      <status>modified</status>
      <modifiedWord>作出贡献</modifiedWord>
      <trackRevisions>false</trackRevisions>
    </reviewItem>
    <reviewItem>
      <errorID>c11ec121-9c9a-4665-a0e8-01db0b456bf3</errorID>
      <errorWord>-</errorWord>
      <group>L1_Format</group>
      <groupName>格式问题</groupName>
      <ability>L2_HalfPunc</ability>
      <abilityName>全半角检查</abilityName>
      <candidateList>
        <item>－</item>
      </candidateList>
      <explain>文本全半角错误。</explain>
      <paraID>217A3BE8</paraID>
      <start>17</start>
      <end>18</end>
      <status>modified</status>
      <modifiedWord>－</modifiedWord>
      <trackRevisions>false</trackRevisions>
    </reviewItem>
    <reviewItem>
      <errorID>14c7ebc2-a724-49fc-842e-cd349b2eea0c</errorID>
      <errorWord>属</errorWord>
      <group>L1_Word</group>
      <groupName>字词问题</groupName>
      <ability>L2_Typo</ability>
      <abilityName>字词错误</abilityName>
      <candidateList>
        <item>属于</item>
      </candidateList>
      <explain/>
      <paraID> B13FA0C</paraID>
      <start>3</start>
      <end>5</end>
      <status>modified</status>
      <modifiedWord>属于</modifiedWord>
      <trackRevisions>false</trackRevisions>
    </reviewItem>
    <reviewItem>
      <errorID>bcd6fb5a-280f-4ea6-820d-4dfc433d0fc2</errorID>
      <errorWord>做出</errorWord>
      <group>L1_Word</group>
      <groupName>字词问题</groupName>
      <ability>L2_Typo</ability>
      <abilityName>字词错误</abilityName>
      <candidateList>
        <item>作出</item>
      </candidateList>
      <explain/>
      <paraID>797E47C6</paraID>
      <start>82</start>
      <end>84</end>
      <status>ignored</status>
      <modifiedWord/>
      <trackRevisions>false</trackRevisions>
    </reviewItem>
    <reviewItem>
      <errorID>c1c0cebe-9a39-4a99-a2fe-ca38ef92dfa9</errorID>
      <errorWord>环保部</errorWord>
      <group>L1_Word</group>
      <groupName>字词问题</groupName>
      <ability>L2_Typo</ability>
      <abilityName>字词错误</abilityName>
      <candidateList>
        <item>环境部</item>
      </candidateList>
      <explain/>
      <paraID>43EA62BA</paraID>
      <start>6</start>
      <end>9</end>
      <status>ignored</status>
      <modifiedWord/>
      <trackRevisions>false</trackRevisions>
    </reviewItem>
    <reviewItem>
      <errorID>a65eabca-3ea0-4290-a008-556cd8392cee</errorID>
      <errorWord>(</errorWord>
      <group>L1_Format</group>
      <groupName>格式问题</groupName>
      <ability>L2_HalfPunc</ability>
      <abilityName>全半角检查</abilityName>
      <candidateList>
        <item>（</item>
      </candidateList>
      <explain>文本全半角错误。</explain>
      <paraID>6FC516E1</paraID>
      <start>6</start>
      <end>7</end>
      <status>modified</status>
      <modifiedWord>（</modifiedWord>
      <trackRevisions>false</trackRevisions>
    </reviewItem>
    <reviewItem>
      <errorID>13cb99de-4a8b-4089-b658-ade6a4aaaa60</errorID>
      <errorWord>)</errorWord>
      <group>L1_Format</group>
      <groupName>格式问题</groupName>
      <ability>L2_HalfPunc</ability>
      <abilityName>全半角检查</abilityName>
      <candidateList>
        <item>）</item>
      </candidateList>
      <explain>文本全半角错误。</explain>
      <paraID>6FC516E1</paraID>
      <start>9</start>
      <end>10</end>
      <status>modified</status>
      <modifiedWord>）</modifiedWord>
      <trackRevisions>false</trackRevisions>
    </reviewItem>
    <reviewItem>
      <errorID>ee317d9c-92fc-400f-b1a2-fc424b4f8964</errorID>
      <errorWord>高</errorWord>
      <group>L1_Word</group>
      <groupName>字词问题</groupName>
      <ability>L2_Typo</ability>
      <abilityName>字词错误</abilityName>
      <candidateList>
        <item>强</item>
      </candidateList>
      <explain/>
      <paraID>7311BFCD</paraID>
      <start>16</start>
      <end>17</end>
      <status>ignored</status>
      <modifiedWord/>
      <trackRevisions>false</trackRevisions>
    </reviewItem>
    <reviewItem>
      <errorID>4a98cc2d-e29d-48b0-a389-5fa336b27dab</errorID>
      <errorWord>填埋厂</errorWord>
      <group>L1_Word</group>
      <groupName>字词问题</groupName>
      <ability>L2_Typo</ability>
      <abilityName>字词错误</abilityName>
      <candidateList>
        <item>填埋场</item>
      </candidateList>
      <explain/>
      <paraID>22494BB9</paraID>
      <start>11</start>
      <end>14</end>
      <status>modified</status>
      <modifiedWord>填埋场</modifiedWord>
      <trackRevisions>false</trackRevisions>
    </reviewItem>
    <reviewItem>
      <errorID>99532798-1f5c-4dfe-98f4-f21eea44504b</errorID>
      <errorWord>(</errorWord>
      <group>L1_Format</group>
      <groupName>格式问题</groupName>
      <ability>L2_HalfPunc</ability>
      <abilityName>全半角检查</abilityName>
      <candidateList>
        <item>（</item>
      </candidateList>
      <explain>文本全半角错误。</explain>
      <paraID>58FE6660</paraID>
      <start>19</start>
      <end>20</end>
      <status>modified</status>
      <modifiedWord>（</modifiedWord>
      <trackRevisions>false</trackRevisions>
    </reviewItem>
    <reviewItem>
      <errorID>1f81e934-5c16-4b1b-a564-7ac5f7e10da8</errorID>
      <errorWord>)</errorWord>
      <group>L1_Format</group>
      <groupName>格式问题</groupName>
      <ability>L2_HalfPunc</ability>
      <abilityName>全半角检查</abilityName>
      <candidateList>
        <item>）</item>
      </candidateList>
      <explain>文本全半角错误。</explain>
      <paraID>58FE6660</paraID>
      <start>31</start>
      <end>32</end>
      <status>modified</status>
      <modifiedWord>）</modifiedWord>
      <trackRevisions>false</trackRevisions>
    </reviewItem>
    <reviewItem>
      <errorID>44534c8e-2ec1-4b68-b5bd-b6de76cf48aa</errorID>
      <errorWord>(</errorWord>
      <group>L1_Format</group>
      <groupName>格式问题</groupName>
      <ability>L2_HalfPunc</ability>
      <abilityName>全半角检查</abilityName>
      <candidateList>
        <item>（</item>
      </candidateList>
      <explain>文本全半角错误。</explain>
      <paraID>21A1968E</paraID>
      <start>14</start>
      <end>15</end>
      <status>modified</status>
      <modifiedWord>（</modifiedWord>
      <trackRevisions>false</trackRevisions>
    </reviewItem>
    <reviewItem>
      <errorID>ea0f094d-bf60-4b70-ae0c-8ed6fa8aea77</errorID>
      <errorWord>)</errorWord>
      <group>L1_Format</group>
      <groupName>格式问题</groupName>
      <ability>L2_HalfPunc</ability>
      <abilityName>全半角检查</abilityName>
      <candidateList>
        <item>）</item>
      </candidateList>
      <explain>文本全半角错误。</explain>
      <paraID>21A1968E</paraID>
      <start>27</start>
      <end>28</end>
      <status>modified</status>
      <modifiedWord>）</modifiedWord>
      <trackRevisions>false</trackRevisions>
    </reviewItem>
    <reviewItem>
      <errorID>22912128-5804-4a0a-857a-50cb826bedff</errorID>
      <errorWord>做出</errorWord>
      <group>L1_Word</group>
      <groupName>字词问题</groupName>
      <ability>L2_Typo</ability>
      <abilityName>字词错误</abilityName>
      <candidateList>
        <item>作出</item>
      </candidateList>
      <explain/>
      <paraID> 1965653</paraID>
      <start>115</start>
      <end>117</end>
      <status>ignored</status>
      <modifiedWord/>
      <trackRevisions>false</trackRevisions>
    </reviewItem>
    <reviewItem>
      <errorID>bcebb175-af83-4fb0-8358-f74c3d14204a</errorID>
      <errorWord>是在</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730C34F0</paraID>
      <start>13</start>
      <end>14</end>
      <status>modified</status>
      <modifiedWord>是</modifiedWord>
      <trackRevisions>false</trackRevisions>
    </reviewItem>
    <reviewItem>
      <errorID>1d2136ad-2095-4e73-8320-6d9c8bba6799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730C34F0</paraID>
      <start>136</start>
      <end>137</end>
      <status>modified</status>
      <modifiedWord>地</modifiedWord>
      <trackRevisions>false</trackRevisions>
    </reviewItem>
    <reviewItem>
      <errorID>49dea1b2-10c1-4e4c-8e50-ca3f2700ea7b</errorID>
      <errorWord>并应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1E62A1F5</paraID>
      <start>91</start>
      <end>92</end>
      <status>modified</status>
      <modifiedWord>并</modifiedWord>
      <trackRevisions>false</trackRevisions>
    </reviewItem>
    <reviewItem>
      <errorID>2485bca3-6b90-464f-ad57-36932557e9a9</errorID>
      <errorWord>单</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58C0CA60</paraID>
      <start>36</start>
      <end>37</end>
      <status>modified</status>
      <modifiedWord>但</modifiedWord>
      <trackRevisions>false</trackRevisions>
    </reviewItem>
    <reviewItem>
      <errorID>e68945bf-5424-474a-b2b1-cdfe007da25a</errorID>
      <errorWord>为属</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50D3A36B</paraID>
      <start>87</start>
      <end>88</end>
      <status>modified</status>
      <modifiedWord>为</modifiedWord>
      <trackRevisions>false</trackRevisions>
    </reviewItem>
    <reviewItem>
      <errorID>6364c2a7-1043-427d-8ec4-28ee4d77c64a</errorID>
      <errorWord>，</errorWord>
      <group>L1_Word</group>
      <groupName>字词问题</groupName>
      <ability>L2_Typo</ability>
      <abilityName>字词错误</abilityName>
      <candidateList>
        <item>，在</item>
      </candidateList>
      <explain/>
      <paraID>7C0BE02B</paraID>
      <start>126</start>
      <end>128</end>
      <status>modified</status>
      <modifiedWord>，在</modifiedWord>
      <trackRevisions>false</trackRevisions>
    </reviewItem>
    <reviewItem>
      <errorID>d52b74b5-03d8-49ec-9d7a-ca362a822a50</errorID>
      <errorWord>~</errorWord>
      <group>L1_Format</group>
      <groupName>格式问题</groupName>
      <ability>L2_HalfPunc</ability>
      <abilityName>全半角检查</abilityName>
      <candidateList>
        <item>～</item>
      </candidateList>
      <explain>文本全半角错误。</explain>
      <paraID>2959A79D</paraID>
      <start>62</start>
      <end>63</end>
      <status>modified</status>
      <modifiedWord>～</modifiedWord>
      <trackRevisions>false</trackRevisions>
    </reviewItem>
    <reviewItem>
      <errorID>32c7b23a-e8e9-497d-bc14-01ae72005926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71E6BA7D</paraID>
      <start>108</start>
      <end>109</end>
      <status>modified</status>
      <modifiedWord>地</modifiedWord>
      <trackRevisions>false</trackRevisions>
    </reviewItem>
    <reviewItem>
      <errorID>f54c8c97-07eb-4b2d-ba75-4ea982de33c3</errorID>
      <errorWord>，</errorWord>
      <group>L1_Word</group>
      <groupName>字词问题</groupName>
      <ability>L2_Typo</ability>
      <abilityName>字词错误</abilityName>
      <candidateList>
        <item>，具</item>
      </candidateList>
      <explain/>
      <paraID>396C7257</paraID>
      <start>82</start>
      <end>84</end>
      <status>modified</status>
      <modifiedWord>，具</modifiedWord>
      <trackRevisions>false</trackRevisions>
    </reviewItem>
    <reviewItem>
      <errorID>f6ad3163-9ef2-4bea-ba12-a94a04b9a08c</errorID>
      <errorWord>和</errorWord>
      <group>L1_Word</group>
      <groupName>字词问题</groupName>
      <ability>L2_Typo</ability>
      <abilityName>字词错误</abilityName>
      <candidateList>
        <item>后</item>
      </candidateList>
      <explain>存在字形相近字词的误用。</explain>
      <paraID>49F1F8C1</paraID>
      <start>17</start>
      <end>18</end>
      <status>modified</status>
      <modifiedWord>后</modifiedWord>
      <trackRevisions>false</trackRevisions>
    </reviewItem>
    <reviewItem>
      <errorID>eb8e7587-90c9-494e-9a1b-6be510dc1078</errorID>
      <errorWord>其它</errorWord>
      <group>L1_Word</group>
      <groupName>字词问题</groupName>
      <ability>L2_Alias</ability>
      <abilityName>也作/曾用词</abilityName>
      <candidateList>
        <item>其他</item>
      </candidateList>
      <explain>词汇[其它]为不规范表述或旧称，其规范书面表述为[其他]。</explain>
      <paraID>65D2000B</paraID>
      <start>20</start>
      <end>22</end>
      <status>modified</status>
      <modifiedWord>其他</modifiedWord>
      <trackRevisions>false</trackRevisions>
    </reviewItem>
    <reviewItem>
      <errorID>954d83d7-4f7e-4c14-b966-9a29e580b37e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2E11FED</paraID>
      <start>0</start>
      <end>2</end>
      <status>modified</status>
      <modifiedWord>1.</modifiedWord>
      <trackRevisions>false</trackRevisions>
    </reviewItem>
    <reviewItem>
      <errorID>54894253-8057-45f7-a3d6-6a4c25e33641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3A37DB3B</paraID>
      <start>0</start>
      <end>2</end>
      <status>modified</status>
      <modifiedWord>6.</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d642e4-8dc8-4972-8d76-63bba7884b7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220</Pages>
  <Words>12619</Words>
  <Characters>13146</Characters>
  <Lines>1024</Lines>
  <Paragraphs>288</Paragraphs>
  <TotalTime>21</TotalTime>
  <ScaleCrop>false</ScaleCrop>
  <LinksUpToDate>false</LinksUpToDate>
  <CharactersWithSpaces>13276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2017-12-19T09:15:00Z</dcterms:created>
  <dc:creator>xtzj</dc:creator>
  <cp:lastModifiedBy>Administrator</cp:lastModifiedBy>
  <cp:lastPrinted>2023-02-20T04:09:00Z</cp:lastPrinted>
  <dcterms:modified xsi:type="dcterms:W3CDTF">2026-04-10T02:34:45Z</dcterms:modified>
  <cp:revision>246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679BDF70419D40538427B512383313B8_13</vt:lpwstr>
  </property>
  <property fmtid="{D5CDD505-2E9C-101B-9397-08002B2CF9AE}" pid="4" name="KSOTemplateDocerSaveRecord">
    <vt:lpwstr>eyJoZGlkIjoiZmJlNDJjMWZiNDc4NGZmOWIyYTA0MzNhNTRlOTA3NmYiLCJ1c2VySWQiOiIxNDAzODUzNzcwIn0=</vt:lpwstr>
  </property>
</Properties>
</file>