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22A5">
      <w:pPr>
        <w:pStyle w:val="7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  <w:t>3</w:t>
      </w:r>
    </w:p>
    <w:p w14:paraId="49FC3CCD">
      <w:pPr>
        <w:pStyle w:val="7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45CB00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第四师可克达拉市人才引进</w:t>
      </w: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相关政策</w:t>
      </w:r>
    </w:p>
    <w:p w14:paraId="11170730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cs="Times New Roman"/>
          <w:lang w:val="en-US" w:eastAsia="zh-CN"/>
        </w:rPr>
      </w:pPr>
    </w:p>
    <w:p w14:paraId="2C44747E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关于实施第四师可克达拉市“绿洲英才”计划的若干意见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第四师可克达拉市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引进的高层次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和急需紧缺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人才符合条件的可享受以下政策：</w:t>
      </w:r>
    </w:p>
    <w:p w14:paraId="550E4B49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一、编制方面</w:t>
      </w:r>
    </w:p>
    <w:p w14:paraId="0621F051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eastAsia" w:eastAsia="仿宋_GB2312"/>
          <w:highlight w:val="yellow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报考</w:t>
      </w:r>
      <w:r>
        <w:rPr>
          <w:rFonts w:ascii="Times New Roman" w:hAnsi="Times New Roman" w:eastAsia="仿宋_GB2312"/>
          <w:sz w:val="32"/>
          <w:szCs w:val="32"/>
        </w:rPr>
        <w:t>师市直属、机关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或团场</w:t>
      </w:r>
      <w:r>
        <w:rPr>
          <w:rFonts w:ascii="Times New Roman" w:hAnsi="Times New Roman" w:eastAsia="仿宋_GB2312"/>
          <w:sz w:val="32"/>
          <w:szCs w:val="32"/>
        </w:rPr>
        <w:t>所属事业单位的人才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经过资格审查、面试、体检、考察、公示、审批等环节</w:t>
      </w:r>
      <w:r>
        <w:rPr>
          <w:rFonts w:hint="eastAsia" w:ascii="Times New Roman" w:hAnsi="Times New Roman" w:eastAsia="仿宋_GB2312"/>
          <w:sz w:val="32"/>
          <w:szCs w:val="32"/>
        </w:rPr>
        <w:t>最终</w:t>
      </w:r>
      <w:r>
        <w:rPr>
          <w:rFonts w:ascii="Times New Roman" w:hAnsi="Times New Roman" w:eastAsia="仿宋_GB2312"/>
          <w:sz w:val="32"/>
          <w:szCs w:val="32"/>
        </w:rPr>
        <w:t>聘用的，</w:t>
      </w:r>
      <w:r>
        <w:rPr>
          <w:rFonts w:hint="eastAsia" w:ascii="Times New Roman" w:hAnsi="Times New Roman" w:eastAsia="仿宋_GB2312"/>
          <w:sz w:val="32"/>
          <w:szCs w:val="32"/>
        </w:rPr>
        <w:t>按规定</w:t>
      </w:r>
      <w:r>
        <w:rPr>
          <w:rFonts w:ascii="Times New Roman" w:hAnsi="Times New Roman" w:eastAsia="仿宋_GB2312"/>
          <w:sz w:val="32"/>
          <w:szCs w:val="32"/>
        </w:rPr>
        <w:t>进行事业单位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/>
          <w:sz w:val="32"/>
          <w:szCs w:val="32"/>
        </w:rPr>
        <w:t>实名制登记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3CA5573">
      <w:pPr>
        <w:pStyle w:val="7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二、享受生活补贴</w:t>
      </w:r>
    </w:p>
    <w:p w14:paraId="452C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从师市外引进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符合“绿洲英才”计划人才政策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高层次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和急需紧缺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从事专业技术岗位的，可按规定享受生活补贴（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管理期为3年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与用人单位签订3年以上《聘用合同》或协议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在管理期内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除正常工资福利和报酬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按下列标准享受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</w:p>
    <w:p w14:paraId="6D4788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博士研究生、正高级职称及相当层次人才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EA15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及相当层次人才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66A2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三、享受住房、购房待遇</w:t>
      </w:r>
    </w:p>
    <w:p w14:paraId="0747B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对于引进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，除享受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外，还可以享受以下政策待遇。</w:t>
      </w:r>
    </w:p>
    <w:p w14:paraId="200C7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1.住房待遇。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新引进人才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在师市工作期间，未在工作所在地购房的，可按照下列标准享受入住人才公寓待遇：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博士研究生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可免费入住120平米人才公寓；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副高级职称专业技术人才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可免费入住90平米人才公寓。</w:t>
      </w:r>
    </w:p>
    <w:p w14:paraId="62C06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2.购房待遇。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与用人单位签订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年以上《聘用合同》或协议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管理期内，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可克达拉市中心城区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凭契税发票、购房合同等相关材料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可享受购房补贴，其中：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博士研究生、正高级职称专业技术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购房补贴；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副高级职称专业技术人才享受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E868FCC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2100AFB6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4FCD1513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27ABBE75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241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F32BE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F32BE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jA2Yzc0OTU5M2ZhNmE2Y2UzNmRiOGY0ZTk4YmIifQ=="/>
  </w:docVars>
  <w:rsids>
    <w:rsidRoot w:val="2F143595"/>
    <w:rsid w:val="00D93318"/>
    <w:rsid w:val="017679F9"/>
    <w:rsid w:val="01AD6671"/>
    <w:rsid w:val="076E20BC"/>
    <w:rsid w:val="08DA64FD"/>
    <w:rsid w:val="092B1A8E"/>
    <w:rsid w:val="0A532231"/>
    <w:rsid w:val="0CD83E80"/>
    <w:rsid w:val="0DE42C17"/>
    <w:rsid w:val="12987875"/>
    <w:rsid w:val="12EB62F7"/>
    <w:rsid w:val="1617246D"/>
    <w:rsid w:val="1ABA0D7A"/>
    <w:rsid w:val="1ABE4ACD"/>
    <w:rsid w:val="1CA76DD4"/>
    <w:rsid w:val="1DD40F8C"/>
    <w:rsid w:val="1ECA004A"/>
    <w:rsid w:val="1F8B4774"/>
    <w:rsid w:val="216550D4"/>
    <w:rsid w:val="21E10ABC"/>
    <w:rsid w:val="221B3822"/>
    <w:rsid w:val="22951DC4"/>
    <w:rsid w:val="23224365"/>
    <w:rsid w:val="234B7F3F"/>
    <w:rsid w:val="23A02744"/>
    <w:rsid w:val="26723A75"/>
    <w:rsid w:val="2A4B0FF4"/>
    <w:rsid w:val="2A7A1334"/>
    <w:rsid w:val="2DFD4C7C"/>
    <w:rsid w:val="2E862C85"/>
    <w:rsid w:val="2F0B186D"/>
    <w:rsid w:val="2F143595"/>
    <w:rsid w:val="31DC724D"/>
    <w:rsid w:val="32DF5D40"/>
    <w:rsid w:val="33396D97"/>
    <w:rsid w:val="334F0832"/>
    <w:rsid w:val="33611736"/>
    <w:rsid w:val="349A6140"/>
    <w:rsid w:val="37E91996"/>
    <w:rsid w:val="39A25882"/>
    <w:rsid w:val="3F71425F"/>
    <w:rsid w:val="3F9B795D"/>
    <w:rsid w:val="40004E1B"/>
    <w:rsid w:val="422939EB"/>
    <w:rsid w:val="45915814"/>
    <w:rsid w:val="46260836"/>
    <w:rsid w:val="48894C00"/>
    <w:rsid w:val="4A912965"/>
    <w:rsid w:val="4B076BBC"/>
    <w:rsid w:val="4CCF4615"/>
    <w:rsid w:val="4DBB3C9C"/>
    <w:rsid w:val="4F612766"/>
    <w:rsid w:val="500159D5"/>
    <w:rsid w:val="50D4236E"/>
    <w:rsid w:val="513C4721"/>
    <w:rsid w:val="523E6E77"/>
    <w:rsid w:val="53736F88"/>
    <w:rsid w:val="539859DD"/>
    <w:rsid w:val="53C05B67"/>
    <w:rsid w:val="53EA2A1B"/>
    <w:rsid w:val="550508D2"/>
    <w:rsid w:val="551172AA"/>
    <w:rsid w:val="577C6269"/>
    <w:rsid w:val="579D3FC6"/>
    <w:rsid w:val="5AA40E19"/>
    <w:rsid w:val="5B451881"/>
    <w:rsid w:val="5E0B2019"/>
    <w:rsid w:val="5E1A4FFD"/>
    <w:rsid w:val="5E3219DF"/>
    <w:rsid w:val="5E5773F7"/>
    <w:rsid w:val="5E674EE0"/>
    <w:rsid w:val="606730A5"/>
    <w:rsid w:val="616E6D2A"/>
    <w:rsid w:val="62B951F5"/>
    <w:rsid w:val="63A13EC7"/>
    <w:rsid w:val="653444F6"/>
    <w:rsid w:val="66E550BF"/>
    <w:rsid w:val="678A6456"/>
    <w:rsid w:val="67AB08A9"/>
    <w:rsid w:val="68B15482"/>
    <w:rsid w:val="69887BEF"/>
    <w:rsid w:val="6B891DAA"/>
    <w:rsid w:val="6DAF3872"/>
    <w:rsid w:val="6E626521"/>
    <w:rsid w:val="6EA35F35"/>
    <w:rsid w:val="6EDD164A"/>
    <w:rsid w:val="6F570BB9"/>
    <w:rsid w:val="6FA74550"/>
    <w:rsid w:val="717300C4"/>
    <w:rsid w:val="72E13B87"/>
    <w:rsid w:val="72F50279"/>
    <w:rsid w:val="73B93C30"/>
    <w:rsid w:val="73C74773"/>
    <w:rsid w:val="7800687E"/>
    <w:rsid w:val="78C007D2"/>
    <w:rsid w:val="7E2C7A1A"/>
    <w:rsid w:val="7ED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1"/>
    <w:pPr>
      <w:outlineLvl w:val="0"/>
    </w:pPr>
    <w:rPr>
      <w:sz w:val="42"/>
      <w:szCs w:val="4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180" w:lineRule="auto"/>
      <w:ind w:firstLine="150" w:firstLineChars="150"/>
    </w:pPr>
    <w:rPr>
      <w:rFonts w:ascii="_x000B__x000C_" w:hAnsi="_x000B__x000C_"/>
      <w:sz w:val="30"/>
      <w:szCs w:val="21"/>
    </w:r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0"/>
      <w:lang w:val="en-US" w:eastAsia="zh-CN" w:bidi="ar-SA"/>
    </w:rPr>
  </w:style>
  <w:style w:type="paragraph" w:styleId="5">
    <w:name w:val="Body Text First Indent"/>
    <w:basedOn w:val="6"/>
    <w:qFormat/>
    <w:uiPriority w:val="0"/>
    <w:pPr>
      <w:ind w:firstLine="100" w:firstLineChars="100"/>
    </w:pPr>
  </w:style>
  <w:style w:type="paragraph" w:styleId="6">
    <w:name w:val="Body Text"/>
    <w:basedOn w:val="1"/>
    <w:next w:val="7"/>
    <w:qFormat/>
    <w:uiPriority w:val="1"/>
    <w:rPr>
      <w:sz w:val="32"/>
      <w:szCs w:val="32"/>
    </w:rPr>
  </w:style>
  <w:style w:type="paragraph" w:styleId="7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981</Characters>
  <Lines>0</Lines>
  <Paragraphs>0</Paragraphs>
  <TotalTime>17</TotalTime>
  <ScaleCrop>false</ScaleCrop>
  <LinksUpToDate>false</LinksUpToDate>
  <CharactersWithSpaces>992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2022-05-26T02:22:00Z</dcterms:created>
  <dc:creator>Administrator</dc:creator>
  <cp:lastModifiedBy>Administrator</cp:lastModifiedBy>
  <cp:lastPrinted>2025-05-12T11:14:00Z</cp:lastPrinted>
  <dcterms:modified xsi:type="dcterms:W3CDTF">2026-03-12T09:31:21Z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4F09BFF5F3274C06AC81BDD8BBAA8EE5_13</vt:lpwstr>
  </property>
  <property fmtid="{D5CDD505-2E9C-101B-9397-08002B2CF9AE}" pid="4" name="KSOTemplateDocerSaveRecord">
    <vt:lpwstr>eyJoZGlkIjoiYzJkMmZmYWI0ZWJmNDQ5YWMxM2RkNDI4MWQwMDAzMGQiLCJ1c2VySWQiOiI1NDgwMDQ4MTgifQ==</vt:lpwstr>
  </property>
</Properties>
</file>