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43A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ascii="Arial" w:hAnsi="Arial" w:cs="Arial"/>
          <w:i w:val="0"/>
          <w:iCs w:val="0"/>
          <w:caps w:val="0"/>
          <w:color w:val="000000"/>
          <w:spacing w:val="0"/>
          <w:sz w:val="24"/>
          <w:szCs w:val="24"/>
        </w:rPr>
      </w:pPr>
      <w:bookmarkStart w:id="0" w:name="_GoBack"/>
      <w:r>
        <w:rPr>
          <w:rFonts w:ascii="黑体" w:hAnsi="宋体" w:eastAsia="黑体" w:cs="黑体"/>
          <w:i w:val="0"/>
          <w:iCs w:val="0"/>
          <w:caps w:val="0"/>
          <w:color w:val="333333"/>
          <w:spacing w:val="0"/>
          <w:sz w:val="28"/>
          <w:szCs w:val="28"/>
          <w:bdr w:val="none" w:color="auto" w:sz="0" w:space="0"/>
          <w:shd w:val="clear" w:fill="FFFFFF"/>
          <w:vertAlign w:val="baseline"/>
        </w:rPr>
        <w:t>新疆维吾尔自治区工程建设标准</w:t>
      </w:r>
    </w:p>
    <w:p w14:paraId="13206A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5AD9DC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26DE6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145" w:firstLine="0"/>
        <w:jc w:val="center"/>
        <w:textAlignment w:val="baseline"/>
        <w:rPr>
          <w:rFonts w:hint="default" w:ascii="Arial" w:hAnsi="Arial" w:cs="Arial"/>
          <w:i w:val="0"/>
          <w:iCs w:val="0"/>
          <w:caps w:val="0"/>
          <w:color w:val="000000"/>
          <w:spacing w:val="0"/>
          <w:sz w:val="24"/>
          <w:szCs w:val="24"/>
        </w:rPr>
      </w:pPr>
      <w:r>
        <w:rPr>
          <w:rFonts w:ascii="方正小标宋简体" w:hAnsi="方正小标宋简体" w:eastAsia="方正小标宋简体" w:cs="方正小标宋简体"/>
          <w:i w:val="0"/>
          <w:iCs w:val="0"/>
          <w:caps w:val="0"/>
          <w:color w:val="333333"/>
          <w:spacing w:val="45"/>
          <w:sz w:val="36"/>
          <w:szCs w:val="36"/>
          <w:bdr w:val="none" w:color="auto" w:sz="0" w:space="0"/>
          <w:shd w:val="clear" w:fill="FFFFFF"/>
          <w:vertAlign w:val="baseline"/>
        </w:rPr>
        <w:t>住宅物业服务标准</w:t>
      </w:r>
    </w:p>
    <w:bookmarkEnd w:id="0"/>
    <w:p w14:paraId="14A9D3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145" w:firstLine="0"/>
        <w:jc w:val="center"/>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3A81BF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Service standard of residential property</w:t>
      </w:r>
    </w:p>
    <w:p w14:paraId="3042D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310"/>
        <w:jc w:val="both"/>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0DC377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J12375—2020</w:t>
      </w:r>
    </w:p>
    <w:p w14:paraId="00BD2C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XJJ056—2019</w:t>
      </w:r>
    </w:p>
    <w:p w14:paraId="10D9BC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5A46F0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bdr w:val="none" w:color="auto" w:sz="0" w:space="0"/>
          <w:shd w:val="clear" w:fill="FFFFFF"/>
          <w:vertAlign w:val="baseline"/>
        </w:rPr>
        <w:t> </w:t>
      </w:r>
    </w:p>
    <w:p w14:paraId="44F374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主编部门：新疆维吾尔自治区住房和城乡建设厅</w:t>
      </w:r>
    </w:p>
    <w:p w14:paraId="793D7C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批准部门：新疆维吾尔自治区住房和城乡建设厅</w:t>
      </w:r>
    </w:p>
    <w:p w14:paraId="75244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8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实施日期：</w:t>
      </w:r>
      <w:r>
        <w:rPr>
          <w:rFonts w:hint="default" w:ascii="Times New Roman" w:hAnsi="Times New Roman" w:cs="Times New Roman"/>
          <w:i w:val="0"/>
          <w:iCs w:val="0"/>
          <w:caps w:val="0"/>
          <w:color w:val="333333"/>
          <w:spacing w:val="0"/>
          <w:sz w:val="21"/>
          <w:szCs w:val="21"/>
          <w:bdr w:val="none" w:color="auto" w:sz="0" w:space="0"/>
          <w:shd w:val="clear" w:fill="FFFFFF"/>
          <w:vertAlign w:val="baseline"/>
        </w:rPr>
        <w:t>2020</w:t>
      </w:r>
      <w:r>
        <w:rPr>
          <w:rFonts w:hint="eastAsia" w:ascii="宋体" w:hAnsi="宋体" w:eastAsia="宋体" w:cs="宋体"/>
          <w:i w:val="0"/>
          <w:iCs w:val="0"/>
          <w:caps w:val="0"/>
          <w:color w:val="333333"/>
          <w:spacing w:val="0"/>
          <w:sz w:val="21"/>
          <w:szCs w:val="21"/>
          <w:bdr w:val="none" w:color="auto" w:sz="0" w:space="0"/>
          <w:shd w:val="clear" w:fill="FFFFFF"/>
          <w:vertAlign w:val="baseline"/>
        </w:rPr>
        <w:t>年</w:t>
      </w:r>
      <w:r>
        <w:rPr>
          <w:rFonts w:hint="default" w:ascii="Times New Roman" w:hAnsi="Times New Roman" w:cs="Times New Roman"/>
          <w:i w:val="0"/>
          <w:iCs w:val="0"/>
          <w:caps w:val="0"/>
          <w:color w:val="333333"/>
          <w:spacing w:val="0"/>
          <w:sz w:val="21"/>
          <w:szCs w:val="21"/>
          <w:bdr w:val="none" w:color="auto" w:sz="0" w:space="0"/>
          <w:shd w:val="clear" w:fill="FFFFFF"/>
          <w:vertAlign w:val="baseline"/>
        </w:rPr>
        <w:t>03</w:t>
      </w:r>
      <w:r>
        <w:rPr>
          <w:rFonts w:hint="eastAsia" w:ascii="宋体" w:hAnsi="宋体" w:eastAsia="宋体" w:cs="宋体"/>
          <w:i w:val="0"/>
          <w:iCs w:val="0"/>
          <w:caps w:val="0"/>
          <w:color w:val="333333"/>
          <w:spacing w:val="0"/>
          <w:sz w:val="21"/>
          <w:szCs w:val="21"/>
          <w:bdr w:val="none" w:color="auto" w:sz="0" w:space="0"/>
          <w:shd w:val="clear" w:fill="FFFFFF"/>
          <w:vertAlign w:val="baseline"/>
        </w:rPr>
        <w:t>月</w:t>
      </w:r>
      <w:r>
        <w:rPr>
          <w:rFonts w:hint="default" w:ascii="Times New Roman" w:hAnsi="Times New Roman" w:cs="Times New Roman"/>
          <w:i w:val="0"/>
          <w:iCs w:val="0"/>
          <w:caps w:val="0"/>
          <w:color w:val="333333"/>
          <w:spacing w:val="0"/>
          <w:sz w:val="21"/>
          <w:szCs w:val="21"/>
          <w:bdr w:val="none" w:color="auto" w:sz="0" w:space="0"/>
          <w:shd w:val="clear" w:fill="FFFFFF"/>
          <w:vertAlign w:val="baseline"/>
        </w:rPr>
        <w:t>01</w:t>
      </w:r>
      <w:r>
        <w:rPr>
          <w:rFonts w:hint="eastAsia" w:ascii="宋体" w:hAnsi="宋体" w:eastAsia="宋体" w:cs="宋体"/>
          <w:i w:val="0"/>
          <w:iCs w:val="0"/>
          <w:caps w:val="0"/>
          <w:color w:val="333333"/>
          <w:spacing w:val="0"/>
          <w:sz w:val="21"/>
          <w:szCs w:val="21"/>
          <w:bdr w:val="none" w:color="auto" w:sz="0" w:space="0"/>
          <w:shd w:val="clear" w:fill="FFFFFF"/>
          <w:vertAlign w:val="baseline"/>
        </w:rPr>
        <w:t>日</w:t>
      </w:r>
    </w:p>
    <w:p w14:paraId="775D94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DC08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AD74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DCFC2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CD279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BC0B3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3D24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46E17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2019 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乌鲁木齐</w:t>
      </w:r>
    </w:p>
    <w:p w14:paraId="74658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ED701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73E8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1620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630F5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vertAlign w:val="baseline"/>
        </w:rPr>
        <w:t>新疆维吾尔自治区住房和城乡建设厅</w:t>
      </w:r>
    </w:p>
    <w:p w14:paraId="68E48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7D8FE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8"/>
          <w:szCs w:val="28"/>
          <w:bdr w:val="none" w:color="auto" w:sz="0" w:space="0"/>
          <w:shd w:val="clear" w:fill="FFFFFF"/>
          <w:vertAlign w:val="baseline"/>
        </w:rPr>
        <w:t>公</w:t>
      </w:r>
      <w:r>
        <w:rPr>
          <w:rFonts w:hint="eastAsia" w:ascii="宋体" w:hAnsi="宋体" w:eastAsia="宋体" w:cs="宋体"/>
          <w:i w:val="0"/>
          <w:iCs w:val="0"/>
          <w:caps w:val="0"/>
          <w:color w:val="333333"/>
          <w:spacing w:val="0"/>
          <w:sz w:val="28"/>
          <w:szCs w:val="28"/>
          <w:bdr w:val="none" w:color="auto" w:sz="0" w:space="0"/>
          <w:shd w:val="clear" w:fill="FFFFFF"/>
          <w:vertAlign w:val="baseline"/>
        </w:rPr>
        <w:t>   </w:t>
      </w:r>
      <w:r>
        <w:rPr>
          <w:rFonts w:hint="eastAsia" w:ascii="黑体" w:hAnsi="宋体" w:eastAsia="黑体" w:cs="黑体"/>
          <w:i w:val="0"/>
          <w:iCs w:val="0"/>
          <w:caps w:val="0"/>
          <w:color w:val="333333"/>
          <w:spacing w:val="0"/>
          <w:sz w:val="28"/>
          <w:szCs w:val="28"/>
          <w:bdr w:val="none" w:color="auto" w:sz="0" w:space="0"/>
          <w:shd w:val="clear" w:fill="FFFFFF"/>
          <w:vertAlign w:val="baseline"/>
        </w:rPr>
        <w:t>告</w:t>
      </w:r>
    </w:p>
    <w:p w14:paraId="35F21D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EE0A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2019年  第238号</w:t>
      </w:r>
    </w:p>
    <w:tbl>
      <w:tblPr>
        <w:tblW w:w="59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80"/>
      </w:tblGrid>
      <w:tr w14:paraId="1DB6C2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4" w:hRule="atLeast"/>
        </w:trPr>
        <w:tc>
          <w:tcPr>
            <w:tcW w:w="5980" w:type="dxa"/>
            <w:tcBorders>
              <w:top w:val="single" w:color="auto" w:sz="12" w:space="0"/>
              <w:left w:val="nil"/>
              <w:bottom w:val="nil"/>
              <w:right w:val="nil"/>
            </w:tcBorders>
            <w:shd w:val="clear"/>
            <w:tcMar>
              <w:left w:w="108" w:type="dxa"/>
              <w:right w:w="108" w:type="dxa"/>
            </w:tcMar>
            <w:vAlign w:val="top"/>
          </w:tcPr>
          <w:p w14:paraId="6EC862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rFonts w:hint="default" w:ascii="Arial" w:hAnsi="Arial" w:cs="Arial"/>
                <w:color w:val="000000"/>
                <w:sz w:val="24"/>
                <w:szCs w:val="24"/>
              </w:rPr>
            </w:pPr>
            <w:r>
              <w:rPr>
                <w:rFonts w:hint="default" w:ascii="Times New Roman" w:hAnsi="Times New Roman" w:cs="Times New Roman"/>
                <w:color w:val="000000"/>
                <w:sz w:val="21"/>
                <w:szCs w:val="21"/>
                <w:bdr w:val="none" w:color="auto" w:sz="0" w:space="0"/>
                <w:vertAlign w:val="baseline"/>
              </w:rPr>
              <w:t> </w:t>
            </w:r>
          </w:p>
        </w:tc>
      </w:tr>
    </w:tbl>
    <w:p w14:paraId="2B0A3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vertAlign w:val="baseline"/>
        </w:rPr>
        <w:t>关于批准发布自治区工程建设标准</w:t>
      </w:r>
    </w:p>
    <w:p w14:paraId="785F5B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4"/>
          <w:szCs w:val="24"/>
          <w:bdr w:val="none" w:color="auto" w:sz="0" w:space="0"/>
          <w:shd w:val="clear" w:fill="FFFFFF"/>
          <w:vertAlign w:val="baseline"/>
        </w:rPr>
        <w:t>《住宅物业服务标准》的公告</w:t>
      </w:r>
    </w:p>
    <w:p w14:paraId="4E48F6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B0D4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现批准《住宅物业服务标准》为自治区工程建设标准，编号为XJJ056-2019，自2020年3月1日起施行，原标准《住宅物业服务标准》（XJJ056-2013）同时废止。</w:t>
      </w:r>
    </w:p>
    <w:p w14:paraId="51CFBF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本标准由自治区建设标准服务中心组织出版发行。</w:t>
      </w:r>
    </w:p>
    <w:p w14:paraId="4F2290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7196B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4688C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自治区住房和城乡建设厅</w:t>
      </w:r>
    </w:p>
    <w:p w14:paraId="145256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21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2019年12月20日</w:t>
      </w:r>
    </w:p>
    <w:p w14:paraId="215FA5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8BB08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BFED4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3C3C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06FD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2A42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8F748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69F1A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6CB1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670BC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A3B9B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9129B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8083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CEEE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445D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327C6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D585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AB203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F2C3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D9A8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A997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D12D6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7C971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B22F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F049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263DE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EF2AE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3A90A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E775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前  言</w:t>
      </w:r>
    </w:p>
    <w:p w14:paraId="362E0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3585B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根据自治区住房和城乡建设厅《关于下达2018年自治区第五批工程建设标准编制计划的通知》（新建标函[2018]40号）的要求，由自治区房地产业协会会同相关单位对原《住宅物业服务标准》进行了修订。</w:t>
      </w:r>
    </w:p>
    <w:p w14:paraId="21EE42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标准编制组经过广泛调查研究，认真总结近年来物业服务企业的实践经验，参考国内相关标准和内地省市做法，并结合住宅小区业主对物业服务的需求，在听取各方面意见的基础上，对具体内容进行了反复讨论、修改，最后经审查定稿。</w:t>
      </w:r>
    </w:p>
    <w:p w14:paraId="275616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本标准分为七章，主要技术内容：总则；术语；基本规定；公共秩序；环境卫生；绿化养护；共用部位和共用设施设备。</w:t>
      </w:r>
    </w:p>
    <w:p w14:paraId="38BA7F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由自治区住房和城乡建设厅负责管理，由自治区房地产业协会负责具体技术内容的解释。在执行过程中，如有意见和建议，请寄送自治区房地产业协会（地址：乌鲁木齐市新华北路108号红山新世纪大厦A座19楼A-01室，电话：0991－8858260，邮政编码：830002），以便今后修订时参考。</w:t>
      </w:r>
    </w:p>
    <w:p w14:paraId="355550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2400B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05A579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6B5006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0CB48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13F228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3E74B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1CFA5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179CD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本标准主编单位：新疆维吾尔自治区房地产业协会</w:t>
      </w:r>
    </w:p>
    <w:p w14:paraId="7B1AD3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3D8FA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本标准参编单位：乌鲁木齐市住房保障和房产管理局物业</w:t>
      </w:r>
    </w:p>
    <w:p w14:paraId="7691A4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10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监督管理办公室</w:t>
      </w:r>
    </w:p>
    <w:p w14:paraId="3EC68B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10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乌鲁木齐市物业管理协会</w:t>
      </w:r>
    </w:p>
    <w:p w14:paraId="3EF724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10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新疆城建洪源市政园林有限公司</w:t>
      </w:r>
    </w:p>
    <w:p w14:paraId="5D3D0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E0F5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本标准主要起草人：张  静   党  锐   李国强   熊勇军</w:t>
      </w:r>
    </w:p>
    <w:p w14:paraId="2E63E7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189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王希林   朱朝辉   时  霖   徐周刚   </w:t>
      </w:r>
    </w:p>
    <w:p w14:paraId="360EFE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firstLine="189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刘  欣   王志勇</w:t>
      </w:r>
    </w:p>
    <w:p w14:paraId="7265DF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168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 </w:t>
      </w:r>
    </w:p>
    <w:p w14:paraId="60BCC5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本标准主要审查人：陈  莉   张宏涛   燕  斌   郭炳岩</w:t>
      </w:r>
    </w:p>
    <w:p w14:paraId="3A0DBF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31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热里班·霍加阿不都         朱燕飞</w:t>
      </w:r>
    </w:p>
    <w:p w14:paraId="784B65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31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928D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1A709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9445D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509E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4C08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07F57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F4242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85826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87F0F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2232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CA535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CAFF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目  次</w:t>
      </w:r>
    </w:p>
    <w:tbl>
      <w:tblPr>
        <w:tblW w:w="6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1"/>
        <w:gridCol w:w="5881"/>
        <w:gridCol w:w="426"/>
      </w:tblGrid>
      <w:tr w14:paraId="71A9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688" w:type="dxa"/>
            <w:gridSpan w:val="2"/>
            <w:tcBorders>
              <w:top w:val="nil"/>
              <w:left w:val="nil"/>
              <w:bottom w:val="nil"/>
              <w:right w:val="nil"/>
            </w:tcBorders>
            <w:shd w:val="clear"/>
            <w:tcMar>
              <w:left w:w="108" w:type="dxa"/>
              <w:right w:w="108" w:type="dxa"/>
            </w:tcMar>
            <w:vAlign w:val="top"/>
          </w:tcPr>
          <w:p w14:paraId="314180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right="0" w:hanging="21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  总  则 ………………………………………………………</w:t>
            </w:r>
          </w:p>
        </w:tc>
        <w:tc>
          <w:tcPr>
            <w:tcW w:w="486" w:type="dxa"/>
            <w:tcBorders>
              <w:top w:val="nil"/>
              <w:left w:val="nil"/>
              <w:bottom w:val="nil"/>
              <w:right w:val="nil"/>
            </w:tcBorders>
            <w:shd w:val="clear"/>
            <w:tcMar>
              <w:left w:w="108" w:type="dxa"/>
              <w:right w:w="108" w:type="dxa"/>
            </w:tcMar>
            <w:vAlign w:val="center"/>
          </w:tcPr>
          <w:p w14:paraId="7E0A69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w:t>
            </w:r>
          </w:p>
        </w:tc>
      </w:tr>
      <w:tr w14:paraId="7276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688" w:type="dxa"/>
            <w:gridSpan w:val="2"/>
            <w:tcBorders>
              <w:top w:val="nil"/>
              <w:left w:val="nil"/>
              <w:bottom w:val="nil"/>
              <w:right w:val="nil"/>
            </w:tcBorders>
            <w:shd w:val="clear"/>
            <w:tcMar>
              <w:left w:w="108" w:type="dxa"/>
              <w:right w:w="108" w:type="dxa"/>
            </w:tcMar>
            <w:vAlign w:val="top"/>
          </w:tcPr>
          <w:p w14:paraId="48523A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right="0" w:hanging="21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w:t>
            </w:r>
            <w:r>
              <w:rPr>
                <w:rFonts w:hint="eastAsia" w:ascii="宋体" w:hAnsi="宋体" w:eastAsia="宋体" w:cs="宋体"/>
                <w:b/>
                <w:bCs/>
                <w:color w:val="000000"/>
                <w:sz w:val="21"/>
                <w:szCs w:val="21"/>
                <w:bdr w:val="none" w:color="auto" w:sz="0" w:space="0"/>
                <w:vertAlign w:val="baseline"/>
              </w:rPr>
              <w:t> </w:t>
            </w:r>
            <w:r>
              <w:rPr>
                <w:rFonts w:hint="eastAsia" w:ascii="宋体" w:hAnsi="宋体" w:eastAsia="宋体" w:cs="宋体"/>
                <w:color w:val="000000"/>
                <w:sz w:val="21"/>
                <w:szCs w:val="21"/>
                <w:bdr w:val="none" w:color="auto" w:sz="0" w:space="0"/>
                <w:vertAlign w:val="baseline"/>
              </w:rPr>
              <w:t> 术  语 ………………………………………………………</w:t>
            </w:r>
          </w:p>
        </w:tc>
        <w:tc>
          <w:tcPr>
            <w:tcW w:w="486" w:type="dxa"/>
            <w:tcBorders>
              <w:top w:val="nil"/>
              <w:left w:val="nil"/>
              <w:bottom w:val="nil"/>
              <w:right w:val="nil"/>
            </w:tcBorders>
            <w:shd w:val="clear"/>
            <w:tcMar>
              <w:left w:w="108" w:type="dxa"/>
              <w:right w:w="108" w:type="dxa"/>
            </w:tcMar>
            <w:vAlign w:val="center"/>
          </w:tcPr>
          <w:p w14:paraId="23FDE1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w:t>
            </w:r>
          </w:p>
        </w:tc>
      </w:tr>
      <w:tr w14:paraId="3B09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688" w:type="dxa"/>
            <w:gridSpan w:val="2"/>
            <w:tcBorders>
              <w:top w:val="nil"/>
              <w:left w:val="nil"/>
              <w:bottom w:val="nil"/>
              <w:right w:val="nil"/>
            </w:tcBorders>
            <w:shd w:val="clear"/>
            <w:tcMar>
              <w:left w:w="108" w:type="dxa"/>
              <w:right w:w="108" w:type="dxa"/>
            </w:tcMar>
            <w:vAlign w:val="top"/>
          </w:tcPr>
          <w:p w14:paraId="6CA09D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  基本规定 ……………………………………………………</w:t>
            </w:r>
          </w:p>
        </w:tc>
        <w:tc>
          <w:tcPr>
            <w:tcW w:w="486" w:type="dxa"/>
            <w:tcBorders>
              <w:top w:val="nil"/>
              <w:left w:val="nil"/>
              <w:bottom w:val="nil"/>
              <w:right w:val="nil"/>
            </w:tcBorders>
            <w:shd w:val="clear"/>
            <w:tcMar>
              <w:left w:w="108" w:type="dxa"/>
              <w:right w:w="108" w:type="dxa"/>
            </w:tcMar>
            <w:vAlign w:val="center"/>
          </w:tcPr>
          <w:p w14:paraId="03409F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5</w:t>
            </w:r>
          </w:p>
        </w:tc>
      </w:tr>
      <w:tr w14:paraId="257E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250" w:type="dxa"/>
            <w:tcBorders>
              <w:top w:val="nil"/>
              <w:left w:val="nil"/>
              <w:bottom w:val="nil"/>
              <w:right w:val="nil"/>
            </w:tcBorders>
            <w:shd w:val="clear"/>
            <w:tcMar>
              <w:left w:w="108" w:type="dxa"/>
              <w:right w:w="108" w:type="dxa"/>
            </w:tcMar>
            <w:vAlign w:val="top"/>
          </w:tcPr>
          <w:p w14:paraId="22A675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default" w:ascii="Times New Roman" w:hAnsi="Times New Roman" w:cs="Times New Roman"/>
                <w:color w:val="000000"/>
                <w:sz w:val="21"/>
                <w:szCs w:val="21"/>
                <w:bdr w:val="none" w:color="auto" w:sz="0" w:space="0"/>
                <w:vertAlign w:val="baseline"/>
              </w:rPr>
              <w:t> </w:t>
            </w:r>
          </w:p>
        </w:tc>
        <w:tc>
          <w:tcPr>
            <w:tcW w:w="5438" w:type="dxa"/>
            <w:tcBorders>
              <w:top w:val="nil"/>
              <w:left w:val="nil"/>
              <w:bottom w:val="nil"/>
              <w:right w:val="nil"/>
            </w:tcBorders>
            <w:shd w:val="clear"/>
            <w:tcMar>
              <w:left w:w="108" w:type="dxa"/>
              <w:right w:w="108" w:type="dxa"/>
            </w:tcMar>
            <w:vAlign w:val="top"/>
          </w:tcPr>
          <w:p w14:paraId="2BA26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3.1 一般规定…………………………………………</w:t>
            </w:r>
          </w:p>
        </w:tc>
        <w:tc>
          <w:tcPr>
            <w:tcW w:w="486" w:type="dxa"/>
            <w:tcBorders>
              <w:top w:val="nil"/>
              <w:left w:val="nil"/>
              <w:bottom w:val="nil"/>
              <w:right w:val="nil"/>
            </w:tcBorders>
            <w:shd w:val="clear"/>
            <w:tcMar>
              <w:left w:w="108" w:type="dxa"/>
              <w:right w:w="108" w:type="dxa"/>
            </w:tcMar>
            <w:vAlign w:val="center"/>
          </w:tcPr>
          <w:p w14:paraId="43C1A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5</w:t>
            </w:r>
          </w:p>
        </w:tc>
      </w:tr>
      <w:tr w14:paraId="2A7C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250" w:type="dxa"/>
            <w:tcBorders>
              <w:top w:val="nil"/>
              <w:left w:val="nil"/>
              <w:bottom w:val="nil"/>
              <w:right w:val="nil"/>
            </w:tcBorders>
            <w:shd w:val="clear"/>
            <w:tcMar>
              <w:left w:w="108" w:type="dxa"/>
              <w:right w:w="108" w:type="dxa"/>
            </w:tcMar>
            <w:vAlign w:val="top"/>
          </w:tcPr>
          <w:p w14:paraId="5314F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default" w:ascii="Times New Roman" w:hAnsi="Times New Roman" w:cs="Times New Roman"/>
                <w:color w:val="000000"/>
                <w:sz w:val="21"/>
                <w:szCs w:val="21"/>
                <w:bdr w:val="none" w:color="auto" w:sz="0" w:space="0"/>
                <w:vertAlign w:val="baseline"/>
              </w:rPr>
              <w:t> </w:t>
            </w:r>
          </w:p>
        </w:tc>
        <w:tc>
          <w:tcPr>
            <w:tcW w:w="5438" w:type="dxa"/>
            <w:tcBorders>
              <w:top w:val="nil"/>
              <w:left w:val="nil"/>
              <w:bottom w:val="nil"/>
              <w:right w:val="nil"/>
            </w:tcBorders>
            <w:shd w:val="clear"/>
            <w:tcMar>
              <w:left w:w="108" w:type="dxa"/>
              <w:right w:w="108" w:type="dxa"/>
            </w:tcMar>
            <w:vAlign w:val="top"/>
          </w:tcPr>
          <w:p w14:paraId="4C6D2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3.2 物业服务人员…………………………………………</w:t>
            </w:r>
          </w:p>
        </w:tc>
        <w:tc>
          <w:tcPr>
            <w:tcW w:w="486" w:type="dxa"/>
            <w:tcBorders>
              <w:top w:val="nil"/>
              <w:left w:val="nil"/>
              <w:bottom w:val="nil"/>
              <w:right w:val="nil"/>
            </w:tcBorders>
            <w:shd w:val="clear"/>
            <w:tcMar>
              <w:left w:w="108" w:type="dxa"/>
              <w:right w:w="108" w:type="dxa"/>
            </w:tcMar>
            <w:vAlign w:val="center"/>
          </w:tcPr>
          <w:p w14:paraId="3AC480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w:t>
            </w:r>
          </w:p>
        </w:tc>
      </w:tr>
      <w:tr w14:paraId="09052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250" w:type="dxa"/>
            <w:tcBorders>
              <w:top w:val="nil"/>
              <w:left w:val="nil"/>
              <w:bottom w:val="nil"/>
              <w:right w:val="nil"/>
            </w:tcBorders>
            <w:shd w:val="clear"/>
            <w:tcMar>
              <w:left w:w="108" w:type="dxa"/>
              <w:right w:w="108" w:type="dxa"/>
            </w:tcMar>
            <w:vAlign w:val="top"/>
          </w:tcPr>
          <w:p w14:paraId="5F72D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default" w:ascii="Times New Roman" w:hAnsi="Times New Roman" w:cs="Times New Roman"/>
                <w:color w:val="000000"/>
                <w:sz w:val="21"/>
                <w:szCs w:val="21"/>
                <w:bdr w:val="none" w:color="auto" w:sz="0" w:space="0"/>
                <w:vertAlign w:val="baseline"/>
              </w:rPr>
              <w:t> </w:t>
            </w:r>
          </w:p>
        </w:tc>
        <w:tc>
          <w:tcPr>
            <w:tcW w:w="5438" w:type="dxa"/>
            <w:tcBorders>
              <w:top w:val="nil"/>
              <w:left w:val="nil"/>
              <w:bottom w:val="nil"/>
              <w:right w:val="nil"/>
            </w:tcBorders>
            <w:shd w:val="clear"/>
            <w:tcMar>
              <w:left w:w="108" w:type="dxa"/>
              <w:right w:w="108" w:type="dxa"/>
            </w:tcMar>
            <w:vAlign w:val="top"/>
          </w:tcPr>
          <w:p w14:paraId="24BD3B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3.3基本服务…………………………………………………</w:t>
            </w:r>
          </w:p>
        </w:tc>
        <w:tc>
          <w:tcPr>
            <w:tcW w:w="486" w:type="dxa"/>
            <w:tcBorders>
              <w:top w:val="nil"/>
              <w:left w:val="nil"/>
              <w:bottom w:val="nil"/>
              <w:right w:val="nil"/>
            </w:tcBorders>
            <w:shd w:val="clear"/>
            <w:tcMar>
              <w:left w:w="108" w:type="dxa"/>
              <w:right w:w="108" w:type="dxa"/>
            </w:tcMar>
            <w:vAlign w:val="center"/>
          </w:tcPr>
          <w:p w14:paraId="06FD96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9</w:t>
            </w:r>
          </w:p>
        </w:tc>
      </w:tr>
      <w:tr w14:paraId="56DA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47D5B2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shd w:val="clear" w:fill="FFFFFF"/>
                <w:vertAlign w:val="baseline"/>
              </w:rPr>
              <w:t>4 </w:t>
            </w:r>
            <w:r>
              <w:rPr>
                <w:rFonts w:hint="eastAsia" w:ascii="宋体" w:hAnsi="宋体" w:eastAsia="宋体" w:cs="宋体"/>
                <w:b/>
                <w:bCs/>
                <w:color w:val="000000"/>
                <w:sz w:val="21"/>
                <w:szCs w:val="21"/>
                <w:bdr w:val="none" w:color="auto" w:sz="0" w:space="0"/>
                <w:shd w:val="clear" w:fill="FFFFFF"/>
                <w:vertAlign w:val="baseline"/>
              </w:rPr>
              <w:t> </w:t>
            </w:r>
            <w:r>
              <w:rPr>
                <w:rFonts w:hint="eastAsia" w:ascii="宋体" w:hAnsi="宋体" w:eastAsia="宋体" w:cs="宋体"/>
                <w:color w:val="000000"/>
                <w:sz w:val="21"/>
                <w:szCs w:val="21"/>
                <w:bdr w:val="none" w:color="auto" w:sz="0" w:space="0"/>
                <w:shd w:val="clear" w:fill="FFFFFF"/>
                <w:vertAlign w:val="baseline"/>
              </w:rPr>
              <w:t>公共秩序………………………………………………</w:t>
            </w:r>
          </w:p>
        </w:tc>
        <w:tc>
          <w:tcPr>
            <w:tcW w:w="486" w:type="dxa"/>
            <w:tcBorders>
              <w:top w:val="nil"/>
              <w:left w:val="nil"/>
              <w:bottom w:val="nil"/>
              <w:right w:val="nil"/>
            </w:tcBorders>
            <w:shd w:val="clear"/>
            <w:tcMar>
              <w:left w:w="108" w:type="dxa"/>
              <w:right w:w="108" w:type="dxa"/>
            </w:tcMar>
            <w:vAlign w:val="center"/>
          </w:tcPr>
          <w:p w14:paraId="4711D7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12</w:t>
            </w:r>
          </w:p>
        </w:tc>
      </w:tr>
      <w:tr w14:paraId="5B1FC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75DAD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4.1 一般规定……………………………………………</w:t>
            </w:r>
          </w:p>
        </w:tc>
        <w:tc>
          <w:tcPr>
            <w:tcW w:w="486" w:type="dxa"/>
            <w:tcBorders>
              <w:top w:val="nil"/>
              <w:left w:val="nil"/>
              <w:bottom w:val="nil"/>
              <w:right w:val="nil"/>
            </w:tcBorders>
            <w:shd w:val="clear"/>
            <w:tcMar>
              <w:left w:w="108" w:type="dxa"/>
              <w:right w:w="108" w:type="dxa"/>
            </w:tcMar>
            <w:vAlign w:val="center"/>
          </w:tcPr>
          <w:p w14:paraId="3BB794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12</w:t>
            </w:r>
          </w:p>
        </w:tc>
      </w:tr>
      <w:tr w14:paraId="67F9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1B93F2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08"/>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4.2 服务等级………………………………………………</w:t>
            </w:r>
          </w:p>
        </w:tc>
        <w:tc>
          <w:tcPr>
            <w:tcW w:w="486" w:type="dxa"/>
            <w:tcBorders>
              <w:top w:val="nil"/>
              <w:left w:val="nil"/>
              <w:bottom w:val="nil"/>
              <w:right w:val="nil"/>
            </w:tcBorders>
            <w:shd w:val="clear"/>
            <w:tcMar>
              <w:left w:w="108" w:type="dxa"/>
              <w:right w:w="108" w:type="dxa"/>
            </w:tcMar>
            <w:vAlign w:val="center"/>
          </w:tcPr>
          <w:p w14:paraId="52A03B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13</w:t>
            </w:r>
          </w:p>
        </w:tc>
      </w:tr>
      <w:tr w14:paraId="5F41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05039E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0"/>
              <w:jc w:val="both"/>
              <w:textAlignment w:val="baseline"/>
              <w:rPr>
                <w:rFonts w:hint="default" w:ascii="Arial" w:hAnsi="Arial" w:cs="Arial"/>
                <w:color w:val="000000"/>
                <w:sz w:val="24"/>
                <w:szCs w:val="24"/>
              </w:rPr>
            </w:pPr>
            <w:r>
              <w:rPr>
                <w:rFonts w:hint="eastAsia" w:ascii="宋体" w:hAnsi="宋体" w:eastAsia="宋体" w:cs="宋体"/>
                <w:b/>
                <w:bCs/>
                <w:color w:val="000000"/>
                <w:sz w:val="21"/>
                <w:szCs w:val="21"/>
                <w:bdr w:val="none" w:color="auto" w:sz="0" w:space="0"/>
                <w:vertAlign w:val="baseline"/>
              </w:rPr>
              <w:t>4.3 消防安全防范</w:t>
            </w:r>
            <w:r>
              <w:rPr>
                <w:rFonts w:hint="eastAsia" w:ascii="宋体" w:hAnsi="宋体" w:eastAsia="宋体" w:cs="宋体"/>
                <w:color w:val="000000"/>
                <w:sz w:val="21"/>
                <w:szCs w:val="21"/>
                <w:bdr w:val="none" w:color="auto" w:sz="0" w:space="0"/>
                <w:vertAlign w:val="baseline"/>
              </w:rPr>
              <w:t>…………………………………………</w:t>
            </w:r>
          </w:p>
        </w:tc>
        <w:tc>
          <w:tcPr>
            <w:tcW w:w="486" w:type="dxa"/>
            <w:tcBorders>
              <w:top w:val="nil"/>
              <w:left w:val="nil"/>
              <w:bottom w:val="nil"/>
              <w:right w:val="nil"/>
            </w:tcBorders>
            <w:shd w:val="clear"/>
            <w:tcMar>
              <w:left w:w="108" w:type="dxa"/>
              <w:right w:w="108" w:type="dxa"/>
            </w:tcMar>
            <w:vAlign w:val="center"/>
          </w:tcPr>
          <w:p w14:paraId="5EAE43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14</w:t>
            </w:r>
          </w:p>
        </w:tc>
      </w:tr>
      <w:tr w14:paraId="0710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139829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5  环境卫生……………………………………………………</w:t>
            </w:r>
          </w:p>
        </w:tc>
        <w:tc>
          <w:tcPr>
            <w:tcW w:w="486" w:type="dxa"/>
            <w:tcBorders>
              <w:top w:val="nil"/>
              <w:left w:val="nil"/>
              <w:bottom w:val="nil"/>
              <w:right w:val="nil"/>
            </w:tcBorders>
            <w:shd w:val="clear"/>
            <w:tcMar>
              <w:left w:w="108" w:type="dxa"/>
              <w:right w:w="108" w:type="dxa"/>
            </w:tcMar>
            <w:vAlign w:val="center"/>
          </w:tcPr>
          <w:p w14:paraId="38D73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15</w:t>
            </w:r>
          </w:p>
        </w:tc>
      </w:tr>
      <w:tr w14:paraId="28961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02BEC2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5.1 一般规定……………………………………………</w:t>
            </w:r>
          </w:p>
        </w:tc>
        <w:tc>
          <w:tcPr>
            <w:tcW w:w="486" w:type="dxa"/>
            <w:tcBorders>
              <w:top w:val="nil"/>
              <w:left w:val="nil"/>
              <w:bottom w:val="nil"/>
              <w:right w:val="nil"/>
            </w:tcBorders>
            <w:shd w:val="clear"/>
            <w:tcMar>
              <w:left w:w="108" w:type="dxa"/>
              <w:right w:w="108" w:type="dxa"/>
            </w:tcMar>
            <w:vAlign w:val="center"/>
          </w:tcPr>
          <w:p w14:paraId="51A7C9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15</w:t>
            </w:r>
          </w:p>
        </w:tc>
      </w:tr>
      <w:tr w14:paraId="73802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1" w:hRule="atLeast"/>
        </w:trPr>
        <w:tc>
          <w:tcPr>
            <w:tcW w:w="5688" w:type="dxa"/>
            <w:gridSpan w:val="2"/>
            <w:tcBorders>
              <w:top w:val="nil"/>
              <w:left w:val="nil"/>
              <w:bottom w:val="nil"/>
              <w:right w:val="nil"/>
            </w:tcBorders>
            <w:shd w:val="clear"/>
            <w:tcMar>
              <w:left w:w="108" w:type="dxa"/>
              <w:right w:w="108" w:type="dxa"/>
            </w:tcMar>
            <w:vAlign w:val="top"/>
          </w:tcPr>
          <w:p w14:paraId="60E9B4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5.2 服务等级………………………………………</w:t>
            </w:r>
          </w:p>
        </w:tc>
        <w:tc>
          <w:tcPr>
            <w:tcW w:w="486" w:type="dxa"/>
            <w:tcBorders>
              <w:top w:val="nil"/>
              <w:left w:val="nil"/>
              <w:bottom w:val="nil"/>
              <w:right w:val="nil"/>
            </w:tcBorders>
            <w:shd w:val="clear"/>
            <w:tcMar>
              <w:left w:w="108" w:type="dxa"/>
              <w:right w:w="108" w:type="dxa"/>
            </w:tcMar>
            <w:vAlign w:val="center"/>
          </w:tcPr>
          <w:p w14:paraId="0F7D2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15</w:t>
            </w:r>
          </w:p>
        </w:tc>
      </w:tr>
      <w:tr w14:paraId="2FA35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 w:hRule="atLeast"/>
        </w:trPr>
        <w:tc>
          <w:tcPr>
            <w:tcW w:w="5688" w:type="dxa"/>
            <w:gridSpan w:val="2"/>
            <w:tcBorders>
              <w:top w:val="nil"/>
              <w:left w:val="nil"/>
              <w:bottom w:val="nil"/>
              <w:right w:val="nil"/>
            </w:tcBorders>
            <w:shd w:val="clear"/>
            <w:tcMar>
              <w:left w:w="108" w:type="dxa"/>
              <w:right w:w="108" w:type="dxa"/>
            </w:tcMar>
            <w:vAlign w:val="top"/>
          </w:tcPr>
          <w:p w14:paraId="2D551D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6  绿化养护………………………………………………</w:t>
            </w:r>
          </w:p>
        </w:tc>
        <w:tc>
          <w:tcPr>
            <w:tcW w:w="486" w:type="dxa"/>
            <w:tcBorders>
              <w:top w:val="nil"/>
              <w:left w:val="nil"/>
              <w:bottom w:val="nil"/>
              <w:right w:val="nil"/>
            </w:tcBorders>
            <w:shd w:val="clear"/>
            <w:tcMar>
              <w:left w:w="108" w:type="dxa"/>
              <w:right w:w="108" w:type="dxa"/>
            </w:tcMar>
            <w:vAlign w:val="center"/>
          </w:tcPr>
          <w:p w14:paraId="745E67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20</w:t>
            </w:r>
          </w:p>
        </w:tc>
      </w:tr>
      <w:tr w14:paraId="604D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7EAD0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6.1  一般规定…………………………………………</w:t>
            </w:r>
          </w:p>
        </w:tc>
        <w:tc>
          <w:tcPr>
            <w:tcW w:w="486" w:type="dxa"/>
            <w:tcBorders>
              <w:top w:val="nil"/>
              <w:left w:val="nil"/>
              <w:bottom w:val="nil"/>
              <w:right w:val="nil"/>
            </w:tcBorders>
            <w:shd w:val="clear"/>
            <w:tcMar>
              <w:left w:w="108" w:type="dxa"/>
              <w:right w:w="108" w:type="dxa"/>
            </w:tcMar>
            <w:vAlign w:val="center"/>
          </w:tcPr>
          <w:p w14:paraId="3D1D1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20</w:t>
            </w:r>
          </w:p>
        </w:tc>
      </w:tr>
      <w:tr w14:paraId="0233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29A466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6.2  服务等级…… ……………………………………</w:t>
            </w:r>
          </w:p>
        </w:tc>
        <w:tc>
          <w:tcPr>
            <w:tcW w:w="486" w:type="dxa"/>
            <w:tcBorders>
              <w:top w:val="nil"/>
              <w:left w:val="nil"/>
              <w:bottom w:val="nil"/>
              <w:right w:val="nil"/>
            </w:tcBorders>
            <w:shd w:val="clear"/>
            <w:tcMar>
              <w:left w:w="108" w:type="dxa"/>
              <w:right w:w="108" w:type="dxa"/>
            </w:tcMar>
            <w:vAlign w:val="center"/>
          </w:tcPr>
          <w:p w14:paraId="4F2E8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20</w:t>
            </w:r>
          </w:p>
        </w:tc>
      </w:tr>
      <w:tr w14:paraId="1BF9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3D70C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  共用部位和共用设施设备…………………………………</w:t>
            </w:r>
          </w:p>
        </w:tc>
        <w:tc>
          <w:tcPr>
            <w:tcW w:w="486" w:type="dxa"/>
            <w:tcBorders>
              <w:top w:val="nil"/>
              <w:left w:val="nil"/>
              <w:bottom w:val="nil"/>
              <w:right w:val="nil"/>
            </w:tcBorders>
            <w:shd w:val="clear"/>
            <w:tcMar>
              <w:left w:w="108" w:type="dxa"/>
              <w:right w:w="108" w:type="dxa"/>
            </w:tcMar>
            <w:vAlign w:val="center"/>
          </w:tcPr>
          <w:p w14:paraId="368EAA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25</w:t>
            </w:r>
          </w:p>
        </w:tc>
      </w:tr>
      <w:tr w14:paraId="0F7F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257A3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7.1  综合管理………………………………………………</w:t>
            </w:r>
          </w:p>
        </w:tc>
        <w:tc>
          <w:tcPr>
            <w:tcW w:w="486" w:type="dxa"/>
            <w:tcBorders>
              <w:top w:val="nil"/>
              <w:left w:val="nil"/>
              <w:bottom w:val="nil"/>
              <w:right w:val="nil"/>
            </w:tcBorders>
            <w:shd w:val="clear"/>
            <w:tcMar>
              <w:left w:w="108" w:type="dxa"/>
              <w:right w:w="108" w:type="dxa"/>
            </w:tcMar>
            <w:vAlign w:val="center"/>
          </w:tcPr>
          <w:p w14:paraId="226D6B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25</w:t>
            </w:r>
          </w:p>
        </w:tc>
      </w:tr>
      <w:tr w14:paraId="48B0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49857F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7.2  供水系统………………………………………………</w:t>
            </w:r>
          </w:p>
        </w:tc>
        <w:tc>
          <w:tcPr>
            <w:tcW w:w="486" w:type="dxa"/>
            <w:tcBorders>
              <w:top w:val="nil"/>
              <w:left w:val="nil"/>
              <w:bottom w:val="nil"/>
              <w:right w:val="nil"/>
            </w:tcBorders>
            <w:shd w:val="clear"/>
            <w:tcMar>
              <w:left w:w="108" w:type="dxa"/>
              <w:right w:w="108" w:type="dxa"/>
            </w:tcMar>
            <w:vAlign w:val="center"/>
          </w:tcPr>
          <w:p w14:paraId="3607A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27</w:t>
            </w:r>
          </w:p>
        </w:tc>
      </w:tr>
      <w:tr w14:paraId="304D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 w:hRule="atLeast"/>
        </w:trPr>
        <w:tc>
          <w:tcPr>
            <w:tcW w:w="5688" w:type="dxa"/>
            <w:gridSpan w:val="2"/>
            <w:tcBorders>
              <w:top w:val="nil"/>
              <w:left w:val="nil"/>
              <w:bottom w:val="nil"/>
              <w:right w:val="nil"/>
            </w:tcBorders>
            <w:shd w:val="clear"/>
            <w:tcMar>
              <w:left w:w="108" w:type="dxa"/>
              <w:right w:w="108" w:type="dxa"/>
            </w:tcMar>
            <w:vAlign w:val="top"/>
          </w:tcPr>
          <w:p w14:paraId="4A918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7.3  排水系统………………………………………………</w:t>
            </w:r>
          </w:p>
        </w:tc>
        <w:tc>
          <w:tcPr>
            <w:tcW w:w="486" w:type="dxa"/>
            <w:tcBorders>
              <w:top w:val="nil"/>
              <w:left w:val="nil"/>
              <w:bottom w:val="nil"/>
              <w:right w:val="nil"/>
            </w:tcBorders>
            <w:shd w:val="clear"/>
            <w:tcMar>
              <w:left w:w="108" w:type="dxa"/>
              <w:right w:w="108" w:type="dxa"/>
            </w:tcMar>
            <w:vAlign w:val="center"/>
          </w:tcPr>
          <w:p w14:paraId="18AB72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28</w:t>
            </w:r>
          </w:p>
        </w:tc>
      </w:tr>
      <w:tr w14:paraId="0970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08A582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7.4  道路车辆………………………………………………</w:t>
            </w:r>
          </w:p>
        </w:tc>
        <w:tc>
          <w:tcPr>
            <w:tcW w:w="486" w:type="dxa"/>
            <w:tcBorders>
              <w:top w:val="nil"/>
              <w:left w:val="nil"/>
              <w:bottom w:val="nil"/>
              <w:right w:val="nil"/>
            </w:tcBorders>
            <w:shd w:val="clear"/>
            <w:tcMar>
              <w:left w:w="108" w:type="dxa"/>
              <w:right w:w="108" w:type="dxa"/>
            </w:tcMar>
            <w:vAlign w:val="center"/>
          </w:tcPr>
          <w:p w14:paraId="74607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29</w:t>
            </w:r>
          </w:p>
        </w:tc>
      </w:tr>
      <w:tr w14:paraId="03CD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5066F0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7.5  电梯运行……………………………………………</w:t>
            </w:r>
          </w:p>
        </w:tc>
        <w:tc>
          <w:tcPr>
            <w:tcW w:w="486" w:type="dxa"/>
            <w:tcBorders>
              <w:top w:val="nil"/>
              <w:left w:val="nil"/>
              <w:bottom w:val="nil"/>
              <w:right w:val="nil"/>
            </w:tcBorders>
            <w:shd w:val="clear"/>
            <w:tcMar>
              <w:left w:w="108" w:type="dxa"/>
              <w:right w:w="108" w:type="dxa"/>
            </w:tcMar>
            <w:vAlign w:val="center"/>
          </w:tcPr>
          <w:p w14:paraId="7C6459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30</w:t>
            </w:r>
          </w:p>
        </w:tc>
      </w:tr>
      <w:tr w14:paraId="5C63D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4345F7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7.6  供配电系统和照明…………………………………</w:t>
            </w:r>
          </w:p>
        </w:tc>
        <w:tc>
          <w:tcPr>
            <w:tcW w:w="486" w:type="dxa"/>
            <w:tcBorders>
              <w:top w:val="nil"/>
              <w:left w:val="nil"/>
              <w:bottom w:val="nil"/>
              <w:right w:val="nil"/>
            </w:tcBorders>
            <w:shd w:val="clear"/>
            <w:tcMar>
              <w:left w:w="108" w:type="dxa"/>
              <w:right w:w="108" w:type="dxa"/>
            </w:tcMar>
            <w:vAlign w:val="center"/>
          </w:tcPr>
          <w:p w14:paraId="2F750E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31</w:t>
            </w:r>
          </w:p>
        </w:tc>
      </w:tr>
      <w:tr w14:paraId="4717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0DEFD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315"/>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7.7  水景观、雕塑、娱乐、健身设施……………………</w:t>
            </w:r>
          </w:p>
        </w:tc>
        <w:tc>
          <w:tcPr>
            <w:tcW w:w="486" w:type="dxa"/>
            <w:tcBorders>
              <w:top w:val="nil"/>
              <w:left w:val="nil"/>
              <w:bottom w:val="nil"/>
              <w:right w:val="nil"/>
            </w:tcBorders>
            <w:shd w:val="clear"/>
            <w:tcMar>
              <w:left w:w="108" w:type="dxa"/>
              <w:right w:w="108" w:type="dxa"/>
            </w:tcMar>
            <w:vAlign w:val="center"/>
          </w:tcPr>
          <w:p w14:paraId="5F0DA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32</w:t>
            </w:r>
          </w:p>
        </w:tc>
      </w:tr>
      <w:tr w14:paraId="717C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02A89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   7.8  装饰装修………………………………………………</w:t>
            </w:r>
          </w:p>
        </w:tc>
        <w:tc>
          <w:tcPr>
            <w:tcW w:w="486" w:type="dxa"/>
            <w:tcBorders>
              <w:top w:val="nil"/>
              <w:left w:val="nil"/>
              <w:bottom w:val="nil"/>
              <w:right w:val="nil"/>
            </w:tcBorders>
            <w:shd w:val="clear"/>
            <w:tcMar>
              <w:left w:w="108" w:type="dxa"/>
              <w:right w:w="108" w:type="dxa"/>
            </w:tcMar>
            <w:vAlign w:val="center"/>
          </w:tcPr>
          <w:p w14:paraId="37EA1F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33</w:t>
            </w:r>
          </w:p>
        </w:tc>
      </w:tr>
      <w:tr w14:paraId="0A03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69BDFD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本标准用词说明…………………………………………………</w:t>
            </w:r>
          </w:p>
        </w:tc>
        <w:tc>
          <w:tcPr>
            <w:tcW w:w="486" w:type="dxa"/>
            <w:tcBorders>
              <w:top w:val="nil"/>
              <w:left w:val="nil"/>
              <w:bottom w:val="nil"/>
              <w:right w:val="nil"/>
            </w:tcBorders>
            <w:shd w:val="clear"/>
            <w:tcMar>
              <w:left w:w="108" w:type="dxa"/>
              <w:right w:w="108" w:type="dxa"/>
            </w:tcMar>
            <w:vAlign w:val="center"/>
          </w:tcPr>
          <w:p w14:paraId="6FE7D8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35</w:t>
            </w:r>
          </w:p>
        </w:tc>
      </w:tr>
      <w:tr w14:paraId="5FD0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 w:hRule="atLeast"/>
        </w:trPr>
        <w:tc>
          <w:tcPr>
            <w:tcW w:w="5688" w:type="dxa"/>
            <w:gridSpan w:val="2"/>
            <w:tcBorders>
              <w:top w:val="nil"/>
              <w:left w:val="nil"/>
              <w:bottom w:val="nil"/>
              <w:right w:val="nil"/>
            </w:tcBorders>
            <w:shd w:val="clear"/>
            <w:tcMar>
              <w:left w:w="108" w:type="dxa"/>
              <w:right w:w="108" w:type="dxa"/>
            </w:tcMar>
            <w:vAlign w:val="top"/>
          </w:tcPr>
          <w:p w14:paraId="7F7DBD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条文说明………………………………………………………</w:t>
            </w:r>
          </w:p>
        </w:tc>
        <w:tc>
          <w:tcPr>
            <w:tcW w:w="486" w:type="dxa"/>
            <w:tcBorders>
              <w:top w:val="nil"/>
              <w:left w:val="nil"/>
              <w:bottom w:val="nil"/>
              <w:right w:val="nil"/>
            </w:tcBorders>
            <w:shd w:val="clear"/>
            <w:tcMar>
              <w:left w:w="108" w:type="dxa"/>
              <w:right w:w="108" w:type="dxa"/>
            </w:tcMar>
            <w:vAlign w:val="center"/>
          </w:tcPr>
          <w:p w14:paraId="7C72B3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21"/>
                <w:szCs w:val="21"/>
                <w:bdr w:val="none" w:color="auto" w:sz="0" w:space="0"/>
                <w:vertAlign w:val="baseline"/>
              </w:rPr>
              <w:t>37</w:t>
            </w:r>
          </w:p>
        </w:tc>
      </w:tr>
    </w:tbl>
    <w:p w14:paraId="2C4E0A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DA624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1FEE8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CDEE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E3191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B9443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1829E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34E8C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E33E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DE173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B8051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38ED4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F9A53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E0DC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FEC5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47774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BB98B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C9C55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03F45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61766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textAlignment w:val="baseline"/>
        <w:rPr>
          <w:rFonts w:hint="default" w:ascii="Arial" w:hAnsi="Arial" w:cs="Arial"/>
          <w:i w:val="0"/>
          <w:iCs w:val="0"/>
          <w:caps w:val="0"/>
          <w:color w:val="000000"/>
          <w:spacing w:val="0"/>
          <w:sz w:val="32"/>
          <w:szCs w:val="32"/>
        </w:rPr>
      </w:pPr>
      <w:r>
        <w:rPr>
          <w:rFonts w:hint="default" w:ascii="Arial" w:hAnsi="Arial" w:cs="Arial"/>
          <w:i w:val="0"/>
          <w:iCs w:val="0"/>
          <w:caps w:val="0"/>
          <w:color w:val="000000"/>
          <w:spacing w:val="0"/>
          <w:sz w:val="32"/>
          <w:szCs w:val="32"/>
          <w:bdr w:val="none" w:color="auto" w:sz="0" w:space="0"/>
          <w:shd w:val="clear" w:fill="FFFFFF"/>
          <w:vertAlign w:val="baseline"/>
        </w:rPr>
        <w:t> </w:t>
      </w:r>
    </w:p>
    <w:p w14:paraId="433610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ACDF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1  总  则</w:t>
      </w:r>
    </w:p>
    <w:p w14:paraId="34B4CD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0DE2F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1.0.1</w:t>
      </w:r>
      <w:r>
        <w:rPr>
          <w:rFonts w:hint="eastAsia" w:ascii="宋体" w:hAnsi="宋体" w:eastAsia="宋体" w:cs="宋体"/>
          <w:i w:val="0"/>
          <w:iCs w:val="0"/>
          <w:caps w:val="0"/>
          <w:color w:val="333333"/>
          <w:spacing w:val="0"/>
          <w:sz w:val="21"/>
          <w:szCs w:val="21"/>
          <w:bdr w:val="none" w:color="auto" w:sz="0" w:space="0"/>
          <w:shd w:val="clear" w:fill="FFFFFF"/>
          <w:vertAlign w:val="baseline"/>
        </w:rPr>
        <w:t>  为了规范住宅物业服务活动，提高物业服务水平，维护业主、物业服务企业合法权益，以市场化、专业化、标准化为导向，将物业服务纳入现代服务业发展规划、社区建设规划和社会治理体系，改善人居环境，促进和谐社区建设，制定本标准。</w:t>
      </w:r>
    </w:p>
    <w:p w14:paraId="01FF98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1.0.2  </w:t>
      </w:r>
      <w:r>
        <w:rPr>
          <w:rFonts w:hint="eastAsia" w:ascii="宋体" w:hAnsi="宋体" w:eastAsia="宋体" w:cs="宋体"/>
          <w:i w:val="0"/>
          <w:iCs w:val="0"/>
          <w:caps w:val="0"/>
          <w:color w:val="333333"/>
          <w:spacing w:val="0"/>
          <w:sz w:val="21"/>
          <w:szCs w:val="21"/>
          <w:bdr w:val="none" w:color="auto" w:sz="0" w:space="0"/>
          <w:shd w:val="clear" w:fill="FFFFFF"/>
          <w:vertAlign w:val="baseline"/>
        </w:rPr>
        <w:t>本标准适用于对住宅物业管理区域内房屋的共用部位、共用设施设备和相关场地进行维修、养护和管理，维护物业管理区域内的环境卫生和相关秩序的活动。不包括保修期内由建设单位履行的保修责任。</w:t>
      </w:r>
    </w:p>
    <w:p w14:paraId="01A3F6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1.0.3</w:t>
      </w:r>
      <w:r>
        <w:rPr>
          <w:rFonts w:hint="eastAsia" w:ascii="宋体" w:hAnsi="宋体" w:eastAsia="宋体" w:cs="宋体"/>
          <w:i w:val="0"/>
          <w:iCs w:val="0"/>
          <w:caps w:val="0"/>
          <w:color w:val="333333"/>
          <w:spacing w:val="0"/>
          <w:sz w:val="21"/>
          <w:szCs w:val="21"/>
          <w:bdr w:val="none" w:color="auto" w:sz="0" w:space="0"/>
          <w:shd w:val="clear" w:fill="FFFFFF"/>
          <w:vertAlign w:val="baseline"/>
        </w:rPr>
        <w:t>  委托物业管理人管理前期物业的，建设单位应当与物业管理人签订前期物业服务合同，明确物业服务标准等级。保障性住房项目，前期物业服务合同中约定的物业服务标准等级应当符合本标准规定。</w:t>
      </w:r>
    </w:p>
    <w:p w14:paraId="4A411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1.0.4  </w:t>
      </w: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物业管理人与被服务方应当签订物业服务合同，物业服务合同确定的服务等级，其服务项目、服务内容不得低于本标准的规定。</w:t>
      </w:r>
    </w:p>
    <w:p w14:paraId="3715C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1.0.5</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物业管理人的物业服务质量应当接受业主、业主大会、业主委员会、房产管理部门以及街道办事处（乡镇人民政府）、社区居委会的监督。</w:t>
      </w:r>
    </w:p>
    <w:p w14:paraId="688CD4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1.0.6 </w:t>
      </w:r>
      <w:r>
        <w:rPr>
          <w:rFonts w:hint="eastAsia" w:ascii="宋体" w:hAnsi="宋体" w:eastAsia="宋体" w:cs="宋体"/>
          <w:i w:val="0"/>
          <w:iCs w:val="0"/>
          <w:caps w:val="0"/>
          <w:color w:val="333333"/>
          <w:spacing w:val="0"/>
          <w:sz w:val="21"/>
          <w:szCs w:val="21"/>
          <w:bdr w:val="none" w:color="auto" w:sz="0" w:space="0"/>
          <w:shd w:val="clear" w:fill="FFFFFF"/>
          <w:vertAlign w:val="baseline"/>
        </w:rPr>
        <w:t> 住宅物业服务除应符合本标准外，尚应符合国家和自治区现行有关法律、法规、规章、政策及标准的规定。</w:t>
      </w:r>
    </w:p>
    <w:p w14:paraId="65AE8C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4A5F4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21DE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342FD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2  术  语</w:t>
      </w:r>
    </w:p>
    <w:p w14:paraId="1C8C88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E571B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住宅</w:t>
      </w:r>
      <w:r>
        <w:rPr>
          <w:rFonts w:hint="eastAsia" w:ascii="宋体" w:hAnsi="宋体" w:eastAsia="宋体" w:cs="宋体"/>
          <w:i w:val="0"/>
          <w:iCs w:val="0"/>
          <w:caps w:val="0"/>
          <w:color w:val="333333"/>
          <w:spacing w:val="0"/>
          <w:sz w:val="21"/>
          <w:szCs w:val="21"/>
          <w:bdr w:val="none" w:color="auto" w:sz="0" w:space="0"/>
          <w:shd w:val="clear" w:fill="FFFFFF"/>
          <w:vertAlign w:val="baseline"/>
        </w:rPr>
        <w:t>  residence</w:t>
      </w:r>
    </w:p>
    <w:p w14:paraId="04D3F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包括商品房、保障性住房（包括经济适用住房、公共租赁住房、限价商品住房、各类棚户区改造安置住房）等民用建筑（含物业酒店式公寓、宿舍、老年人住宅、商住楼等）。</w:t>
      </w:r>
    </w:p>
    <w:p w14:paraId="5E0F63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2.0.2</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 property services</w:t>
      </w:r>
    </w:p>
    <w:p w14:paraId="4E4BFB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业主（建设单位）通过选聘物业管理人，物业管理人按照物业服务合同约定，对物业管理区域内房屋及配套的设施设备和相关场地进行维修、养护和管理，维护物业管理区域内的环境卫生和相关秩序的活动。</w:t>
      </w:r>
    </w:p>
    <w:p w14:paraId="29A004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2.0.3</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物业服务合同 property services contract</w:t>
      </w:r>
    </w:p>
    <w:p w14:paraId="5D689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业主与物业管理人签订的物业服务合同。包括业主大会委托业主委员会与物业管理人签订的物业服务合同，以及建设单位与物业管理人签订的前期物业服务合同。</w:t>
      </w:r>
    </w:p>
    <w:p w14:paraId="270C1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2.0.4</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管理规约</w:t>
      </w:r>
      <w:r>
        <w:rPr>
          <w:rFonts w:hint="eastAsia" w:ascii="宋体" w:hAnsi="宋体" w:eastAsia="宋体" w:cs="宋体"/>
          <w:i w:val="0"/>
          <w:iCs w:val="0"/>
          <w:caps w:val="0"/>
          <w:color w:val="333333"/>
          <w:spacing w:val="0"/>
          <w:sz w:val="21"/>
          <w:szCs w:val="21"/>
          <w:bdr w:val="none" w:color="auto" w:sz="0" w:space="0"/>
          <w:shd w:val="clear" w:fill="FFFFFF"/>
          <w:vertAlign w:val="baseline"/>
        </w:rPr>
        <w:t> management statute</w:t>
      </w:r>
    </w:p>
    <w:p w14:paraId="2E44CD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在特定的物业管理区域内，全体业主共同制定和遵守的文件，包括区分所有权建筑物或建筑区划内业主的权利、义务、责任，以及对物业的使用、维护、管理等内容。</w:t>
      </w:r>
    </w:p>
    <w:p w14:paraId="503C6C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2.0.5</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住宅物业管理区域</w:t>
      </w:r>
      <w:r>
        <w:rPr>
          <w:rFonts w:hint="eastAsia" w:ascii="宋体" w:hAnsi="宋体" w:eastAsia="宋体" w:cs="宋体"/>
          <w:i w:val="0"/>
          <w:iCs w:val="0"/>
          <w:caps w:val="0"/>
          <w:color w:val="333333"/>
          <w:spacing w:val="0"/>
          <w:sz w:val="21"/>
          <w:szCs w:val="21"/>
          <w:bdr w:val="none" w:color="auto" w:sz="0" w:space="0"/>
          <w:shd w:val="clear" w:fill="FFFFFF"/>
          <w:vertAlign w:val="baseline"/>
        </w:rPr>
        <w:t> residential property management area</w:t>
      </w:r>
    </w:p>
    <w:p w14:paraId="336468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建筑区划内的住宅（但一个业主所有且与其他物业不具有共用部位、共用设施设备的除外）、住宅小区内的非住宅或者住宅小区外与单幢住宅结构相连的非住宅区域。</w:t>
      </w:r>
    </w:p>
    <w:p w14:paraId="09E76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2.0.6 </w:t>
      </w:r>
      <w:r>
        <w:rPr>
          <w:rFonts w:hint="eastAsia" w:ascii="宋体" w:hAnsi="宋体" w:eastAsia="宋体" w:cs="宋体"/>
          <w:i w:val="0"/>
          <w:iCs w:val="0"/>
          <w:caps w:val="0"/>
          <w:color w:val="333333"/>
          <w:spacing w:val="0"/>
          <w:sz w:val="21"/>
          <w:szCs w:val="21"/>
          <w:bdr w:val="none" w:color="auto" w:sz="0" w:space="0"/>
          <w:shd w:val="clear" w:fill="FFFFFF"/>
          <w:vertAlign w:val="baseline"/>
        </w:rPr>
        <w:t> 共用部位 common part</w:t>
      </w:r>
    </w:p>
    <w:p w14:paraId="0509D5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由多个所有权人共同拥有，其主体承重结构部位和共用面积所构成的部位。一般包括建筑物的基础、承重墙体、柱、梁、楼板、屋顶、户外墙面、门厅、楼梯间、走廊通道、扶手、护栏、电梯井道、避难层、设备间等。</w:t>
      </w:r>
    </w:p>
    <w:p w14:paraId="43412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2.0.7 </w:t>
      </w:r>
      <w:r>
        <w:rPr>
          <w:rFonts w:hint="eastAsia" w:ascii="宋体" w:hAnsi="宋体" w:eastAsia="宋体" w:cs="宋体"/>
          <w:i w:val="0"/>
          <w:iCs w:val="0"/>
          <w:caps w:val="0"/>
          <w:color w:val="333333"/>
          <w:spacing w:val="0"/>
          <w:sz w:val="21"/>
          <w:szCs w:val="21"/>
          <w:bdr w:val="none" w:color="auto" w:sz="0" w:space="0"/>
          <w:shd w:val="clear" w:fill="FFFFFF"/>
          <w:vertAlign w:val="baseline"/>
        </w:rPr>
        <w:t> 共用设施设备 shared facilities and equipment</w:t>
      </w:r>
    </w:p>
    <w:p w14:paraId="256D29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由多个所有权人共同拥有，并由其共用的附属设施、设备。一般包括电梯、水泵、水箱、天线、楼道灯、防雷装置、消防设施、给排水管线、共用采暖和空调管线设备，物业管理区域内的绿地、道路、小品景观、路灯、沟渠、池、井、视频监控、门禁、围栏、垃圾容器、非经营性停车场或车库、公益性文体设施、市政公用产品供应管线和共用设施设备使用的房屋等。</w:t>
      </w:r>
    </w:p>
    <w:p w14:paraId="767F47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2.0.8</w:t>
      </w:r>
      <w:r>
        <w:rPr>
          <w:rFonts w:hint="eastAsia" w:ascii="宋体" w:hAnsi="宋体" w:eastAsia="宋体" w:cs="宋体"/>
          <w:i w:val="0"/>
          <w:iCs w:val="0"/>
          <w:caps w:val="0"/>
          <w:color w:val="333333"/>
          <w:spacing w:val="0"/>
          <w:sz w:val="21"/>
          <w:szCs w:val="21"/>
          <w:bdr w:val="none" w:color="auto" w:sz="0" w:space="0"/>
          <w:shd w:val="clear" w:fill="FFFFFF"/>
          <w:vertAlign w:val="baseline"/>
        </w:rPr>
        <w:t>  专项服务 specialized services</w:t>
      </w:r>
    </w:p>
    <w:p w14:paraId="16ADE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物业服务合同中未约定，根据部分业主的需求和住宅区条件及物业服务企业的能力，经双方协商，物业管理人向部分业主提供的有偿专业服务。</w:t>
      </w:r>
    </w:p>
    <w:p w14:paraId="731EA6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2.0.9</w:t>
      </w:r>
      <w:r>
        <w:rPr>
          <w:rFonts w:hint="eastAsia" w:ascii="宋体" w:hAnsi="宋体" w:eastAsia="宋体" w:cs="宋体"/>
          <w:i w:val="0"/>
          <w:iCs w:val="0"/>
          <w:caps w:val="0"/>
          <w:color w:val="333333"/>
          <w:spacing w:val="0"/>
          <w:sz w:val="21"/>
          <w:szCs w:val="21"/>
          <w:bdr w:val="none" w:color="auto" w:sz="0" w:space="0"/>
          <w:shd w:val="clear" w:fill="FFFFFF"/>
          <w:vertAlign w:val="baseline"/>
        </w:rPr>
        <w:t>  特约服务 invited services</w:t>
      </w:r>
    </w:p>
    <w:p w14:paraId="4A612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物业服务合同中未约定，物业管理人为满足个别业主特殊需求，提供物业服务合同约定以外的有偿服务活动。</w:t>
      </w:r>
    </w:p>
    <w:p w14:paraId="645A5F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2.0.10</w:t>
      </w:r>
      <w:r>
        <w:rPr>
          <w:rFonts w:hint="eastAsia" w:ascii="宋体" w:hAnsi="宋体" w:eastAsia="宋体" w:cs="宋体"/>
          <w:i w:val="0"/>
          <w:iCs w:val="0"/>
          <w:caps w:val="0"/>
          <w:color w:val="333333"/>
          <w:spacing w:val="0"/>
          <w:sz w:val="21"/>
          <w:szCs w:val="21"/>
          <w:bdr w:val="none" w:color="auto" w:sz="0" w:space="0"/>
          <w:shd w:val="clear" w:fill="FFFFFF"/>
          <w:vertAlign w:val="baseline"/>
        </w:rPr>
        <w:t>  突发事件 sudden incident</w:t>
      </w:r>
    </w:p>
    <w:p w14:paraId="65FE4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物业管理区域内突然发生，造成或者可能造成人员伤亡、财产损失、生态环境破坏和严重社会危害，需要采取应急处置措施予以应对的自然灾害、事故灾难、公共卫生事件和社会安全事件。</w:t>
      </w:r>
    </w:p>
    <w:p w14:paraId="349EB1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2.0.11</w:t>
      </w:r>
      <w:r>
        <w:rPr>
          <w:rFonts w:hint="eastAsia" w:ascii="宋体" w:hAnsi="宋体" w:eastAsia="宋体" w:cs="宋体"/>
          <w:i w:val="0"/>
          <w:iCs w:val="0"/>
          <w:caps w:val="0"/>
          <w:color w:val="333333"/>
          <w:spacing w:val="0"/>
          <w:sz w:val="21"/>
          <w:szCs w:val="21"/>
          <w:bdr w:val="none" w:color="auto" w:sz="0" w:space="0"/>
          <w:shd w:val="clear" w:fill="FFFFFF"/>
          <w:vertAlign w:val="baseline"/>
        </w:rPr>
        <w:t>  一般维修 general maintenance</w:t>
      </w:r>
    </w:p>
    <w:p w14:paraId="3F2E9F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对影响物业管理区域正常生活秩序的设施设备故障进行及时的处理和维修。通常指业主专有部分委托维修及物业服务合同约定范围内共用设施设备的维修。</w:t>
      </w:r>
    </w:p>
    <w:p w14:paraId="0D0136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2.0.12</w:t>
      </w:r>
      <w:r>
        <w:rPr>
          <w:rFonts w:hint="eastAsia" w:ascii="宋体" w:hAnsi="宋体" w:eastAsia="宋体" w:cs="宋体"/>
          <w:i w:val="0"/>
          <w:iCs w:val="0"/>
          <w:caps w:val="0"/>
          <w:color w:val="333333"/>
          <w:spacing w:val="0"/>
          <w:sz w:val="21"/>
          <w:szCs w:val="21"/>
          <w:bdr w:val="none" w:color="auto" w:sz="0" w:space="0"/>
          <w:shd w:val="clear" w:fill="FFFFFF"/>
          <w:vertAlign w:val="baseline"/>
        </w:rPr>
        <w:t>  紧急维修 emergency maintenance</w:t>
      </w:r>
    </w:p>
    <w:p w14:paraId="58776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物业管理区域内的房屋共用部位、共用设施设备发生危及房屋安全使用等紧急情况，为维护公共安全、保障共用部位或共用设施设备以及各项功能正常使用，需要立即对其进行维修、更新和改造的活动。</w:t>
      </w:r>
    </w:p>
    <w:p w14:paraId="01C7FA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6"/>
          <w:sz w:val="21"/>
          <w:szCs w:val="21"/>
          <w:bdr w:val="none" w:color="auto" w:sz="0" w:space="0"/>
          <w:shd w:val="clear" w:fill="FFFFFF"/>
          <w:vertAlign w:val="baseline"/>
        </w:rPr>
        <w:t>2.0.13</w:t>
      </w:r>
      <w:r>
        <w:rPr>
          <w:rFonts w:hint="eastAsia" w:ascii="宋体" w:hAnsi="宋体" w:eastAsia="宋体" w:cs="宋体"/>
          <w:i w:val="0"/>
          <w:iCs w:val="0"/>
          <w:caps w:val="0"/>
          <w:color w:val="333333"/>
          <w:spacing w:val="-6"/>
          <w:sz w:val="21"/>
          <w:szCs w:val="21"/>
          <w:bdr w:val="none" w:color="auto" w:sz="0" w:space="0"/>
          <w:shd w:val="clear" w:fill="FFFFFF"/>
          <w:vertAlign w:val="baseline"/>
        </w:rPr>
        <w:t>  </w:t>
      </w:r>
      <w:r>
        <w:rPr>
          <w:rFonts w:hint="eastAsia" w:ascii="宋体" w:hAnsi="宋体" w:eastAsia="宋体" w:cs="宋体"/>
          <w:i w:val="0"/>
          <w:iCs w:val="0"/>
          <w:caps w:val="0"/>
          <w:color w:val="333333"/>
          <w:spacing w:val="0"/>
          <w:sz w:val="21"/>
          <w:szCs w:val="21"/>
          <w:bdr w:val="none" w:color="auto" w:sz="0" w:space="0"/>
          <w:shd w:val="clear" w:fill="FFFFFF"/>
          <w:vertAlign w:val="baseline"/>
        </w:rPr>
        <w:t>设施设备完好率 </w:t>
      </w:r>
      <w:r>
        <w:rPr>
          <w:rFonts w:hint="eastAsia" w:ascii="宋体" w:hAnsi="宋体" w:eastAsia="宋体" w:cs="宋体"/>
          <w:i w:val="0"/>
          <w:iCs w:val="0"/>
          <w:caps w:val="0"/>
          <w:color w:val="333333"/>
          <w:spacing w:val="-6"/>
          <w:sz w:val="21"/>
          <w:szCs w:val="21"/>
          <w:bdr w:val="none" w:color="auto" w:sz="0" w:space="0"/>
          <w:shd w:val="clear" w:fill="FFFFFF"/>
          <w:vertAlign w:val="baseline"/>
        </w:rPr>
        <w:t>facilities and equipment intact rate</w:t>
      </w:r>
    </w:p>
    <w:p w14:paraId="6D8ADF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共用设施设备能够正常运行情况占总体情况的比例。</w:t>
      </w:r>
    </w:p>
    <w:p w14:paraId="79965A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2.0.14</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业主满意率 owner satisfaction rate</w:t>
      </w:r>
    </w:p>
    <w:p w14:paraId="078877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业主对物业管理人服务质量持满意态度的人数占征询人数的比例。</w:t>
      </w:r>
    </w:p>
    <w:p w14:paraId="0C53D6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2.0.15</w:t>
      </w:r>
      <w:r>
        <w:rPr>
          <w:rFonts w:hint="eastAsia" w:ascii="宋体" w:hAnsi="宋体" w:eastAsia="宋体" w:cs="宋体"/>
          <w:i w:val="0"/>
          <w:iCs w:val="0"/>
          <w:caps w:val="0"/>
          <w:color w:val="333333"/>
          <w:spacing w:val="0"/>
          <w:sz w:val="21"/>
          <w:szCs w:val="21"/>
          <w:bdr w:val="none" w:color="auto" w:sz="0" w:space="0"/>
          <w:shd w:val="clear" w:fill="FFFFFF"/>
          <w:vertAlign w:val="baseline"/>
        </w:rPr>
        <w:t>  监控覆盖率 monitoring coverage rate</w:t>
      </w:r>
    </w:p>
    <w:p w14:paraId="7831C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电子监控系统对住宅区公共活动区域范围内，实际监控范围与应监控范围的比例。</w:t>
      </w:r>
    </w:p>
    <w:p w14:paraId="6948C5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2.0.16</w:t>
      </w:r>
      <w:r>
        <w:rPr>
          <w:rFonts w:hint="eastAsia" w:ascii="宋体" w:hAnsi="宋体" w:eastAsia="宋体" w:cs="宋体"/>
          <w:i w:val="0"/>
          <w:iCs w:val="0"/>
          <w:caps w:val="0"/>
          <w:color w:val="333333"/>
          <w:spacing w:val="0"/>
          <w:sz w:val="21"/>
          <w:szCs w:val="21"/>
          <w:bdr w:val="none" w:color="auto" w:sz="0" w:space="0"/>
          <w:shd w:val="clear" w:fill="FFFFFF"/>
          <w:vertAlign w:val="baseline"/>
        </w:rPr>
        <w:t>  公共信息栏 public information bar</w:t>
      </w:r>
    </w:p>
    <w:p w14:paraId="1D4FB8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设置在物业管理区域显著位置，用于公示业主大会和业主委员会相关工作信息、物业服务信息，以及小区其他公共事务信息的宣传栏。</w:t>
      </w:r>
    </w:p>
    <w:p w14:paraId="2D6BB9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A7312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91FD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EE476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7BA0B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D111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8AB40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62AB2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3  基本规定</w:t>
      </w:r>
    </w:p>
    <w:p w14:paraId="42C23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55"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D09F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3.1 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32DB6D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8B06B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3.1.1</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建立健全共用部位及共用设施设备运行、维修、养护和管理，以及公共秩序维护、绿化养护、环境卫生管理等物业服务工作制度和考核标准，并制定各岗位人员操作规程。相关制度、标准和操作规程均应当公开、公示。物业管理人应严格履行合同约定，通过工作制度、标准和操作规程，加强过程控制，确保服务质量，提供</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质价相符</w:t>
      </w:r>
      <w:r>
        <w:rPr>
          <w:rFonts w:hint="eastAsia" w:ascii="宋体" w:hAnsi="宋体" w:eastAsia="宋体" w:cs="宋体"/>
          <w:i w:val="0"/>
          <w:iCs w:val="0"/>
          <w:caps w:val="0"/>
          <w:color w:val="333333"/>
          <w:spacing w:val="0"/>
          <w:sz w:val="21"/>
          <w:szCs w:val="21"/>
          <w:bdr w:val="none" w:color="auto" w:sz="0" w:space="0"/>
          <w:shd w:val="clear" w:fill="FFFFFF"/>
          <w:vertAlign w:val="baseline"/>
        </w:rPr>
        <w:t>的服务。</w:t>
      </w:r>
    </w:p>
    <w:p w14:paraId="40D62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3.1.2 </w:t>
      </w:r>
      <w:r>
        <w:rPr>
          <w:rFonts w:hint="eastAsia" w:ascii="宋体" w:hAnsi="宋体" w:eastAsia="宋体" w:cs="宋体"/>
          <w:i w:val="0"/>
          <w:iCs w:val="0"/>
          <w:caps w:val="0"/>
          <w:color w:val="333333"/>
          <w:spacing w:val="0"/>
          <w:sz w:val="21"/>
          <w:szCs w:val="21"/>
          <w:bdr w:val="none" w:color="auto" w:sz="0" w:space="0"/>
          <w:shd w:val="clear" w:fill="FFFFFF"/>
          <w:vertAlign w:val="baseline"/>
        </w:rPr>
        <w:t> 住宅物业服务标准设定为四个等级，服务等级由低到高依次为一、二、三、四级。</w:t>
      </w:r>
    </w:p>
    <w:p w14:paraId="32720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3.1.3</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合同中应当明确约定服务项目、服务内容和服务等级。确定服务等级应考虑住宅的建设标准、使用年限、配套设施设备、服务功能以及业主的居住消费能力和需求等因素。可选择等级式服务，也可选择菜单式及服务成本核审式服务等。</w:t>
      </w:r>
    </w:p>
    <w:p w14:paraId="4EB1EF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363" w:right="0" w:hanging="363"/>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18"/>
          <w:szCs w:val="18"/>
          <w:bdr w:val="none" w:color="auto" w:sz="0" w:space="0"/>
          <w:shd w:val="clear" w:fill="FFFFFF"/>
          <w:vertAlign w:val="baseline"/>
        </w:rPr>
        <w:t>注：同一个住宅物业管理区域</w:t>
      </w:r>
      <w:r>
        <w:rPr>
          <w:rFonts w:hint="eastAsia" w:ascii="宋体" w:hAnsi="宋体" w:eastAsia="宋体" w:cs="宋体"/>
          <w:b/>
          <w:bCs/>
          <w:i w:val="0"/>
          <w:iCs w:val="0"/>
          <w:caps w:val="0"/>
          <w:color w:val="333333"/>
          <w:spacing w:val="0"/>
          <w:sz w:val="18"/>
          <w:szCs w:val="18"/>
          <w:bdr w:val="none" w:color="auto" w:sz="0" w:space="0"/>
          <w:shd w:val="clear" w:fill="FFFFFF"/>
          <w:vertAlign w:val="baseline"/>
        </w:rPr>
        <w:t>宜</w:t>
      </w:r>
      <w:r>
        <w:rPr>
          <w:rFonts w:hint="eastAsia" w:ascii="宋体" w:hAnsi="宋体" w:eastAsia="宋体" w:cs="宋体"/>
          <w:i w:val="0"/>
          <w:iCs w:val="0"/>
          <w:caps w:val="0"/>
          <w:color w:val="333333"/>
          <w:spacing w:val="0"/>
          <w:sz w:val="18"/>
          <w:szCs w:val="18"/>
          <w:bdr w:val="none" w:color="auto" w:sz="0" w:space="0"/>
          <w:shd w:val="clear" w:fill="FFFFFF"/>
          <w:vertAlign w:val="baseline"/>
        </w:rPr>
        <w:t>选择一种服务方式和一个服务等级。</w:t>
      </w:r>
    </w:p>
    <w:p w14:paraId="4DF2F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3.1.4</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物业管理人应每年至少进行一次业主对物业服务满意情况的书面调查，征求业主人数不宜低于业主总人数的80%。对不满意的情况进行分析，制定措施，及时整改，降低业主投诉率。业主满意率应符合下列规定：</w:t>
      </w:r>
    </w:p>
    <w:p w14:paraId="40AF0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一级服务业主满意率60%以上；</w:t>
      </w:r>
    </w:p>
    <w:p w14:paraId="136356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二级服务业主满意率70%以上；</w:t>
      </w:r>
    </w:p>
    <w:p w14:paraId="41CAB2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三级服务业主满意率80%以上；</w:t>
      </w:r>
    </w:p>
    <w:p w14:paraId="33D901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四级服务业主满意率90%以上。</w:t>
      </w:r>
    </w:p>
    <w:p w14:paraId="31DC4B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3.1.5 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物业管理人可以将物业管理区域内的专业服务业务委托给专业性服务企业，但不得将该区域内的全部物业</w:t>
      </w:r>
      <w:r>
        <w:rPr>
          <w:rFonts w:hint="eastAsia" w:ascii="黑体" w:hAnsi="宋体" w:eastAsia="黑体" w:cs="黑体"/>
          <w:i w:val="0"/>
          <w:iCs w:val="0"/>
          <w:caps w:val="0"/>
          <w:color w:val="333333"/>
          <w:spacing w:val="0"/>
          <w:sz w:val="21"/>
          <w:szCs w:val="21"/>
          <w:bdr w:val="none" w:color="auto" w:sz="0" w:space="0"/>
          <w:shd w:val="clear" w:fill="FFFFFF"/>
          <w:vertAlign w:val="baseline"/>
        </w:rPr>
        <w:t>服务</w:t>
      </w:r>
      <w:r>
        <w:rPr>
          <w:rFonts w:hint="eastAsia" w:ascii="宋体" w:hAnsi="宋体" w:eastAsia="宋体" w:cs="宋体"/>
          <w:i w:val="0"/>
          <w:iCs w:val="0"/>
          <w:caps w:val="0"/>
          <w:color w:val="333333"/>
          <w:spacing w:val="0"/>
          <w:sz w:val="21"/>
          <w:szCs w:val="21"/>
          <w:bdr w:val="none" w:color="auto" w:sz="0" w:space="0"/>
          <w:shd w:val="clear" w:fill="FFFFFF"/>
          <w:vertAlign w:val="baseline"/>
        </w:rPr>
        <w:t>一并委托给他人。物业管理人对外分包服务项目应告知业主。</w:t>
      </w:r>
    </w:p>
    <w:p w14:paraId="2D95B2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3.1.6</w:t>
      </w:r>
      <w:r>
        <w:rPr>
          <w:rFonts w:hint="eastAsia" w:ascii="宋体" w:hAnsi="宋体" w:eastAsia="宋体" w:cs="宋体"/>
          <w:i w:val="0"/>
          <w:iCs w:val="0"/>
          <w:caps w:val="0"/>
          <w:color w:val="333333"/>
          <w:spacing w:val="0"/>
          <w:sz w:val="21"/>
          <w:szCs w:val="21"/>
          <w:bdr w:val="none" w:color="auto" w:sz="0" w:space="0"/>
          <w:shd w:val="clear" w:fill="FFFFFF"/>
          <w:vertAlign w:val="baseline"/>
        </w:rPr>
        <w:t>  非因物业管理人造成服务质量不符合物业服务合同约定服务标准的，物业管理人应以书面形式向业主做出合理的解释说明，并在物业管理区域公共信息栏进行公示。</w:t>
      </w:r>
    </w:p>
    <w:p w14:paraId="33EEC8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3.1.7 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物业管理人应定期向业主通报本物业管理区域的物业管理工作情况，具体要求如下：</w:t>
      </w:r>
    </w:p>
    <w:p w14:paraId="0C8B13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每半年通报一次物业服务工作情况；</w:t>
      </w:r>
    </w:p>
    <w:p w14:paraId="1E108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每半年公示一次业主共有收益的收支情况</w:t>
      </w:r>
      <w:r>
        <w:rPr>
          <w:rFonts w:hint="eastAsia" w:ascii="宋体" w:hAnsi="宋体" w:eastAsia="宋体" w:cs="宋体"/>
          <w:i w:val="0"/>
          <w:iCs w:val="0"/>
          <w:caps w:val="0"/>
          <w:color w:val="333333"/>
          <w:spacing w:val="0"/>
          <w:sz w:val="21"/>
          <w:szCs w:val="21"/>
          <w:bdr w:val="none" w:color="auto" w:sz="0" w:space="0"/>
          <w:shd w:val="clear" w:fill="FFFFFF"/>
          <w:vertAlign w:val="baseline"/>
        </w:rPr>
        <w:t>；</w:t>
      </w:r>
    </w:p>
    <w:p w14:paraId="474205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每年一季度公示上年度物业服务合同履行情况；</w:t>
      </w:r>
    </w:p>
    <w:p w14:paraId="28274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宋体" w:hAnsi="宋体" w:eastAsia="宋体" w:cs="宋体"/>
          <w:b/>
          <w:bCs/>
          <w:i w:val="0"/>
          <w:iCs w:val="0"/>
          <w:caps w:val="0"/>
          <w:color w:val="333333"/>
          <w:spacing w:val="0"/>
          <w:sz w:val="21"/>
          <w:szCs w:val="21"/>
          <w:bdr w:val="none" w:color="auto" w:sz="0" w:space="0"/>
          <w:shd w:val="clear" w:fill="FFFFFF"/>
          <w:vertAlign w:val="baseline"/>
        </w:rPr>
        <w:t>实行酬金制的住宅物业，每年一季度公示上年度物业服务</w:t>
      </w:r>
    </w:p>
    <w:p w14:paraId="1AB974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费的收支情况</w:t>
      </w:r>
      <w:r>
        <w:rPr>
          <w:rFonts w:hint="eastAsia" w:ascii="宋体" w:hAnsi="宋体" w:eastAsia="宋体" w:cs="宋体"/>
          <w:i w:val="0"/>
          <w:iCs w:val="0"/>
          <w:caps w:val="0"/>
          <w:color w:val="333333"/>
          <w:spacing w:val="0"/>
          <w:sz w:val="21"/>
          <w:szCs w:val="21"/>
          <w:bdr w:val="none" w:color="auto" w:sz="0" w:space="0"/>
          <w:shd w:val="clear" w:fill="FFFFFF"/>
          <w:vertAlign w:val="baseline"/>
        </w:rPr>
        <w:t>。</w:t>
      </w:r>
    </w:p>
    <w:p w14:paraId="200F6D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26" w:right="0" w:firstLine="36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18"/>
          <w:szCs w:val="18"/>
          <w:bdr w:val="none" w:color="auto" w:sz="0" w:space="0"/>
          <w:shd w:val="clear" w:fill="FFFFFF"/>
          <w:vertAlign w:val="baseline"/>
        </w:rPr>
        <w:t>注：以上公示应在物业管理区域内显著位置以书面形式进行，且公示期限不得少于15个工作日。</w:t>
      </w:r>
    </w:p>
    <w:p w14:paraId="085B9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3.1.8</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物业管理人应每年定期组织对服务质量情况、工作标准执行情况、实施效果进行检查。检查时可邀请业主、社区居委会、街道办事处（乡镇人民政府）的代表参加。</w:t>
      </w:r>
    </w:p>
    <w:p w14:paraId="063C8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3.1.9</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物业服务合同双方就物业服务质量等有关问题发生争议，可选择以下途径解决：</w:t>
      </w:r>
    </w:p>
    <w:p w14:paraId="4CB44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当事人协商和解；</w:t>
      </w:r>
    </w:p>
    <w:p w14:paraId="53DA51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当事人请求社区居委会、街道办事处（乡镇人民政府）或</w:t>
      </w:r>
    </w:p>
    <w:p w14:paraId="4A399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政府房地产主管部门等机构调解；</w:t>
      </w:r>
    </w:p>
    <w:p w14:paraId="1F369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仲裁或诉讼。</w:t>
      </w:r>
    </w:p>
    <w:p w14:paraId="6713A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3.2 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物业服务人员</w:t>
      </w:r>
    </w:p>
    <w:p w14:paraId="6D7D68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B086B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3.2.1 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物业项目负责人应符合以下要求：</w:t>
      </w:r>
    </w:p>
    <w:p w14:paraId="69736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一级服务应具有2年以上物业管理人或同等岗位1年以上</w:t>
      </w:r>
    </w:p>
    <w:p w14:paraId="060E19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工作经历；</w:t>
      </w:r>
    </w:p>
    <w:p w14:paraId="680C6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二级服务应具有3年以上物业管理人或同等岗位2年以上</w:t>
      </w:r>
    </w:p>
    <w:p w14:paraId="13B793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工作经历；</w:t>
      </w:r>
    </w:p>
    <w:p w14:paraId="697FF6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三级服务应具有4年以上物业管理人或同等岗位3年以上</w:t>
      </w:r>
    </w:p>
    <w:p w14:paraId="4EFE20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工作经历；</w:t>
      </w:r>
    </w:p>
    <w:p w14:paraId="17F5CF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四级服务应具有5年以上物业管理人或同等岗位4年以上</w:t>
      </w:r>
    </w:p>
    <w:p w14:paraId="0EF053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工作经历。</w:t>
      </w:r>
    </w:p>
    <w:p w14:paraId="09BB0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3.2.2</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根据物业管理区域的服务项目、服务内容、服务标准、房屋建筑面积和有关硬件配套设施，以及物业管理人的技术装备和管理水平，配备相应数量的物业服务人员。有专业技术要求和特殊岗位的物业服务人员，应取得相应职业资格和专业技术职称。其他物业服务人员应经相应的岗位培训，持证上岗。物业服务人员具体配备数量可参考表</w:t>
      </w:r>
      <w:r>
        <w:rPr>
          <w:rFonts w:hint="default" w:ascii="Times New Roman" w:hAnsi="Times New Roman" w:cs="Times New Roman"/>
          <w:i w:val="0"/>
          <w:iCs w:val="0"/>
          <w:caps w:val="0"/>
          <w:color w:val="333333"/>
          <w:spacing w:val="0"/>
          <w:sz w:val="21"/>
          <w:szCs w:val="21"/>
          <w:bdr w:val="none" w:color="auto" w:sz="0" w:space="0"/>
          <w:shd w:val="clear" w:fill="FFFFFF"/>
          <w:vertAlign w:val="baseline"/>
        </w:rPr>
        <w:t>3.2.2</w:t>
      </w:r>
      <w:r>
        <w:rPr>
          <w:rFonts w:hint="eastAsia" w:ascii="宋体" w:hAnsi="宋体" w:eastAsia="宋体" w:cs="宋体"/>
          <w:i w:val="0"/>
          <w:iCs w:val="0"/>
          <w:caps w:val="0"/>
          <w:color w:val="333333"/>
          <w:spacing w:val="0"/>
          <w:sz w:val="21"/>
          <w:szCs w:val="21"/>
          <w:bdr w:val="none" w:color="auto" w:sz="0" w:space="0"/>
          <w:shd w:val="clear" w:fill="FFFFFF"/>
          <w:vertAlign w:val="baseline"/>
        </w:rPr>
        <w:t>确定。</w:t>
      </w:r>
    </w:p>
    <w:p w14:paraId="76E80D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18"/>
          <w:szCs w:val="18"/>
          <w:bdr w:val="none" w:color="auto" w:sz="0" w:space="0"/>
          <w:shd w:val="clear" w:fill="FFFFFF"/>
          <w:vertAlign w:val="baseline"/>
        </w:rPr>
        <w:t>表3.2.2 </w:t>
      </w:r>
      <w:r>
        <w:rPr>
          <w:rFonts w:hint="eastAsia" w:ascii="宋体" w:hAnsi="宋体" w:eastAsia="宋体" w:cs="宋体"/>
          <w:i w:val="0"/>
          <w:iCs w:val="0"/>
          <w:caps w:val="0"/>
          <w:color w:val="333333"/>
          <w:spacing w:val="0"/>
          <w:sz w:val="18"/>
          <w:szCs w:val="18"/>
          <w:bdr w:val="none" w:color="auto" w:sz="0" w:space="0"/>
          <w:shd w:val="clear" w:fill="FFFFFF"/>
          <w:vertAlign w:val="baseline"/>
        </w:rPr>
        <w:t> </w:t>
      </w:r>
      <w:r>
        <w:rPr>
          <w:rFonts w:hint="eastAsia" w:ascii="黑体" w:hAnsi="宋体" w:eastAsia="黑体" w:cs="黑体"/>
          <w:i w:val="0"/>
          <w:iCs w:val="0"/>
          <w:caps w:val="0"/>
          <w:color w:val="333333"/>
          <w:spacing w:val="0"/>
          <w:sz w:val="18"/>
          <w:szCs w:val="18"/>
          <w:bdr w:val="none" w:color="auto" w:sz="0" w:space="0"/>
          <w:shd w:val="clear" w:fill="FFFFFF"/>
          <w:vertAlign w:val="baseline"/>
        </w:rPr>
        <w:t>物业服务人员配置数量参考表</w:t>
      </w:r>
    </w:p>
    <w:tbl>
      <w:tblPr>
        <w:tblW w:w="616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55"/>
        <w:gridCol w:w="2056"/>
        <w:gridCol w:w="2056"/>
      </w:tblGrid>
      <w:tr w14:paraId="5CFC6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14:paraId="5D141D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服务等级</w:t>
            </w:r>
          </w:p>
        </w:tc>
        <w:tc>
          <w:tcPr>
            <w:tcW w:w="2056" w:type="dxa"/>
            <w:tcBorders>
              <w:top w:val="single" w:color="auto" w:sz="12" w:space="0"/>
              <w:left w:val="nil"/>
              <w:bottom w:val="single" w:color="auto" w:sz="6" w:space="0"/>
              <w:right w:val="single" w:color="auto" w:sz="6" w:space="0"/>
            </w:tcBorders>
            <w:shd w:val="clear"/>
            <w:tcMar>
              <w:left w:w="108" w:type="dxa"/>
              <w:right w:w="108" w:type="dxa"/>
            </w:tcMar>
            <w:vAlign w:val="center"/>
          </w:tcPr>
          <w:p w14:paraId="26ECB7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住宅物业管理区域建筑面积</w:t>
            </w:r>
          </w:p>
          <w:p w14:paraId="605B83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（万平方米）</w:t>
            </w:r>
          </w:p>
        </w:tc>
        <w:tc>
          <w:tcPr>
            <w:tcW w:w="2056" w:type="dxa"/>
            <w:tcBorders>
              <w:top w:val="single" w:color="auto" w:sz="12" w:space="0"/>
              <w:left w:val="nil"/>
              <w:bottom w:val="single" w:color="auto" w:sz="6" w:space="0"/>
              <w:right w:val="single" w:color="auto" w:sz="12" w:space="0"/>
            </w:tcBorders>
            <w:shd w:val="clear"/>
            <w:tcMar>
              <w:left w:w="108" w:type="dxa"/>
              <w:right w:w="108" w:type="dxa"/>
            </w:tcMar>
            <w:vAlign w:val="center"/>
          </w:tcPr>
          <w:p w14:paraId="672981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服务人员</w:t>
            </w:r>
          </w:p>
          <w:p w14:paraId="2C16C2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(人/万平方米)</w:t>
            </w:r>
          </w:p>
        </w:tc>
      </w:tr>
      <w:tr w14:paraId="60B06F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5" w:hRule="atLeast"/>
        </w:trPr>
        <w:tc>
          <w:tcPr>
            <w:tcW w:w="2055" w:type="dxa"/>
            <w:vMerge w:val="restart"/>
            <w:tcBorders>
              <w:top w:val="nil"/>
              <w:left w:val="single" w:color="auto" w:sz="12" w:space="0"/>
              <w:bottom w:val="single" w:color="auto" w:sz="6" w:space="0"/>
              <w:right w:val="single" w:color="auto" w:sz="6" w:space="0"/>
            </w:tcBorders>
            <w:shd w:val="clear"/>
            <w:tcMar>
              <w:left w:w="108" w:type="dxa"/>
              <w:right w:w="108" w:type="dxa"/>
            </w:tcMar>
            <w:vAlign w:val="center"/>
          </w:tcPr>
          <w:p w14:paraId="442D5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一级服务</w:t>
            </w: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797B64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5以下</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0BFA1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3～3.5</w:t>
            </w:r>
          </w:p>
        </w:tc>
      </w:tr>
      <w:tr w14:paraId="691450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39D41B94">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3D5021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5～10</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4D4B49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2.5～3</w:t>
            </w:r>
          </w:p>
        </w:tc>
      </w:tr>
      <w:tr w14:paraId="01A224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7DF30E76">
            <w:pPr>
              <w:rPr>
                <w:rFonts w:hint="default" w:ascii="Times New Roman" w:hAnsi="Times New Roman" w:cs="Times New Roman"/>
                <w:sz w:val="20"/>
                <w:szCs w:val="20"/>
              </w:rPr>
            </w:pPr>
          </w:p>
        </w:tc>
        <w:tc>
          <w:tcPr>
            <w:tcW w:w="2056" w:type="dxa"/>
            <w:tcBorders>
              <w:top w:val="nil"/>
              <w:left w:val="nil"/>
              <w:bottom w:val="single" w:color="auto" w:sz="12" w:space="0"/>
              <w:right w:val="single" w:color="auto" w:sz="6" w:space="0"/>
            </w:tcBorders>
            <w:shd w:val="clear"/>
            <w:tcMar>
              <w:left w:w="108" w:type="dxa"/>
              <w:right w:w="108" w:type="dxa"/>
            </w:tcMar>
            <w:vAlign w:val="top"/>
          </w:tcPr>
          <w:p w14:paraId="250B0F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10～15</w:t>
            </w:r>
          </w:p>
        </w:tc>
        <w:tc>
          <w:tcPr>
            <w:tcW w:w="2056" w:type="dxa"/>
            <w:tcBorders>
              <w:top w:val="nil"/>
              <w:left w:val="nil"/>
              <w:bottom w:val="single" w:color="auto" w:sz="12" w:space="0"/>
              <w:right w:val="single" w:color="auto" w:sz="12" w:space="0"/>
            </w:tcBorders>
            <w:shd w:val="clear"/>
            <w:tcMar>
              <w:left w:w="108" w:type="dxa"/>
              <w:right w:w="108" w:type="dxa"/>
            </w:tcMar>
            <w:vAlign w:val="top"/>
          </w:tcPr>
          <w:p w14:paraId="3C547C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2～2.5</w:t>
            </w:r>
          </w:p>
        </w:tc>
      </w:tr>
    </w:tbl>
    <w:p w14:paraId="158F10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18"/>
          <w:szCs w:val="18"/>
          <w:bdr w:val="none" w:color="auto" w:sz="0" w:space="0"/>
          <w:shd w:val="clear" w:fill="FFFFFF"/>
          <w:vertAlign w:val="baseline"/>
        </w:rPr>
        <w:t>续表3.2.2</w:t>
      </w:r>
    </w:p>
    <w:tbl>
      <w:tblPr>
        <w:tblW w:w="6167"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055"/>
        <w:gridCol w:w="2056"/>
        <w:gridCol w:w="2056"/>
      </w:tblGrid>
      <w:tr w14:paraId="2F0E29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tcBorders>
              <w:top w:val="single" w:color="auto" w:sz="12" w:space="0"/>
              <w:left w:val="single" w:color="auto" w:sz="12" w:space="0"/>
              <w:bottom w:val="single" w:color="auto" w:sz="6" w:space="0"/>
              <w:right w:val="single" w:color="auto" w:sz="6" w:space="0"/>
            </w:tcBorders>
            <w:shd w:val="clear"/>
            <w:tcMar>
              <w:left w:w="108" w:type="dxa"/>
              <w:right w:w="108" w:type="dxa"/>
            </w:tcMar>
            <w:vAlign w:val="center"/>
          </w:tcPr>
          <w:p w14:paraId="3E83BD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服务等级</w:t>
            </w:r>
          </w:p>
        </w:tc>
        <w:tc>
          <w:tcPr>
            <w:tcW w:w="2056" w:type="dxa"/>
            <w:tcBorders>
              <w:top w:val="single" w:color="auto" w:sz="12" w:space="0"/>
              <w:left w:val="nil"/>
              <w:bottom w:val="single" w:color="auto" w:sz="6" w:space="0"/>
              <w:right w:val="single" w:color="auto" w:sz="6" w:space="0"/>
            </w:tcBorders>
            <w:shd w:val="clear"/>
            <w:tcMar>
              <w:left w:w="108" w:type="dxa"/>
              <w:right w:w="108" w:type="dxa"/>
            </w:tcMar>
            <w:vAlign w:val="center"/>
          </w:tcPr>
          <w:p w14:paraId="154304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住宅物业管理区域建筑面积</w:t>
            </w:r>
          </w:p>
          <w:p w14:paraId="617D3B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（万平方米）</w:t>
            </w:r>
          </w:p>
        </w:tc>
        <w:tc>
          <w:tcPr>
            <w:tcW w:w="2056" w:type="dxa"/>
            <w:tcBorders>
              <w:top w:val="single" w:color="auto" w:sz="12" w:space="0"/>
              <w:left w:val="nil"/>
              <w:bottom w:val="single" w:color="auto" w:sz="6" w:space="0"/>
              <w:right w:val="single" w:color="auto" w:sz="12" w:space="0"/>
            </w:tcBorders>
            <w:shd w:val="clear"/>
            <w:tcMar>
              <w:left w:w="108" w:type="dxa"/>
              <w:right w:w="108" w:type="dxa"/>
            </w:tcMar>
            <w:vAlign w:val="center"/>
          </w:tcPr>
          <w:p w14:paraId="60E31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服务人员</w:t>
            </w:r>
          </w:p>
          <w:p w14:paraId="6A0D57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(人/万平方米)</w:t>
            </w:r>
          </w:p>
        </w:tc>
      </w:tr>
      <w:tr w14:paraId="0E44E9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restart"/>
            <w:tcBorders>
              <w:top w:val="nil"/>
              <w:left w:val="single" w:color="auto" w:sz="12" w:space="0"/>
              <w:bottom w:val="single" w:color="auto" w:sz="6" w:space="0"/>
              <w:right w:val="single" w:color="auto" w:sz="6" w:space="0"/>
            </w:tcBorders>
            <w:shd w:val="clear"/>
            <w:tcMar>
              <w:left w:w="108" w:type="dxa"/>
              <w:right w:w="108" w:type="dxa"/>
            </w:tcMar>
            <w:vAlign w:val="center"/>
          </w:tcPr>
          <w:p w14:paraId="73B2A8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一级服务</w:t>
            </w: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611255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15～25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5C882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1.5～2</w:t>
            </w:r>
          </w:p>
        </w:tc>
      </w:tr>
      <w:tr w14:paraId="03BEF7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1A76ECBE">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2A8B50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25以上</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6C2CFD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w:t>
            </w:r>
          </w:p>
        </w:tc>
      </w:tr>
      <w:tr w14:paraId="0EA4A3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restart"/>
            <w:tcBorders>
              <w:top w:val="nil"/>
              <w:left w:val="single" w:color="auto" w:sz="12" w:space="0"/>
              <w:bottom w:val="single" w:color="auto" w:sz="6" w:space="0"/>
              <w:right w:val="single" w:color="auto" w:sz="6" w:space="0"/>
            </w:tcBorders>
            <w:shd w:val="clear"/>
            <w:tcMar>
              <w:left w:w="108" w:type="dxa"/>
              <w:right w:w="108" w:type="dxa"/>
            </w:tcMar>
            <w:vAlign w:val="center"/>
          </w:tcPr>
          <w:p w14:paraId="713CEE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二级服务</w:t>
            </w: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7A070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5以下</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62FDED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4～4.5</w:t>
            </w:r>
          </w:p>
        </w:tc>
      </w:tr>
      <w:tr w14:paraId="052186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67B76AF6">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59C99D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5～10</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506F87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3.5～4</w:t>
            </w:r>
          </w:p>
        </w:tc>
      </w:tr>
      <w:tr w14:paraId="49839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701E95D0">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63C7D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 10～15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13AA68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3～3.5</w:t>
            </w:r>
          </w:p>
        </w:tc>
      </w:tr>
      <w:tr w14:paraId="6E8203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27C00D31">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7823BD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15～25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42B456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2.5～3</w:t>
            </w:r>
          </w:p>
        </w:tc>
      </w:tr>
      <w:tr w14:paraId="69A776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7CE49277">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top"/>
          </w:tcPr>
          <w:p w14:paraId="6D7536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25以上</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6D09DD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w:t>
            </w:r>
          </w:p>
        </w:tc>
      </w:tr>
      <w:tr w14:paraId="65ABE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restart"/>
            <w:tcBorders>
              <w:top w:val="nil"/>
              <w:left w:val="single" w:color="auto" w:sz="12" w:space="0"/>
              <w:bottom w:val="single" w:color="auto" w:sz="6" w:space="0"/>
              <w:right w:val="single" w:color="auto" w:sz="6" w:space="0"/>
            </w:tcBorders>
            <w:shd w:val="clear"/>
            <w:tcMar>
              <w:left w:w="108" w:type="dxa"/>
              <w:right w:w="108" w:type="dxa"/>
            </w:tcMar>
            <w:vAlign w:val="center"/>
          </w:tcPr>
          <w:p w14:paraId="0DE6E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三级服务</w:t>
            </w: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7B2062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5以下</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1CE758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5～5.5</w:t>
            </w:r>
          </w:p>
        </w:tc>
      </w:tr>
      <w:tr w14:paraId="0BCC70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5AAA6014">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4CFC14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5～10</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2DBA5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4.5～5</w:t>
            </w:r>
          </w:p>
        </w:tc>
      </w:tr>
      <w:tr w14:paraId="513D7C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21D6B212">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160324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10～15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7EFE9B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4～4.5</w:t>
            </w:r>
          </w:p>
        </w:tc>
      </w:tr>
      <w:tr w14:paraId="448306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67C3A0D5">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53DC9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15～25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78BBD0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3.5～4</w:t>
            </w:r>
          </w:p>
        </w:tc>
      </w:tr>
      <w:tr w14:paraId="513933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577D7BD7">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676728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25以上</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2FF55B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3.5</w:t>
            </w:r>
          </w:p>
        </w:tc>
      </w:tr>
      <w:tr w14:paraId="198674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2055" w:type="dxa"/>
            <w:vMerge w:val="restart"/>
            <w:tcBorders>
              <w:top w:val="nil"/>
              <w:left w:val="single" w:color="auto" w:sz="12" w:space="0"/>
              <w:bottom w:val="single" w:color="auto" w:sz="6" w:space="0"/>
              <w:right w:val="single" w:color="auto" w:sz="6" w:space="0"/>
            </w:tcBorders>
            <w:shd w:val="clear"/>
            <w:tcMar>
              <w:left w:w="108" w:type="dxa"/>
              <w:right w:w="108" w:type="dxa"/>
            </w:tcMar>
            <w:vAlign w:val="center"/>
          </w:tcPr>
          <w:p w14:paraId="6B33F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四级服务</w:t>
            </w: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6B777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5以下</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7A690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6～6.5</w:t>
            </w:r>
          </w:p>
        </w:tc>
      </w:tr>
      <w:tr w14:paraId="6A0174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2999E669">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1727F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5～10</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46F95A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5.5～6</w:t>
            </w:r>
          </w:p>
        </w:tc>
      </w:tr>
      <w:tr w14:paraId="52A7E9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7B0C2AE2">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0B5116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10～15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49B125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5～5.5</w:t>
            </w:r>
          </w:p>
        </w:tc>
      </w:tr>
      <w:tr w14:paraId="52758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74851388">
            <w:pPr>
              <w:rPr>
                <w:rFonts w:hint="default" w:ascii="Times New Roman" w:hAnsi="Times New Roman" w:cs="Times New Roman"/>
                <w:sz w:val="20"/>
                <w:szCs w:val="20"/>
              </w:rPr>
            </w:pPr>
          </w:p>
        </w:tc>
        <w:tc>
          <w:tcPr>
            <w:tcW w:w="2056" w:type="dxa"/>
            <w:tcBorders>
              <w:top w:val="nil"/>
              <w:left w:val="nil"/>
              <w:bottom w:val="single" w:color="auto" w:sz="6" w:space="0"/>
              <w:right w:val="single" w:color="auto" w:sz="6" w:space="0"/>
            </w:tcBorders>
            <w:shd w:val="clear"/>
            <w:tcMar>
              <w:left w:w="108" w:type="dxa"/>
              <w:right w:w="108" w:type="dxa"/>
            </w:tcMar>
            <w:vAlign w:val="center"/>
          </w:tcPr>
          <w:p w14:paraId="69A5BA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15～25</w:t>
            </w:r>
          </w:p>
        </w:tc>
        <w:tc>
          <w:tcPr>
            <w:tcW w:w="2056" w:type="dxa"/>
            <w:tcBorders>
              <w:top w:val="nil"/>
              <w:left w:val="nil"/>
              <w:bottom w:val="single" w:color="auto" w:sz="6" w:space="0"/>
              <w:right w:val="single" w:color="auto" w:sz="12" w:space="0"/>
            </w:tcBorders>
            <w:shd w:val="clear"/>
            <w:tcMar>
              <w:left w:w="108" w:type="dxa"/>
              <w:right w:w="108" w:type="dxa"/>
            </w:tcMar>
            <w:vAlign w:val="top"/>
          </w:tcPr>
          <w:p w14:paraId="0C828B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4.5～5</w:t>
            </w:r>
          </w:p>
        </w:tc>
      </w:tr>
      <w:tr w14:paraId="0B091C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2055" w:type="dxa"/>
            <w:vMerge w:val="continue"/>
            <w:tcBorders>
              <w:top w:val="nil"/>
              <w:left w:val="single" w:color="auto" w:sz="12" w:space="0"/>
              <w:bottom w:val="single" w:color="auto" w:sz="6" w:space="0"/>
              <w:right w:val="single" w:color="auto" w:sz="6" w:space="0"/>
            </w:tcBorders>
            <w:shd w:val="clear"/>
            <w:tcMar>
              <w:left w:w="108" w:type="dxa"/>
              <w:right w:w="108" w:type="dxa"/>
            </w:tcMar>
            <w:vAlign w:val="center"/>
          </w:tcPr>
          <w:p w14:paraId="0CE93974">
            <w:pPr>
              <w:rPr>
                <w:rFonts w:hint="default" w:ascii="Times New Roman" w:hAnsi="Times New Roman" w:cs="Times New Roman"/>
                <w:sz w:val="20"/>
                <w:szCs w:val="20"/>
              </w:rPr>
            </w:pPr>
          </w:p>
        </w:tc>
        <w:tc>
          <w:tcPr>
            <w:tcW w:w="2056" w:type="dxa"/>
            <w:tcBorders>
              <w:top w:val="nil"/>
              <w:left w:val="nil"/>
              <w:bottom w:val="single" w:color="auto" w:sz="12" w:space="0"/>
              <w:right w:val="single" w:color="auto" w:sz="6" w:space="0"/>
            </w:tcBorders>
            <w:shd w:val="clear"/>
            <w:tcMar>
              <w:left w:w="108" w:type="dxa"/>
              <w:right w:w="108" w:type="dxa"/>
            </w:tcMar>
            <w:vAlign w:val="center"/>
          </w:tcPr>
          <w:p w14:paraId="73574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25以上</w:t>
            </w:r>
          </w:p>
        </w:tc>
        <w:tc>
          <w:tcPr>
            <w:tcW w:w="2056" w:type="dxa"/>
            <w:tcBorders>
              <w:top w:val="nil"/>
              <w:left w:val="nil"/>
              <w:bottom w:val="single" w:color="auto" w:sz="12" w:space="0"/>
              <w:right w:val="single" w:color="auto" w:sz="12" w:space="0"/>
            </w:tcBorders>
            <w:shd w:val="clear"/>
            <w:tcMar>
              <w:left w:w="108" w:type="dxa"/>
              <w:right w:w="108" w:type="dxa"/>
            </w:tcMar>
            <w:vAlign w:val="top"/>
          </w:tcPr>
          <w:p w14:paraId="7A2BA3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baseline"/>
              <w:rPr>
                <w:rFonts w:hint="default" w:ascii="Arial" w:hAnsi="Arial" w:cs="Arial"/>
                <w:color w:val="000000"/>
                <w:sz w:val="24"/>
                <w:szCs w:val="24"/>
              </w:rPr>
            </w:pPr>
            <w:r>
              <w:rPr>
                <w:rFonts w:hint="eastAsia" w:ascii="宋体" w:hAnsi="宋体" w:eastAsia="宋体" w:cs="宋体"/>
                <w:color w:val="000000"/>
                <w:sz w:val="18"/>
                <w:szCs w:val="18"/>
                <w:bdr w:val="none" w:color="auto" w:sz="0" w:space="0"/>
                <w:vertAlign w:val="baseline"/>
              </w:rPr>
              <w:t>4.5</w:t>
            </w:r>
          </w:p>
        </w:tc>
      </w:tr>
    </w:tbl>
    <w:p w14:paraId="7DC3A5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3.2.3 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物业服务人员应统一着装，佩戴统一标志，配备必要装备，服务意识强，服务主动热情，行为语言规范，熟悉和掌握本岗位的服务内容、服务标准和操作技能。</w:t>
      </w:r>
    </w:p>
    <w:p w14:paraId="651AD6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3.3 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基本服务</w:t>
      </w:r>
    </w:p>
    <w:p w14:paraId="556B73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1695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3.3.1  </w:t>
      </w:r>
      <w:r>
        <w:rPr>
          <w:rFonts w:hint="eastAsia" w:ascii="宋体" w:hAnsi="宋体" w:eastAsia="宋体" w:cs="宋体"/>
          <w:i w:val="0"/>
          <w:iCs w:val="0"/>
          <w:caps w:val="0"/>
          <w:color w:val="333333"/>
          <w:spacing w:val="0"/>
          <w:sz w:val="21"/>
          <w:szCs w:val="21"/>
          <w:bdr w:val="none" w:color="auto" w:sz="0" w:space="0"/>
          <w:shd w:val="clear" w:fill="FFFFFF"/>
          <w:vertAlign w:val="baseline"/>
        </w:rPr>
        <w:t>对于物业服务合同确定的共用部位、共用设施设备，物业服务与被服务双方应按照规定进行查验并签订承接查验协议，建立共用部位、共用设施设备档案资料。</w:t>
      </w:r>
    </w:p>
    <w:p w14:paraId="31ADC9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3.3.2 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物业管理区域主出入口应设有居住区平面示意图，主要路口设有路标，各组团、栋、单元（门）、户和公共配套设施、场地有明显标识。</w:t>
      </w:r>
    </w:p>
    <w:p w14:paraId="75DDC9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3.3.3 </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物业管理区域业主信息管理资料档案，应运用信息化管理。资料应包括业主的姓名、房屋产权情况、房屋用途、联系电话、紧急联系人等。除依法配合执法部门调查外，未经业主同意，不得将资料信息内容作其他用途。</w:t>
      </w:r>
    </w:p>
    <w:p w14:paraId="01E46B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3.3.4 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设置客户服务场所，公示物业服务企业备案信息，项目负责人和物业服务人员姓名、岗位和照片，物业服务收费标准和服务标准。在公共区域显著位置公示24小时受理报修和投诉服务电话，设置值班人员。业主来电、来访、咨询、报修、投诉等意见和建议应有受理记录。</w:t>
      </w:r>
    </w:p>
    <w:p w14:paraId="7483C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3.3.5</w:t>
      </w:r>
      <w:r>
        <w:rPr>
          <w:rFonts w:hint="eastAsia" w:ascii="宋体" w:hAnsi="宋体" w:eastAsia="宋体" w:cs="宋体"/>
          <w:i w:val="0"/>
          <w:iCs w:val="0"/>
          <w:caps w:val="0"/>
          <w:color w:val="333333"/>
          <w:spacing w:val="0"/>
          <w:sz w:val="21"/>
          <w:szCs w:val="21"/>
          <w:bdr w:val="none" w:color="auto" w:sz="0" w:space="0"/>
          <w:shd w:val="clear" w:fill="FFFFFF"/>
          <w:vertAlign w:val="baseline"/>
        </w:rPr>
        <w:t>  客户服务场所应整洁有序，配置必要的办公设备，并公示特约服务、专项服务的服务项目和收费标准。</w:t>
      </w:r>
    </w:p>
    <w:p w14:paraId="3935B6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3.3.6 </w:t>
      </w:r>
      <w:r>
        <w:rPr>
          <w:rFonts w:hint="eastAsia" w:ascii="宋体" w:hAnsi="宋体" w:eastAsia="宋体" w:cs="宋体"/>
          <w:i w:val="0"/>
          <w:iCs w:val="0"/>
          <w:caps w:val="0"/>
          <w:color w:val="333333"/>
          <w:spacing w:val="0"/>
          <w:sz w:val="21"/>
          <w:szCs w:val="21"/>
          <w:bdr w:val="none" w:color="auto" w:sz="0" w:space="0"/>
          <w:shd w:val="clear" w:fill="FFFFFF"/>
          <w:vertAlign w:val="baseline"/>
        </w:rPr>
        <w:t> 客户服务场所工作日期间应有物业服务人员接待业主，其他时间应设值班人员。客户服务场所工作时间应符合下列规定：</w:t>
      </w:r>
    </w:p>
    <w:p w14:paraId="4814C4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一级服务工作日不少于8小时，节假日值班应按合同约定；</w:t>
      </w:r>
    </w:p>
    <w:p w14:paraId="647328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二级服务工作日不少于8小时，节假日应有人值班；</w:t>
      </w:r>
    </w:p>
    <w:p w14:paraId="4A82A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三级服务工作日不少于10小时，节假日不少于4小时；</w:t>
      </w:r>
    </w:p>
    <w:p w14:paraId="10158E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四级服务工作日不少于12小时，节假日不少于8小时。</w:t>
      </w:r>
    </w:p>
    <w:p w14:paraId="3503D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3.3.7</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报修、维修记录台帐。紧急维修项目一、二级物业服务应在30分钟内到达现场；三、四级物业服务应在20分钟内到达现场，并采取必要的处理措施。其它维修应按合同或双方约定的时限到达现场，采取相关处理措施。紧急维修后回访检查应达到100%，一般维修后回访率一、二级服务应达到60%以上，三、四级服务应达到80%以上。</w:t>
      </w:r>
    </w:p>
    <w:p w14:paraId="424582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3.3.8 </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业主提出的意见、建议和投诉应及时答复，并对答复满意情况进行回访。答复和回访率应符合下列规定：</w:t>
      </w:r>
    </w:p>
    <w:p w14:paraId="23B169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一级服务应在2个工作日内答复，回访率达到70%以上；</w:t>
      </w:r>
    </w:p>
    <w:p w14:paraId="30F5A4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二级服务应在2个工作日内答复，回访率达到80%以上；</w:t>
      </w:r>
    </w:p>
    <w:p w14:paraId="53E78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三级服务应在1个工作日内答复，回访率达到90%以上；</w:t>
      </w:r>
    </w:p>
    <w:p w14:paraId="5B60D2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四级服务应在1个工作日内答复，回访率达到100%。</w:t>
      </w:r>
    </w:p>
    <w:p w14:paraId="21001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3.3.9</w:t>
      </w:r>
      <w:r>
        <w:rPr>
          <w:rFonts w:hint="eastAsia" w:ascii="宋体" w:hAnsi="宋体" w:eastAsia="宋体" w:cs="宋体"/>
          <w:i w:val="0"/>
          <w:iCs w:val="0"/>
          <w:caps w:val="0"/>
          <w:color w:val="333333"/>
          <w:spacing w:val="0"/>
          <w:sz w:val="21"/>
          <w:szCs w:val="21"/>
          <w:bdr w:val="none" w:color="auto" w:sz="0" w:space="0"/>
          <w:shd w:val="clear" w:fill="FFFFFF"/>
          <w:vertAlign w:val="baseline"/>
        </w:rPr>
        <w:t>  对物业管理区域内违反治安、规划、环保和管理规约（临时管理规约）等方面的行为，应及时劝阻或制止，并向相关主管部门报告，也可依据管理规约（临时管理规约）等约定提起诉讼。</w:t>
      </w:r>
    </w:p>
    <w:p w14:paraId="579E8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3.3.10 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在公共区域应设置公共信息栏和意见箱，公共信息栏每月应更新一次。每年向业主公开征集物业服务意见，并公示建议意见与解决情况。积极配合街道办事处（乡镇人民政府）、社区居委会组织文化活动、公益性宣传和便民活动。</w:t>
      </w:r>
    </w:p>
    <w:p w14:paraId="261A47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3.3.11 </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建立突发事件应急预案体系，配备必要的应急物资、器材和设施设备，保证正常使用并建档备查。设立求助与报警电话，24小时有人值守。有紧急救护组织，对突发事件能做出快速、正确的反应。</w:t>
      </w:r>
      <w:r>
        <w:rPr>
          <w:rFonts w:hint="eastAsia" w:ascii="黑体" w:hAnsi="宋体" w:eastAsia="黑体" w:cs="黑体"/>
          <w:b w:val="0"/>
          <w:bCs w:val="0"/>
          <w:i w:val="0"/>
          <w:iCs w:val="0"/>
          <w:caps w:val="0"/>
          <w:color w:val="333333"/>
          <w:spacing w:val="0"/>
          <w:sz w:val="21"/>
          <w:szCs w:val="21"/>
          <w:bdr w:val="none" w:color="auto" w:sz="0" w:space="0"/>
          <w:shd w:val="clear" w:fill="FFFFFF"/>
          <w:vertAlign w:val="baseline"/>
        </w:rPr>
        <w:t>发生重大传染病疫情、群体性不明原因疾病、重大食物和职业中毒以及其他严重影响公众健康的公共卫生事件，配合街道、社区开展群防群治、联防联治，按照有关标准、规范，做好物业管理区域内的消毒消杀，落实各项公共卫生措施。</w:t>
      </w:r>
    </w:p>
    <w:p w14:paraId="74775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3.3.12</w:t>
      </w:r>
      <w:r>
        <w:rPr>
          <w:rFonts w:hint="eastAsia" w:ascii="宋体" w:hAnsi="宋体" w:eastAsia="宋体" w:cs="宋体"/>
          <w:i w:val="0"/>
          <w:iCs w:val="0"/>
          <w:caps w:val="0"/>
          <w:color w:val="333333"/>
          <w:spacing w:val="0"/>
          <w:sz w:val="21"/>
          <w:szCs w:val="21"/>
          <w:bdr w:val="none" w:color="auto" w:sz="0" w:space="0"/>
          <w:shd w:val="clear" w:fill="FFFFFF"/>
          <w:vertAlign w:val="baseline"/>
        </w:rPr>
        <w:t>  协助相关部门定期进行突发事件应急反应演练。高层住宅按消防要求组织进行疏散演习，掌握基本技能和防火、灭火知识以及器材的正确使用方法，提高自防自救能力。</w:t>
      </w:r>
    </w:p>
    <w:p w14:paraId="1C9C9C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3.3.13 </w:t>
      </w:r>
      <w:r>
        <w:rPr>
          <w:rFonts w:hint="eastAsia" w:ascii="宋体" w:hAnsi="宋体" w:eastAsia="宋体" w:cs="宋体"/>
          <w:i w:val="0"/>
          <w:iCs w:val="0"/>
          <w:caps w:val="0"/>
          <w:color w:val="333333"/>
          <w:spacing w:val="0"/>
          <w:sz w:val="21"/>
          <w:szCs w:val="21"/>
          <w:bdr w:val="none" w:color="auto" w:sz="0" w:space="0"/>
          <w:shd w:val="clear" w:fill="FFFFFF"/>
          <w:vertAlign w:val="baseline"/>
        </w:rPr>
        <w:t> 涉及业主正常生活的重要物业服务事项，非物业管理人原因造成的，应在获知信息后30分钟内在小区主要出入口张贴通知，履行告知义务。</w:t>
      </w:r>
    </w:p>
    <w:p w14:paraId="51B73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3.3.14 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物业管理人例行正常维修、养护的，造成相关设施设备和相关场地暂时无法使用的，应提前3天告知影响的范围和时间，采取措施，减少影响。</w:t>
      </w:r>
    </w:p>
    <w:p w14:paraId="14FF07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3.3.15</w:t>
      </w:r>
      <w:r>
        <w:rPr>
          <w:rFonts w:hint="eastAsia" w:ascii="宋体" w:hAnsi="宋体" w:eastAsia="宋体" w:cs="宋体"/>
          <w:i w:val="0"/>
          <w:iCs w:val="0"/>
          <w:caps w:val="0"/>
          <w:color w:val="333333"/>
          <w:spacing w:val="0"/>
          <w:sz w:val="21"/>
          <w:szCs w:val="21"/>
          <w:bdr w:val="none" w:color="auto" w:sz="0" w:space="0"/>
          <w:shd w:val="clear" w:fill="FFFFFF"/>
          <w:vertAlign w:val="baseline"/>
        </w:rPr>
        <w:t>  各类档案资料齐全完整，合理分类，成册管理，查阅方便；及时变更登记资料，账物相符。</w:t>
      </w:r>
    </w:p>
    <w:p w14:paraId="4753C0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3.3.16</w:t>
      </w:r>
      <w:r>
        <w:rPr>
          <w:rFonts w:hint="eastAsia" w:ascii="宋体" w:hAnsi="宋体" w:eastAsia="宋体" w:cs="宋体"/>
          <w:i w:val="0"/>
          <w:iCs w:val="0"/>
          <w:caps w:val="0"/>
          <w:color w:val="333333"/>
          <w:spacing w:val="0"/>
          <w:sz w:val="21"/>
          <w:szCs w:val="21"/>
          <w:bdr w:val="none" w:color="auto" w:sz="0" w:space="0"/>
          <w:shd w:val="clear" w:fill="FFFFFF"/>
          <w:vertAlign w:val="baseline"/>
        </w:rPr>
        <w:t>  共用设施设备运行、维修、养护，公共秩序、绿化养护、环境卫生等日常服务工作情况应进行记录、存档。</w:t>
      </w:r>
    </w:p>
    <w:p w14:paraId="4B1272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46D25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59327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D2B1B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80D41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A481D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0A83A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2AABF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E5EFE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24CB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6559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30492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A6A9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7C3D2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4  公共秩序</w:t>
      </w:r>
    </w:p>
    <w:p w14:paraId="4398A9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8560E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4F6A7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F5DCB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4.1.1 </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建立秩序维护管理制度，制定突发事件应急预案，并在显著位置公示。</w:t>
      </w:r>
    </w:p>
    <w:p w14:paraId="4D6F4A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4.1.2  </w:t>
      </w:r>
      <w:r>
        <w:rPr>
          <w:rFonts w:hint="eastAsia" w:ascii="宋体" w:hAnsi="宋体" w:eastAsia="宋体" w:cs="宋体"/>
          <w:i w:val="0"/>
          <w:iCs w:val="0"/>
          <w:caps w:val="0"/>
          <w:color w:val="333333"/>
          <w:spacing w:val="0"/>
          <w:sz w:val="21"/>
          <w:szCs w:val="21"/>
          <w:bdr w:val="none" w:color="auto" w:sz="0" w:space="0"/>
          <w:shd w:val="clear" w:fill="FFFFFF"/>
          <w:vertAlign w:val="baseline"/>
        </w:rPr>
        <w:t>秩序维护人员着装统一或标识明显，应配备必要的应急装备和工具。</w:t>
      </w:r>
    </w:p>
    <w:p w14:paraId="180BE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4.1.3</w:t>
      </w:r>
      <w:r>
        <w:rPr>
          <w:rFonts w:hint="eastAsia" w:ascii="宋体" w:hAnsi="宋体" w:eastAsia="宋体" w:cs="宋体"/>
          <w:i w:val="0"/>
          <w:iCs w:val="0"/>
          <w:caps w:val="0"/>
          <w:color w:val="333333"/>
          <w:spacing w:val="0"/>
          <w:sz w:val="21"/>
          <w:szCs w:val="21"/>
          <w:bdr w:val="none" w:color="auto" w:sz="0" w:space="0"/>
          <w:shd w:val="clear" w:fill="FFFFFF"/>
          <w:vertAlign w:val="baseline"/>
        </w:rPr>
        <w:t>  主出入口设施完好、标识醒目，及时发现和处理不安全隐患，建立完整的秩序维护人员资料档案。</w:t>
      </w:r>
    </w:p>
    <w:p w14:paraId="7C805A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4.1.4 </w:t>
      </w:r>
      <w:r>
        <w:rPr>
          <w:rFonts w:hint="eastAsia" w:ascii="宋体" w:hAnsi="宋体" w:eastAsia="宋体" w:cs="宋体"/>
          <w:i w:val="0"/>
          <w:iCs w:val="0"/>
          <w:caps w:val="0"/>
          <w:color w:val="333333"/>
          <w:spacing w:val="0"/>
          <w:sz w:val="21"/>
          <w:szCs w:val="21"/>
          <w:bdr w:val="none" w:color="auto" w:sz="0" w:space="0"/>
          <w:shd w:val="clear" w:fill="FFFFFF"/>
          <w:vertAlign w:val="baseline"/>
        </w:rPr>
        <w:t> 秩序维护人员应掌握公共秩序维护技能，熟悉相关法律法规和物业管理区域环境，能恰当处理和应对秩序维护工作，劝告或制止所有影响正常生活秩序的行为。</w:t>
      </w:r>
    </w:p>
    <w:p w14:paraId="2CC5DB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4.1.5 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物业管理区域出现危及安全区域，应设有明显警示标志和防护措施。</w:t>
      </w:r>
    </w:p>
    <w:p w14:paraId="3D937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4.1.6 </w:t>
      </w:r>
      <w:r>
        <w:rPr>
          <w:rFonts w:hint="eastAsia" w:ascii="宋体" w:hAnsi="宋体" w:eastAsia="宋体" w:cs="宋体"/>
          <w:i w:val="0"/>
          <w:iCs w:val="0"/>
          <w:caps w:val="0"/>
          <w:color w:val="333333"/>
          <w:spacing w:val="0"/>
          <w:sz w:val="21"/>
          <w:szCs w:val="21"/>
          <w:bdr w:val="none" w:color="auto" w:sz="0" w:space="0"/>
          <w:shd w:val="clear" w:fill="FFFFFF"/>
          <w:vertAlign w:val="baseline"/>
        </w:rPr>
        <w:t> 对机动车辆进出物业管理区域实施管理。大宗物品进出实行人员和车辆识别并做好记录。</w:t>
      </w:r>
    </w:p>
    <w:p w14:paraId="2A651C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4.1.7  </w:t>
      </w:r>
      <w:r>
        <w:rPr>
          <w:rFonts w:hint="eastAsia" w:ascii="宋体" w:hAnsi="宋体" w:eastAsia="宋体" w:cs="宋体"/>
          <w:i w:val="0"/>
          <w:iCs w:val="0"/>
          <w:caps w:val="0"/>
          <w:color w:val="333333"/>
          <w:spacing w:val="0"/>
          <w:sz w:val="21"/>
          <w:szCs w:val="21"/>
          <w:bdr w:val="none" w:color="auto" w:sz="0" w:space="0"/>
          <w:shd w:val="clear" w:fill="FFFFFF"/>
          <w:vertAlign w:val="baseline"/>
        </w:rPr>
        <w:t>巡视检查停车场，维护道路、场地使用秩序。及时进行车辆疏导。</w:t>
      </w:r>
    </w:p>
    <w:p w14:paraId="13205B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4.1.8 </w:t>
      </w:r>
      <w:r>
        <w:rPr>
          <w:rFonts w:hint="eastAsia" w:ascii="宋体" w:hAnsi="宋体" w:eastAsia="宋体" w:cs="宋体"/>
          <w:i w:val="0"/>
          <w:iCs w:val="0"/>
          <w:caps w:val="0"/>
          <w:color w:val="333333"/>
          <w:spacing w:val="0"/>
          <w:sz w:val="21"/>
          <w:szCs w:val="21"/>
          <w:bdr w:val="none" w:color="auto" w:sz="0" w:space="0"/>
          <w:shd w:val="clear" w:fill="FFFFFF"/>
          <w:vertAlign w:val="baseline"/>
        </w:rPr>
        <w:t> 依法履行相关职责，对违法行为立即报警，协助相关部门处理。</w:t>
      </w:r>
    </w:p>
    <w:p w14:paraId="7F46A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4.1.9 </w:t>
      </w:r>
      <w:r>
        <w:rPr>
          <w:rFonts w:hint="eastAsia" w:ascii="宋体" w:hAnsi="宋体" w:eastAsia="宋体" w:cs="宋体"/>
          <w:i w:val="0"/>
          <w:iCs w:val="0"/>
          <w:caps w:val="0"/>
          <w:color w:val="333333"/>
          <w:spacing w:val="0"/>
          <w:sz w:val="21"/>
          <w:szCs w:val="21"/>
          <w:bdr w:val="none" w:color="auto" w:sz="0" w:space="0"/>
          <w:shd w:val="clear" w:fill="FFFFFF"/>
          <w:vertAlign w:val="baseline"/>
        </w:rPr>
        <w:t> 各项工作记录完整有效，档案齐全，查阅方便。</w:t>
      </w:r>
    </w:p>
    <w:p w14:paraId="3C0F00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CE61F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5CCB9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483E9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1CC4A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4.2.1 </w:t>
      </w:r>
      <w:r>
        <w:rPr>
          <w:rFonts w:hint="eastAsia" w:ascii="宋体" w:hAnsi="宋体" w:eastAsia="宋体" w:cs="宋体"/>
          <w:i w:val="0"/>
          <w:iCs w:val="0"/>
          <w:caps w:val="0"/>
          <w:color w:val="333333"/>
          <w:spacing w:val="0"/>
          <w:sz w:val="21"/>
          <w:szCs w:val="21"/>
          <w:bdr w:val="none" w:color="auto" w:sz="0" w:space="0"/>
          <w:shd w:val="clear" w:fill="FFFFFF"/>
          <w:vertAlign w:val="baseline"/>
        </w:rPr>
        <w:t> 主要出入口有专人值守，人员配置、值守时间符合下列规定：</w:t>
      </w:r>
    </w:p>
    <w:p w14:paraId="579827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一级服务人员配置及值守时间按物业服务合同约定执行；</w:t>
      </w:r>
    </w:p>
    <w:p w14:paraId="1BCBBE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二级服务人员配置每班不少于1人，24小时值守；</w:t>
      </w:r>
    </w:p>
    <w:p w14:paraId="4F598D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三级服务人员配置每班不少于2人，24小时值守；</w:t>
      </w:r>
    </w:p>
    <w:p w14:paraId="562BE4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四级服务人员配置每班不少于2人，24小时值守，配有备</w:t>
      </w:r>
    </w:p>
    <w:p w14:paraId="76459C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勤人员。</w:t>
      </w:r>
    </w:p>
    <w:p w14:paraId="7E1AB0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4.2.2 </w:t>
      </w:r>
      <w:r>
        <w:rPr>
          <w:rFonts w:hint="eastAsia" w:ascii="宋体" w:hAnsi="宋体" w:eastAsia="宋体" w:cs="宋体"/>
          <w:i w:val="0"/>
          <w:iCs w:val="0"/>
          <w:caps w:val="0"/>
          <w:color w:val="333333"/>
          <w:spacing w:val="0"/>
          <w:sz w:val="21"/>
          <w:szCs w:val="21"/>
          <w:bdr w:val="none" w:color="auto" w:sz="0" w:space="0"/>
          <w:shd w:val="clear" w:fill="FFFFFF"/>
          <w:vertAlign w:val="baseline"/>
        </w:rPr>
        <w:t> 安防控制室应设专人24小时值守。监控影像资料、报警记录应留存30日备查。监控覆盖率、设备完好率符合下列规定：</w:t>
      </w:r>
    </w:p>
    <w:p w14:paraId="4B279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一级服务监控覆盖率达50%以上，设备完好率达60%以上；</w:t>
      </w:r>
    </w:p>
    <w:p w14:paraId="301563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二级服务监控覆盖率达60%以上，设备完好率达70%以上；</w:t>
      </w:r>
    </w:p>
    <w:p w14:paraId="03ED62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三级服务监控覆盖率达70%以上，设备完好率达80%以上；</w:t>
      </w:r>
    </w:p>
    <w:p w14:paraId="67C223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四级服务监控覆盖率达80%以上，设备完好率达90%以上。</w:t>
      </w:r>
    </w:p>
    <w:p w14:paraId="166F20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4.2.3  </w:t>
      </w:r>
      <w:r>
        <w:rPr>
          <w:rFonts w:hint="eastAsia" w:ascii="宋体" w:hAnsi="宋体" w:eastAsia="宋体" w:cs="宋体"/>
          <w:i w:val="0"/>
          <w:iCs w:val="0"/>
          <w:caps w:val="0"/>
          <w:color w:val="333333"/>
          <w:spacing w:val="0"/>
          <w:sz w:val="21"/>
          <w:szCs w:val="21"/>
          <w:bdr w:val="none" w:color="auto" w:sz="0" w:space="0"/>
          <w:shd w:val="clear" w:fill="FFFFFF"/>
          <w:vertAlign w:val="baseline"/>
        </w:rPr>
        <w:t>巡逻值勤应制定计划、路线和内容，重点部位、重点时间以及特殊情况应加强巡逻。巡逻有检查和记录。巡逻值勤频率宜符合下列规定：</w:t>
      </w:r>
    </w:p>
    <w:p w14:paraId="076259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一级服务公共区域白天和夜间巡视各不少于2次；</w:t>
      </w:r>
    </w:p>
    <w:p w14:paraId="37009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二级服务公共区域白天和夜间巡视各不少于3次；</w:t>
      </w:r>
    </w:p>
    <w:p w14:paraId="3910C3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三级服务公共区域白天和夜间巡视各不少于4次；</w:t>
      </w:r>
    </w:p>
    <w:p w14:paraId="62D659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四级服务公共区域白天和夜间巡视各不少于5次。</w:t>
      </w:r>
    </w:p>
    <w:p w14:paraId="25D98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4.2.4 </w:t>
      </w:r>
      <w:r>
        <w:rPr>
          <w:rFonts w:hint="eastAsia" w:ascii="宋体" w:hAnsi="宋体" w:eastAsia="宋体" w:cs="宋体"/>
          <w:i w:val="0"/>
          <w:iCs w:val="0"/>
          <w:caps w:val="0"/>
          <w:color w:val="333333"/>
          <w:spacing w:val="0"/>
          <w:sz w:val="21"/>
          <w:szCs w:val="21"/>
          <w:bdr w:val="none" w:color="auto" w:sz="0" w:space="0"/>
          <w:shd w:val="clear" w:fill="FFFFFF"/>
          <w:vertAlign w:val="baseline"/>
        </w:rPr>
        <w:t> 发生突发事件时，能够做出快速反应，秩序维护人员迅速赶到现场，组织救护有序，防止事态扩大，协助保护现场和证据，尽可能减少破坏和损失程度，并配合相关部门做好善后工作。突发事件应急预案演习应符合下列要求：</w:t>
      </w:r>
    </w:p>
    <w:p w14:paraId="0743E1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一级服务每年不少于1次；</w:t>
      </w:r>
    </w:p>
    <w:p w14:paraId="7090E7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二级服务每年不少于2次；</w:t>
      </w:r>
    </w:p>
    <w:p w14:paraId="541162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三级服务每年不少于3次；</w:t>
      </w:r>
    </w:p>
    <w:p w14:paraId="4799A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四级服务每年不少于4次。</w:t>
      </w:r>
    </w:p>
    <w:p w14:paraId="1DADA7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5B26E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4.3 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消防安全防范</w:t>
      </w:r>
    </w:p>
    <w:p w14:paraId="14AB9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D0514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4.3.1</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建立、落实消防安全责任制，逐级逐岗明确消防安全职责。</w:t>
      </w:r>
    </w:p>
    <w:p w14:paraId="52F44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4.3.2</w:t>
      </w:r>
      <w:r>
        <w:rPr>
          <w:rFonts w:hint="eastAsia" w:ascii="宋体" w:hAnsi="宋体" w:eastAsia="宋体" w:cs="宋体"/>
          <w:i w:val="0"/>
          <w:iCs w:val="0"/>
          <w:caps w:val="0"/>
          <w:color w:val="333333"/>
          <w:spacing w:val="0"/>
          <w:sz w:val="21"/>
          <w:szCs w:val="21"/>
          <w:bdr w:val="none" w:color="auto" w:sz="0" w:space="0"/>
          <w:shd w:val="clear" w:fill="FFFFFF"/>
          <w:vertAlign w:val="baseline"/>
        </w:rPr>
        <w:t>  配备必要的消防器材，相关人员掌握消防基本知识和技能,定期组织消防演练。</w:t>
      </w:r>
    </w:p>
    <w:p w14:paraId="466348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4.3.3  </w:t>
      </w:r>
      <w:r>
        <w:rPr>
          <w:rFonts w:hint="eastAsia" w:ascii="宋体" w:hAnsi="宋体" w:eastAsia="宋体" w:cs="宋体"/>
          <w:i w:val="0"/>
          <w:iCs w:val="0"/>
          <w:caps w:val="0"/>
          <w:color w:val="333333"/>
          <w:spacing w:val="0"/>
          <w:sz w:val="21"/>
          <w:szCs w:val="21"/>
          <w:bdr w:val="none" w:color="auto" w:sz="0" w:space="0"/>
          <w:shd w:val="clear" w:fill="FFFFFF"/>
          <w:vertAlign w:val="baseline"/>
        </w:rPr>
        <w:t>每日消防巡查1次，每月消防检查1次，每年检测1次建筑消防设施；保障疏散通道、安全出口、消防车通道和消防设施、器材符合消防安全要求。</w:t>
      </w:r>
    </w:p>
    <w:p w14:paraId="388420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4.3.4</w:t>
      </w:r>
      <w:r>
        <w:rPr>
          <w:rFonts w:hint="eastAsia" w:ascii="宋体" w:hAnsi="宋体" w:eastAsia="宋体" w:cs="宋体"/>
          <w:i w:val="0"/>
          <w:iCs w:val="0"/>
          <w:caps w:val="0"/>
          <w:color w:val="333333"/>
          <w:spacing w:val="0"/>
          <w:sz w:val="21"/>
          <w:szCs w:val="21"/>
          <w:bdr w:val="none" w:color="auto" w:sz="0" w:space="0"/>
          <w:shd w:val="clear" w:fill="FFFFFF"/>
          <w:vertAlign w:val="baseline"/>
        </w:rPr>
        <w:t>  设置消防安全宣传专栏，组织开展经常性的消防安全宣传教育；每年对员工进行2次消防安全培训。</w:t>
      </w:r>
    </w:p>
    <w:p w14:paraId="5F895C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4.3.5</w:t>
      </w:r>
      <w:r>
        <w:rPr>
          <w:rFonts w:hint="eastAsia" w:ascii="宋体" w:hAnsi="宋体" w:eastAsia="宋体" w:cs="宋体"/>
          <w:i w:val="0"/>
          <w:iCs w:val="0"/>
          <w:caps w:val="0"/>
          <w:color w:val="333333"/>
          <w:spacing w:val="0"/>
          <w:sz w:val="21"/>
          <w:szCs w:val="21"/>
          <w:bdr w:val="none" w:color="auto" w:sz="0" w:space="0"/>
          <w:shd w:val="clear" w:fill="FFFFFF"/>
          <w:vertAlign w:val="baseline"/>
        </w:rPr>
        <w:t>  设有消防控制室的，应设专人值班，每班2人，及时处理各类报警、故障信息。</w:t>
      </w:r>
    </w:p>
    <w:p w14:paraId="61FD59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D1655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0BDD1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CEBFB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7BCA4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E26A1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C17E0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6990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5  环境卫生</w:t>
      </w:r>
    </w:p>
    <w:p w14:paraId="236A11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B0462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5.1 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2589F2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E0358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5.1.1</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物业管理人应制定环境卫生管理规定、环境卫生质量标准、卫生设施维护保养办法、防疫应急预案等规章制度。</w:t>
      </w:r>
    </w:p>
    <w:p w14:paraId="65A332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5.1.2</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建立环境卫生设施资料档案。明确保洁区域，实行保洁责任制。</w:t>
      </w:r>
    </w:p>
    <w:p w14:paraId="79EFD1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5.1.3</w:t>
      </w:r>
      <w:r>
        <w:rPr>
          <w:rFonts w:hint="eastAsia" w:ascii="宋体" w:hAnsi="宋体" w:eastAsia="宋体" w:cs="宋体"/>
          <w:i w:val="0"/>
          <w:iCs w:val="0"/>
          <w:caps w:val="0"/>
          <w:color w:val="333333"/>
          <w:spacing w:val="0"/>
          <w:sz w:val="21"/>
          <w:szCs w:val="21"/>
          <w:bdr w:val="none" w:color="auto" w:sz="0" w:space="0"/>
          <w:shd w:val="clear" w:fill="FFFFFF"/>
          <w:vertAlign w:val="baseline"/>
        </w:rPr>
        <w:t>  公共区域、道路和公共设施设备应保持整洁。保洁措施应结合当地不同季节的气候环境，根据服务等级的规定，制定工作措施。</w:t>
      </w:r>
    </w:p>
    <w:p w14:paraId="571F62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5.1.4</w:t>
      </w:r>
      <w:r>
        <w:rPr>
          <w:rFonts w:hint="eastAsia" w:ascii="宋体" w:hAnsi="宋体" w:eastAsia="宋体" w:cs="宋体"/>
          <w:i w:val="0"/>
          <w:iCs w:val="0"/>
          <w:caps w:val="0"/>
          <w:color w:val="333333"/>
          <w:spacing w:val="0"/>
          <w:sz w:val="21"/>
          <w:szCs w:val="21"/>
          <w:bdr w:val="none" w:color="auto" w:sz="0" w:space="0"/>
          <w:shd w:val="clear" w:fill="FFFFFF"/>
          <w:vertAlign w:val="baseline"/>
        </w:rPr>
        <w:t>  生活垃圾宜分类收集。</w:t>
      </w:r>
    </w:p>
    <w:p w14:paraId="45D31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5.1.5</w:t>
      </w:r>
      <w:r>
        <w:rPr>
          <w:rFonts w:hint="eastAsia" w:ascii="宋体" w:hAnsi="宋体" w:eastAsia="宋体" w:cs="宋体"/>
          <w:i w:val="0"/>
          <w:iCs w:val="0"/>
          <w:caps w:val="0"/>
          <w:color w:val="333333"/>
          <w:spacing w:val="0"/>
          <w:sz w:val="21"/>
          <w:szCs w:val="21"/>
          <w:bdr w:val="none" w:color="auto" w:sz="0" w:space="0"/>
          <w:shd w:val="clear" w:fill="FFFFFF"/>
          <w:vertAlign w:val="baseline"/>
        </w:rPr>
        <w:t>  配置密闭式垃圾收集容器，有分类标志。每天清运 1次生活垃圾到指定的垃圾堆积场所，不得乱堆乱倒。</w:t>
      </w:r>
    </w:p>
    <w:p w14:paraId="01909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5.1.6</w:t>
      </w:r>
      <w:r>
        <w:rPr>
          <w:rFonts w:hint="eastAsia" w:ascii="宋体" w:hAnsi="宋体" w:eastAsia="宋体" w:cs="宋体"/>
          <w:i w:val="0"/>
          <w:iCs w:val="0"/>
          <w:caps w:val="0"/>
          <w:color w:val="333333"/>
          <w:spacing w:val="0"/>
          <w:sz w:val="21"/>
          <w:szCs w:val="21"/>
          <w:bdr w:val="none" w:color="auto" w:sz="0" w:space="0"/>
          <w:shd w:val="clear" w:fill="FFFFFF"/>
          <w:vertAlign w:val="baseline"/>
        </w:rPr>
        <w:t>  配备专用垃圾清运车清运，封闭运输，外观整洁。垃圾不得外露、遗洒。</w:t>
      </w:r>
    </w:p>
    <w:p w14:paraId="484CA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5.1.7</w:t>
      </w:r>
      <w:r>
        <w:rPr>
          <w:rFonts w:hint="eastAsia" w:ascii="宋体" w:hAnsi="宋体" w:eastAsia="宋体" w:cs="宋体"/>
          <w:i w:val="0"/>
          <w:iCs w:val="0"/>
          <w:caps w:val="0"/>
          <w:color w:val="333333"/>
          <w:spacing w:val="0"/>
          <w:sz w:val="21"/>
          <w:szCs w:val="21"/>
          <w:bdr w:val="none" w:color="auto" w:sz="0" w:space="0"/>
          <w:shd w:val="clear" w:fill="FFFFFF"/>
          <w:vertAlign w:val="baseline"/>
        </w:rPr>
        <w:t>  按照有关规定对公共区域进行有害生物预防和控制，如灭鼠、灭蟑、杀虫、消毒活动。投放药物应事先公告，投药点应有显著标识。</w:t>
      </w:r>
    </w:p>
    <w:p w14:paraId="2E042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5.1.8 </w:t>
      </w:r>
      <w:r>
        <w:rPr>
          <w:rFonts w:hint="eastAsia" w:ascii="宋体" w:hAnsi="宋体" w:eastAsia="宋体" w:cs="宋体"/>
          <w:i w:val="0"/>
          <w:iCs w:val="0"/>
          <w:caps w:val="0"/>
          <w:color w:val="333333"/>
          <w:spacing w:val="0"/>
          <w:sz w:val="21"/>
          <w:szCs w:val="21"/>
          <w:bdr w:val="none" w:color="auto" w:sz="0" w:space="0"/>
          <w:shd w:val="clear" w:fill="FFFFFF"/>
          <w:vertAlign w:val="baseline"/>
        </w:rPr>
        <w:t> 每天检查 1次保洁质量，做好记录；每周全面检查1次保洁质量，做好记录；保洁档案齐全。</w:t>
      </w:r>
    </w:p>
    <w:p w14:paraId="7274E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w:t>
      </w:r>
      <w:r>
        <w:rPr>
          <w:rFonts w:hint="default" w:ascii="Times New Roman" w:hAnsi="Times New Roman" w:cs="Times New Roman"/>
          <w:b/>
          <w:bCs/>
          <w:i w:val="0"/>
          <w:iCs w:val="0"/>
          <w:caps w:val="0"/>
          <w:color w:val="333333"/>
          <w:spacing w:val="0"/>
          <w:sz w:val="21"/>
          <w:szCs w:val="21"/>
          <w:bdr w:val="none" w:color="auto" w:sz="0" w:space="0"/>
          <w:shd w:val="clear" w:fill="FFFFFF"/>
          <w:vertAlign w:val="baseline"/>
        </w:rPr>
        <w:t>9  </w:t>
      </w:r>
      <w:r>
        <w:rPr>
          <w:rFonts w:hint="eastAsia" w:ascii="宋体" w:hAnsi="宋体" w:eastAsia="宋体" w:cs="宋体"/>
          <w:i w:val="0"/>
          <w:iCs w:val="0"/>
          <w:caps w:val="0"/>
          <w:color w:val="333333"/>
          <w:spacing w:val="0"/>
          <w:sz w:val="21"/>
          <w:szCs w:val="21"/>
          <w:bdr w:val="none" w:color="auto" w:sz="0" w:space="0"/>
          <w:shd w:val="clear" w:fill="FFFFFF"/>
          <w:vertAlign w:val="baseline"/>
        </w:rPr>
        <w:t>发生</w:t>
      </w:r>
      <w:r>
        <w:rPr>
          <w:rFonts w:hint="eastAsia" w:ascii="黑体" w:hAnsi="宋体" w:eastAsia="黑体" w:cs="黑体"/>
          <w:i w:val="0"/>
          <w:iCs w:val="0"/>
          <w:caps w:val="0"/>
          <w:color w:val="333333"/>
          <w:spacing w:val="0"/>
          <w:sz w:val="21"/>
          <w:szCs w:val="21"/>
          <w:bdr w:val="none" w:color="auto" w:sz="0" w:space="0"/>
          <w:shd w:val="clear" w:fill="FFFFFF"/>
          <w:vertAlign w:val="baseline"/>
        </w:rPr>
        <w:t>突发公共卫生事件，严格落实有关疫情防控技术标准，配合街道、社区做好物业管理区域内疫情防控、应急救援、宣传引导等工作。</w:t>
      </w:r>
    </w:p>
    <w:p w14:paraId="3D201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3CD1C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5.2 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797CC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0092A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5.2.1</w:t>
      </w:r>
      <w:r>
        <w:rPr>
          <w:rFonts w:hint="eastAsia" w:ascii="宋体" w:hAnsi="宋体" w:eastAsia="宋体" w:cs="宋体"/>
          <w:i w:val="0"/>
          <w:iCs w:val="0"/>
          <w:caps w:val="0"/>
          <w:color w:val="333333"/>
          <w:spacing w:val="0"/>
          <w:sz w:val="21"/>
          <w:szCs w:val="21"/>
          <w:bdr w:val="none" w:color="auto" w:sz="0" w:space="0"/>
          <w:shd w:val="clear" w:fill="FFFFFF"/>
          <w:vertAlign w:val="baseline"/>
        </w:rPr>
        <w:t>  大厅和一层候梯厅保洁应符合下列规定：</w:t>
      </w:r>
    </w:p>
    <w:p w14:paraId="36FF3F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一级服务应每周清扫、清拖1次大堂、一层候梯厅地面；</w:t>
      </w:r>
    </w:p>
    <w:p w14:paraId="4912A3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每季度擦拭1次信报箱；每季度擦拭1次大堂室内玻璃；每季度擦拭 1次大堂、候梯厅墙面；配有家具的，每季度护理1次；</w:t>
      </w:r>
    </w:p>
    <w:p w14:paraId="44085A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二级服务应每三天清扫、清拖1次大堂、一层候梯厅地</w:t>
      </w:r>
    </w:p>
    <w:p w14:paraId="674780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面；每月擦拭 1次信报箱；每月擦拭1次大堂室内玻璃；每月擦拭 1次大堂、候梯厅墙面；配有家具的，每季度护理1次；</w:t>
      </w:r>
    </w:p>
    <w:p w14:paraId="4AA810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三级服务应每两天清扫、清拖1次大堂、一层候梯厅地</w:t>
      </w:r>
    </w:p>
    <w:p w14:paraId="2C5F16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面；每周擦拭 1次信报箱；每周擦拭1次大堂室内玻璃；每月擦拭 1次大堂、候梯厅墙面；配有家具的，隔月护理1次；</w:t>
      </w:r>
    </w:p>
    <w:p w14:paraId="56651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四级服务应每天清扫、清拖1次大堂、一层候梯厅地面；</w:t>
      </w:r>
    </w:p>
    <w:p w14:paraId="23A51A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每天擦拭 1次信报箱；每周擦拭1次大堂室内玻璃；每周擦拭 1次大堂、候梯厅墙面；配有家具的，每月护理1次。</w:t>
      </w:r>
    </w:p>
    <w:p w14:paraId="7460CB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5.2.2</w:t>
      </w:r>
      <w:r>
        <w:rPr>
          <w:rFonts w:hint="eastAsia" w:ascii="宋体" w:hAnsi="宋体" w:eastAsia="宋体" w:cs="宋体"/>
          <w:i w:val="0"/>
          <w:iCs w:val="0"/>
          <w:caps w:val="0"/>
          <w:color w:val="333333"/>
          <w:spacing w:val="0"/>
          <w:sz w:val="21"/>
          <w:szCs w:val="21"/>
          <w:bdr w:val="none" w:color="auto" w:sz="0" w:space="0"/>
          <w:shd w:val="clear" w:fill="FFFFFF"/>
          <w:vertAlign w:val="baseline"/>
        </w:rPr>
        <w:t>  楼道、楼梯保洁应符合下列规定：</w:t>
      </w:r>
    </w:p>
    <w:p w14:paraId="02882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一级服务应每周清扫1次楼道、楼梯地面，门窗玻璃和</w:t>
      </w:r>
    </w:p>
    <w:p w14:paraId="4DE27A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灯具每年除尘、擦拭1次，按合同约定清拖楼地面，擦拭楼梯扶手、栏杆、窗台、防火门、消火栓、指示牌等共用设施；</w:t>
      </w:r>
    </w:p>
    <w:p w14:paraId="6B15F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二级服务应每三天清扫并每周清拖 1次楼道、楼梯地面；</w:t>
      </w:r>
    </w:p>
    <w:p w14:paraId="19434F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每半月擦拭1次楼梯扶手、栏杆、窗台、防火门、消火栓、指示牌等共用设施。门窗玻璃和灯具每半年除尘、擦拭1次。</w:t>
      </w:r>
    </w:p>
    <w:p w14:paraId="2600A4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三级服务应每两天清扫，每周清拖 2次楼道、楼梯地面；</w:t>
      </w:r>
    </w:p>
    <w:p w14:paraId="60774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每周擦拭1次楼梯扶手、栏杆、窗台、防火门、消火栓、指示牌等共用设施。门窗玻璃和灯具每季度除尘、擦拭1次。隔日巡视保洁1次楼道、楼梯；</w:t>
      </w:r>
    </w:p>
    <w:p w14:paraId="327DD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四级服务应每天清扫并每两天清拖 1次楼道、楼梯地面；</w:t>
      </w:r>
    </w:p>
    <w:p w14:paraId="080098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每天擦拭1次楼梯扶手、栏杆、窗台、防火门、消火栓、指示牌等共用设施。门窗玻璃和灯具每月除尘、擦拭1次。根据地面材质，定期做地面清洗、养护。每天巡视保洁1次楼道、楼梯。</w:t>
      </w:r>
    </w:p>
    <w:p w14:paraId="11CB6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5.2.3 </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电梯轿箱保洁应符合下列规定：</w:t>
      </w:r>
    </w:p>
    <w:p w14:paraId="0C9E5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一级服务应按合同约定进行保洁；</w:t>
      </w:r>
    </w:p>
    <w:p w14:paraId="2B7E88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二级服务应每三天擦拭 1次电梯轿厢门、面板，每三天</w:t>
      </w:r>
    </w:p>
    <w:p w14:paraId="557071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清拖 1次轿厢地面。不锈钢或其他材料装饰的电梯轿厢，每季度护理1次；石材装饰的电梯轿厢，每半年养护 1次；</w:t>
      </w:r>
    </w:p>
    <w:p w14:paraId="2D2005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三级服务应每两天擦拭 1次电梯轿厢门、面板，每两天</w:t>
      </w:r>
    </w:p>
    <w:p w14:paraId="066D34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清拖 1次轿厢地面。不锈钢或其他材料装饰的电梯轿厢，每月护理1次；石材装饰的电梯轿厢，每季度养护 1次；</w:t>
      </w:r>
    </w:p>
    <w:p w14:paraId="37EF61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四级服务应每天擦拭 1次电梯轿厢门、面板，每天清拖 1</w:t>
      </w:r>
    </w:p>
    <w:p w14:paraId="2E3CA5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次轿厢地面。不锈钢或其他材料装饰的电梯轿厢，每半月护理1次；石材装饰的电梯轿厢，每月养护1次。</w:t>
      </w:r>
    </w:p>
    <w:p w14:paraId="7370EB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5.2.4</w:t>
      </w:r>
      <w:r>
        <w:rPr>
          <w:rFonts w:hint="eastAsia" w:ascii="宋体" w:hAnsi="宋体" w:eastAsia="宋体" w:cs="宋体"/>
          <w:i w:val="0"/>
          <w:iCs w:val="0"/>
          <w:caps w:val="0"/>
          <w:color w:val="333333"/>
          <w:spacing w:val="0"/>
          <w:sz w:val="21"/>
          <w:szCs w:val="21"/>
          <w:bdr w:val="none" w:color="auto" w:sz="0" w:space="0"/>
          <w:shd w:val="clear" w:fill="FFFFFF"/>
          <w:vertAlign w:val="baseline"/>
        </w:rPr>
        <w:t>  天台、上人屋面保洁应符合下列规定：</w:t>
      </w:r>
    </w:p>
    <w:p w14:paraId="7125A3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一级服务应每年清理1次天台、屋面；</w:t>
      </w:r>
    </w:p>
    <w:p w14:paraId="45BCE8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二级服务应每半年清理1次天台、屋面；冬季降雪前，</w:t>
      </w:r>
    </w:p>
    <w:p w14:paraId="29C127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清理1次天台、屋面；</w:t>
      </w:r>
    </w:p>
    <w:p w14:paraId="7BACBC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三级服务应每季度清理1次天台、屋面；冬季降雪前，</w:t>
      </w:r>
    </w:p>
    <w:p w14:paraId="0EE100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清理1次天台、屋面；</w:t>
      </w:r>
    </w:p>
    <w:p w14:paraId="745187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四级服务应每月清理1次天台、屋面；冬季降雪前，清</w:t>
      </w:r>
    </w:p>
    <w:p w14:paraId="6DD335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理1次天台、屋面。</w:t>
      </w:r>
    </w:p>
    <w:p w14:paraId="78854E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5.2.5 </w:t>
      </w:r>
      <w:r>
        <w:rPr>
          <w:rFonts w:hint="eastAsia" w:ascii="宋体" w:hAnsi="宋体" w:eastAsia="宋体" w:cs="宋体"/>
          <w:i w:val="0"/>
          <w:iCs w:val="0"/>
          <w:caps w:val="0"/>
          <w:color w:val="333333"/>
          <w:spacing w:val="0"/>
          <w:sz w:val="21"/>
          <w:szCs w:val="21"/>
          <w:bdr w:val="none" w:color="auto" w:sz="0" w:space="0"/>
          <w:shd w:val="clear" w:fill="FFFFFF"/>
          <w:vertAlign w:val="baseline"/>
        </w:rPr>
        <w:t> 道路及交通设施保洁应符合下列规定：</w:t>
      </w:r>
    </w:p>
    <w:p w14:paraId="2345CF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一级服务每周清扫1次、巡视保洁 1次楼外道路。每半</w:t>
      </w:r>
    </w:p>
    <w:p w14:paraId="18F8B0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年保洁 1次楼外公共照明及共用设施；每年保洁 1次雨蓬、门头等；</w:t>
      </w:r>
    </w:p>
    <w:p w14:paraId="66FEB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二级服务每3天清扫1次、巡视保洁 1次楼外道路。每</w:t>
      </w:r>
    </w:p>
    <w:p w14:paraId="4C97D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季度保洁 1次楼外公共照明及共用设施；每半年保洁 1次雨蓬、门头等；</w:t>
      </w:r>
    </w:p>
    <w:p w14:paraId="2F0B3E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三级服务每2天清扫1次、巡视保洁1次楼外道路。每</w:t>
      </w:r>
    </w:p>
    <w:p w14:paraId="669988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月保洁 1次楼外公共照明及共用设施；每季度保洁 1次雨蓬、门头等；</w:t>
      </w:r>
    </w:p>
    <w:p w14:paraId="1A4DBE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四级服务每天清扫1次、巡视保洁2次楼外道路。每半</w:t>
      </w:r>
    </w:p>
    <w:p w14:paraId="72D829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月保洁 1次楼外公共照明及共用设施；每月保洁 1次雨蓬、门头等。</w:t>
      </w:r>
    </w:p>
    <w:p w14:paraId="36B3FD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5.2.6</w:t>
      </w:r>
      <w:r>
        <w:rPr>
          <w:rFonts w:hint="eastAsia" w:ascii="宋体" w:hAnsi="宋体" w:eastAsia="宋体" w:cs="宋体"/>
          <w:i w:val="0"/>
          <w:iCs w:val="0"/>
          <w:caps w:val="0"/>
          <w:color w:val="333333"/>
          <w:spacing w:val="0"/>
          <w:sz w:val="21"/>
          <w:szCs w:val="21"/>
          <w:bdr w:val="none" w:color="auto" w:sz="0" w:space="0"/>
          <w:shd w:val="clear" w:fill="FFFFFF"/>
          <w:vertAlign w:val="baseline"/>
        </w:rPr>
        <w:t>  绿地保洁应符合下列规定：</w:t>
      </w:r>
    </w:p>
    <w:p w14:paraId="45E1BA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一级服务绿地内每日保洁不少于1次；</w:t>
      </w:r>
    </w:p>
    <w:p w14:paraId="0CB65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二级服务绿地内每日保洁不少于2次；</w:t>
      </w:r>
    </w:p>
    <w:p w14:paraId="6B4114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三级服务绿地内无明显垃圾杂物，每日保洁不少于3次；</w:t>
      </w:r>
    </w:p>
    <w:p w14:paraId="6A25A8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四级服务绿地内无果皮、纸屑、烟头等垃圾杂物，每日</w:t>
      </w:r>
    </w:p>
    <w:p w14:paraId="5C25E1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保洁不少于4次。</w:t>
      </w:r>
    </w:p>
    <w:p w14:paraId="413C24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5.2.7 </w:t>
      </w:r>
      <w:r>
        <w:rPr>
          <w:rFonts w:hint="eastAsia" w:ascii="宋体" w:hAnsi="宋体" w:eastAsia="宋体" w:cs="宋体"/>
          <w:i w:val="0"/>
          <w:iCs w:val="0"/>
          <w:caps w:val="0"/>
          <w:color w:val="333333"/>
          <w:spacing w:val="0"/>
          <w:sz w:val="21"/>
          <w:szCs w:val="21"/>
          <w:bdr w:val="none" w:color="auto" w:sz="0" w:space="0"/>
          <w:shd w:val="clear" w:fill="FFFFFF"/>
          <w:vertAlign w:val="baseline"/>
        </w:rPr>
        <w:t> 雨停后对道路积水进行清扫，雨后4小时道路无成片积水。</w:t>
      </w:r>
    </w:p>
    <w:p w14:paraId="1CBFDB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雪停后及时对居住区道路、小区路、组团路和宅间小路积雪积冰进行清扫。雪停8小时后或12:00前，居住区道路、小区路无积雪、无积冰，组团路和宅间小路方便业主出行。对其它区域积雪积冰的清扫应符合下列规定：</w:t>
      </w:r>
    </w:p>
    <w:p w14:paraId="0BCDFE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一级服务雪停后36小时内无积雪积冰；</w:t>
      </w:r>
    </w:p>
    <w:p w14:paraId="0D5E59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二级服务雪停后30小时内无积雪积冰；</w:t>
      </w:r>
    </w:p>
    <w:p w14:paraId="2562FA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三级服务雪停后24小时内无积雪积冰；</w:t>
      </w:r>
    </w:p>
    <w:p w14:paraId="18725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四级服务雪停后18小时内无积雪积冰。</w:t>
      </w:r>
    </w:p>
    <w:p w14:paraId="66381F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3" w:right="0" w:hanging="843"/>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5.2.8   </w:t>
      </w:r>
      <w:r>
        <w:rPr>
          <w:rFonts w:hint="eastAsia" w:ascii="宋体" w:hAnsi="宋体" w:eastAsia="宋体" w:cs="宋体"/>
          <w:i w:val="0"/>
          <w:iCs w:val="0"/>
          <w:caps w:val="0"/>
          <w:color w:val="333333"/>
          <w:spacing w:val="0"/>
          <w:sz w:val="21"/>
          <w:szCs w:val="21"/>
          <w:bdr w:val="none" w:color="auto" w:sz="0" w:space="0"/>
          <w:shd w:val="clear" w:fill="FFFFFF"/>
          <w:vertAlign w:val="baseline"/>
        </w:rPr>
        <w:t>生活垃圾收集点应满足日常生活和工作中产生的生活垃</w:t>
      </w:r>
    </w:p>
    <w:p w14:paraId="5D2E8B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圾的分类收集要求。生活垃圾收集点的设置位置应方便业主，服务半径不宜超过70m。道路两侧和住宅出入口应设置废物箱。</w:t>
      </w:r>
    </w:p>
    <w:p w14:paraId="64B74F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一级服务垃圾容器（箱、桶）保持外观整洁，按合同约</w:t>
      </w:r>
    </w:p>
    <w:p w14:paraId="15AB8E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定清洗垃圾容器及喷洒杀虫药物；</w:t>
      </w:r>
    </w:p>
    <w:p w14:paraId="1459E7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二级服务垃圾容器（箱、桶）保持外观整洁。每月至少</w:t>
      </w:r>
    </w:p>
    <w:p w14:paraId="22600A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清洗 1次垃圾容器（冬季除外）。蝇、蚊滋生季节每周喷洒 1次杀虫药；</w:t>
      </w:r>
    </w:p>
    <w:p w14:paraId="77AC53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三级服务垃圾容器（箱、桶）保持外观整洁，垃圾收集</w:t>
      </w:r>
    </w:p>
    <w:p w14:paraId="633CE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袋装化。每2周至少清洗 1次垃圾容器（冬季除外）。蝇、蚊滋生季节每周喷洒2次杀虫药；</w:t>
      </w:r>
    </w:p>
    <w:p w14:paraId="65EBB7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四级服务垃圾容器（箱、桶）保持外观整洁，垃圾收集</w:t>
      </w:r>
    </w:p>
    <w:p w14:paraId="6B4C59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袋装化。每周至少清洗 1次垃圾容器（冬季除外）。蝇、蚊滋生季节每天喷洒 1次杀虫药。配有专用垃圾清运车清运垃圾，密闭运输、外观整洁。</w:t>
      </w:r>
    </w:p>
    <w:p w14:paraId="36F485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4FB9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FEE4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FE6BB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6  绿化养护</w:t>
      </w:r>
    </w:p>
    <w:p w14:paraId="666849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6EEA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6.1 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145774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0043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6.1.1 </w:t>
      </w:r>
      <w:r>
        <w:rPr>
          <w:rFonts w:hint="eastAsia" w:ascii="宋体" w:hAnsi="宋体" w:eastAsia="宋体" w:cs="宋体"/>
          <w:i w:val="0"/>
          <w:iCs w:val="0"/>
          <w:caps w:val="0"/>
          <w:color w:val="333333"/>
          <w:spacing w:val="0"/>
          <w:sz w:val="21"/>
          <w:szCs w:val="21"/>
          <w:bdr w:val="none" w:color="auto" w:sz="0" w:space="0"/>
          <w:shd w:val="clear" w:fill="FFFFFF"/>
          <w:vertAlign w:val="baseline"/>
        </w:rPr>
        <w:t> 绿化养护是对园林植物采取灌溉、排涝、修剪、防止病虫害、防寒、支撑、除草、中耕、施肥等技术措施。绿化养护技术管理措施参照XJJ 046执行。</w:t>
      </w:r>
    </w:p>
    <w:p w14:paraId="54908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6.1.2</w:t>
      </w:r>
      <w:r>
        <w:rPr>
          <w:rFonts w:hint="eastAsia" w:ascii="宋体" w:hAnsi="宋体" w:eastAsia="宋体" w:cs="宋体"/>
          <w:i w:val="0"/>
          <w:iCs w:val="0"/>
          <w:caps w:val="0"/>
          <w:color w:val="333333"/>
          <w:spacing w:val="0"/>
          <w:sz w:val="21"/>
          <w:szCs w:val="21"/>
          <w:bdr w:val="none" w:color="auto" w:sz="0" w:space="0"/>
          <w:shd w:val="clear" w:fill="FFFFFF"/>
          <w:vertAlign w:val="baseline"/>
        </w:rPr>
        <w:t>  绿化养护单位应按照服务等级标准要求制定相应的绿化养护管理程序、养护标准、操作规程等管理制度，规范进行绿化养护管理。</w:t>
      </w:r>
    </w:p>
    <w:p w14:paraId="55CFC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6.1.3 </w:t>
      </w:r>
      <w:r>
        <w:rPr>
          <w:rFonts w:hint="eastAsia" w:ascii="宋体" w:hAnsi="宋体" w:eastAsia="宋体" w:cs="宋体"/>
          <w:i w:val="0"/>
          <w:iCs w:val="0"/>
          <w:caps w:val="0"/>
          <w:color w:val="333333"/>
          <w:spacing w:val="0"/>
          <w:sz w:val="21"/>
          <w:szCs w:val="21"/>
          <w:bdr w:val="none" w:color="auto" w:sz="0" w:space="0"/>
          <w:shd w:val="clear" w:fill="FFFFFF"/>
          <w:vertAlign w:val="baseline"/>
        </w:rPr>
        <w:t> 绿化养护人员应具备园林绿化基本知识和养护技能。</w:t>
      </w:r>
    </w:p>
    <w:p w14:paraId="3E7AF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6.1.4</w:t>
      </w:r>
      <w:r>
        <w:rPr>
          <w:rFonts w:hint="eastAsia" w:ascii="宋体" w:hAnsi="宋体" w:eastAsia="宋体" w:cs="宋体"/>
          <w:i w:val="0"/>
          <w:iCs w:val="0"/>
          <w:caps w:val="0"/>
          <w:color w:val="333333"/>
          <w:spacing w:val="0"/>
          <w:sz w:val="21"/>
          <w:szCs w:val="21"/>
          <w:bdr w:val="none" w:color="auto" w:sz="0" w:space="0"/>
          <w:shd w:val="clear" w:fill="FFFFFF"/>
          <w:vertAlign w:val="baseline"/>
        </w:rPr>
        <w:t>  规范建立完整的绿化设施档案及绿化养护管理档案。</w:t>
      </w:r>
    </w:p>
    <w:p w14:paraId="2C0E9E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6.1.5 </w:t>
      </w:r>
      <w:r>
        <w:rPr>
          <w:rFonts w:hint="eastAsia" w:ascii="宋体" w:hAnsi="宋体" w:eastAsia="宋体" w:cs="宋体"/>
          <w:i w:val="0"/>
          <w:iCs w:val="0"/>
          <w:caps w:val="0"/>
          <w:color w:val="333333"/>
          <w:spacing w:val="0"/>
          <w:sz w:val="21"/>
          <w:szCs w:val="21"/>
          <w:bdr w:val="none" w:color="auto" w:sz="0" w:space="0"/>
          <w:shd w:val="clear" w:fill="FFFFFF"/>
          <w:vertAlign w:val="baseline"/>
        </w:rPr>
        <w:t> 对绿化设施、园林小品等定期检查、养护及记录，保持完好。</w:t>
      </w:r>
    </w:p>
    <w:p w14:paraId="1098A9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6.1.6 </w:t>
      </w:r>
      <w:r>
        <w:rPr>
          <w:rFonts w:hint="eastAsia" w:ascii="宋体" w:hAnsi="宋体" w:eastAsia="宋体" w:cs="宋体"/>
          <w:i w:val="0"/>
          <w:iCs w:val="0"/>
          <w:caps w:val="0"/>
          <w:color w:val="333333"/>
          <w:spacing w:val="0"/>
          <w:sz w:val="21"/>
          <w:szCs w:val="21"/>
          <w:bdr w:val="none" w:color="auto" w:sz="0" w:space="0"/>
          <w:shd w:val="clear" w:fill="FFFFFF"/>
          <w:vertAlign w:val="baseline"/>
        </w:rPr>
        <w:t> 绿化作业产生的垃圾和杂物，应随时清理干净。</w:t>
      </w:r>
    </w:p>
    <w:p w14:paraId="2772D7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6.1.7</w:t>
      </w:r>
      <w:r>
        <w:rPr>
          <w:rFonts w:hint="eastAsia" w:ascii="宋体" w:hAnsi="宋体" w:eastAsia="宋体" w:cs="宋体"/>
          <w:i w:val="0"/>
          <w:iCs w:val="0"/>
          <w:caps w:val="0"/>
          <w:color w:val="333333"/>
          <w:spacing w:val="0"/>
          <w:sz w:val="21"/>
          <w:szCs w:val="21"/>
          <w:bdr w:val="none" w:color="auto" w:sz="0" w:space="0"/>
          <w:shd w:val="clear" w:fill="FFFFFF"/>
          <w:vertAlign w:val="baseline"/>
        </w:rPr>
        <w:t>  园林设施完好无损坏；绿化场地设置劝谕告示。</w:t>
      </w:r>
    </w:p>
    <w:p w14:paraId="0086DB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6.1.8</w:t>
      </w:r>
      <w:r>
        <w:rPr>
          <w:rFonts w:hint="eastAsia" w:ascii="宋体" w:hAnsi="宋体" w:eastAsia="宋体" w:cs="宋体"/>
          <w:i w:val="0"/>
          <w:iCs w:val="0"/>
          <w:caps w:val="0"/>
          <w:color w:val="333333"/>
          <w:spacing w:val="0"/>
          <w:sz w:val="21"/>
          <w:szCs w:val="21"/>
          <w:bdr w:val="none" w:color="auto" w:sz="0" w:space="0"/>
          <w:shd w:val="clear" w:fill="FFFFFF"/>
          <w:vertAlign w:val="baseline"/>
        </w:rPr>
        <w:t>  对古树名木和不常见树木进行标志，有养护措施，进行重点保护。</w:t>
      </w:r>
    </w:p>
    <w:p w14:paraId="7D140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3D353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6.2 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79DBD1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04F0D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6.2.1 </w:t>
      </w:r>
      <w:r>
        <w:rPr>
          <w:rFonts w:hint="eastAsia" w:ascii="宋体" w:hAnsi="宋体" w:eastAsia="宋体" w:cs="宋体"/>
          <w:i w:val="0"/>
          <w:iCs w:val="0"/>
          <w:caps w:val="0"/>
          <w:color w:val="333333"/>
          <w:spacing w:val="0"/>
          <w:sz w:val="21"/>
          <w:szCs w:val="21"/>
          <w:bdr w:val="none" w:color="auto" w:sz="0" w:space="0"/>
          <w:shd w:val="clear" w:fill="FFFFFF"/>
          <w:vertAlign w:val="baseline"/>
        </w:rPr>
        <w:t>  绿化养护应符合下列基本要求：</w:t>
      </w:r>
    </w:p>
    <w:p w14:paraId="3546C0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一级服务各类花草树木生长正常；乔、灌木保存率80%</w:t>
      </w:r>
    </w:p>
    <w:p w14:paraId="3B0E85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以上，栽（补）植成活率80%以上，树冠基本正常；古树名木及时填补树干的空洞，每年记录树木生长情况；草坪覆盖率80%以上，生长季节无成片枯黄；绿篱和造型植物死株、断垄不超过20%。</w:t>
      </w:r>
    </w:p>
    <w:p w14:paraId="399FF3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二级服务各类花草树木生长正常；乔、灌木保存率85%</w:t>
      </w:r>
    </w:p>
    <w:p w14:paraId="05654B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以上，栽（补）植成活率应达到85%以上，树冠基本正常；古树名木及时填补树干的空洞，每年记录树木生长情况；花卉种植高矮合理，疏密均匀，残缺病株低于30%；草坪覆盖率85%以上，生长季节无成片枯黄，无明显杂草、斑秃；绿篱和造型植物死株、断垄不超过10%；</w:t>
      </w:r>
    </w:p>
    <w:p w14:paraId="5D096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三级服务各类花草树木生长良好，叶色正常，无明显黄</w:t>
      </w:r>
    </w:p>
    <w:p w14:paraId="38E1C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叶、焦叶；乔、灌木保存率90%以上，栽（补）植成活率90%以上，树冠基本完整，无明显枯死枝；古树名木及时填补树干的空洞，每年记录树木生长情况；花卉种植轮廓清晰，整齐美观，疏密均匀，残缺病株低于20%；草坪覆盖率90%以上，生长良好，生长季节不枯黄，目测无明显杂草、斑秃；绿篱和造型植物无明显死株、断垄；</w:t>
      </w:r>
    </w:p>
    <w:p w14:paraId="790AC7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四级服务各类花草树木生长旺盛，叶色正常，无黄叶、</w:t>
      </w:r>
    </w:p>
    <w:p w14:paraId="132D3F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焦叶；乔、灌木保存率95%以上，栽（补）植成活率95%以上，树冠完整美观，无枯死枝；古树名木生长健壮，及时复壮，记录树木生长情况及养护措施；花卉种植轮廓清晰，整齐美观，高矮搭配合理，疏密均匀，无残缺；草坪覆盖率95%以上，生长旺盛，生长季节不枯黄，美观平整，目测无杂草、斑秃；绿篱和造型植物生长良好，无断垄。</w:t>
      </w:r>
    </w:p>
    <w:p w14:paraId="51F76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6.2.2</w:t>
      </w:r>
      <w:r>
        <w:rPr>
          <w:rFonts w:hint="eastAsia" w:ascii="宋体" w:hAnsi="宋体" w:eastAsia="宋体" w:cs="宋体"/>
          <w:i w:val="0"/>
          <w:iCs w:val="0"/>
          <w:caps w:val="0"/>
          <w:color w:val="333333"/>
          <w:spacing w:val="0"/>
          <w:sz w:val="21"/>
          <w:szCs w:val="21"/>
          <w:bdr w:val="none" w:color="auto" w:sz="0" w:space="0"/>
          <w:shd w:val="clear" w:fill="FFFFFF"/>
          <w:vertAlign w:val="baseline"/>
        </w:rPr>
        <w:t>  修剪应符合下列要求：</w:t>
      </w:r>
    </w:p>
    <w:p w14:paraId="22E86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一级服务定期修剪。草坪、绿篱、造型植物年普修1遍</w:t>
      </w:r>
    </w:p>
    <w:p w14:paraId="4FAED8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以上，草屑及时清理，草高应适度；</w:t>
      </w:r>
    </w:p>
    <w:p w14:paraId="5239D0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二级服务适时修剪，及时摘除枯死枝、黄叶、焦叶。草</w:t>
      </w:r>
    </w:p>
    <w:p w14:paraId="08084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坪、绿篱、造型植物年普修2遍以上。草屑及时清理，草坪常年保持平整、边缘清晰，草高应适度；</w:t>
      </w:r>
    </w:p>
    <w:p w14:paraId="780BD2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三级服务适时修剪，乔、灌木完整。草坪、绿篱、造型</w:t>
      </w:r>
    </w:p>
    <w:p w14:paraId="32531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植物年普修3遍以上。草屑及时清理，草坪常年保持平整、边缘清晰，草高应适度；</w:t>
      </w:r>
    </w:p>
    <w:p w14:paraId="351DA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四级服务适时修剪，乔、灌木树冠整齐美观。草坪、绿</w:t>
      </w:r>
    </w:p>
    <w:p w14:paraId="638536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篱、造型植物年普修4遍以上。草屑及时清理，草坪常年保持平整、边缘清晰，草高应适度。 </w:t>
      </w:r>
    </w:p>
    <w:p w14:paraId="5A61D5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6.2.3</w:t>
      </w:r>
      <w:r>
        <w:rPr>
          <w:rFonts w:hint="eastAsia" w:ascii="宋体" w:hAnsi="宋体" w:eastAsia="宋体" w:cs="宋体"/>
          <w:i w:val="0"/>
          <w:iCs w:val="0"/>
          <w:caps w:val="0"/>
          <w:color w:val="333333"/>
          <w:spacing w:val="0"/>
          <w:sz w:val="21"/>
          <w:szCs w:val="21"/>
          <w:bdr w:val="none" w:color="auto" w:sz="0" w:space="0"/>
          <w:shd w:val="clear" w:fill="FFFFFF"/>
          <w:vertAlign w:val="baseline"/>
        </w:rPr>
        <w:t>  灌溉应符合下列要求：</w:t>
      </w:r>
    </w:p>
    <w:p w14:paraId="6A78C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一级服务要求有绿化灌溉水源，无较明显旱象；及时清</w:t>
      </w:r>
    </w:p>
    <w:p w14:paraId="4BD612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理含融雪剂积雪；</w:t>
      </w:r>
    </w:p>
    <w:p w14:paraId="68F786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二级服务要求有灌溉设施或水源；无旱象发生；及时清</w:t>
      </w:r>
    </w:p>
    <w:p w14:paraId="7B92F1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理含融雪剂积雪；</w:t>
      </w:r>
    </w:p>
    <w:p w14:paraId="4166D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三级服务要求推广中水进行绿化灌溉；灌溉设施完整；</w:t>
      </w:r>
    </w:p>
    <w:p w14:paraId="1D4E3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无旱象发生；入冬前，进行灌溉管网排水；禁止含融雪剂等污染水源进入绿地；</w:t>
      </w:r>
    </w:p>
    <w:p w14:paraId="1CED78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四级服务要求推广中水进行绿化灌溉；灌溉设施完整，</w:t>
      </w:r>
    </w:p>
    <w:p w14:paraId="5DFF99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维修及时，喷洒均匀，无外溢、死角的现象；水量适当，满足植物生长需求，无旱涝现象；入冬前，灌溉管网及时排水，无冻胀、冻裂现象；禁止含融雪剂等污染水源进入绿地。</w:t>
      </w:r>
    </w:p>
    <w:p w14:paraId="1F3BA4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6.2.4 </w:t>
      </w:r>
      <w:r>
        <w:rPr>
          <w:rFonts w:hint="eastAsia" w:ascii="宋体" w:hAnsi="宋体" w:eastAsia="宋体" w:cs="宋体"/>
          <w:i w:val="0"/>
          <w:iCs w:val="0"/>
          <w:caps w:val="0"/>
          <w:color w:val="333333"/>
          <w:spacing w:val="0"/>
          <w:sz w:val="21"/>
          <w:szCs w:val="21"/>
          <w:bdr w:val="none" w:color="auto" w:sz="0" w:space="0"/>
          <w:shd w:val="clear" w:fill="FFFFFF"/>
          <w:vertAlign w:val="baseline"/>
        </w:rPr>
        <w:t> 施肥应符合下列要求：</w:t>
      </w:r>
    </w:p>
    <w:p w14:paraId="629E3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一级服务年普施基肥1遍；</w:t>
      </w:r>
    </w:p>
    <w:p w14:paraId="43A566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二级服务按植物品种、生长状况、土壤条件适时施肥，</w:t>
      </w:r>
    </w:p>
    <w:p w14:paraId="1CCEB3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年普施基肥1遍；</w:t>
      </w:r>
    </w:p>
    <w:p w14:paraId="082B13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三级服务按植物品种、生长状况、土壤条件适时施肥，</w:t>
      </w:r>
    </w:p>
    <w:p w14:paraId="0A4535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年普施基肥1遍，花灌木追肥1遍；</w:t>
      </w:r>
    </w:p>
    <w:p w14:paraId="152DBF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四级服务按植物品种、生长状况、土壤条件，适时、适</w:t>
      </w:r>
    </w:p>
    <w:p w14:paraId="0CA30B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量施肥。年普施基肥不少于1遍，花灌木追肥1遍，满足植物生长需要。</w:t>
      </w:r>
    </w:p>
    <w:p w14:paraId="58CDD5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6.2.5 </w:t>
      </w:r>
      <w:r>
        <w:rPr>
          <w:rFonts w:hint="eastAsia" w:ascii="宋体" w:hAnsi="宋体" w:eastAsia="宋体" w:cs="宋体"/>
          <w:i w:val="0"/>
          <w:iCs w:val="0"/>
          <w:caps w:val="0"/>
          <w:color w:val="333333"/>
          <w:spacing w:val="0"/>
          <w:sz w:val="21"/>
          <w:szCs w:val="21"/>
          <w:bdr w:val="none" w:color="auto" w:sz="0" w:space="0"/>
          <w:shd w:val="clear" w:fill="FFFFFF"/>
          <w:vertAlign w:val="baseline"/>
        </w:rPr>
        <w:t> 中耕、除草、松土宜符合下列要求：</w:t>
      </w:r>
    </w:p>
    <w:p w14:paraId="67D9DE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一级服务中耕除草、疏松表土每年不少于1次，定期拔</w:t>
      </w:r>
    </w:p>
    <w:p w14:paraId="54460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除杂草；</w:t>
      </w:r>
    </w:p>
    <w:p w14:paraId="12EA49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二级服务中耕除草、疏松表土每年不少于2次，及时拔</w:t>
      </w:r>
    </w:p>
    <w:p w14:paraId="142DBA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除影响景观的过长杂草；</w:t>
      </w:r>
    </w:p>
    <w:p w14:paraId="5C324F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三级服务中耕除草、疏松表土每年不少于3次，土壤基</w:t>
      </w:r>
    </w:p>
    <w:p w14:paraId="721C18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本疏松，基本无杂草；</w:t>
      </w:r>
    </w:p>
    <w:p w14:paraId="3197E6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四级服务中耕除草、疏松表土每年4次以上。土壤疏松，</w:t>
      </w:r>
    </w:p>
    <w:p w14:paraId="1EA451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无杂草。</w:t>
      </w:r>
    </w:p>
    <w:p w14:paraId="7A100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6.2.6 </w:t>
      </w:r>
      <w:r>
        <w:rPr>
          <w:rFonts w:hint="eastAsia" w:ascii="宋体" w:hAnsi="宋体" w:eastAsia="宋体" w:cs="宋体"/>
          <w:i w:val="0"/>
          <w:iCs w:val="0"/>
          <w:caps w:val="0"/>
          <w:color w:val="333333"/>
          <w:spacing w:val="0"/>
          <w:sz w:val="21"/>
          <w:szCs w:val="21"/>
          <w:bdr w:val="none" w:color="auto" w:sz="0" w:space="0"/>
          <w:shd w:val="clear" w:fill="FFFFFF"/>
          <w:vertAlign w:val="baseline"/>
        </w:rPr>
        <w:t> 扶正加固应符合下列要求：</w:t>
      </w:r>
    </w:p>
    <w:p w14:paraId="23AFE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一、二级服务采取立支柱、绑扎、加土、扶正、疏枝、</w:t>
      </w:r>
    </w:p>
    <w:p w14:paraId="64698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打地桩等六项综合防护措施，及时扶正加固抢险；</w:t>
      </w:r>
    </w:p>
    <w:p w14:paraId="56FA3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三、四级服务采取立支柱、绑扎、加土、扶正、疏枝、</w:t>
      </w:r>
    </w:p>
    <w:p w14:paraId="34A18E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打地桩等六项综合防护措施，及时扶正加固。易受冻害的树木，冬季采取根际培土、主干包扎等防寒措施。枝叶积雪时及时清除；有倒伏危险的树木应树立支柱支撑保护。</w:t>
      </w:r>
    </w:p>
    <w:p w14:paraId="6CEADE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6.2.7</w:t>
      </w:r>
      <w:r>
        <w:rPr>
          <w:rFonts w:hint="eastAsia" w:ascii="宋体" w:hAnsi="宋体" w:eastAsia="宋体" w:cs="宋体"/>
          <w:i w:val="0"/>
          <w:iCs w:val="0"/>
          <w:caps w:val="0"/>
          <w:color w:val="333333"/>
          <w:spacing w:val="0"/>
          <w:sz w:val="21"/>
          <w:szCs w:val="21"/>
          <w:bdr w:val="none" w:color="auto" w:sz="0" w:space="0"/>
          <w:shd w:val="clear" w:fill="FFFFFF"/>
          <w:vertAlign w:val="baseline"/>
        </w:rPr>
        <w:t>  补植补种应符合下列要求：</w:t>
      </w:r>
    </w:p>
    <w:p w14:paraId="59DDD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一、二级服务树木缺株、草地空秃地段有计划补植补种；</w:t>
      </w:r>
    </w:p>
    <w:p w14:paraId="6680DB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三、四级服务树木缺株尽早补植，行道树无缺株；草地</w:t>
      </w:r>
    </w:p>
    <w:p w14:paraId="678162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空秃地段及时补植。补植的树木，选用原树种，规格相近似；若改变树种或规格宜与原景观相协调。</w:t>
      </w:r>
    </w:p>
    <w:p w14:paraId="08F4FE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6.2.8 </w:t>
      </w:r>
      <w:r>
        <w:rPr>
          <w:rFonts w:hint="eastAsia" w:ascii="宋体" w:hAnsi="宋体" w:eastAsia="宋体" w:cs="宋体"/>
          <w:i w:val="0"/>
          <w:iCs w:val="0"/>
          <w:caps w:val="0"/>
          <w:color w:val="333333"/>
          <w:spacing w:val="0"/>
          <w:sz w:val="21"/>
          <w:szCs w:val="21"/>
          <w:bdr w:val="none" w:color="auto" w:sz="0" w:space="0"/>
          <w:shd w:val="clear" w:fill="FFFFFF"/>
          <w:vertAlign w:val="baseline"/>
        </w:rPr>
        <w:t> 树干涂白应符合下列要求：</w:t>
      </w:r>
    </w:p>
    <w:p w14:paraId="18C9E9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一、二级服务每年春季应对乔木树干涂白1次，涂白高</w:t>
      </w:r>
    </w:p>
    <w:p w14:paraId="027318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度应一致；</w:t>
      </w:r>
    </w:p>
    <w:p w14:paraId="654DCB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三、四级服务每年春、秋两季应对乔木树干各涂白1次，</w:t>
      </w:r>
    </w:p>
    <w:p w14:paraId="5E3CDC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涂白高度应一致。</w:t>
      </w:r>
    </w:p>
    <w:p w14:paraId="6DA87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6.2.9 </w:t>
      </w:r>
      <w:r>
        <w:rPr>
          <w:rFonts w:hint="eastAsia" w:ascii="宋体" w:hAnsi="宋体" w:eastAsia="宋体" w:cs="宋体"/>
          <w:i w:val="0"/>
          <w:iCs w:val="0"/>
          <w:caps w:val="0"/>
          <w:color w:val="333333"/>
          <w:spacing w:val="0"/>
          <w:sz w:val="21"/>
          <w:szCs w:val="21"/>
          <w:bdr w:val="none" w:color="auto" w:sz="0" w:space="0"/>
          <w:shd w:val="clear" w:fill="FFFFFF"/>
          <w:vertAlign w:val="baseline"/>
        </w:rPr>
        <w:t> 有害生物防治应符合下列要求：</w:t>
      </w:r>
    </w:p>
    <w:p w14:paraId="6A4D57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一级服务无较大有害生物危害发生；平均病虫害株数不</w:t>
      </w:r>
    </w:p>
    <w:p w14:paraId="73C2E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超过20%；禁用高毒或强刺激性的农药；喷洒药物时应有告示；</w:t>
      </w:r>
    </w:p>
    <w:p w14:paraId="260C7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二级服务无较大有害生物危害发生；平均病虫害株数不</w:t>
      </w:r>
    </w:p>
    <w:p w14:paraId="68EB99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超过15%；禁用高毒或强刺激性的农药；喷洒药物时应有告示；</w:t>
      </w:r>
    </w:p>
    <w:p w14:paraId="11FF1B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三级服务有防控措施；无明显有害生物危害；平均病虫</w:t>
      </w:r>
    </w:p>
    <w:p w14:paraId="6469E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害株数不超过10%；禁用高毒或强刺激性的农药；喷洒药物时应有告示；</w:t>
      </w:r>
    </w:p>
    <w:p w14:paraId="7135A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四级服务防控措施到位，效果显著；平均病虫害株数不</w:t>
      </w:r>
    </w:p>
    <w:p w14:paraId="18FF3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超过5%；草坪无明显病斑；禁用高毒或强刺激性的农药；喷洒药物时应有告示。</w:t>
      </w:r>
    </w:p>
    <w:p w14:paraId="07F141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5AB2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16BF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2732C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6B6E7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7B405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8B663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185E4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19C9D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7  共用部位和共用设施设备</w:t>
      </w:r>
    </w:p>
    <w:p w14:paraId="7695C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A8549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综合管理</w:t>
      </w:r>
    </w:p>
    <w:p w14:paraId="3FC2D6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6E5BB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7.1.1</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物业管理人应根据房屋实际使用年限、使用状况，对房屋共用部位和设施设备完好状况做出评价。属于大、中修范围或者需要更新改造的，向业主大会或业主委员会提出书面报告与建议。</w:t>
      </w:r>
    </w:p>
    <w:p w14:paraId="1ADA3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7.1.2</w:t>
      </w:r>
      <w:r>
        <w:rPr>
          <w:rFonts w:hint="eastAsia" w:ascii="宋体" w:hAnsi="宋体" w:eastAsia="宋体" w:cs="宋体"/>
          <w:i w:val="0"/>
          <w:iCs w:val="0"/>
          <w:caps w:val="0"/>
          <w:color w:val="333333"/>
          <w:spacing w:val="0"/>
          <w:sz w:val="21"/>
          <w:szCs w:val="21"/>
          <w:bdr w:val="none" w:color="auto" w:sz="0" w:space="0"/>
          <w:shd w:val="clear" w:fill="FFFFFF"/>
          <w:vertAlign w:val="baseline"/>
        </w:rPr>
        <w:t>  发现物业管理区域内违反规划或管理规约（临时管理规约）私搭乱建和擅自改变房屋用途的行为，应及时告知和劝阻，并及时报告有关主管部门。</w:t>
      </w:r>
    </w:p>
    <w:p w14:paraId="3E749E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7.1.3 </w:t>
      </w:r>
      <w:r>
        <w:rPr>
          <w:rFonts w:hint="eastAsia" w:ascii="宋体" w:hAnsi="宋体" w:eastAsia="宋体" w:cs="宋体"/>
          <w:i w:val="0"/>
          <w:iCs w:val="0"/>
          <w:caps w:val="0"/>
          <w:color w:val="333333"/>
          <w:spacing w:val="0"/>
          <w:sz w:val="21"/>
          <w:szCs w:val="21"/>
          <w:bdr w:val="none" w:color="auto" w:sz="0" w:space="0"/>
          <w:shd w:val="clear" w:fill="FFFFFF"/>
          <w:vertAlign w:val="baseline"/>
        </w:rPr>
        <w:t> 每年对整个避雷接地系统进行检查维护，符合避雷规范要求。雷电、强降雨、大风、沙尘暴等极端天气前后应进行重点检查，发现严重腐蚀、松脱等现象，立即更换或紧固，保持避雷系统安全可靠。</w:t>
      </w:r>
    </w:p>
    <w:p w14:paraId="61CE2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7.1.4 </w:t>
      </w:r>
      <w:r>
        <w:rPr>
          <w:rFonts w:hint="eastAsia" w:ascii="宋体" w:hAnsi="宋体" w:eastAsia="宋体" w:cs="宋体"/>
          <w:i w:val="0"/>
          <w:iCs w:val="0"/>
          <w:caps w:val="0"/>
          <w:color w:val="333333"/>
          <w:spacing w:val="0"/>
          <w:sz w:val="21"/>
          <w:szCs w:val="21"/>
          <w:bdr w:val="none" w:color="auto" w:sz="0" w:space="0"/>
          <w:shd w:val="clear" w:fill="FFFFFF"/>
          <w:vertAlign w:val="baseline"/>
        </w:rPr>
        <w:t> 根据特殊情况（如：极端天气、重大活动、业主委员会委托等）需要，安排对共用重点部位和重点设施设备进行针对性检查。检查中应考虑可能对建筑物及其附属构筑物的影响和造成的隐患安全。</w:t>
      </w:r>
    </w:p>
    <w:p w14:paraId="5344D6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7.1.5 </w:t>
      </w:r>
      <w:r>
        <w:rPr>
          <w:rFonts w:hint="eastAsia" w:ascii="宋体" w:hAnsi="宋体" w:eastAsia="宋体" w:cs="宋体"/>
          <w:i w:val="0"/>
          <w:iCs w:val="0"/>
          <w:caps w:val="0"/>
          <w:color w:val="333333"/>
          <w:spacing w:val="0"/>
          <w:sz w:val="21"/>
          <w:szCs w:val="21"/>
          <w:bdr w:val="none" w:color="auto" w:sz="0" w:space="0"/>
          <w:shd w:val="clear" w:fill="FFFFFF"/>
          <w:vertAlign w:val="baseline"/>
        </w:rPr>
        <w:t> 每年宜向业主开放查验一次主要设施设备运行情况。</w:t>
      </w:r>
    </w:p>
    <w:p w14:paraId="68F1AF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7.1.6</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建立并完善房屋及共用设施设备的基础档案，运行、检查、维修养护记录应归档。</w:t>
      </w:r>
    </w:p>
    <w:p w14:paraId="16D7E6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7.1.7</w:t>
      </w:r>
      <w:r>
        <w:rPr>
          <w:rFonts w:hint="eastAsia" w:ascii="宋体" w:hAnsi="宋体" w:eastAsia="宋体" w:cs="宋体"/>
          <w:i w:val="0"/>
          <w:iCs w:val="0"/>
          <w:caps w:val="0"/>
          <w:color w:val="333333"/>
          <w:spacing w:val="0"/>
          <w:sz w:val="21"/>
          <w:szCs w:val="21"/>
          <w:bdr w:val="none" w:color="auto" w:sz="0" w:space="0"/>
          <w:shd w:val="clear" w:fill="FFFFFF"/>
          <w:vertAlign w:val="baseline"/>
        </w:rPr>
        <w:t>  对房屋共用部位和共用设施设备应加强日常管理，并定期进行全面安全普检，普检应符合下列规定：</w:t>
      </w:r>
    </w:p>
    <w:p w14:paraId="5B915C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一级、二级服务每年进行全面安全普检不少于1次；</w:t>
      </w:r>
    </w:p>
    <w:p w14:paraId="2F136D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三级、四级服务每半年进行全面安全普检不少于1次；</w:t>
      </w:r>
    </w:p>
    <w:p w14:paraId="48ADAD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对房屋的屋面和单元雨棚的雨水口每年应在春季的雨季</w:t>
      </w:r>
    </w:p>
    <w:p w14:paraId="19A916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来临前、秋季入冬前进行两次清理，保证管路畅通。</w:t>
      </w:r>
    </w:p>
    <w:p w14:paraId="29870D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7.1.8</w:t>
      </w:r>
      <w:r>
        <w:rPr>
          <w:rFonts w:hint="eastAsia" w:ascii="宋体" w:hAnsi="宋体" w:eastAsia="宋体" w:cs="宋体"/>
          <w:i w:val="0"/>
          <w:iCs w:val="0"/>
          <w:caps w:val="0"/>
          <w:color w:val="333333"/>
          <w:spacing w:val="0"/>
          <w:sz w:val="21"/>
          <w:szCs w:val="21"/>
          <w:bdr w:val="none" w:color="auto" w:sz="0" w:space="0"/>
          <w:shd w:val="clear" w:fill="FFFFFF"/>
          <w:vertAlign w:val="baseline"/>
        </w:rPr>
        <w:t>  对路面、景观、小品、围墙（护栏）、窨井、健身设施、儿童娱乐设施、照明设施、周界报警监视系统等巡视，巡视频率应符合下列规定：</w:t>
      </w:r>
    </w:p>
    <w:p w14:paraId="7538C3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一级服务每月巡视不少于2次；</w:t>
      </w:r>
    </w:p>
    <w:p w14:paraId="6383EB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二级服务每周巡视不少于1次；</w:t>
      </w:r>
    </w:p>
    <w:p w14:paraId="7A9D06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三级服务每周巡视不少于2次；</w:t>
      </w:r>
    </w:p>
    <w:p w14:paraId="3B9DC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四级服务每天巡视不少于1次。</w:t>
      </w:r>
    </w:p>
    <w:p w14:paraId="5A654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7.1.9 </w:t>
      </w:r>
      <w:r>
        <w:rPr>
          <w:rFonts w:hint="eastAsia" w:ascii="宋体" w:hAnsi="宋体" w:eastAsia="宋体" w:cs="宋体"/>
          <w:i w:val="0"/>
          <w:iCs w:val="0"/>
          <w:caps w:val="0"/>
          <w:color w:val="333333"/>
          <w:spacing w:val="0"/>
          <w:sz w:val="21"/>
          <w:szCs w:val="21"/>
          <w:bdr w:val="none" w:color="auto" w:sz="0" w:space="0"/>
          <w:shd w:val="clear" w:fill="FFFFFF"/>
          <w:vertAlign w:val="baseline"/>
        </w:rPr>
        <w:t> 巡视楼内公共部位，保持共用部位的玻璃、门窗配件完好、照明灯具正常使用，做好专项检修，无安全隐患，房屋外观整洁无脱落污迹等。巡视频率应符合下列规定：</w:t>
      </w:r>
    </w:p>
    <w:p w14:paraId="3A7C44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一级服务每月巡视不少于2次；</w:t>
      </w:r>
    </w:p>
    <w:p w14:paraId="310AD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二级服务每周巡视不少于1次；</w:t>
      </w:r>
    </w:p>
    <w:p w14:paraId="5338B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三级服务每周巡视不少于2次；</w:t>
      </w:r>
    </w:p>
    <w:p w14:paraId="547772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四级服务每天巡视不少于1次。</w:t>
      </w:r>
    </w:p>
    <w:p w14:paraId="6B3926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7.1.10 </w:t>
      </w:r>
      <w:r>
        <w:rPr>
          <w:rFonts w:hint="eastAsia" w:ascii="宋体" w:hAnsi="宋体" w:eastAsia="宋体" w:cs="宋体"/>
          <w:i w:val="0"/>
          <w:iCs w:val="0"/>
          <w:caps w:val="0"/>
          <w:color w:val="333333"/>
          <w:spacing w:val="0"/>
          <w:sz w:val="21"/>
          <w:szCs w:val="21"/>
          <w:bdr w:val="none" w:color="auto" w:sz="0" w:space="0"/>
          <w:shd w:val="clear" w:fill="FFFFFF"/>
          <w:vertAlign w:val="baseline"/>
        </w:rPr>
        <w:t> 保持小区各组团、栋号、单元（门）、户标志、标识、信报箱、宣传牌字迹清晰</w:t>
      </w:r>
      <w:r>
        <w:rPr>
          <w:rFonts w:hint="eastAsia" w:ascii="黑体" w:hAnsi="宋体" w:eastAsia="黑体" w:cs="黑体"/>
          <w:i w:val="0"/>
          <w:iCs w:val="0"/>
          <w:caps w:val="0"/>
          <w:color w:val="333333"/>
          <w:spacing w:val="0"/>
          <w:sz w:val="21"/>
          <w:szCs w:val="21"/>
          <w:bdr w:val="none" w:color="auto" w:sz="0" w:space="0"/>
          <w:shd w:val="clear" w:fill="FFFFFF"/>
          <w:vertAlign w:val="baseline"/>
        </w:rPr>
        <w:t>完整</w:t>
      </w:r>
      <w:r>
        <w:rPr>
          <w:rFonts w:hint="eastAsia" w:ascii="宋体" w:hAnsi="宋体" w:eastAsia="宋体" w:cs="宋体"/>
          <w:i w:val="0"/>
          <w:iCs w:val="0"/>
          <w:caps w:val="0"/>
          <w:color w:val="333333"/>
          <w:spacing w:val="0"/>
          <w:sz w:val="21"/>
          <w:szCs w:val="21"/>
          <w:bdr w:val="none" w:color="auto" w:sz="0" w:space="0"/>
          <w:shd w:val="clear" w:fill="FFFFFF"/>
          <w:vertAlign w:val="baseline"/>
        </w:rPr>
        <w:t>，外观整洁和美观，无安全隐患。发现损坏及时修复，完好率应符合下列规定：</w:t>
      </w:r>
    </w:p>
    <w:p w14:paraId="0570FD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一级服务达80%以上；</w:t>
      </w:r>
    </w:p>
    <w:p w14:paraId="3E808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二级服务达85%以上；</w:t>
      </w:r>
    </w:p>
    <w:p w14:paraId="363D68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三级服务达90%以上；</w:t>
      </w:r>
    </w:p>
    <w:p w14:paraId="5F4129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四级服务达95%以上。</w:t>
      </w:r>
    </w:p>
    <w:p w14:paraId="38562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31DF7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供水系统</w:t>
      </w:r>
    </w:p>
    <w:p w14:paraId="7714B4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59BD1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7.2.1 </w:t>
      </w:r>
      <w:r>
        <w:rPr>
          <w:rFonts w:hint="eastAsia" w:ascii="宋体" w:hAnsi="宋体" w:eastAsia="宋体" w:cs="宋体"/>
          <w:i w:val="0"/>
          <w:iCs w:val="0"/>
          <w:caps w:val="0"/>
          <w:color w:val="333333"/>
          <w:spacing w:val="0"/>
          <w:sz w:val="21"/>
          <w:szCs w:val="21"/>
          <w:bdr w:val="none" w:color="auto" w:sz="0" w:space="0"/>
          <w:shd w:val="clear" w:fill="FFFFFF"/>
          <w:vertAlign w:val="baseline"/>
        </w:rPr>
        <w:t> 供水设施应按照供水管理部门和卫生防疫部门的要求使用消毒设备，水箱按规定清洗消毒、水质化验，水质应符合国家生活饮用水卫生标准及自治区二次供水工程技术标准。</w:t>
      </w:r>
    </w:p>
    <w:p w14:paraId="55271B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7.2.2</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建立共用供水操作规程、保养规范、停水处置预案、巡视制度及清册（设备台帐），水质管理制度。按规程运行、检查、维修养护并归档。</w:t>
      </w:r>
    </w:p>
    <w:p w14:paraId="4B3A69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7.2.3</w:t>
      </w:r>
      <w:r>
        <w:rPr>
          <w:rFonts w:hint="eastAsia" w:ascii="宋体" w:hAnsi="宋体" w:eastAsia="宋体" w:cs="宋体"/>
          <w:i w:val="0"/>
          <w:iCs w:val="0"/>
          <w:caps w:val="0"/>
          <w:color w:val="333333"/>
          <w:spacing w:val="0"/>
          <w:sz w:val="21"/>
          <w:szCs w:val="21"/>
          <w:bdr w:val="none" w:color="auto" w:sz="0" w:space="0"/>
          <w:shd w:val="clear" w:fill="FFFFFF"/>
          <w:vertAlign w:val="baseline"/>
        </w:rPr>
        <w:t>   重要设施设备、特种设备及仪器仪表按照有关规定检验检测，操作规程上墙张贴，有安全隐患及维修期内警示标志，配有流体流向标识、运行状态标识。对危险设备、危及人身安全的有防范措施。</w:t>
      </w:r>
    </w:p>
    <w:p w14:paraId="36D20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7.2.4</w:t>
      </w:r>
      <w:r>
        <w:rPr>
          <w:rFonts w:hint="eastAsia" w:ascii="宋体" w:hAnsi="宋体" w:eastAsia="宋体" w:cs="宋体"/>
          <w:i w:val="0"/>
          <w:iCs w:val="0"/>
          <w:caps w:val="0"/>
          <w:color w:val="333333"/>
          <w:spacing w:val="0"/>
          <w:sz w:val="21"/>
          <w:szCs w:val="21"/>
          <w:bdr w:val="none" w:color="auto" w:sz="0" w:space="0"/>
          <w:shd w:val="clear" w:fill="FFFFFF"/>
          <w:vertAlign w:val="baseline"/>
        </w:rPr>
        <w:t>   对共用供水设施设备（饮用水箱、消防泵、喷淋泵、污水泵、饮用水池、压力罐、启动柜），进行日常管理和维修养护（依法应由专业部门负责的除外），保养水箱人孔、进水管、溢水管、泄水管、水位计、液位传感器、浮球阀和各类闸门。</w:t>
      </w:r>
    </w:p>
    <w:p w14:paraId="1B9897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7.2.5</w:t>
      </w:r>
      <w:r>
        <w:rPr>
          <w:rFonts w:hint="eastAsia" w:ascii="宋体" w:hAnsi="宋体" w:eastAsia="宋体" w:cs="宋体"/>
          <w:i w:val="0"/>
          <w:iCs w:val="0"/>
          <w:caps w:val="0"/>
          <w:color w:val="333333"/>
          <w:spacing w:val="0"/>
          <w:sz w:val="21"/>
          <w:szCs w:val="21"/>
          <w:bdr w:val="none" w:color="auto" w:sz="0" w:space="0"/>
          <w:shd w:val="clear" w:fill="FFFFFF"/>
          <w:vertAlign w:val="baseline"/>
        </w:rPr>
        <w:t>   冬季水箱有可靠的保温措施，且不得对水质产生污染。保持箱体完好，池体内洁净，无渗漏，表面和支架无锈蚀，漆膜脱落处及时修补；保持清洁卫生和良好的通风、照明、采暖、地面排水畅通。</w:t>
      </w:r>
    </w:p>
    <w:p w14:paraId="583B08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7.2.6  </w:t>
      </w:r>
      <w:r>
        <w:rPr>
          <w:rFonts w:hint="eastAsia" w:ascii="宋体" w:hAnsi="宋体" w:eastAsia="宋体" w:cs="宋体"/>
          <w:i w:val="0"/>
          <w:iCs w:val="0"/>
          <w:caps w:val="0"/>
          <w:color w:val="333333"/>
          <w:spacing w:val="0"/>
          <w:sz w:val="21"/>
          <w:szCs w:val="21"/>
          <w:bdr w:val="none" w:color="auto" w:sz="0" w:space="0"/>
          <w:shd w:val="clear" w:fill="FFFFFF"/>
          <w:vertAlign w:val="baseline"/>
        </w:rPr>
        <w:t> 对水箱、水池的进口和通气孔应该采取安全防护措施，防止发生公共安全事故。对二次供水的水质按照规定定期检验，水质检测报告每季度报当地供水主管部门备案，水箱水池按照规定定期清洗。</w:t>
      </w:r>
    </w:p>
    <w:p w14:paraId="2C956E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7.2.7  </w:t>
      </w:r>
      <w:r>
        <w:rPr>
          <w:rFonts w:hint="eastAsia" w:ascii="宋体" w:hAnsi="宋体" w:eastAsia="宋体" w:cs="宋体"/>
          <w:i w:val="0"/>
          <w:iCs w:val="0"/>
          <w:caps w:val="0"/>
          <w:color w:val="333333"/>
          <w:spacing w:val="0"/>
          <w:sz w:val="21"/>
          <w:szCs w:val="21"/>
          <w:bdr w:val="none" w:color="auto" w:sz="0" w:space="0"/>
          <w:shd w:val="clear" w:fill="FFFFFF"/>
          <w:vertAlign w:val="baseline"/>
        </w:rPr>
        <w:t> 属于小修的及时组织修复；属于大、中修范围或者需要更新改造的，应向业主大会（业主委员会）或相关部门提出报告与建议，或按有关规定办理。</w:t>
      </w:r>
    </w:p>
    <w:p w14:paraId="09BA30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7.2.8 </w:t>
      </w:r>
      <w:r>
        <w:rPr>
          <w:rFonts w:hint="eastAsia" w:ascii="宋体" w:hAnsi="宋体" w:eastAsia="宋体" w:cs="宋体"/>
          <w:i w:val="0"/>
          <w:iCs w:val="0"/>
          <w:caps w:val="0"/>
          <w:color w:val="333333"/>
          <w:spacing w:val="0"/>
          <w:sz w:val="21"/>
          <w:szCs w:val="21"/>
          <w:bdr w:val="none" w:color="auto" w:sz="0" w:space="0"/>
          <w:shd w:val="clear" w:fill="FFFFFF"/>
          <w:vertAlign w:val="baseline"/>
        </w:rPr>
        <w:t>  采用一用一备（或一用二备）水泵供水系统的，每季度切换1次供水运行水泵。</w:t>
      </w:r>
    </w:p>
    <w:p w14:paraId="3C2C86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7.2.9 </w:t>
      </w:r>
      <w:r>
        <w:rPr>
          <w:rFonts w:hint="eastAsia" w:ascii="宋体" w:hAnsi="宋体" w:eastAsia="宋体" w:cs="宋体"/>
          <w:i w:val="0"/>
          <w:iCs w:val="0"/>
          <w:caps w:val="0"/>
          <w:color w:val="333333"/>
          <w:spacing w:val="0"/>
          <w:sz w:val="21"/>
          <w:szCs w:val="21"/>
          <w:bdr w:val="none" w:color="auto" w:sz="0" w:space="0"/>
          <w:shd w:val="clear" w:fill="FFFFFF"/>
          <w:vertAlign w:val="baseline"/>
        </w:rPr>
        <w:t>  遇紧急情况、发生突发公共卫生事件时，要加强对供水系统的消毒和清洗，张贴通知，禁止无关人员进入二次供水机房和接近水箱；加强巡视，巡视有项目内容，有巡视记录，确保供水设施设备无故障和无安全隐患运行。</w:t>
      </w:r>
    </w:p>
    <w:p w14:paraId="7DDBB1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7.2.10  </w:t>
      </w:r>
      <w:r>
        <w:rPr>
          <w:rFonts w:hint="eastAsia" w:ascii="宋体" w:hAnsi="宋体" w:eastAsia="宋体" w:cs="宋体"/>
          <w:i w:val="0"/>
          <w:iCs w:val="0"/>
          <w:caps w:val="0"/>
          <w:color w:val="333333"/>
          <w:spacing w:val="0"/>
          <w:sz w:val="21"/>
          <w:szCs w:val="21"/>
          <w:bdr w:val="none" w:color="auto" w:sz="0" w:space="0"/>
          <w:shd w:val="clear" w:fill="FFFFFF"/>
          <w:vertAlign w:val="baseline"/>
        </w:rPr>
        <w:t>各种仪表指示稳定正常，保持阀门开关润滑灵活，发现滴漏应及时维修保持正常运行和使用，使之处于完好和正常开启状态。消除安全隐患并填写水泵运行记录，建档备查。泵房、消防泵及管道阀门的检查清洗应符合下列规定：</w:t>
      </w:r>
    </w:p>
    <w:p w14:paraId="71DB2E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一级服务每半年检查清洗不少于1次；</w:t>
      </w:r>
    </w:p>
    <w:p w14:paraId="7AEC93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二级服务每季度检查清洗不少于1次；</w:t>
      </w:r>
    </w:p>
    <w:p w14:paraId="66FEA8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三级服务每2个月检查清洗不少于1次；</w:t>
      </w:r>
    </w:p>
    <w:p w14:paraId="0FE5B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四级服务每月检查清洗不少于1次。</w:t>
      </w:r>
    </w:p>
    <w:p w14:paraId="1286D6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BD680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7.3 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排水系统</w:t>
      </w:r>
    </w:p>
    <w:p w14:paraId="7CC551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BD97C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7.3.1 </w:t>
      </w:r>
      <w:r>
        <w:rPr>
          <w:rFonts w:hint="eastAsia" w:ascii="宋体" w:hAnsi="宋体" w:eastAsia="宋体" w:cs="宋体"/>
          <w:i w:val="0"/>
          <w:iCs w:val="0"/>
          <w:caps w:val="0"/>
          <w:color w:val="333333"/>
          <w:spacing w:val="0"/>
          <w:sz w:val="21"/>
          <w:szCs w:val="21"/>
          <w:bdr w:val="none" w:color="auto" w:sz="0" w:space="0"/>
          <w:shd w:val="clear" w:fill="FFFFFF"/>
          <w:vertAlign w:val="baseline"/>
        </w:rPr>
        <w:t> 排水系统井盖完好，井内（壁）无积物浮于面上，水面无漂浮物。排水出入口畅通，无积水，清理后及时保洁现场。</w:t>
      </w:r>
    </w:p>
    <w:p w14:paraId="48CD7D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7.3.2 </w:t>
      </w:r>
      <w:r>
        <w:rPr>
          <w:rFonts w:hint="eastAsia" w:ascii="宋体" w:hAnsi="宋体" w:eastAsia="宋体" w:cs="宋体"/>
          <w:i w:val="0"/>
          <w:iCs w:val="0"/>
          <w:caps w:val="0"/>
          <w:color w:val="333333"/>
          <w:spacing w:val="0"/>
          <w:sz w:val="21"/>
          <w:szCs w:val="21"/>
          <w:bdr w:val="none" w:color="auto" w:sz="0" w:space="0"/>
          <w:shd w:val="clear" w:fill="FFFFFF"/>
          <w:vertAlign w:val="baseline"/>
        </w:rPr>
        <w:t> 化粪池应每年清理1次。清理前提前24小时告知业主。清理现场设置安全标志，人工清理者应将污物包装良好，当天运走，清运过程无漏洒。清理现场及时清洗干净。化粪池清理前，首先应对其进行通风，确认无有害气体；</w:t>
      </w:r>
    </w:p>
    <w:p w14:paraId="6BC3E9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7.3.3</w:t>
      </w:r>
      <w:r>
        <w:rPr>
          <w:rFonts w:hint="eastAsia" w:ascii="宋体" w:hAnsi="宋体" w:eastAsia="宋体" w:cs="宋体"/>
          <w:i w:val="0"/>
          <w:iCs w:val="0"/>
          <w:caps w:val="0"/>
          <w:color w:val="333333"/>
          <w:spacing w:val="0"/>
          <w:sz w:val="21"/>
          <w:szCs w:val="21"/>
          <w:bdr w:val="none" w:color="auto" w:sz="0" w:space="0"/>
          <w:shd w:val="clear" w:fill="FFFFFF"/>
          <w:vertAlign w:val="baseline"/>
        </w:rPr>
        <w:t>  落水管、落水口保持完好，排水明沟雨季和春季应加强清扫。清扫次数应符合下列规定：</w:t>
      </w:r>
    </w:p>
    <w:p w14:paraId="4A6082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一级服务每季度不少于1次；</w:t>
      </w:r>
    </w:p>
    <w:p w14:paraId="65C47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二级服务每季度不少于2次；</w:t>
      </w:r>
    </w:p>
    <w:p w14:paraId="2B7B9A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三级服务每季度不少于3次；</w:t>
      </w:r>
    </w:p>
    <w:p w14:paraId="61C911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四级服务每季度不少于4次。</w:t>
      </w:r>
    </w:p>
    <w:p w14:paraId="4580BA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7.3.4 </w:t>
      </w:r>
      <w:r>
        <w:rPr>
          <w:rFonts w:hint="eastAsia" w:ascii="宋体" w:hAnsi="宋体" w:eastAsia="宋体" w:cs="宋体"/>
          <w:i w:val="0"/>
          <w:iCs w:val="0"/>
          <w:caps w:val="0"/>
          <w:color w:val="333333"/>
          <w:spacing w:val="0"/>
          <w:sz w:val="21"/>
          <w:szCs w:val="21"/>
          <w:bdr w:val="none" w:color="auto" w:sz="0" w:space="0"/>
          <w:shd w:val="clear" w:fill="FFFFFF"/>
          <w:vertAlign w:val="baseline"/>
        </w:rPr>
        <w:t> 定期对地下管井疏通清理。清理时应设置警示牌，必要时加护拦。清理后地面冲洗干净，水流畅通无堵塞外溢现象。清理次数应符合下列规定：</w:t>
      </w:r>
    </w:p>
    <w:p w14:paraId="220128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一级、二级服务每年不少于1次；</w:t>
      </w:r>
    </w:p>
    <w:p w14:paraId="2C6A3A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三级、四级服务每年不少于2次。</w:t>
      </w:r>
    </w:p>
    <w:p w14:paraId="312C3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7.3.5</w:t>
      </w:r>
      <w:r>
        <w:rPr>
          <w:rFonts w:hint="eastAsia" w:ascii="宋体" w:hAnsi="宋体" w:eastAsia="宋体" w:cs="宋体"/>
          <w:i w:val="0"/>
          <w:iCs w:val="0"/>
          <w:caps w:val="0"/>
          <w:color w:val="333333"/>
          <w:spacing w:val="0"/>
          <w:sz w:val="21"/>
          <w:szCs w:val="21"/>
          <w:bdr w:val="none" w:color="auto" w:sz="0" w:space="0"/>
          <w:shd w:val="clear" w:fill="FFFFFF"/>
          <w:vertAlign w:val="baseline"/>
        </w:rPr>
        <w:t>  共用排水管道发生堵塞时，应按照本标准第3.3.7条紧急维修项目及时处理。</w:t>
      </w:r>
    </w:p>
    <w:p w14:paraId="40A7A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DC55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7.4 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道路车辆</w:t>
      </w:r>
    </w:p>
    <w:p w14:paraId="6676C5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D802A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7.4.1</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建立道路停放车辆管理制度及管理方案。</w:t>
      </w:r>
    </w:p>
    <w:p w14:paraId="59784B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7.4.2 </w:t>
      </w:r>
      <w:r>
        <w:rPr>
          <w:rFonts w:hint="eastAsia" w:ascii="宋体" w:hAnsi="宋体" w:eastAsia="宋体" w:cs="宋体"/>
          <w:i w:val="0"/>
          <w:iCs w:val="0"/>
          <w:caps w:val="0"/>
          <w:color w:val="333333"/>
          <w:spacing w:val="0"/>
          <w:sz w:val="21"/>
          <w:szCs w:val="21"/>
          <w:bdr w:val="none" w:color="auto" w:sz="0" w:space="0"/>
          <w:shd w:val="clear" w:fill="FFFFFF"/>
          <w:vertAlign w:val="baseline"/>
        </w:rPr>
        <w:t> 道路交通标志设置</w:t>
      </w:r>
      <w:r>
        <w:rPr>
          <w:rFonts w:hint="eastAsia" w:ascii="黑体" w:hAnsi="宋体" w:eastAsia="黑体" w:cs="黑体"/>
          <w:i w:val="0"/>
          <w:iCs w:val="0"/>
          <w:caps w:val="0"/>
          <w:color w:val="333333"/>
          <w:spacing w:val="0"/>
          <w:sz w:val="21"/>
          <w:szCs w:val="21"/>
          <w:bdr w:val="none" w:color="auto" w:sz="0" w:space="0"/>
          <w:shd w:val="clear" w:fill="FFFFFF"/>
          <w:vertAlign w:val="baseline"/>
        </w:rPr>
        <w:t>完整、</w:t>
      </w:r>
      <w:r>
        <w:rPr>
          <w:rFonts w:hint="eastAsia" w:ascii="宋体" w:hAnsi="宋体" w:eastAsia="宋体" w:cs="宋体"/>
          <w:i w:val="0"/>
          <w:iCs w:val="0"/>
          <w:caps w:val="0"/>
          <w:color w:val="333333"/>
          <w:spacing w:val="0"/>
          <w:sz w:val="21"/>
          <w:szCs w:val="21"/>
          <w:bdr w:val="none" w:color="auto" w:sz="0" w:space="0"/>
          <w:shd w:val="clear" w:fill="FFFFFF"/>
          <w:vertAlign w:val="baseline"/>
        </w:rPr>
        <w:t>明显、清晰，停车场、棚、房设施完好无损。封闭停车场（地下停车场）内照明设施完好、通道畅通、路面平坦、给排水畅通、通风正常，配备必要的消防设备。</w:t>
      </w:r>
    </w:p>
    <w:p w14:paraId="08955C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7.4.3 </w:t>
      </w:r>
      <w:r>
        <w:rPr>
          <w:rFonts w:hint="eastAsia" w:ascii="宋体" w:hAnsi="宋体" w:eastAsia="宋体" w:cs="宋体"/>
          <w:i w:val="0"/>
          <w:iCs w:val="0"/>
          <w:caps w:val="0"/>
          <w:color w:val="333333"/>
          <w:spacing w:val="0"/>
          <w:sz w:val="21"/>
          <w:szCs w:val="21"/>
          <w:bdr w:val="none" w:color="auto" w:sz="0" w:space="0"/>
          <w:shd w:val="clear" w:fill="FFFFFF"/>
          <w:vertAlign w:val="baseline"/>
        </w:rPr>
        <w:t> 交通设施（道闸、挡车器材、限速标识，行驶方向，路面停车标识等）指示标识规范、清晰，正常使用，便于车辆有序通行和停放。</w:t>
      </w:r>
    </w:p>
    <w:p w14:paraId="5933F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7.4.4</w:t>
      </w:r>
      <w:r>
        <w:rPr>
          <w:rFonts w:hint="eastAsia" w:ascii="宋体" w:hAnsi="宋体" w:eastAsia="宋体" w:cs="宋体"/>
          <w:i w:val="0"/>
          <w:iCs w:val="0"/>
          <w:caps w:val="0"/>
          <w:color w:val="333333"/>
          <w:spacing w:val="0"/>
          <w:sz w:val="21"/>
          <w:szCs w:val="21"/>
          <w:bdr w:val="none" w:color="auto" w:sz="0" w:space="0"/>
          <w:shd w:val="clear" w:fill="FFFFFF"/>
          <w:vertAlign w:val="baseline"/>
        </w:rPr>
        <w:t>  占道停车费按业主大会决定收取，收费标准应在车场车库明显之处公示。</w:t>
      </w:r>
    </w:p>
    <w:p w14:paraId="3744D3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7.4.5 </w:t>
      </w:r>
      <w:r>
        <w:rPr>
          <w:rFonts w:hint="eastAsia" w:ascii="宋体" w:hAnsi="宋体" w:eastAsia="宋体" w:cs="宋体"/>
          <w:i w:val="0"/>
          <w:iCs w:val="0"/>
          <w:caps w:val="0"/>
          <w:color w:val="333333"/>
          <w:spacing w:val="0"/>
          <w:sz w:val="21"/>
          <w:szCs w:val="21"/>
          <w:bdr w:val="none" w:color="auto" w:sz="0" w:space="0"/>
          <w:shd w:val="clear" w:fill="FFFFFF"/>
          <w:vertAlign w:val="baseline"/>
        </w:rPr>
        <w:t> 车辆停放有序，车辆凭证（卡）进出入。定期停放的，应签订停车管理服务协议，明确双方的权利义务责任。</w:t>
      </w:r>
    </w:p>
    <w:p w14:paraId="662FC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7.4.6</w:t>
      </w:r>
      <w:r>
        <w:rPr>
          <w:rFonts w:hint="eastAsia" w:ascii="宋体" w:hAnsi="宋体" w:eastAsia="宋体" w:cs="宋体"/>
          <w:i w:val="0"/>
          <w:iCs w:val="0"/>
          <w:caps w:val="0"/>
          <w:color w:val="333333"/>
          <w:spacing w:val="0"/>
          <w:sz w:val="21"/>
          <w:szCs w:val="21"/>
          <w:bdr w:val="none" w:color="auto" w:sz="0" w:space="0"/>
          <w:shd w:val="clear" w:fill="FFFFFF"/>
          <w:vertAlign w:val="baseline"/>
        </w:rPr>
        <w:t>  停车场地面保持清洁无杂物。</w:t>
      </w:r>
    </w:p>
    <w:p w14:paraId="79195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7.4.7 </w:t>
      </w:r>
      <w:r>
        <w:rPr>
          <w:rFonts w:hint="eastAsia" w:ascii="宋体" w:hAnsi="宋体" w:eastAsia="宋体" w:cs="宋体"/>
          <w:i w:val="0"/>
          <w:iCs w:val="0"/>
          <w:caps w:val="0"/>
          <w:color w:val="333333"/>
          <w:spacing w:val="0"/>
          <w:sz w:val="21"/>
          <w:szCs w:val="21"/>
          <w:bdr w:val="none" w:color="auto" w:sz="0" w:space="0"/>
          <w:shd w:val="clear" w:fill="FFFFFF"/>
          <w:vertAlign w:val="baseline"/>
        </w:rPr>
        <w:t> 实行特约服务的，按约定落实看护管理责任。</w:t>
      </w:r>
    </w:p>
    <w:p w14:paraId="5BBD4B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02F559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7.5 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电梯运行</w:t>
      </w:r>
    </w:p>
    <w:p w14:paraId="4F08D2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6B593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7.5.1 </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建立电梯运行监管制度，制定紧急救援方案和处置预案。</w:t>
      </w:r>
    </w:p>
    <w:p w14:paraId="651DA1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7.5.2</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电梯在使用前或使用后30日内，须向相关部门办理安全使用许可证，标志应置于电梯轿厢内明显位置，注明注册登记检验合格标志。电梯内应设置应急报警电话。</w:t>
      </w:r>
    </w:p>
    <w:p w14:paraId="78F58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7.5.3  </w:t>
      </w:r>
      <w:r>
        <w:rPr>
          <w:rFonts w:hint="eastAsia" w:ascii="宋体" w:hAnsi="宋体" w:eastAsia="宋体" w:cs="宋体"/>
          <w:i w:val="0"/>
          <w:iCs w:val="0"/>
          <w:caps w:val="0"/>
          <w:color w:val="333333"/>
          <w:spacing w:val="0"/>
          <w:sz w:val="21"/>
          <w:szCs w:val="21"/>
          <w:bdr w:val="none" w:color="auto" w:sz="0" w:space="0"/>
          <w:shd w:val="clear" w:fill="FFFFFF"/>
          <w:vertAlign w:val="baseline"/>
        </w:rPr>
        <w:t>电梯安全检验合格有效期满前1个月，应向电梯检验检测机构提出定期检验申请，并取得《电梯安全使用许可证》。电梯日常维护保养和定期检查中发现的问题应及时排除，并逐台建档、建卡、注册登记。</w:t>
      </w:r>
    </w:p>
    <w:p w14:paraId="7D0CA7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7.5.4 </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电梯的维护保养应与有资质的维修服务单位签订合同，明确约定维护保养的内容、要求、频次、期限以及双方的权利、义务和责任，对专项服务企业的维修保养工作进行监督，落实定期检修维保责任。</w:t>
      </w:r>
    </w:p>
    <w:p w14:paraId="5B42A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7.5.5 </w:t>
      </w:r>
      <w:r>
        <w:rPr>
          <w:rFonts w:hint="eastAsia" w:ascii="宋体" w:hAnsi="宋体" w:eastAsia="宋体" w:cs="宋体"/>
          <w:i w:val="0"/>
          <w:iCs w:val="0"/>
          <w:caps w:val="0"/>
          <w:color w:val="333333"/>
          <w:spacing w:val="0"/>
          <w:sz w:val="21"/>
          <w:szCs w:val="21"/>
          <w:bdr w:val="none" w:color="auto" w:sz="0" w:space="0"/>
          <w:shd w:val="clear" w:fill="FFFFFF"/>
          <w:vertAlign w:val="baseline"/>
        </w:rPr>
        <w:t> 大、中修更新改造后，电梯应有质量验收证明（或质量验收报告），更改部分须有变更设计的证明文件、电梯安装验收证明和报告。</w:t>
      </w:r>
    </w:p>
    <w:p w14:paraId="648822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7.5.6 </w:t>
      </w:r>
      <w:r>
        <w:rPr>
          <w:rFonts w:hint="eastAsia" w:ascii="宋体" w:hAnsi="宋体" w:eastAsia="宋体" w:cs="宋体"/>
          <w:i w:val="0"/>
          <w:iCs w:val="0"/>
          <w:caps w:val="0"/>
          <w:color w:val="333333"/>
          <w:spacing w:val="0"/>
          <w:sz w:val="21"/>
          <w:szCs w:val="21"/>
          <w:bdr w:val="none" w:color="auto" w:sz="0" w:space="0"/>
          <w:shd w:val="clear" w:fill="FFFFFF"/>
          <w:vertAlign w:val="baseline"/>
        </w:rPr>
        <w:t> 对电梯的运行安全检查应符合下列要求：</w:t>
      </w:r>
    </w:p>
    <w:p w14:paraId="24AB0F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一级服务每周检查和记录不少于2次；</w:t>
      </w:r>
    </w:p>
    <w:p w14:paraId="750A6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二级服务每周检查和记录不少于3次；</w:t>
      </w:r>
    </w:p>
    <w:p w14:paraId="2CC561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三级服务每周检查和记录不少于4次；</w:t>
      </w:r>
    </w:p>
    <w:p w14:paraId="591A94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四级服务每周检查和记录不少于5次。</w:t>
      </w:r>
    </w:p>
    <w:p w14:paraId="0CA6BC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CB930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7.6 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供配电系统和照明</w:t>
      </w:r>
    </w:p>
    <w:p w14:paraId="557192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C14AD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7.6.1 </w:t>
      </w:r>
      <w:r>
        <w:rPr>
          <w:rFonts w:hint="eastAsia" w:ascii="宋体" w:hAnsi="宋体" w:eastAsia="宋体" w:cs="宋体"/>
          <w:i w:val="0"/>
          <w:iCs w:val="0"/>
          <w:caps w:val="0"/>
          <w:color w:val="333333"/>
          <w:spacing w:val="0"/>
          <w:sz w:val="21"/>
          <w:szCs w:val="21"/>
          <w:bdr w:val="none" w:color="auto" w:sz="0" w:space="0"/>
          <w:shd w:val="clear" w:fill="FFFFFF"/>
          <w:vertAlign w:val="baseline"/>
        </w:rPr>
        <w:t> 建立规章制度、安全操作规程、事故处理规程、巡视检查制度、维护维修制度及交接班制度。</w:t>
      </w:r>
    </w:p>
    <w:p w14:paraId="45AF91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7.6.2 </w:t>
      </w:r>
      <w:r>
        <w:rPr>
          <w:rFonts w:hint="eastAsia" w:ascii="宋体" w:hAnsi="宋体" w:eastAsia="宋体" w:cs="宋体"/>
          <w:i w:val="0"/>
          <w:iCs w:val="0"/>
          <w:caps w:val="0"/>
          <w:color w:val="333333"/>
          <w:spacing w:val="0"/>
          <w:sz w:val="21"/>
          <w:szCs w:val="21"/>
          <w:bdr w:val="none" w:color="auto" w:sz="0" w:space="0"/>
          <w:shd w:val="clear" w:fill="FFFFFF"/>
          <w:vertAlign w:val="baseline"/>
        </w:rPr>
        <w:t> 值班人员具备供配电运行知识和技能，工作认真负责，对异常情况能及时识别、及时检修、及时处理，对相关设施设备进行调试，使系统处于最佳工作状态。</w:t>
      </w:r>
    </w:p>
    <w:p w14:paraId="7765E6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7.6.3 </w:t>
      </w:r>
      <w:r>
        <w:rPr>
          <w:rFonts w:hint="eastAsia" w:ascii="宋体" w:hAnsi="宋体" w:eastAsia="宋体" w:cs="宋体"/>
          <w:i w:val="0"/>
          <w:iCs w:val="0"/>
          <w:caps w:val="0"/>
          <w:color w:val="333333"/>
          <w:spacing w:val="0"/>
          <w:sz w:val="21"/>
          <w:szCs w:val="21"/>
          <w:bdr w:val="none" w:color="auto" w:sz="0" w:space="0"/>
          <w:shd w:val="clear" w:fill="FFFFFF"/>
          <w:vertAlign w:val="baseline"/>
        </w:rPr>
        <w:t> 维修时停电应告知业主，每年检测接地电阻，检测配电房主要电器设备的绝缘强度，每半年检测配电房内消防器材，保持消防器材完好。</w:t>
      </w:r>
    </w:p>
    <w:p w14:paraId="6EF15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7.6.4</w:t>
      </w:r>
      <w:r>
        <w:rPr>
          <w:rFonts w:hint="eastAsia" w:ascii="宋体" w:hAnsi="宋体" w:eastAsia="宋体" w:cs="宋体"/>
          <w:i w:val="0"/>
          <w:iCs w:val="0"/>
          <w:caps w:val="0"/>
          <w:color w:val="333333"/>
          <w:spacing w:val="0"/>
          <w:sz w:val="21"/>
          <w:szCs w:val="21"/>
          <w:bdr w:val="none" w:color="auto" w:sz="0" w:space="0"/>
          <w:shd w:val="clear" w:fill="FFFFFF"/>
          <w:vertAlign w:val="baseline"/>
        </w:rPr>
        <w:t>  妥善保管高压操作工具，每年到相关部门检测，保持配电房内电器设备干燥通风，运行正常。</w:t>
      </w:r>
    </w:p>
    <w:p w14:paraId="792F24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7.6.5 </w:t>
      </w:r>
      <w:r>
        <w:rPr>
          <w:rFonts w:hint="eastAsia" w:ascii="宋体" w:hAnsi="宋体" w:eastAsia="宋体" w:cs="宋体"/>
          <w:i w:val="0"/>
          <w:iCs w:val="0"/>
          <w:caps w:val="0"/>
          <w:color w:val="333333"/>
          <w:spacing w:val="0"/>
          <w:sz w:val="21"/>
          <w:szCs w:val="21"/>
          <w:bdr w:val="none" w:color="auto" w:sz="0" w:space="0"/>
          <w:shd w:val="clear" w:fill="FFFFFF"/>
          <w:vertAlign w:val="baseline"/>
        </w:rPr>
        <w:t> 保持配电房清洁卫生，配电柜表面、地面无积灰，每年委托专业单位对变压器、高压开关柜进行测试、试验等维修保养，每半年对变压器外部、低压配电柜进行保洁、保养，保证正常电力供应。</w:t>
      </w:r>
    </w:p>
    <w:p w14:paraId="1DCD1E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7.6.6 </w:t>
      </w:r>
      <w:r>
        <w:rPr>
          <w:rFonts w:hint="eastAsia" w:ascii="宋体" w:hAnsi="宋体" w:eastAsia="宋体" w:cs="宋体"/>
          <w:i w:val="0"/>
          <w:iCs w:val="0"/>
          <w:caps w:val="0"/>
          <w:color w:val="333333"/>
          <w:spacing w:val="0"/>
          <w:sz w:val="21"/>
          <w:szCs w:val="21"/>
          <w:bdr w:val="none" w:color="auto" w:sz="0" w:space="0"/>
          <w:shd w:val="clear" w:fill="FFFFFF"/>
          <w:vertAlign w:val="baseline"/>
        </w:rPr>
        <w:t> 每日巡视应急照明系统，发现故障及时修复。</w:t>
      </w:r>
    </w:p>
    <w:p w14:paraId="769033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7.6.7  </w:t>
      </w:r>
      <w:r>
        <w:rPr>
          <w:rFonts w:hint="eastAsia" w:ascii="宋体" w:hAnsi="宋体" w:eastAsia="宋体" w:cs="宋体"/>
          <w:i w:val="0"/>
          <w:iCs w:val="0"/>
          <w:caps w:val="0"/>
          <w:color w:val="333333"/>
          <w:spacing w:val="0"/>
          <w:sz w:val="21"/>
          <w:szCs w:val="21"/>
          <w:bdr w:val="none" w:color="auto" w:sz="0" w:space="0"/>
          <w:shd w:val="clear" w:fill="FFFFFF"/>
          <w:vertAlign w:val="baseline"/>
        </w:rPr>
        <w:t>楼内和道路公共区域照明在工作期间保证正常运行。出现故障修复时限应符合下列规定：</w:t>
      </w:r>
    </w:p>
    <w:p w14:paraId="6B930F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一级服务要求一般故障24小时内修复，复杂故障4个工</w:t>
      </w:r>
    </w:p>
    <w:p w14:paraId="48879A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作日内修复；</w:t>
      </w:r>
    </w:p>
    <w:p w14:paraId="47EB52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二级服务要求一般故障12小时内修复，复杂故障3个工</w:t>
      </w:r>
    </w:p>
    <w:p w14:paraId="363E2B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作日内修复；</w:t>
      </w:r>
    </w:p>
    <w:p w14:paraId="480BC8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三级服务要求一般故障8小时内修复，复杂故障2个工</w:t>
      </w:r>
    </w:p>
    <w:p w14:paraId="4055D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作日内修复；</w:t>
      </w:r>
    </w:p>
    <w:p w14:paraId="304E2B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四级服务要求一般故障4小时内修复，复杂故障1个工</w:t>
      </w:r>
    </w:p>
    <w:p w14:paraId="493A57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作日内修复。</w:t>
      </w:r>
    </w:p>
    <w:p w14:paraId="0A79E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0F01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7.7 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水景观、雕塑、娱乐、健身设施</w:t>
      </w:r>
    </w:p>
    <w:p w14:paraId="0CC14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52891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7.7.1</w:t>
      </w:r>
      <w:r>
        <w:rPr>
          <w:rFonts w:hint="eastAsia" w:ascii="宋体" w:hAnsi="宋体" w:eastAsia="宋体" w:cs="宋体"/>
          <w:i w:val="0"/>
          <w:iCs w:val="0"/>
          <w:caps w:val="0"/>
          <w:color w:val="333333"/>
          <w:spacing w:val="0"/>
          <w:sz w:val="21"/>
          <w:szCs w:val="21"/>
          <w:bdr w:val="none" w:color="auto" w:sz="0" w:space="0"/>
          <w:shd w:val="clear" w:fill="FFFFFF"/>
          <w:vertAlign w:val="baseline"/>
        </w:rPr>
        <w:t>  明确公示水景观开启时间，设置必要的安全警示标志； 启用前进行防渗漏和防漏电检查，防止渗漏，保证用电安全；水质应符合卫生要求。</w:t>
      </w:r>
    </w:p>
    <w:p w14:paraId="7334F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7.7.2 </w:t>
      </w:r>
      <w:r>
        <w:rPr>
          <w:rFonts w:hint="eastAsia" w:ascii="宋体" w:hAnsi="宋体" w:eastAsia="宋体" w:cs="宋体"/>
          <w:i w:val="0"/>
          <w:iCs w:val="0"/>
          <w:caps w:val="0"/>
          <w:color w:val="333333"/>
          <w:spacing w:val="0"/>
          <w:sz w:val="21"/>
          <w:szCs w:val="21"/>
          <w:bdr w:val="none" w:color="auto" w:sz="0" w:space="0"/>
          <w:shd w:val="clear" w:fill="FFFFFF"/>
          <w:vertAlign w:val="baseline"/>
        </w:rPr>
        <w:t> 设立安全警示标识，使用期间对喷水池、水泵及其附属设施、防漏电设备设施的巡查应符合下列规定：</w:t>
      </w:r>
    </w:p>
    <w:p w14:paraId="64811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一级服务每周巡查不少于1次；</w:t>
      </w:r>
    </w:p>
    <w:p w14:paraId="595B8B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二级服务每周巡查不少于2次；</w:t>
      </w:r>
    </w:p>
    <w:p w14:paraId="5FD3F0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三级服务每周巡查不少于3次；</w:t>
      </w:r>
    </w:p>
    <w:p w14:paraId="3C9405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四级服务每周巡查不少于4次。</w:t>
      </w:r>
    </w:p>
    <w:p w14:paraId="65A01A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7.7.3 </w:t>
      </w:r>
      <w:r>
        <w:rPr>
          <w:rFonts w:hint="eastAsia" w:ascii="宋体" w:hAnsi="宋体" w:eastAsia="宋体" w:cs="宋体"/>
          <w:i w:val="0"/>
          <w:iCs w:val="0"/>
          <w:caps w:val="0"/>
          <w:color w:val="333333"/>
          <w:spacing w:val="0"/>
          <w:sz w:val="21"/>
          <w:szCs w:val="21"/>
          <w:bdr w:val="none" w:color="auto" w:sz="0" w:space="0"/>
          <w:shd w:val="clear" w:fill="FFFFFF"/>
          <w:vertAlign w:val="baseline"/>
        </w:rPr>
        <w:t> 防止滋生蚊蝇，保持水面清洁。对水池、人工湖、喷水池的保洁应符合下列规定：</w:t>
      </w:r>
    </w:p>
    <w:p w14:paraId="1C983B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一级服务每周保洁不少于1次；</w:t>
      </w:r>
    </w:p>
    <w:p w14:paraId="48E34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二级服务每周保洁不少于2次；</w:t>
      </w:r>
    </w:p>
    <w:p w14:paraId="4374C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三级服务隔周保洁不少于3次；</w:t>
      </w:r>
    </w:p>
    <w:p w14:paraId="22D44C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四级服务每周保洁不少于4次。</w:t>
      </w:r>
    </w:p>
    <w:p w14:paraId="65F9AE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7.7.4 </w:t>
      </w:r>
      <w:r>
        <w:rPr>
          <w:rFonts w:hint="eastAsia" w:ascii="宋体" w:hAnsi="宋体" w:eastAsia="宋体" w:cs="宋体"/>
          <w:i w:val="0"/>
          <w:iCs w:val="0"/>
          <w:caps w:val="0"/>
          <w:color w:val="333333"/>
          <w:spacing w:val="0"/>
          <w:sz w:val="21"/>
          <w:szCs w:val="21"/>
          <w:bdr w:val="none" w:color="auto" w:sz="0" w:space="0"/>
          <w:shd w:val="clear" w:fill="FFFFFF"/>
          <w:vertAlign w:val="baseline"/>
        </w:rPr>
        <w:t> 发现设施设备发生脱焊、脱漆、断裂等安全隐患，及时报告处理。雕塑、娱乐、健身设施的保洁检查应符合下列规定：</w:t>
      </w:r>
    </w:p>
    <w:p w14:paraId="41F285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一级服务每周保洁检查不少于1次；</w:t>
      </w:r>
    </w:p>
    <w:p w14:paraId="3A46B3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二级服务每周保洁检查不少于2次；</w:t>
      </w:r>
    </w:p>
    <w:p w14:paraId="66231F1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三级服务每周保洁检查不少于3次；</w:t>
      </w:r>
    </w:p>
    <w:p w14:paraId="0BE321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四级服务每周保洁检查不少于4次。</w:t>
      </w:r>
    </w:p>
    <w:p w14:paraId="52DAC8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7.7.5 </w:t>
      </w:r>
      <w:r>
        <w:rPr>
          <w:rFonts w:hint="eastAsia" w:ascii="宋体" w:hAnsi="宋体" w:eastAsia="宋体" w:cs="宋体"/>
          <w:i w:val="0"/>
          <w:iCs w:val="0"/>
          <w:caps w:val="0"/>
          <w:color w:val="333333"/>
          <w:spacing w:val="0"/>
          <w:sz w:val="21"/>
          <w:szCs w:val="21"/>
          <w:bdr w:val="none" w:color="auto" w:sz="0" w:space="0"/>
          <w:shd w:val="clear" w:fill="FFFFFF"/>
          <w:vertAlign w:val="baseline"/>
        </w:rPr>
        <w:t> 水景观、雕塑、娱乐、健身设施完好率应符合下列规定：</w:t>
      </w:r>
    </w:p>
    <w:p w14:paraId="315E06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一级服务达65%以上；</w:t>
      </w:r>
    </w:p>
    <w:p w14:paraId="5FA84F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二级服务达75%以上；</w:t>
      </w:r>
    </w:p>
    <w:p w14:paraId="51E672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三级服务达85%以上；</w:t>
      </w:r>
    </w:p>
    <w:p w14:paraId="74E03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4  </w:t>
      </w:r>
      <w:r>
        <w:rPr>
          <w:rFonts w:hint="eastAsia" w:ascii="宋体" w:hAnsi="宋体" w:eastAsia="宋体" w:cs="宋体"/>
          <w:i w:val="0"/>
          <w:iCs w:val="0"/>
          <w:caps w:val="0"/>
          <w:color w:val="333333"/>
          <w:spacing w:val="0"/>
          <w:sz w:val="21"/>
          <w:szCs w:val="21"/>
          <w:bdr w:val="none" w:color="auto" w:sz="0" w:space="0"/>
          <w:shd w:val="clear" w:fill="FFFFFF"/>
          <w:vertAlign w:val="baseline"/>
        </w:rPr>
        <w:t> 四级服务达95%以上。</w:t>
      </w:r>
    </w:p>
    <w:p w14:paraId="47B62B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615A8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7.8 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装饰装修</w:t>
      </w:r>
    </w:p>
    <w:p w14:paraId="558AE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1E71A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7.8.1  </w:t>
      </w:r>
      <w:r>
        <w:rPr>
          <w:rFonts w:hint="eastAsia" w:ascii="宋体" w:hAnsi="宋体" w:eastAsia="宋体" w:cs="宋体"/>
          <w:i w:val="0"/>
          <w:iCs w:val="0"/>
          <w:caps w:val="0"/>
          <w:color w:val="333333"/>
          <w:spacing w:val="0"/>
          <w:sz w:val="21"/>
          <w:szCs w:val="21"/>
          <w:bdr w:val="none" w:color="auto" w:sz="0" w:space="0"/>
          <w:shd w:val="clear" w:fill="FFFFFF"/>
          <w:vertAlign w:val="baseline"/>
        </w:rPr>
        <w:t>按照购房合同、室内装饰装修工程规定和管理规约（临时管理规约）要求，建立住宅装饰装修管理服务制度和管理档案。</w:t>
      </w:r>
    </w:p>
    <w:p w14:paraId="58F0BC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7.8.2 </w:t>
      </w:r>
      <w:r>
        <w:rPr>
          <w:rFonts w:hint="eastAsia" w:ascii="宋体" w:hAnsi="宋体" w:eastAsia="宋体" w:cs="宋体"/>
          <w:i w:val="0"/>
          <w:iCs w:val="0"/>
          <w:caps w:val="0"/>
          <w:color w:val="333333"/>
          <w:spacing w:val="0"/>
          <w:sz w:val="21"/>
          <w:szCs w:val="21"/>
          <w:bdr w:val="none" w:color="auto" w:sz="0" w:space="0"/>
          <w:shd w:val="clear" w:fill="FFFFFF"/>
          <w:vertAlign w:val="baseline"/>
        </w:rPr>
        <w:t> 受理业主的装饰装修申报登记，装修前与业主、装修人或施工单位签订室内装修管理服务协议，明确各方权利义务和责任，告知业主及装修人员有关装饰装修的禁止行为和注意事项以及垃圾堆放和清运方式。</w:t>
      </w:r>
    </w:p>
    <w:p w14:paraId="6F9A3C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7.8.3  </w:t>
      </w:r>
      <w:r>
        <w:rPr>
          <w:rFonts w:hint="eastAsia" w:ascii="宋体" w:hAnsi="宋体" w:eastAsia="宋体" w:cs="宋体"/>
          <w:i w:val="0"/>
          <w:iCs w:val="0"/>
          <w:caps w:val="0"/>
          <w:color w:val="333333"/>
          <w:spacing w:val="0"/>
          <w:sz w:val="21"/>
          <w:szCs w:val="21"/>
          <w:bdr w:val="none" w:color="auto" w:sz="0" w:space="0"/>
          <w:shd w:val="clear" w:fill="FFFFFF"/>
          <w:vertAlign w:val="baseline"/>
        </w:rPr>
        <w:t>对进出的装修车辆和装修人员实行登记管理。</w:t>
      </w:r>
    </w:p>
    <w:p w14:paraId="227570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7.8.4 </w:t>
      </w:r>
      <w:r>
        <w:rPr>
          <w:rFonts w:hint="eastAsia" w:ascii="宋体" w:hAnsi="宋体" w:eastAsia="宋体" w:cs="宋体"/>
          <w:i w:val="0"/>
          <w:iCs w:val="0"/>
          <w:caps w:val="0"/>
          <w:color w:val="333333"/>
          <w:spacing w:val="0"/>
          <w:sz w:val="21"/>
          <w:szCs w:val="21"/>
          <w:bdr w:val="none" w:color="auto" w:sz="0" w:space="0"/>
          <w:shd w:val="clear" w:fill="FFFFFF"/>
          <w:vertAlign w:val="baseline"/>
        </w:rPr>
        <w:t> 装饰装修期间，发现业主违规装修、违章搭建或改变房屋外观、危及房屋结构安全及违规拆改共用线路、不符合消防管理规定等损害公共利益现象的，应及时劝阻，已造成事实后果或者情节严重拒不改正的，要下发书面违章违约通知，及时报告相关主管部门、业主委员会。</w:t>
      </w:r>
    </w:p>
    <w:p w14:paraId="1F29108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7.8.5 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物业服务人员应按照室内装修管理服务协议，对施工现场进行巡视检查和记录。</w:t>
      </w:r>
    </w:p>
    <w:p w14:paraId="0DCFE8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一级、二级服务应每周巡查不少于 2次；</w:t>
      </w:r>
    </w:p>
    <w:p w14:paraId="4DE3B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三级、四级服务应每天巡查不少于 1次；</w:t>
      </w:r>
    </w:p>
    <w:p w14:paraId="3B04A2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装修巡视时，有防水施工的，应要求其按规定监督其做</w:t>
      </w:r>
    </w:p>
    <w:p w14:paraId="51C563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闭水试验。</w:t>
      </w:r>
    </w:p>
    <w:p w14:paraId="1FE6B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7.8.6 </w:t>
      </w:r>
      <w:r>
        <w:rPr>
          <w:rFonts w:hint="eastAsia" w:ascii="宋体" w:hAnsi="宋体" w:eastAsia="宋体" w:cs="宋体"/>
          <w:i w:val="0"/>
          <w:iCs w:val="0"/>
          <w:caps w:val="0"/>
          <w:color w:val="333333"/>
          <w:spacing w:val="0"/>
          <w:sz w:val="21"/>
          <w:szCs w:val="21"/>
          <w:bdr w:val="none" w:color="auto" w:sz="0" w:space="0"/>
          <w:shd w:val="clear" w:fill="FFFFFF"/>
          <w:vertAlign w:val="baseline"/>
        </w:rPr>
        <w:t> 指定装修垃圾存放点，集中设置围挡，不得外溢。业主委托物业服务企业清运装修垃圾的，集中装修期间，装修垃圾应每天密闭清运。</w:t>
      </w:r>
    </w:p>
    <w:p w14:paraId="3608C0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7.8.7</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业主或装修人自行清运装修垃圾的，应采用袋装运输或密闭运输方式，在2天内清运。</w:t>
      </w:r>
    </w:p>
    <w:p w14:paraId="4216A4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13B7C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2AEA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ascii="Calibri" w:hAnsi="Calibri" w:cs="Calibri"/>
          <w:i w:val="0"/>
          <w:iCs w:val="0"/>
          <w:caps w:val="0"/>
          <w:color w:val="000000"/>
          <w:spacing w:val="0"/>
          <w:sz w:val="44"/>
          <w:szCs w:val="44"/>
        </w:rPr>
      </w:pPr>
      <w:r>
        <w:rPr>
          <w:rFonts w:hint="eastAsia" w:ascii="宋体" w:hAnsi="宋体" w:eastAsia="宋体" w:cs="宋体"/>
          <w:i w:val="0"/>
          <w:iCs w:val="0"/>
          <w:caps w:val="0"/>
          <w:color w:val="333333"/>
          <w:spacing w:val="0"/>
          <w:sz w:val="28"/>
          <w:szCs w:val="28"/>
          <w:bdr w:val="none" w:color="auto" w:sz="0" w:space="0"/>
          <w:shd w:val="clear" w:fill="FFFFFF"/>
          <w:vertAlign w:val="baseline"/>
        </w:rPr>
        <w:t>本标准用词说明</w:t>
      </w:r>
    </w:p>
    <w:p w14:paraId="228C9B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8F5F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为便于在执行本标准条文时区别对待，对要求严格程度不同的用词说明如下：</w:t>
      </w:r>
    </w:p>
    <w:p w14:paraId="17549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表示很严格，非这样做不可的：</w:t>
      </w:r>
    </w:p>
    <w:p w14:paraId="17564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正面词采用“必须”，反面词采用“严禁”；</w:t>
      </w:r>
    </w:p>
    <w:p w14:paraId="58BCCD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表示严格，在正常情况下均应这样做的：</w:t>
      </w:r>
    </w:p>
    <w:p w14:paraId="48085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正面词采用“应”，反面词采用“不应”或“不得”；</w:t>
      </w:r>
    </w:p>
    <w:p w14:paraId="3AE82A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表示允许稍有选择，在条件许可时首先应这样做的：</w:t>
      </w:r>
    </w:p>
    <w:p w14:paraId="058FEF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正面词采用“宜”，反面词采用“不宜”；</w:t>
      </w:r>
    </w:p>
    <w:p w14:paraId="0713C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3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表示有选择，在一定条件下可以这样做的，采用“可”。</w:t>
      </w:r>
    </w:p>
    <w:p w14:paraId="446D1C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标准中指明应按其它有关标准、规范执行时，写法为：“应符合……的规定（或要求）”或“应按……执行”。</w:t>
      </w:r>
    </w:p>
    <w:p w14:paraId="7E51F3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1B221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30C16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2D4D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28F95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63"/>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FFFFFF"/>
          <w:spacing w:val="0"/>
          <w:sz w:val="21"/>
          <w:szCs w:val="21"/>
          <w:bdr w:val="none" w:color="auto" w:sz="0" w:space="0"/>
          <w:shd w:val="clear" w:fill="FFFFFF"/>
          <w:vertAlign w:val="baseline"/>
        </w:rPr>
        <w:t> </w:t>
      </w:r>
    </w:p>
    <w:p w14:paraId="2BE768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363"/>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FFFFFF"/>
          <w:spacing w:val="0"/>
          <w:sz w:val="21"/>
          <w:szCs w:val="21"/>
          <w:bdr w:val="none" w:color="auto" w:sz="0" w:space="0"/>
          <w:shd w:val="clear" w:fill="FFFFFF"/>
          <w:vertAlign w:val="baseline"/>
        </w:rPr>
        <w:t> </w:t>
      </w:r>
    </w:p>
    <w:p w14:paraId="3A0BC0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B3DED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28"/>
          <w:sz w:val="24"/>
          <w:szCs w:val="24"/>
          <w:bdr w:val="none" w:color="auto" w:sz="0" w:space="0"/>
          <w:shd w:val="clear" w:fill="FFFFFF"/>
          <w:vertAlign w:val="baseline"/>
        </w:rPr>
        <w:t>新疆维吾尔自治区工程建设标准</w:t>
      </w:r>
    </w:p>
    <w:p w14:paraId="6DC43C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2B72B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D4027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0"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1A2717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145" w:firstLine="0"/>
        <w:jc w:val="center"/>
        <w:textAlignment w:val="baseline"/>
        <w:rPr>
          <w:rFonts w:hint="default" w:ascii="Arial" w:hAnsi="Arial" w:cs="Arial"/>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333333"/>
          <w:spacing w:val="45"/>
          <w:sz w:val="36"/>
          <w:szCs w:val="36"/>
          <w:bdr w:val="none" w:color="auto" w:sz="0" w:space="0"/>
          <w:shd w:val="clear" w:fill="FFFFFF"/>
          <w:vertAlign w:val="baseline"/>
        </w:rPr>
        <w:t>住宅物业服务标准</w:t>
      </w:r>
    </w:p>
    <w:p w14:paraId="37CAD7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left="0" w:right="-145" w:firstLine="0"/>
        <w:jc w:val="center"/>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5212E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Service standard of residential property</w:t>
      </w:r>
    </w:p>
    <w:p w14:paraId="402863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231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442B0B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J12375—2020</w:t>
      </w:r>
    </w:p>
    <w:p w14:paraId="32845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XJJ056—2019</w:t>
      </w:r>
    </w:p>
    <w:p w14:paraId="0EE02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CDCC8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 w:lineRule="atLeast"/>
        <w:ind w:left="0" w:right="0" w:firstLine="0"/>
        <w:jc w:val="center"/>
        <w:textAlignment w:val="baseline"/>
        <w:rPr>
          <w:rFonts w:hint="default" w:ascii="Calibri" w:hAnsi="Calibri" w:cs="Calibri"/>
          <w:i w:val="0"/>
          <w:iCs w:val="0"/>
          <w:caps w:val="0"/>
          <w:color w:val="000000"/>
          <w:spacing w:val="0"/>
          <w:sz w:val="44"/>
          <w:szCs w:val="4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条 文 说 明</w:t>
      </w:r>
    </w:p>
    <w:p w14:paraId="4D154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31F78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CAD34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643B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9E136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368A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0EC7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3C2D5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BA810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7BFA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7DE46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1A542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56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目  次</w:t>
      </w:r>
    </w:p>
    <w:p w14:paraId="59AF1F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A965C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1   总 则  ....................................39</w:t>
      </w:r>
    </w:p>
    <w:p w14:paraId="5F64A4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2   术 语  ....................................40</w:t>
      </w:r>
    </w:p>
    <w:p w14:paraId="2DDC23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3   基本规定  .................................42</w:t>
      </w:r>
    </w:p>
    <w:p w14:paraId="3A8890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3.1  一般规定  ..............................42</w:t>
      </w:r>
    </w:p>
    <w:p w14:paraId="6252FE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3.2  物业服务人员  ..........................43</w:t>
      </w:r>
    </w:p>
    <w:p w14:paraId="00AD3B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3.3  基本服务  ..............................43</w:t>
      </w:r>
    </w:p>
    <w:p w14:paraId="6894E0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4   公共秩序  .................................46</w:t>
      </w:r>
    </w:p>
    <w:p w14:paraId="107835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4.1  一般规定  ..............................46</w:t>
      </w:r>
    </w:p>
    <w:p w14:paraId="5D406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4.2  服务等级  ..............................46</w:t>
      </w:r>
    </w:p>
    <w:p w14:paraId="73F5F6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4.3  消防安全防范  ..........................46</w:t>
      </w:r>
    </w:p>
    <w:p w14:paraId="7468B5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5   环境卫生  .................................48</w:t>
      </w:r>
    </w:p>
    <w:p w14:paraId="73E1C6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5.1  一般规定  ..............................48</w:t>
      </w:r>
    </w:p>
    <w:p w14:paraId="457AA9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5.2  服务等级  ..............................48</w:t>
      </w:r>
    </w:p>
    <w:p w14:paraId="59FD36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6   绿化养护  .................................50</w:t>
      </w:r>
    </w:p>
    <w:p w14:paraId="7B19B1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6.1  一般规定  ..............................50</w:t>
      </w:r>
    </w:p>
    <w:p w14:paraId="7F9311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6.2  服务等级  ..............................50</w:t>
      </w:r>
    </w:p>
    <w:p w14:paraId="29D846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7  共用部位和共用设施设备  ....................51</w:t>
      </w:r>
    </w:p>
    <w:p w14:paraId="30CB8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7.1  综合管理  ..............................51</w:t>
      </w:r>
    </w:p>
    <w:p w14:paraId="3E6452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7.5  电梯运行  ..............................51</w:t>
      </w:r>
    </w:p>
    <w:p w14:paraId="05AA4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7.8  装饰装修  ..............................52</w:t>
      </w:r>
    </w:p>
    <w:p w14:paraId="23258D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B23E25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773C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CE5EE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D3725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1  总 则</w:t>
      </w:r>
    </w:p>
    <w:p w14:paraId="4F055B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CFFD6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1.0.1  </w:t>
      </w:r>
      <w:r>
        <w:rPr>
          <w:rFonts w:hint="eastAsia" w:ascii="宋体" w:hAnsi="宋体" w:eastAsia="宋体" w:cs="宋体"/>
          <w:i w:val="0"/>
          <w:iCs w:val="0"/>
          <w:caps w:val="0"/>
          <w:color w:val="333333"/>
          <w:spacing w:val="0"/>
          <w:sz w:val="21"/>
          <w:szCs w:val="21"/>
          <w:bdr w:val="none" w:color="auto" w:sz="0" w:space="0"/>
          <w:shd w:val="clear" w:fill="FFFFFF"/>
          <w:vertAlign w:val="baseline"/>
        </w:rPr>
        <w:t>编制本标准目的是为了规范物业管理活动，维护业主和物业服务企业的合法权益，创造宜居的生活环境。</w:t>
      </w:r>
    </w:p>
    <w:p w14:paraId="0E271C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1.0.2  </w:t>
      </w:r>
      <w:r>
        <w:rPr>
          <w:rFonts w:hint="eastAsia" w:ascii="宋体" w:hAnsi="宋体" w:eastAsia="宋体" w:cs="宋体"/>
          <w:i w:val="0"/>
          <w:iCs w:val="0"/>
          <w:caps w:val="0"/>
          <w:color w:val="333333"/>
          <w:spacing w:val="0"/>
          <w:sz w:val="21"/>
          <w:szCs w:val="21"/>
          <w:bdr w:val="none" w:color="auto" w:sz="0" w:space="0"/>
          <w:shd w:val="clear" w:fill="FFFFFF"/>
          <w:vertAlign w:val="baseline"/>
        </w:rPr>
        <w:t>标准对适用范围做出规定：</w:t>
      </w:r>
    </w:p>
    <w:p w14:paraId="07A2E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适用于住宅（但一个业主所有且与其他物业不具有共用</w:t>
      </w:r>
    </w:p>
    <w:p w14:paraId="070487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部位、共用设施设备的除外）、住宅小区内的非住宅或者住宅小区外与单幢住宅结构相连的非住宅；</w:t>
      </w:r>
    </w:p>
    <w:p w14:paraId="71D3E6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适用于房屋的共用部位和共用设施设备，以及物业管理</w:t>
      </w:r>
    </w:p>
    <w:p w14:paraId="6231C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区域内的相关场地、公共秩序、环境卫生等服务活动；</w:t>
      </w:r>
    </w:p>
    <w:p w14:paraId="4E4BE7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3 </w:t>
      </w:r>
      <w:r>
        <w:rPr>
          <w:rFonts w:hint="eastAsia" w:ascii="宋体" w:hAnsi="宋体" w:eastAsia="宋体" w:cs="宋体"/>
          <w:i w:val="0"/>
          <w:iCs w:val="0"/>
          <w:caps w:val="0"/>
          <w:color w:val="333333"/>
          <w:spacing w:val="0"/>
          <w:sz w:val="21"/>
          <w:szCs w:val="21"/>
          <w:bdr w:val="none" w:color="auto" w:sz="0" w:space="0"/>
          <w:shd w:val="clear" w:fill="FFFFFF"/>
          <w:vertAlign w:val="baseline"/>
        </w:rPr>
        <w:t> 非住宅小区的物业服务可参考本标准执行。</w:t>
      </w:r>
    </w:p>
    <w:p w14:paraId="4E5E65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1.0.4</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物业服务合同是对物业管理的范围、管理事项、服务内容、服务等级、服务费用、双方的权利义务、专项维修资金的管理与使用、物业服务用房、合同期限、违约责任等内容进行约定。服务等级通过合同约定。</w:t>
      </w:r>
    </w:p>
    <w:p w14:paraId="0F566F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1.0.6</w:t>
      </w:r>
      <w:r>
        <w:rPr>
          <w:rFonts w:hint="eastAsia" w:ascii="宋体" w:hAnsi="宋体" w:eastAsia="宋体" w:cs="宋体"/>
          <w:i w:val="0"/>
          <w:iCs w:val="0"/>
          <w:caps w:val="0"/>
          <w:color w:val="333333"/>
          <w:spacing w:val="0"/>
          <w:sz w:val="21"/>
          <w:szCs w:val="21"/>
          <w:bdr w:val="none" w:color="auto" w:sz="0" w:space="0"/>
          <w:shd w:val="clear" w:fill="FFFFFF"/>
          <w:vertAlign w:val="baseline"/>
        </w:rPr>
        <w:t>  住宅物业服务牵涉面广，综合性强，涉及《中华人民共和国民法总则》《中华人民共和国物权法》《中华人民共和国合同法》《物业管理条例》《新疆维吾尔自治区物业管理条例》等多项法律法规和相关标准。</w:t>
      </w:r>
    </w:p>
    <w:p w14:paraId="460A2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36891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6F745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C938D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06944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EF559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4264A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2  术  语</w:t>
      </w:r>
    </w:p>
    <w:p w14:paraId="1BCE40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8514D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2.0.1 </w:t>
      </w:r>
      <w:r>
        <w:rPr>
          <w:rFonts w:hint="eastAsia" w:ascii="宋体" w:hAnsi="宋体" w:eastAsia="宋体" w:cs="宋体"/>
          <w:i w:val="0"/>
          <w:iCs w:val="0"/>
          <w:caps w:val="0"/>
          <w:color w:val="333333"/>
          <w:spacing w:val="0"/>
          <w:sz w:val="21"/>
          <w:szCs w:val="21"/>
          <w:bdr w:val="none" w:color="auto" w:sz="0" w:space="0"/>
          <w:shd w:val="clear" w:fill="FFFFFF"/>
          <w:vertAlign w:val="baseline"/>
        </w:rPr>
        <w:t> 依据现行国家《民用建筑设计术语标准》GB/T 50504-2009、行业标准《房地产业基本术语标准》JGJ/T30-2015等相关标准，本标准中住宅引自国家标准《民用建筑设计术语标准》（GB/T 50504-2009）通用术语2.2“建筑分类”相关内容。采用2.2.2 民用建筑:供人们居住和进行各种公共活动的建筑的总称。</w:t>
      </w:r>
    </w:p>
    <w:p w14:paraId="2A41E5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2.0.7  </w:t>
      </w:r>
      <w:r>
        <w:rPr>
          <w:rFonts w:hint="eastAsia" w:ascii="宋体" w:hAnsi="宋体" w:eastAsia="宋体" w:cs="宋体"/>
          <w:i w:val="0"/>
          <w:iCs w:val="0"/>
          <w:caps w:val="0"/>
          <w:color w:val="333333"/>
          <w:spacing w:val="0"/>
          <w:sz w:val="21"/>
          <w:szCs w:val="21"/>
          <w:bdr w:val="none" w:color="auto" w:sz="0" w:space="0"/>
          <w:shd w:val="clear" w:fill="FFFFFF"/>
          <w:vertAlign w:val="baseline"/>
        </w:rPr>
        <w:t>共用设施设备依据《新疆维吾尔自治区物业管理条例》规定表述。</w:t>
      </w:r>
    </w:p>
    <w:p w14:paraId="77995C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2.0.8 </w:t>
      </w:r>
      <w:r>
        <w:rPr>
          <w:rFonts w:hint="eastAsia" w:ascii="宋体" w:hAnsi="宋体" w:eastAsia="宋体" w:cs="宋体"/>
          <w:i w:val="0"/>
          <w:iCs w:val="0"/>
          <w:caps w:val="0"/>
          <w:color w:val="333333"/>
          <w:spacing w:val="0"/>
          <w:sz w:val="21"/>
          <w:szCs w:val="21"/>
          <w:bdr w:val="none" w:color="auto" w:sz="0" w:space="0"/>
          <w:shd w:val="clear" w:fill="FFFFFF"/>
          <w:vertAlign w:val="baseline"/>
        </w:rPr>
        <w:t> 专项服务的服务内容、标准、费用等由物业管理人与业主本着自愿、公平、公开、等价有偿、诚实信用的原则达成服务协议，可作为物业服务合同的附件，也可另行单独签订。如：老年人、伤残病人的护理、接送子女上学，室内家政、室内保洁、洗衣、做饭、洗车、财物保管、票务代理、代缴费用、空置房屋管理（含临时空置房屋）以及用于经营性的专用停车场、停车库管理与服务（不含占道停车服务）等。</w:t>
      </w:r>
    </w:p>
    <w:p w14:paraId="6505C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2.0.9 </w:t>
      </w:r>
      <w:r>
        <w:rPr>
          <w:rFonts w:hint="eastAsia" w:ascii="宋体" w:hAnsi="宋体" w:eastAsia="宋体" w:cs="宋体"/>
          <w:i w:val="0"/>
          <w:iCs w:val="0"/>
          <w:caps w:val="0"/>
          <w:color w:val="333333"/>
          <w:spacing w:val="0"/>
          <w:sz w:val="21"/>
          <w:szCs w:val="21"/>
          <w:bdr w:val="none" w:color="auto" w:sz="0" w:space="0"/>
          <w:shd w:val="clear" w:fill="FFFFFF"/>
          <w:vertAlign w:val="baseline"/>
        </w:rPr>
        <w:t> 特约服务为物业管理人对业主进行预约上门服务。</w:t>
      </w:r>
    </w:p>
    <w:p w14:paraId="35182E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2.0.11</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业主专有部分维修通常由业主与物业管理人协商解决。一般包括业主房屋内出现供水、排水、供热、供电等故障，影响业主正常生活，或可能影响相邻业主利益的。</w:t>
      </w:r>
    </w:p>
    <w:p w14:paraId="355E4C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2.0.12 </w:t>
      </w:r>
      <w:r>
        <w:rPr>
          <w:rFonts w:hint="eastAsia" w:ascii="宋体" w:hAnsi="宋体" w:eastAsia="宋体" w:cs="宋体"/>
          <w:i w:val="0"/>
          <w:iCs w:val="0"/>
          <w:caps w:val="0"/>
          <w:color w:val="333333"/>
          <w:spacing w:val="0"/>
          <w:sz w:val="21"/>
          <w:szCs w:val="21"/>
          <w:bdr w:val="none" w:color="auto" w:sz="0" w:space="0"/>
          <w:shd w:val="clear" w:fill="FFFFFF"/>
          <w:vertAlign w:val="baseline"/>
        </w:rPr>
        <w:t> 本条所述常见的紧急维修项目包括：</w:t>
      </w:r>
    </w:p>
    <w:p w14:paraId="7F80DC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w:t>
      </w:r>
      <w:r>
        <w:rPr>
          <w:rFonts w:hint="eastAsia" w:ascii="宋体" w:hAnsi="宋体" w:eastAsia="宋体" w:cs="宋体"/>
          <w:i w:val="0"/>
          <w:iCs w:val="0"/>
          <w:caps w:val="0"/>
          <w:color w:val="333333"/>
          <w:spacing w:val="0"/>
          <w:sz w:val="21"/>
          <w:szCs w:val="21"/>
          <w:bdr w:val="none" w:color="auto" w:sz="0" w:space="0"/>
          <w:shd w:val="clear" w:fill="FFFFFF"/>
          <w:vertAlign w:val="baseline"/>
        </w:rPr>
        <w:t>   房屋外墙装饰面有脱落危险；</w:t>
      </w:r>
    </w:p>
    <w:p w14:paraId="67F01D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屋面、外墙面出现严重渗漏；</w:t>
      </w:r>
    </w:p>
    <w:p w14:paraId="446DD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阳台、晒台、扶梯等各种扶手、栏杆有脱落危险；</w:t>
      </w:r>
    </w:p>
    <w:p w14:paraId="13D68B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供水系统因水泵故障停水、给水管爆裂造成跑水；</w:t>
      </w:r>
    </w:p>
    <w:p w14:paraId="05D6C6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w:t>
      </w:r>
      <w:r>
        <w:rPr>
          <w:rFonts w:hint="eastAsia" w:ascii="宋体" w:hAnsi="宋体" w:eastAsia="宋体" w:cs="宋体"/>
          <w:i w:val="0"/>
          <w:iCs w:val="0"/>
          <w:caps w:val="0"/>
          <w:color w:val="333333"/>
          <w:spacing w:val="0"/>
          <w:sz w:val="21"/>
          <w:szCs w:val="21"/>
          <w:bdr w:val="none" w:color="auto" w:sz="0" w:space="0"/>
          <w:shd w:val="clear" w:fill="FFFFFF"/>
          <w:vertAlign w:val="baseline"/>
        </w:rPr>
        <w:t>   排水系统因坍塌、堵塞、漏水、爆裂造成功能障碍；</w:t>
      </w:r>
    </w:p>
    <w:p w14:paraId="6B7010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电梯发生冲顶、蹲底或意外灾害；</w:t>
      </w:r>
    </w:p>
    <w:p w14:paraId="4E1DF9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w:t>
      </w:r>
      <w:r>
        <w:rPr>
          <w:rFonts w:hint="eastAsia" w:ascii="宋体" w:hAnsi="宋体" w:eastAsia="宋体" w:cs="宋体"/>
          <w:i w:val="0"/>
          <w:iCs w:val="0"/>
          <w:caps w:val="0"/>
          <w:color w:val="333333"/>
          <w:spacing w:val="0"/>
          <w:sz w:val="21"/>
          <w:szCs w:val="21"/>
          <w:bdr w:val="none" w:color="auto" w:sz="0" w:space="0"/>
          <w:shd w:val="clear" w:fill="FFFFFF"/>
          <w:vertAlign w:val="baseline"/>
        </w:rPr>
        <w:t>   供电系统因供电设备、线路故障造成停电；</w:t>
      </w:r>
    </w:p>
    <w:p w14:paraId="17BB8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20"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8 </w:t>
      </w:r>
      <w:r>
        <w:rPr>
          <w:rFonts w:hint="eastAsia" w:ascii="宋体" w:hAnsi="宋体" w:eastAsia="宋体" w:cs="宋体"/>
          <w:i w:val="0"/>
          <w:iCs w:val="0"/>
          <w:caps w:val="0"/>
          <w:color w:val="333333"/>
          <w:spacing w:val="0"/>
          <w:sz w:val="21"/>
          <w:szCs w:val="21"/>
          <w:bdr w:val="none" w:color="auto" w:sz="0" w:space="0"/>
          <w:shd w:val="clear" w:fill="FFFFFF"/>
          <w:vertAlign w:val="baseline"/>
        </w:rPr>
        <w:t>  其他共用部位及共用设施出现安全隐患，必须处理的。</w:t>
      </w:r>
    </w:p>
    <w:p w14:paraId="38648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2EBF4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D96F0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8D7F8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5EC2D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76244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FE5D3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E2F1B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C7DF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B3117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FFDD2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9175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4DF06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7D991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4ABB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8FBF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D0432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A4E14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652D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F3C45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00AB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F2536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3  基本规定</w:t>
      </w:r>
    </w:p>
    <w:p w14:paraId="48E86F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A73E4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3.1 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417B9E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1DEEC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3.1.1</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条例》《新疆维吾尔自治区物业管理条例》规定业主享有对物业共用部位、共用设施设备和相关场地使用情况享有知情权和监督权。物业管理人的各项工作标准和考核标准，应作为物业服务合同附件内容，自觉接受业主和政府有关部门的监督。</w:t>
      </w:r>
    </w:p>
    <w:p w14:paraId="3AB029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物业服务的项目较为繁琐，各岗位工作可能出现交叉，为了明确各岗位职责，提高工作效率，应当建立各岗位操作规程，确保服务质量；</w:t>
      </w:r>
    </w:p>
    <w:p w14:paraId="08888B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3.1.2</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物业服务标准等级与经济发展水平相适应，有必要制定不同的服务标准等级或服务方式，适应不同消费水平，满足不同业主的需要。</w:t>
      </w:r>
    </w:p>
    <w:p w14:paraId="52752B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3.1.3 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物业服务等级应在物业服务合同中明示，且一个物业管理区域应选择一个服务等级。对服务项目和服务内容不宜划分服务等级的，只做定性规定，不做定量要求。</w:t>
      </w:r>
    </w:p>
    <w:p w14:paraId="43E287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3.1.4 </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业主满意率是衡量物业服务质量的重要指标。物业管理人应根据物业服务合同和本标准的服务内容，向全体业主书面征求意见。对存在的问题，及时制定整改措施，接受业主的监督；</w:t>
      </w:r>
    </w:p>
    <w:p w14:paraId="0A776EB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3.1.6</w:t>
      </w:r>
      <w:r>
        <w:rPr>
          <w:rFonts w:hint="eastAsia" w:ascii="宋体" w:hAnsi="宋体" w:eastAsia="宋体" w:cs="宋体"/>
          <w:i w:val="0"/>
          <w:iCs w:val="0"/>
          <w:caps w:val="0"/>
          <w:color w:val="333333"/>
          <w:spacing w:val="0"/>
          <w:sz w:val="21"/>
          <w:szCs w:val="21"/>
          <w:bdr w:val="none" w:color="auto" w:sz="0" w:space="0"/>
          <w:shd w:val="clear" w:fill="FFFFFF"/>
          <w:vertAlign w:val="baseline"/>
        </w:rPr>
        <w:t>  非物业服务企业原因，如专用的共用设施设备损坏，罕见的灾害天气等原因，造成服务不能按时达标的，应及时向业主做出合理的解释说明，取得谅解，并限期完成服务内容。</w:t>
      </w:r>
    </w:p>
    <w:p w14:paraId="68CE9C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3.2 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物业服务人员</w:t>
      </w:r>
    </w:p>
    <w:p w14:paraId="4818DF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7C3D1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3.2.2 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依据服务等级、建筑面积、高层和多层住宅、建筑容积率、服务环境、服务半径、技术装备、管理水平、服务人员的操作水平等综合因素，合理配备物业服务人员数量。根据自治区物业管理水平现状，借鉴外省、市经验，制定了物业服务人员配置数量参考表。</w:t>
      </w:r>
    </w:p>
    <w:p w14:paraId="136FE8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鼓励物业管理人采用新技术、新方法，依靠科技进步，提高管理和服务水平。人力成本是物业服务的主要成本，应通过采取加强质量管理、提高机械化、智能化等技术服务手段和方法，在保证服务质量的前提下，可对人员配置数量进行适当调整。                                            </w:t>
      </w:r>
    </w:p>
    <w:p w14:paraId="01D80F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F229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108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8"/>
          <w:szCs w:val="28"/>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3.3 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基本服务</w:t>
      </w:r>
    </w:p>
    <w:p w14:paraId="59C2B6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F9868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w:t>
      </w:r>
      <w:r>
        <w:rPr>
          <w:rFonts w:hint="eastAsia" w:ascii="宋体" w:hAnsi="宋体" w:eastAsia="宋体" w:cs="宋体"/>
          <w:i w:val="0"/>
          <w:iCs w:val="0"/>
          <w:caps w:val="0"/>
          <w:color w:val="333333"/>
          <w:spacing w:val="0"/>
          <w:sz w:val="21"/>
          <w:szCs w:val="21"/>
          <w:bdr w:val="none" w:color="auto" w:sz="0" w:space="0"/>
          <w:shd w:val="clear" w:fill="FFFFFF"/>
          <w:vertAlign w:val="baseline"/>
        </w:rPr>
        <w:t>  在办理物业承接验收手续时，建设单位或业主委员会应当向物业管理人移交资料如下：</w:t>
      </w:r>
    </w:p>
    <w:p w14:paraId="28D83C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竣工总平面图，单体建筑、结构、设备竣工图，配套设施、地下管网工程竣工图，分户验收等竣工验收资料；</w:t>
      </w:r>
    </w:p>
    <w:p w14:paraId="79ADF4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w:t>
      </w:r>
      <w:r>
        <w:rPr>
          <w:rFonts w:hint="eastAsia" w:ascii="宋体" w:hAnsi="宋体" w:eastAsia="宋体" w:cs="宋体"/>
          <w:i w:val="0"/>
          <w:iCs w:val="0"/>
          <w:caps w:val="0"/>
          <w:color w:val="333333"/>
          <w:spacing w:val="0"/>
          <w:sz w:val="21"/>
          <w:szCs w:val="21"/>
          <w:bdr w:val="none" w:color="auto" w:sz="0" w:space="0"/>
          <w:shd w:val="clear" w:fill="FFFFFF"/>
          <w:vertAlign w:val="baseline"/>
        </w:rPr>
        <w:t>  共用设施清单及其安装、使用和保养、维修等技术资料；</w:t>
      </w:r>
    </w:p>
    <w:p w14:paraId="7078C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园林施工图、树种清单；</w:t>
      </w:r>
    </w:p>
    <w:p w14:paraId="0E1065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物业质量保修文件和物业使用说明文件；</w:t>
      </w:r>
    </w:p>
    <w:p w14:paraId="5596C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5 </w:t>
      </w:r>
      <w:r>
        <w:rPr>
          <w:rFonts w:hint="eastAsia" w:ascii="宋体" w:hAnsi="宋体" w:eastAsia="宋体" w:cs="宋体"/>
          <w:i w:val="0"/>
          <w:iCs w:val="0"/>
          <w:caps w:val="0"/>
          <w:color w:val="333333"/>
          <w:spacing w:val="0"/>
          <w:sz w:val="21"/>
          <w:szCs w:val="21"/>
          <w:bdr w:val="none" w:color="auto" w:sz="0" w:space="0"/>
          <w:shd w:val="clear" w:fill="FFFFFF"/>
          <w:vertAlign w:val="baseline"/>
        </w:rPr>
        <w:t> 业主名册；</w:t>
      </w:r>
    </w:p>
    <w:p w14:paraId="55B4B5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w:t>
      </w:r>
      <w:r>
        <w:rPr>
          <w:rFonts w:hint="eastAsia" w:ascii="宋体" w:hAnsi="宋体" w:eastAsia="宋体" w:cs="宋体"/>
          <w:i w:val="0"/>
          <w:iCs w:val="0"/>
          <w:caps w:val="0"/>
          <w:color w:val="333333"/>
          <w:spacing w:val="0"/>
          <w:sz w:val="21"/>
          <w:szCs w:val="21"/>
          <w:bdr w:val="none" w:color="auto" w:sz="0" w:space="0"/>
          <w:shd w:val="clear" w:fill="FFFFFF"/>
          <w:vertAlign w:val="baseline"/>
        </w:rPr>
        <w:t>  法律、法规的规定或者双方约定交付的其他资料。</w:t>
      </w:r>
    </w:p>
    <w:p w14:paraId="3D1733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物业管理人应核对设施设备的名称、型号、数量、使用年限和完好等情况，建立共用部分和共用设施设备的台帐，签订承接查验协议，划分物业服务质量责任。</w:t>
      </w:r>
    </w:p>
    <w:p w14:paraId="51AAD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3.3.3 </w:t>
      </w:r>
      <w:r>
        <w:rPr>
          <w:rFonts w:hint="eastAsia" w:ascii="宋体" w:hAnsi="宋体" w:eastAsia="宋体" w:cs="宋体"/>
          <w:i w:val="0"/>
          <w:iCs w:val="0"/>
          <w:caps w:val="0"/>
          <w:color w:val="333333"/>
          <w:spacing w:val="0"/>
          <w:sz w:val="21"/>
          <w:szCs w:val="21"/>
          <w:bdr w:val="none" w:color="auto" w:sz="0" w:space="0"/>
          <w:shd w:val="clear" w:fill="FFFFFF"/>
          <w:vertAlign w:val="baseline"/>
        </w:rPr>
        <w:t> 应严格遵守业主资料信息保密规定，保护业主的合法权益，不得将资料提供给无关人员或转作其他用途。</w:t>
      </w:r>
    </w:p>
    <w:p w14:paraId="0BEE7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3.3.4 </w:t>
      </w:r>
      <w:r>
        <w:rPr>
          <w:rFonts w:hint="eastAsia" w:ascii="宋体" w:hAnsi="宋体" w:eastAsia="宋体" w:cs="宋体"/>
          <w:i w:val="0"/>
          <w:iCs w:val="0"/>
          <w:caps w:val="0"/>
          <w:color w:val="333333"/>
          <w:spacing w:val="0"/>
          <w:sz w:val="21"/>
          <w:szCs w:val="21"/>
          <w:bdr w:val="none" w:color="auto" w:sz="0" w:space="0"/>
          <w:shd w:val="clear" w:fill="FFFFFF"/>
          <w:vertAlign w:val="baseline"/>
        </w:rPr>
        <w:t> 客户服务场所属物业管理用房。《物业管理条例》第三十条规定，建设单位应当按照规定在物业管理区域配置必要的物业管理用房。《城市居住区规划设计规范》（GB50180）规定，应按照物业总建筑面积的2‰配备物业管理用房。《新疆维吾尔自治区物业管理条例》第十四条明确规定：物业服务用房建筑面积不低于物业管理区域总建筑面积的千分之二，除老旧住宅区外，总面积不少于三百平方米；物业服务用房分处设置的，单处建筑面积不小于五十平方米。</w:t>
      </w:r>
    </w:p>
    <w:p w14:paraId="7BABC5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客户服务场所是物业管理人接待业主服务的窗口，应在物业用房中设置方便服务业主的场所。已建成住宅区的，物业管理人应与业主协商解决。</w:t>
      </w:r>
    </w:p>
    <w:p w14:paraId="007336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3.3.5 </w:t>
      </w:r>
      <w:r>
        <w:rPr>
          <w:rFonts w:hint="eastAsia" w:ascii="宋体" w:hAnsi="宋体" w:eastAsia="宋体" w:cs="宋体"/>
          <w:i w:val="0"/>
          <w:iCs w:val="0"/>
          <w:caps w:val="0"/>
          <w:color w:val="333333"/>
          <w:spacing w:val="0"/>
          <w:sz w:val="21"/>
          <w:szCs w:val="21"/>
          <w:bdr w:val="none" w:color="auto" w:sz="0" w:space="0"/>
          <w:shd w:val="clear" w:fill="FFFFFF"/>
          <w:vertAlign w:val="baseline"/>
        </w:rPr>
        <w:t> 必要的办公设施设备主要包括电话、传真机、复印机、电脑、打印机等，宜使用计算机等现代化管理手段进行科学管理，提高管理服务效率和服务质量。</w:t>
      </w:r>
    </w:p>
    <w:p w14:paraId="21FE3C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3.3.6  </w:t>
      </w: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物业管理人应设置24小时服务电话，工作日和节假日有专人接待业主，并公示服务人员和作息时间。</w:t>
      </w:r>
    </w:p>
    <w:p w14:paraId="2B13E6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3.3.7 </w:t>
      </w:r>
      <w:r>
        <w:rPr>
          <w:rFonts w:hint="eastAsia" w:ascii="宋体" w:hAnsi="宋体" w:eastAsia="宋体" w:cs="宋体"/>
          <w:i w:val="0"/>
          <w:iCs w:val="0"/>
          <w:caps w:val="0"/>
          <w:color w:val="333333"/>
          <w:spacing w:val="0"/>
          <w:sz w:val="21"/>
          <w:szCs w:val="21"/>
          <w:bdr w:val="none" w:color="auto" w:sz="0" w:space="0"/>
          <w:shd w:val="clear" w:fill="FFFFFF"/>
          <w:vertAlign w:val="baseline"/>
        </w:rPr>
        <w:t> 维修回访是物业管理水平的体现，也是物业管理人与业主沟通的重要手段。通过维修回访，增加与业主的接触，了解业主的需求，更好地提供服务。涉及紧急维修时，考虑到住宅区的服务半径（包括高层建筑业主）和目前物业服务水平，征求物业管理人和业主的意见，有必要对等级服务的时限做出规定。对紧急维修和其他维修规定回访率，一是加强物业管理人对服务人员的工作质量监督，二是及时总结积累经验。</w:t>
      </w:r>
    </w:p>
    <w:p w14:paraId="317785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3.3.13 </w:t>
      </w:r>
      <w:r>
        <w:rPr>
          <w:rFonts w:hint="eastAsia" w:ascii="宋体" w:hAnsi="宋体" w:eastAsia="宋体" w:cs="宋体"/>
          <w:i w:val="0"/>
          <w:iCs w:val="0"/>
          <w:caps w:val="0"/>
          <w:color w:val="333333"/>
          <w:spacing w:val="0"/>
          <w:sz w:val="21"/>
          <w:szCs w:val="21"/>
          <w:bdr w:val="none" w:color="auto" w:sz="0" w:space="0"/>
          <w:shd w:val="clear" w:fill="FFFFFF"/>
          <w:vertAlign w:val="baseline"/>
        </w:rPr>
        <w:t> 供水、供电、供气、供热、通讯、有线电视等与业主生活息息相关，由于城市（乡镇）外网造成供应中断，如每年供热前试水等原因，在获知有关部门或单位信息后，应在第一时间通知业主。</w:t>
      </w:r>
    </w:p>
    <w:p w14:paraId="1522C5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3.3.14 </w:t>
      </w:r>
      <w:r>
        <w:rPr>
          <w:rFonts w:hint="eastAsia" w:ascii="宋体" w:hAnsi="宋体" w:eastAsia="宋体" w:cs="宋体"/>
          <w:i w:val="0"/>
          <w:iCs w:val="0"/>
          <w:caps w:val="0"/>
          <w:color w:val="333333"/>
          <w:spacing w:val="0"/>
          <w:sz w:val="21"/>
          <w:szCs w:val="21"/>
          <w:bdr w:val="none" w:color="auto" w:sz="0" w:space="0"/>
          <w:shd w:val="clear" w:fill="FFFFFF"/>
          <w:vertAlign w:val="baseline"/>
        </w:rPr>
        <w:t> 属物业正常维修养护的，应做好计划，控制影响范围和时间，并提前告知业主，如电梯的维修和保洁应避开使用高峰时段，减少对业主生活的影响。</w:t>
      </w:r>
    </w:p>
    <w:p w14:paraId="4A936C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88D2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2E615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8250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7FCF0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5FEF9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C497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6B0D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ACAB4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88D76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BEC91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4826C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6075F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C61A5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5A9F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4246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EE414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4  公共秩序</w:t>
      </w:r>
    </w:p>
    <w:p w14:paraId="51F977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C80F2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151DF9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C993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4.1.1～4.1.9   </w:t>
      </w:r>
      <w:r>
        <w:rPr>
          <w:rFonts w:hint="eastAsia" w:ascii="宋体" w:hAnsi="宋体" w:eastAsia="宋体" w:cs="宋体"/>
          <w:i w:val="0"/>
          <w:iCs w:val="0"/>
          <w:caps w:val="0"/>
          <w:color w:val="333333"/>
          <w:spacing w:val="0"/>
          <w:sz w:val="21"/>
          <w:szCs w:val="21"/>
          <w:bdr w:val="none" w:color="auto" w:sz="0" w:space="0"/>
          <w:shd w:val="clear" w:fill="FFFFFF"/>
          <w:vertAlign w:val="baseline"/>
        </w:rPr>
        <w:t>维护物业管理区域的公共秩序和安全，应建立健全各项安保制度和措施，如秩序维护人员门岗和巡逻值勤、突发事件的应急应变处理、消防安全等制度和措施，配备必要的设施和装备，加强对进出人员和车辆的管理，提高秩序维护人员服务技能。</w:t>
      </w:r>
    </w:p>
    <w:p w14:paraId="69BD2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EB1CA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5C0272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75A42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4.2.2</w:t>
      </w:r>
      <w:r>
        <w:rPr>
          <w:rFonts w:hint="eastAsia" w:ascii="宋体" w:hAnsi="宋体" w:eastAsia="宋体" w:cs="宋体"/>
          <w:i w:val="0"/>
          <w:iCs w:val="0"/>
          <w:caps w:val="0"/>
          <w:color w:val="333333"/>
          <w:spacing w:val="0"/>
          <w:sz w:val="21"/>
          <w:szCs w:val="21"/>
          <w:bdr w:val="none" w:color="auto" w:sz="0" w:space="0"/>
          <w:shd w:val="clear" w:fill="FFFFFF"/>
          <w:vertAlign w:val="baseline"/>
        </w:rPr>
        <w:t>  建设单位在建设过程中，应配备智能化监控系统。提高对公共区域监控覆盖率，对住宅区全方位的监控，提高业主的安全感，增强防控能力，降低秩序维护人员的工作强度。</w:t>
      </w:r>
    </w:p>
    <w:p w14:paraId="52ADF5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4.2.4  </w:t>
      </w:r>
      <w:r>
        <w:rPr>
          <w:rFonts w:hint="eastAsia" w:ascii="宋体" w:hAnsi="宋体" w:eastAsia="宋体" w:cs="宋体"/>
          <w:i w:val="0"/>
          <w:iCs w:val="0"/>
          <w:caps w:val="0"/>
          <w:color w:val="333333"/>
          <w:spacing w:val="0"/>
          <w:sz w:val="21"/>
          <w:szCs w:val="21"/>
          <w:bdr w:val="none" w:color="auto" w:sz="0" w:space="0"/>
          <w:shd w:val="clear" w:fill="FFFFFF"/>
          <w:vertAlign w:val="baseline"/>
        </w:rPr>
        <w:t>突发事件应急预案主要内容应包含火警、盗警、地震、爆炸、维稳处突、人员急救、煤气泄漏、高空坠物伤人及其他不可预见的紧急事件处理预案。</w:t>
      </w:r>
    </w:p>
    <w:p w14:paraId="2AE439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5446B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4.3 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消防安全防范</w:t>
      </w:r>
    </w:p>
    <w:p w14:paraId="2AA8074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45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CEDB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4.3.1～4.3.5 </w:t>
      </w:r>
      <w:r>
        <w:rPr>
          <w:rFonts w:hint="eastAsia" w:ascii="宋体" w:hAnsi="宋体" w:eastAsia="宋体" w:cs="宋体"/>
          <w:i w:val="0"/>
          <w:iCs w:val="0"/>
          <w:caps w:val="0"/>
          <w:color w:val="333333"/>
          <w:spacing w:val="0"/>
          <w:sz w:val="21"/>
          <w:szCs w:val="21"/>
          <w:bdr w:val="none" w:color="auto" w:sz="0" w:space="0"/>
          <w:shd w:val="clear" w:fill="FFFFFF"/>
          <w:vertAlign w:val="baseline"/>
        </w:rPr>
        <w:t> 按“预防为主，防消结合”原则，提升物业管理人的消防能力建设，对消防安全防范提出了要求：</w:t>
      </w:r>
    </w:p>
    <w:p w14:paraId="4C5F35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对消防安全违法行为和火灾隐患，立即纠正、排除；无法立即纠正、排除的，应向所在地应急管理部门的消防机构报告；发生火情立即报警，组织扑救初起火灾，疏散遇险人员，协助配合消防机构工作。</w:t>
      </w:r>
    </w:p>
    <w:p w14:paraId="0AE658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F1E0E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F814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04D5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18F4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B9C4F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0508E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B1F00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3B777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7D55B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CE23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749C0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33B6B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83381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1FBB5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8721A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D3AD1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73854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759B6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ADDFD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8D71E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BB5D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747FC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5  环境卫生</w:t>
      </w:r>
    </w:p>
    <w:p w14:paraId="4716D1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FF4E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5.1 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67CB8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63FCEF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5.1.4</w:t>
      </w:r>
      <w:r>
        <w:rPr>
          <w:rFonts w:hint="eastAsia" w:ascii="宋体" w:hAnsi="宋体" w:eastAsia="宋体" w:cs="宋体"/>
          <w:i w:val="0"/>
          <w:iCs w:val="0"/>
          <w:caps w:val="0"/>
          <w:color w:val="333333"/>
          <w:spacing w:val="0"/>
          <w:sz w:val="21"/>
          <w:szCs w:val="21"/>
          <w:bdr w:val="none" w:color="auto" w:sz="0" w:space="0"/>
          <w:shd w:val="clear" w:fill="FFFFFF"/>
          <w:vertAlign w:val="baseline"/>
        </w:rPr>
        <w:t>  在分类收集、分类处理系统尚未建立之前，收集点的设置应考虑适应未来分类收集的发展需要，生活垃圾收集点位置应固定，既要方便居民使用、不影响住宅区卫生和景观环境，又要便于分类投放和分类清运。</w:t>
      </w:r>
    </w:p>
    <w:p w14:paraId="7DD4BA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5.1.5</w:t>
      </w:r>
      <w:r>
        <w:rPr>
          <w:rFonts w:hint="eastAsia" w:ascii="宋体" w:hAnsi="宋体" w:eastAsia="宋体" w:cs="宋体"/>
          <w:i w:val="0"/>
          <w:iCs w:val="0"/>
          <w:caps w:val="0"/>
          <w:color w:val="333333"/>
          <w:spacing w:val="0"/>
          <w:sz w:val="21"/>
          <w:szCs w:val="21"/>
          <w:bdr w:val="none" w:color="auto" w:sz="0" w:space="0"/>
          <w:shd w:val="clear" w:fill="FFFFFF"/>
          <w:vertAlign w:val="baseline"/>
        </w:rPr>
        <w:t>  生活垃圾宜袋装收集，配置密闭式垃圾收集容器（箱、桶），按栋或按单元设置垃圾收集容器。垃圾容器（箱、桶）保持外观清洁。</w:t>
      </w:r>
    </w:p>
    <w:p w14:paraId="5DE31A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52"/>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C1C9B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5.2 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1E00F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D78F9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5.2.1～5.2.6 </w:t>
      </w:r>
      <w:r>
        <w:rPr>
          <w:rFonts w:hint="eastAsia" w:ascii="宋体" w:hAnsi="宋体" w:eastAsia="宋体" w:cs="宋体"/>
          <w:i w:val="0"/>
          <w:iCs w:val="0"/>
          <w:caps w:val="0"/>
          <w:color w:val="333333"/>
          <w:spacing w:val="0"/>
          <w:sz w:val="21"/>
          <w:szCs w:val="21"/>
          <w:bdr w:val="none" w:color="auto" w:sz="0" w:space="0"/>
          <w:shd w:val="clear" w:fill="FFFFFF"/>
          <w:vertAlign w:val="baseline"/>
        </w:rPr>
        <w:t> 建筑物室内外公共区域的保洁措施，应结合当地每年不同季节的气候环境，如沙尘暴天气、春季冰雪融化季节，绿地保洁的季节，对环境卫生的影响不同，物业管理人可根据服务等级的规定，保洁的频率应适应自然气候的变化，合理有效，但不能降低物业服务总的工作质量。</w:t>
      </w:r>
    </w:p>
    <w:p w14:paraId="16D61C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5.2.7</w:t>
      </w:r>
      <w:r>
        <w:rPr>
          <w:rFonts w:hint="eastAsia" w:ascii="宋体" w:hAnsi="宋体" w:eastAsia="宋体" w:cs="宋体"/>
          <w:i w:val="0"/>
          <w:iCs w:val="0"/>
          <w:caps w:val="0"/>
          <w:color w:val="333333"/>
          <w:spacing w:val="0"/>
          <w:sz w:val="21"/>
          <w:szCs w:val="21"/>
          <w:bdr w:val="none" w:color="auto" w:sz="0" w:space="0"/>
          <w:shd w:val="clear" w:fill="FFFFFF"/>
          <w:vertAlign w:val="baseline"/>
        </w:rPr>
        <w:t>  道路的积雪和积冰，极易造成人员的伤害。车辆通行的道路如不及时清扫，也会增加清扫难度。为了方便业主出行，有必要对居住区道路、小区路、组团路、宅间小路和其他区域清扫时限做出要求。出现罕见暴风雪，不能及时清扫的，应向业主做出必要解释说明。</w:t>
      </w:r>
    </w:p>
    <w:p w14:paraId="78D561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5.2.8</w:t>
      </w:r>
      <w:r>
        <w:rPr>
          <w:rFonts w:hint="eastAsia" w:ascii="宋体" w:hAnsi="宋体" w:eastAsia="宋体" w:cs="宋体"/>
          <w:i w:val="0"/>
          <w:iCs w:val="0"/>
          <w:caps w:val="0"/>
          <w:color w:val="333333"/>
          <w:spacing w:val="0"/>
          <w:sz w:val="21"/>
          <w:szCs w:val="21"/>
          <w:bdr w:val="none" w:color="auto" w:sz="0" w:space="0"/>
          <w:shd w:val="clear" w:fill="FFFFFF"/>
          <w:vertAlign w:val="baseline"/>
        </w:rPr>
        <w:t>  生活垃圾收集点和废物箱的设置应符合城市环境卫生设施有关标准规范规定。</w:t>
      </w:r>
    </w:p>
    <w:p w14:paraId="469650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BC4D6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4C432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FD8C8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FACD4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ED8B5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2755E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53889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E245B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FA406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E73D0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17C1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CEEFD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5FED5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90786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5547A6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D7ADA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260E2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B2C5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A20CE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3F8B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9F9F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0F959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61005B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B158B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6  绿化养护</w:t>
      </w:r>
    </w:p>
    <w:p w14:paraId="754D52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57582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left"/>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依据国家园林城市建设管理要求，住宅区绿化养护应当按照国家相关标准执行。</w:t>
      </w:r>
    </w:p>
    <w:p w14:paraId="743737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94924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6.1 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一般规定</w:t>
      </w:r>
    </w:p>
    <w:p w14:paraId="4D9342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4D476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6.1.3</w:t>
      </w:r>
      <w:r>
        <w:rPr>
          <w:rFonts w:hint="eastAsia" w:ascii="宋体" w:hAnsi="宋体" w:eastAsia="宋体" w:cs="宋体"/>
          <w:i w:val="0"/>
          <w:iCs w:val="0"/>
          <w:caps w:val="0"/>
          <w:color w:val="333333"/>
          <w:spacing w:val="0"/>
          <w:sz w:val="21"/>
          <w:szCs w:val="21"/>
          <w:bdr w:val="none" w:color="auto" w:sz="0" w:space="0"/>
          <w:shd w:val="clear" w:fill="FFFFFF"/>
          <w:vertAlign w:val="baseline"/>
        </w:rPr>
        <w:t>  从事绿化养护工作，物业服务人员应熟悉和掌握绿化基本知识，按照花草树木的习性和自然环境情况，适时养护。</w:t>
      </w:r>
    </w:p>
    <w:p w14:paraId="260F1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6.1.4</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物业管理人应建立园林设施和植物档案，记录设施和植物名称、位置、数量、完好情况，并绘制园林设施和植物平面图，便于养护管理。</w:t>
      </w:r>
    </w:p>
    <w:p w14:paraId="693C8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6.1.5 </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区域中的绿化设施、园林小品指为满足人们观赏或者休憩等需要而设立的建筑、设备等。常见的有满足业主健身、亲子游乐设立的游乐健身设施；观赏、休憩设立的各式景观小品；种植设施如花坛、树池、花架、绿篱、灌溉设施等。</w:t>
      </w:r>
    </w:p>
    <w:p w14:paraId="1839F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2287D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6.2 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服务等级</w:t>
      </w:r>
    </w:p>
    <w:p w14:paraId="1D4478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08853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按照绿化养护管理程序、养护标准、操作规程等确定服务等级，统一规范绿化养护管理行为。</w:t>
      </w:r>
    </w:p>
    <w:p w14:paraId="3252B3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78BFE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1BA05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337A4F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textAlignment w:val="baseline"/>
        <w:rPr>
          <w:rFonts w:hint="default" w:ascii="Arial" w:hAnsi="Arial" w:cs="Arial"/>
          <w:i w:val="0"/>
          <w:iCs w:val="0"/>
          <w:caps w:val="0"/>
          <w:color w:val="000000"/>
          <w:spacing w:val="0"/>
          <w:sz w:val="24"/>
          <w:szCs w:val="24"/>
        </w:rPr>
      </w:pPr>
      <w:r>
        <w:rPr>
          <w:rFonts w:hint="default" w:ascii="Times New Roman" w:hAnsi="Times New Roman" w:cs="Times New Roman"/>
          <w:i w:val="0"/>
          <w:iCs w:val="0"/>
          <w:caps w:val="0"/>
          <w:color w:val="333333"/>
          <w:spacing w:val="0"/>
          <w:sz w:val="21"/>
          <w:szCs w:val="21"/>
          <w:bdr w:val="none" w:color="auto" w:sz="0" w:space="0"/>
          <w:shd w:val="clear" w:fill="FFFFFF"/>
          <w:vertAlign w:val="baseline"/>
        </w:rPr>
        <w:t> </w:t>
      </w:r>
    </w:p>
    <w:p w14:paraId="7746D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32"/>
          <w:szCs w:val="32"/>
          <w:bdr w:val="none" w:color="auto" w:sz="0" w:space="0"/>
          <w:shd w:val="clear" w:fill="FFFFFF"/>
          <w:vertAlign w:val="baseline"/>
        </w:rPr>
        <w:t>7  共用部位和共用设施设备</w:t>
      </w:r>
    </w:p>
    <w:p w14:paraId="506551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AE403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供水、排水、供电、电梯运行等服务项目是保障业主生活的基本需求，在保证正常使用功能的前提下，有些服务项目只作定性要求，不易定量和划分明确的服务等级，同时也不便于监督检查。对于没有定量规定的服务项目，物业管理人应根据实际情况，通过工作标准、考核标准和物业服务人员的岗位操作规程，严格检查，并进行工作记录。</w:t>
      </w:r>
    </w:p>
    <w:p w14:paraId="00679F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3E5563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7.1 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综合管理</w:t>
      </w:r>
    </w:p>
    <w:p w14:paraId="45A66A6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19D62F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7.1.4</w:t>
      </w:r>
      <w:r>
        <w:rPr>
          <w:rFonts w:hint="eastAsia" w:ascii="宋体" w:hAnsi="宋体" w:eastAsia="宋体" w:cs="宋体"/>
          <w:i w:val="0"/>
          <w:iCs w:val="0"/>
          <w:caps w:val="0"/>
          <w:color w:val="333333"/>
          <w:spacing w:val="0"/>
          <w:sz w:val="21"/>
          <w:szCs w:val="21"/>
          <w:bdr w:val="none" w:color="auto" w:sz="0" w:space="0"/>
          <w:shd w:val="clear" w:fill="FFFFFF"/>
          <w:vertAlign w:val="baseline"/>
        </w:rPr>
        <w:t>  新疆自然气候和环境差异较大，每年春季冰雪融化造成外排水屋面形成的冰柱脱落，大风季节造成屋面广告宣传牌和其他物件脱落，造成人员伤亡和财产损失时有发生，应引起高度重视。</w:t>
      </w:r>
    </w:p>
    <w:p w14:paraId="1F055F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7.1.7  </w:t>
      </w:r>
      <w:r>
        <w:rPr>
          <w:rFonts w:hint="eastAsia" w:ascii="宋体" w:hAnsi="宋体" w:eastAsia="宋体" w:cs="宋体"/>
          <w:i w:val="0"/>
          <w:iCs w:val="0"/>
          <w:caps w:val="0"/>
          <w:color w:val="333333"/>
          <w:spacing w:val="0"/>
          <w:sz w:val="21"/>
          <w:szCs w:val="21"/>
          <w:bdr w:val="none" w:color="auto" w:sz="0" w:space="0"/>
          <w:shd w:val="clear" w:fill="FFFFFF"/>
          <w:vertAlign w:val="baseline"/>
        </w:rPr>
        <w:t>物业管理人对物业管理区域的共用设施设备负有看护管理的义务，发现问题及时向有关单位报告中。涉及供热设施设备的维修、养护和管理，按照物业服务合同和有关法律法规实施。</w:t>
      </w:r>
    </w:p>
    <w:p w14:paraId="421E80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0BA79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7.5 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电梯运行</w:t>
      </w:r>
    </w:p>
    <w:p w14:paraId="41DDD8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721FF4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7.5.1～7.5.6</w:t>
      </w:r>
      <w:r>
        <w:rPr>
          <w:rFonts w:hint="eastAsia" w:ascii="宋体" w:hAnsi="宋体" w:eastAsia="宋体" w:cs="宋体"/>
          <w:i w:val="0"/>
          <w:iCs w:val="0"/>
          <w:caps w:val="0"/>
          <w:color w:val="333333"/>
          <w:spacing w:val="0"/>
          <w:sz w:val="21"/>
          <w:szCs w:val="21"/>
          <w:bdr w:val="none" w:color="auto" w:sz="0" w:space="0"/>
          <w:shd w:val="clear" w:fill="FFFFFF"/>
          <w:vertAlign w:val="baseline"/>
        </w:rPr>
        <w:t>  物业管理人应负责组织对电梯日常维护保养和定期检査，电梯的安全附件、安全保护装置、测量调控装置及有关附属仪器仪表应每年进行校验、检修。发现问题应及时组织排除；</w:t>
      </w:r>
    </w:p>
    <w:p w14:paraId="118BCC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在电梯运行期间，物业管理人应提供下列服务：</w:t>
      </w:r>
    </w:p>
    <w:p w14:paraId="57F6C6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1 </w:t>
      </w:r>
      <w:r>
        <w:rPr>
          <w:rFonts w:hint="eastAsia" w:ascii="宋体" w:hAnsi="宋体" w:eastAsia="宋体" w:cs="宋体"/>
          <w:i w:val="0"/>
          <w:iCs w:val="0"/>
          <w:caps w:val="0"/>
          <w:color w:val="333333"/>
          <w:spacing w:val="0"/>
          <w:sz w:val="21"/>
          <w:szCs w:val="21"/>
          <w:bdr w:val="none" w:color="auto" w:sz="0" w:space="0"/>
          <w:shd w:val="clear" w:fill="FFFFFF"/>
          <w:vertAlign w:val="baseline"/>
        </w:rPr>
        <w:t>  配备电梯安全管理人员，严禁违章使用电梯。安全管理</w:t>
      </w:r>
    </w:p>
    <w:p w14:paraId="159886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人员应具备必要的安全知识。确定科学合理电梯运行高峰时间，监督电梯运行状况，加强日常维修保养，适时做好降温、通风、防雨等服务，防止地面水流入电梯井；</w:t>
      </w:r>
    </w:p>
    <w:p w14:paraId="6B4E4F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2 </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电梯停梯维护应提前1天通知业主，维修期间应减少对</w:t>
      </w:r>
    </w:p>
    <w:p w14:paraId="5B67EA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业主正常生活的影响；</w:t>
      </w:r>
    </w:p>
    <w:p w14:paraId="1CEBAA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3</w:t>
      </w:r>
      <w:r>
        <w:rPr>
          <w:rFonts w:hint="eastAsia" w:ascii="宋体" w:hAnsi="宋体" w:eastAsia="宋体" w:cs="宋体"/>
          <w:i w:val="0"/>
          <w:iCs w:val="0"/>
          <w:caps w:val="0"/>
          <w:color w:val="333333"/>
          <w:spacing w:val="0"/>
          <w:sz w:val="21"/>
          <w:szCs w:val="21"/>
          <w:bdr w:val="none" w:color="auto" w:sz="0" w:space="0"/>
          <w:shd w:val="clear" w:fill="FFFFFF"/>
          <w:vertAlign w:val="baseline"/>
        </w:rPr>
        <w:t>   电梯发生停电困人、夹人等危险情况时，应立即启动应</w:t>
      </w:r>
    </w:p>
    <w:p w14:paraId="761C49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急处置预案，及时通知电梯维保单位，派人赶赴现场处置，物业服务人员须在15分钟内到达现场，迅速组织救助；</w:t>
      </w:r>
    </w:p>
    <w:p w14:paraId="72E4D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42" w:right="0" w:hanging="422"/>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4</w:t>
      </w:r>
      <w:r>
        <w:rPr>
          <w:rFonts w:hint="eastAsia" w:ascii="宋体" w:hAnsi="宋体" w:eastAsia="宋体" w:cs="宋体"/>
          <w:i w:val="0"/>
          <w:iCs w:val="0"/>
          <w:caps w:val="0"/>
          <w:color w:val="333333"/>
          <w:spacing w:val="0"/>
          <w:sz w:val="21"/>
          <w:szCs w:val="21"/>
          <w:bdr w:val="none" w:color="auto" w:sz="0" w:space="0"/>
          <w:shd w:val="clear" w:fill="FFFFFF"/>
          <w:vertAlign w:val="baseline"/>
        </w:rPr>
        <w:t>   保持电梯机房整洁，控制柜、主机表面、地面无积灰，</w:t>
      </w:r>
    </w:p>
    <w:p w14:paraId="2792CE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无污渍，消防设施完好。电梯井底垃圾杂物应定期进行清理。</w:t>
      </w:r>
    </w:p>
    <w:p w14:paraId="6A7C8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839" w:right="0" w:hanging="419"/>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209078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142" w:right="0" w:firstLine="0"/>
        <w:jc w:val="center"/>
        <w:textAlignment w:val="baseline"/>
        <w:rPr>
          <w:rFonts w:hint="default" w:ascii="Arial" w:hAnsi="Arial" w:cs="Arial"/>
          <w:i w:val="0"/>
          <w:iCs w:val="0"/>
          <w:caps w:val="0"/>
          <w:color w:val="000000"/>
          <w:spacing w:val="0"/>
          <w:sz w:val="24"/>
          <w:szCs w:val="24"/>
        </w:rPr>
      </w:pPr>
      <w:r>
        <w:rPr>
          <w:rFonts w:hint="eastAsia" w:ascii="黑体" w:hAnsi="宋体" w:eastAsia="黑体" w:cs="黑体"/>
          <w:i w:val="0"/>
          <w:iCs w:val="0"/>
          <w:caps w:val="0"/>
          <w:color w:val="333333"/>
          <w:spacing w:val="0"/>
          <w:sz w:val="21"/>
          <w:szCs w:val="21"/>
          <w:bdr w:val="none" w:color="auto" w:sz="0" w:space="0"/>
          <w:shd w:val="clear" w:fill="FFFFFF"/>
          <w:vertAlign w:val="baseline"/>
        </w:rPr>
        <w:t>7.8 </w:t>
      </w:r>
      <w:r>
        <w:rPr>
          <w:rFonts w:hint="eastAsia" w:ascii="宋体" w:hAnsi="宋体" w:eastAsia="宋体" w:cs="宋体"/>
          <w:i w:val="0"/>
          <w:iCs w:val="0"/>
          <w:caps w:val="0"/>
          <w:color w:val="333333"/>
          <w:spacing w:val="0"/>
          <w:sz w:val="21"/>
          <w:szCs w:val="21"/>
          <w:bdr w:val="none" w:color="auto" w:sz="0" w:space="0"/>
          <w:shd w:val="clear" w:fill="FFFFFF"/>
          <w:vertAlign w:val="baseline"/>
        </w:rPr>
        <w:t> </w:t>
      </w:r>
      <w:r>
        <w:rPr>
          <w:rFonts w:hint="eastAsia" w:ascii="黑体" w:hAnsi="宋体" w:eastAsia="黑体" w:cs="黑体"/>
          <w:i w:val="0"/>
          <w:iCs w:val="0"/>
          <w:caps w:val="0"/>
          <w:color w:val="333333"/>
          <w:spacing w:val="0"/>
          <w:sz w:val="21"/>
          <w:szCs w:val="21"/>
          <w:bdr w:val="none" w:color="auto" w:sz="0" w:space="0"/>
          <w:shd w:val="clear" w:fill="FFFFFF"/>
          <w:vertAlign w:val="baseline"/>
        </w:rPr>
        <w:t>装饰装修</w:t>
      </w:r>
    </w:p>
    <w:p w14:paraId="1800CF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i w:val="0"/>
          <w:iCs w:val="0"/>
          <w:caps w:val="0"/>
          <w:color w:val="333333"/>
          <w:spacing w:val="0"/>
          <w:sz w:val="21"/>
          <w:szCs w:val="21"/>
          <w:bdr w:val="none" w:color="auto" w:sz="0" w:space="0"/>
          <w:shd w:val="clear" w:fill="FFFFFF"/>
          <w:vertAlign w:val="baseline"/>
        </w:rPr>
        <w:t> </w:t>
      </w:r>
    </w:p>
    <w:p w14:paraId="472D4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7.8.1</w:t>
      </w:r>
      <w:r>
        <w:rPr>
          <w:rFonts w:hint="eastAsia" w:ascii="宋体" w:hAnsi="宋体" w:eastAsia="宋体" w:cs="宋体"/>
          <w:i w:val="0"/>
          <w:iCs w:val="0"/>
          <w:caps w:val="0"/>
          <w:color w:val="333333"/>
          <w:spacing w:val="0"/>
          <w:sz w:val="21"/>
          <w:szCs w:val="21"/>
          <w:bdr w:val="none" w:color="auto" w:sz="0" w:space="0"/>
          <w:shd w:val="clear" w:fill="FFFFFF"/>
          <w:vertAlign w:val="baseline"/>
        </w:rPr>
        <w:t>  《中华人民共和国物权法》第九十一条规定，不动产权利人挖掘土地、建造建筑物、铺设管线以及安装设备等，不得危及相邻不动产的安全。业主对住宅室内的装修，不得影响建筑物的安全，并应减少对其他业主和周边环境的影响，如在装修过程中，不得擅自变动房屋建筑主体和承重结构，供水、排水、供电、供热等线路的改造，不能影响到相邻业主的使用。装修期间注意对相邻业主作息的影响，以及产生的建筑垃圾、噪声、粉尘对环境卫生的影响等。</w:t>
      </w:r>
    </w:p>
    <w:p w14:paraId="21EEA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284" w:right="0" w:firstLine="0"/>
        <w:jc w:val="both"/>
        <w:textAlignment w:val="baseline"/>
        <w:rPr>
          <w:rFonts w:hint="default" w:ascii="Arial" w:hAnsi="Arial" w:cs="Arial"/>
          <w:i w:val="0"/>
          <w:iCs w:val="0"/>
          <w:caps w:val="0"/>
          <w:color w:val="000000"/>
          <w:spacing w:val="0"/>
          <w:sz w:val="24"/>
          <w:szCs w:val="24"/>
        </w:rPr>
      </w:pPr>
      <w:r>
        <w:rPr>
          <w:rFonts w:hint="eastAsia" w:ascii="宋体" w:hAnsi="宋体" w:eastAsia="宋体" w:cs="宋体"/>
          <w:b/>
          <w:bCs/>
          <w:i w:val="0"/>
          <w:iCs w:val="0"/>
          <w:caps w:val="0"/>
          <w:color w:val="333333"/>
          <w:spacing w:val="0"/>
          <w:sz w:val="21"/>
          <w:szCs w:val="21"/>
          <w:bdr w:val="none" w:color="auto" w:sz="0" w:space="0"/>
          <w:shd w:val="clear" w:fill="FFFFFF"/>
          <w:vertAlign w:val="baseline"/>
        </w:rPr>
        <w:t>7.8.2 </w:t>
      </w:r>
      <w:r>
        <w:rPr>
          <w:rFonts w:hint="eastAsia" w:ascii="宋体" w:hAnsi="宋体" w:eastAsia="宋体" w:cs="宋体"/>
          <w:i w:val="0"/>
          <w:iCs w:val="0"/>
          <w:caps w:val="0"/>
          <w:color w:val="333333"/>
          <w:spacing w:val="0"/>
          <w:sz w:val="21"/>
          <w:szCs w:val="21"/>
          <w:bdr w:val="none" w:color="auto" w:sz="0" w:space="0"/>
          <w:shd w:val="clear" w:fill="FFFFFF"/>
          <w:vertAlign w:val="baseline"/>
        </w:rPr>
        <w:t> 近年来，由于装饰装修引发的邻里矛盾时有发生。因此装饰装修前，物业管理人与业主、装修人或施工单位签订室内装修管理服务协议，可以及时了解和掌握装饰装修的内容和范围，便于提供更好地服务。同时通过加强巡视检查，对违法违规现象及时劝阻和报告，积极化解矛盾，正确处理邻里关系。《新疆维吾尔自治区物业管理条例》第四十八条规定：业主进行房屋装修，应当将装修内容、计划工期、装修工程负责人姓名、联系方式等告知相邻业主、物业管理人。物业管理人应当与业主签订书面协议。</w:t>
      </w:r>
    </w:p>
    <w:p w14:paraId="365D0F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56049"/>
    <w:rsid w:val="01D56049"/>
    <w:rsid w:val="0841655D"/>
    <w:rsid w:val="08532763"/>
    <w:rsid w:val="2C8179C9"/>
    <w:rsid w:val="522A47C3"/>
    <w:rsid w:val="53D94A49"/>
    <w:rsid w:val="69822F46"/>
    <w:rsid w:val="6F3E0932"/>
    <w:rsid w:val="7D8E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2025-11-21T11:05:00Z</dcterms:created>
  <dc:creator>李彬18099521783</dc:creator>
  <cp:lastModifiedBy>李彬18099521783</cp:lastModifiedBy>
  <dcterms:modified xsi:type="dcterms:W3CDTF">2025-11-21T11:06:15Z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9E93D14B7BC1418B9049A866C1589D69_11</vt:lpwstr>
  </property>
  <property fmtid="{D5CDD505-2E9C-101B-9397-08002B2CF9AE}" pid="4" name="KSOTemplateDocerSaveRecord">
    <vt:lpwstr>eyJoZGlkIjoiM2YyYzJjZTVlNjAzMDYyNjRmM2Y2ZDMyYWZiN2QyNjciLCJ1c2VySWQiOiI0NDQ0NzEzNTQifQ==</vt:lpwstr>
  </property>
</Properties>
</file>