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67E99">
      <w:pPr>
        <w:adjustRightInd w:val="0"/>
        <w:snapToGrid w:val="0"/>
        <w:jc w:val="center"/>
        <w:outlineLvl w:val="0"/>
        <w:rPr>
          <w:rFonts w:hint="default" w:ascii="Times New Roman" w:hAnsi="Times New Roman" w:eastAsia="方正小标宋_GBK" w:cs="Times New Roman"/>
          <w:bCs/>
          <w:color w:val="auto"/>
          <w:sz w:val="72"/>
          <w:szCs w:val="72"/>
          <w:highlight w:val="none"/>
        </w:rPr>
      </w:pPr>
    </w:p>
    <w:p w14:paraId="4A8F2B0F">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0DD1F230">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40627619">
      <w:pPr>
        <w:rPr>
          <w:rFonts w:hint="default" w:ascii="Times New Roman" w:hAnsi="Times New Roman" w:cs="Times New Roman"/>
          <w:color w:val="auto"/>
          <w:highlight w:val="none"/>
        </w:rPr>
      </w:pPr>
    </w:p>
    <w:p w14:paraId="00A2AEEF">
      <w:pPr>
        <w:jc w:val="center"/>
        <w:rPr>
          <w:rFonts w:hint="default" w:ascii="Times New Roman" w:hAnsi="Times New Roman" w:eastAsia="仿宋" w:cs="Times New Roman"/>
          <w:color w:val="auto"/>
          <w:sz w:val="52"/>
          <w:szCs w:val="52"/>
          <w:highlight w:val="none"/>
        </w:rPr>
      </w:pPr>
    </w:p>
    <w:p w14:paraId="0820B670">
      <w:pPr>
        <w:ind w:firstLine="1040"/>
        <w:rPr>
          <w:rFonts w:hint="default" w:ascii="Times New Roman" w:hAnsi="Times New Roman" w:eastAsia="仿宋" w:cs="Times New Roman"/>
          <w:color w:val="auto"/>
          <w:sz w:val="44"/>
          <w:szCs w:val="44"/>
          <w:highlight w:val="none"/>
        </w:rPr>
      </w:pPr>
    </w:p>
    <w:p w14:paraId="4D769DB7">
      <w:pPr>
        <w:ind w:firstLine="1040"/>
        <w:rPr>
          <w:rFonts w:hint="default" w:ascii="Times New Roman" w:hAnsi="Times New Roman" w:eastAsia="仿宋" w:cs="Times New Roman"/>
          <w:color w:val="auto"/>
          <w:sz w:val="44"/>
          <w:szCs w:val="44"/>
          <w:highlight w:val="none"/>
        </w:rPr>
      </w:pPr>
    </w:p>
    <w:p w14:paraId="6C6D50B3">
      <w:pPr>
        <w:ind w:firstLine="1040"/>
        <w:rPr>
          <w:rFonts w:hint="default" w:ascii="Times New Roman" w:hAnsi="Times New Roman" w:eastAsia="仿宋" w:cs="Times New Roman"/>
          <w:color w:val="auto"/>
          <w:sz w:val="44"/>
          <w:szCs w:val="44"/>
          <w:highlight w:val="none"/>
        </w:rPr>
      </w:pPr>
    </w:p>
    <w:p w14:paraId="7BE59DE3">
      <w:pPr>
        <w:ind w:firstLine="1040"/>
        <w:rPr>
          <w:rFonts w:hint="default" w:ascii="Times New Roman" w:hAnsi="Times New Roman" w:eastAsia="仿宋" w:cs="Times New Roman"/>
          <w:color w:val="auto"/>
          <w:sz w:val="44"/>
          <w:szCs w:val="44"/>
          <w:highlight w:val="none"/>
        </w:rPr>
      </w:pPr>
    </w:p>
    <w:p w14:paraId="38F30DC5">
      <w:pPr>
        <w:pStyle w:val="15"/>
        <w:rPr>
          <w:rFonts w:hint="default" w:ascii="Times New Roman" w:hAnsi="Times New Roman" w:eastAsia="仿宋" w:cs="Times New Roman"/>
          <w:color w:val="auto"/>
          <w:sz w:val="44"/>
          <w:szCs w:val="44"/>
          <w:highlight w:val="none"/>
        </w:rPr>
      </w:pPr>
    </w:p>
    <w:p w14:paraId="5A8AB17D">
      <w:pPr>
        <w:rPr>
          <w:rFonts w:hint="default" w:ascii="Times New Roman" w:hAnsi="Times New Roman" w:eastAsia="仿宋" w:cs="Times New Roman"/>
          <w:color w:val="auto"/>
          <w:sz w:val="44"/>
          <w:szCs w:val="44"/>
          <w:highlight w:val="none"/>
        </w:rPr>
      </w:pPr>
    </w:p>
    <w:p w14:paraId="0F31A237">
      <w:pPr>
        <w:pStyle w:val="15"/>
        <w:rPr>
          <w:rFonts w:hint="default" w:ascii="Times New Roman" w:hAnsi="Times New Roman" w:eastAsia="仿宋" w:cs="Times New Roman"/>
          <w:color w:val="auto"/>
          <w:sz w:val="44"/>
          <w:szCs w:val="44"/>
          <w:highlight w:val="none"/>
        </w:rPr>
      </w:pPr>
    </w:p>
    <w:p w14:paraId="1736201E">
      <w:pPr>
        <w:rPr>
          <w:rFonts w:hint="default" w:ascii="Times New Roman" w:hAnsi="Times New Roman" w:cs="Times New Roman"/>
          <w:color w:val="auto"/>
          <w:highlight w:val="none"/>
        </w:rPr>
      </w:pPr>
    </w:p>
    <w:p w14:paraId="37562B2B">
      <w:pPr>
        <w:ind w:firstLine="1040"/>
        <w:rPr>
          <w:rFonts w:hint="default" w:ascii="Times New Roman" w:hAnsi="Times New Roman" w:eastAsia="仿宋" w:cs="Times New Roman"/>
          <w:color w:val="auto"/>
          <w:sz w:val="44"/>
          <w:szCs w:val="44"/>
          <w:highlight w:val="none"/>
        </w:rPr>
      </w:pPr>
    </w:p>
    <w:p w14:paraId="12BF7F45">
      <w:pPr>
        <w:ind w:firstLine="1040"/>
        <w:rPr>
          <w:rFonts w:hint="default" w:ascii="Times New Roman" w:hAnsi="Times New Roman" w:eastAsia="仿宋" w:cs="Times New Roman"/>
          <w:color w:val="auto"/>
          <w:sz w:val="44"/>
          <w:szCs w:val="44"/>
          <w:highlight w:val="none"/>
        </w:rPr>
      </w:pPr>
    </w:p>
    <w:p w14:paraId="1E8B14AC">
      <w:pPr>
        <w:adjustRightInd w:val="0"/>
        <w:snapToGrid w:val="0"/>
        <w:spacing w:line="288" w:lineRule="auto"/>
        <w:ind w:left="2355" w:leftChars="350" w:hanging="1620" w:hangingChars="450"/>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z w:val="36"/>
          <w:szCs w:val="36"/>
          <w:highlight w:val="none"/>
          <w:u w:val="single"/>
          <w:lang w:eastAsia="zh-CN"/>
        </w:rPr>
        <w:t>新疆谷润农业发展有限公司年产万吨有机肥深加工生产线建设项目</w:t>
      </w:r>
      <w:r>
        <w:rPr>
          <w:rFonts w:hint="default" w:ascii="Times New Roman" w:hAnsi="Times New Roman" w:eastAsia="仿宋_GB2312" w:cs="Times New Roman"/>
          <w:color w:val="auto"/>
          <w:sz w:val="36"/>
          <w:szCs w:val="36"/>
          <w:highlight w:val="none"/>
          <w:u w:val="single"/>
          <w:lang w:val="en-US" w:eastAsia="zh-CN"/>
        </w:rPr>
        <w:t xml:space="preserve">     </w:t>
      </w:r>
    </w:p>
    <w:p w14:paraId="560E6B52">
      <w:pPr>
        <w:adjustRightInd w:val="0"/>
        <w:snapToGrid w:val="0"/>
        <w:spacing w:line="288" w:lineRule="auto"/>
        <w:ind w:left="2355" w:leftChars="350" w:hanging="1620" w:hangingChars="45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建设单位（盖章）：</w:t>
      </w:r>
      <w:r>
        <w:rPr>
          <w:rFonts w:hint="default" w:ascii="Times New Roman" w:hAnsi="Times New Roman" w:eastAsia="仿宋_GB2312" w:cs="Times New Roman"/>
          <w:color w:val="auto"/>
          <w:sz w:val="36"/>
          <w:szCs w:val="36"/>
          <w:highlight w:val="none"/>
          <w:u w:val="single"/>
          <w:lang w:eastAsia="zh-CN"/>
        </w:rPr>
        <w:t>新疆谷润农业发展有限公司</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p>
    <w:p w14:paraId="0F97F607">
      <w:pPr>
        <w:adjustRightInd w:val="0"/>
        <w:snapToGrid w:val="0"/>
        <w:spacing w:line="288" w:lineRule="auto"/>
        <w:ind w:firstLine="737"/>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202</w:t>
      </w:r>
      <w:r>
        <w:rPr>
          <w:rFonts w:hint="default" w:ascii="Times New Roman" w:hAnsi="Times New Roman" w:eastAsia="仿宋_GB2312" w:cs="Times New Roman"/>
          <w:color w:val="auto"/>
          <w:sz w:val="36"/>
          <w:szCs w:val="36"/>
          <w:highlight w:val="none"/>
          <w:u w:val="single"/>
          <w:lang w:val="en-US" w:eastAsia="zh-CN"/>
        </w:rPr>
        <w:t>5</w:t>
      </w:r>
      <w:r>
        <w:rPr>
          <w:rFonts w:hint="default" w:ascii="Times New Roman" w:hAnsi="Times New Roman" w:eastAsia="仿宋_GB2312" w:cs="Times New Roman"/>
          <w:color w:val="auto"/>
          <w:sz w:val="36"/>
          <w:szCs w:val="36"/>
          <w:highlight w:val="none"/>
          <w:u w:val="single"/>
        </w:rPr>
        <w:t>年</w:t>
      </w:r>
      <w:r>
        <w:rPr>
          <w:rFonts w:hint="default" w:ascii="Times New Roman" w:hAnsi="Times New Roman" w:eastAsia="仿宋_GB2312" w:cs="Times New Roman"/>
          <w:color w:val="auto"/>
          <w:sz w:val="36"/>
          <w:szCs w:val="36"/>
          <w:highlight w:val="none"/>
          <w:u w:val="single"/>
          <w:lang w:val="en-US" w:eastAsia="zh-CN"/>
        </w:rPr>
        <w:t>5</w:t>
      </w:r>
      <w:r>
        <w:rPr>
          <w:rFonts w:hint="default" w:ascii="Times New Roman" w:hAnsi="Times New Roman" w:eastAsia="仿宋_GB2312" w:cs="Times New Roman"/>
          <w:color w:val="auto"/>
          <w:sz w:val="36"/>
          <w:szCs w:val="36"/>
          <w:highlight w:val="none"/>
          <w:u w:val="single"/>
        </w:rPr>
        <w:t>月</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p>
    <w:p w14:paraId="4943B1A8">
      <w:pPr>
        <w:adjustRightInd w:val="0"/>
        <w:snapToGrid w:val="0"/>
        <w:spacing w:line="288" w:lineRule="auto"/>
        <w:rPr>
          <w:rFonts w:hint="default" w:ascii="Times New Roman" w:hAnsi="Times New Roman" w:eastAsia="仿宋_GB2312" w:cs="Times New Roman"/>
          <w:color w:val="auto"/>
          <w:sz w:val="36"/>
          <w:szCs w:val="36"/>
          <w:highlight w:val="none"/>
        </w:rPr>
      </w:pPr>
      <w:bookmarkStart w:id="0" w:name="_Hlk57884087"/>
    </w:p>
    <w:bookmarkEnd w:id="0"/>
    <w:p w14:paraId="7C4313AB">
      <w:pPr>
        <w:adjustRightInd w:val="0"/>
        <w:snapToGrid w:val="0"/>
        <w:spacing w:line="288" w:lineRule="auto"/>
        <w:jc w:val="center"/>
        <w:rPr>
          <w:rFonts w:hint="default" w:ascii="Times New Roman" w:hAnsi="Times New Roman" w:eastAsia="楷体_GB2312" w:cs="Times New Roman"/>
          <w:color w:val="auto"/>
          <w:sz w:val="36"/>
          <w:szCs w:val="36"/>
          <w:highlight w:val="none"/>
        </w:rPr>
      </w:pPr>
    </w:p>
    <w:p w14:paraId="4CA4D2E6">
      <w:pPr>
        <w:adjustRightInd w:val="0"/>
        <w:snapToGrid w:val="0"/>
        <w:spacing w:line="288" w:lineRule="auto"/>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14:paraId="481415E5">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54C1EBD2">
      <w:pPr>
        <w:pStyle w:val="24"/>
        <w:rPr>
          <w:rFonts w:hint="default" w:ascii="Times New Roman" w:hAnsi="Times New Roman" w:eastAsia="仿宋_GB2312" w:cs="Times New Roman"/>
          <w:color w:val="auto"/>
          <w:sz w:val="36"/>
          <w:szCs w:val="36"/>
          <w:highlight w:val="none"/>
        </w:rPr>
      </w:pPr>
    </w:p>
    <w:p w14:paraId="1CEF39C5">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38ECF0D0">
      <w:pPr>
        <w:pStyle w:val="5"/>
        <w:rPr>
          <w:rFonts w:hint="default" w:ascii="Times New Roman" w:hAnsi="Times New Roman" w:cs="Times New Roman"/>
          <w:color w:val="auto"/>
          <w:highlight w:val="none"/>
        </w:rPr>
        <w:sectPr>
          <w:footerReference r:id="rId3" w:type="default"/>
          <w:footerReference r:id="rId4" w:type="even"/>
          <w:pgSz w:w="11906" w:h="16838"/>
          <w:pgMar w:top="1701" w:right="1531" w:bottom="1701" w:left="777" w:header="851" w:footer="1077" w:gutter="0"/>
          <w:pgBorders>
            <w:top w:val="none" w:sz="0" w:space="0"/>
            <w:left w:val="none" w:sz="0" w:space="0"/>
            <w:bottom w:val="none" w:sz="0" w:space="0"/>
            <w:right w:val="none" w:sz="0" w:space="0"/>
          </w:pgBorders>
          <w:pgNumType w:start="3"/>
          <w:cols w:space="720" w:num="1"/>
          <w:docGrid w:linePitch="312" w:charSpace="0"/>
        </w:sectPr>
      </w:pPr>
    </w:p>
    <w:p w14:paraId="614A5E8F">
      <w:pPr>
        <w:pStyle w:val="28"/>
        <w:widowControl/>
        <w:ind w:left="0" w:right="0"/>
        <w:jc w:val="center"/>
        <w:outlineLvl w:val="0"/>
        <w:rPr>
          <w:rStyle w:val="44"/>
          <w:rFonts w:hint="default" w:ascii="Times New Roman" w:hAnsi="Times New Roman" w:eastAsia="黑体" w:cs="Times New Roman"/>
          <w:color w:val="auto"/>
          <w:sz w:val="30"/>
          <w:szCs w:val="30"/>
          <w:highlight w:val="none"/>
          <w:lang w:bidi="ar-SA"/>
        </w:rPr>
      </w:pPr>
      <w:r>
        <w:rPr>
          <w:rStyle w:val="44"/>
          <w:rFonts w:hint="default" w:ascii="Times New Roman" w:hAnsi="Times New Roman" w:eastAsia="黑体" w:cs="Times New Roman"/>
          <w:color w:val="auto"/>
          <w:sz w:val="30"/>
          <w:szCs w:val="30"/>
          <w:highlight w:val="none"/>
          <w:lang w:bidi="ar-SA"/>
        </w:rPr>
        <w:t>一、建设项目基本情况</w:t>
      </w:r>
    </w:p>
    <w:tbl>
      <w:tblPr>
        <w:tblStyle w:val="33"/>
        <w:tblW w:w="935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080"/>
        <w:gridCol w:w="2088"/>
        <w:gridCol w:w="1951"/>
        <w:gridCol w:w="3235"/>
      </w:tblGrid>
      <w:tr w14:paraId="45A68F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2150" w:type="dxa"/>
            <w:noWrap w:val="0"/>
            <w:vAlign w:val="center"/>
          </w:tcPr>
          <w:p w14:paraId="09D2344A">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项目名称</w:t>
            </w:r>
          </w:p>
        </w:tc>
        <w:tc>
          <w:tcPr>
            <w:tcW w:w="7204" w:type="dxa"/>
            <w:gridSpan w:val="3"/>
            <w:noWrap w:val="0"/>
            <w:vAlign w:val="center"/>
          </w:tcPr>
          <w:p w14:paraId="6EA9EC4E">
            <w:pPr>
              <w:spacing w:line="240" w:lineRule="auto"/>
              <w:jc w:val="center"/>
              <w:rPr>
                <w:rFonts w:hint="default" w:ascii="Times New Roman" w:hAnsi="Times New Roman" w:eastAsia="宋体" w:cs="Times New Roman"/>
                <w:color w:val="auto"/>
                <w:spacing w:val="-1"/>
                <w:sz w:val="24"/>
                <w:highlight w:val="none"/>
                <w:lang w:eastAsia="zh-CN"/>
              </w:rPr>
            </w:pPr>
            <w:r>
              <w:rPr>
                <w:rFonts w:hint="default" w:ascii="Times New Roman" w:hAnsi="Times New Roman" w:eastAsia="宋体" w:cs="Times New Roman"/>
                <w:color w:val="auto"/>
                <w:spacing w:val="-1"/>
                <w:sz w:val="24"/>
                <w:highlight w:val="none"/>
                <w:lang w:eastAsia="zh-CN"/>
              </w:rPr>
              <w:t>新疆谷润农业发展有限公司年产万吨有机肥深加工生产线建设项目</w:t>
            </w:r>
          </w:p>
        </w:tc>
      </w:tr>
      <w:tr w14:paraId="417F5D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0" w:type="dxa"/>
            <w:noWrap w:val="0"/>
            <w:vAlign w:val="center"/>
          </w:tcPr>
          <w:p w14:paraId="15399290">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项目代码</w:t>
            </w:r>
          </w:p>
        </w:tc>
        <w:tc>
          <w:tcPr>
            <w:tcW w:w="7204" w:type="dxa"/>
            <w:gridSpan w:val="3"/>
            <w:noWrap w:val="0"/>
            <w:vAlign w:val="center"/>
          </w:tcPr>
          <w:p w14:paraId="6089EEAF">
            <w:pPr>
              <w:spacing w:line="360" w:lineRule="auto"/>
              <w:jc w:val="center"/>
              <w:rPr>
                <w:rFonts w:hint="default" w:ascii="Times New Roman" w:hAnsi="Times New Roman" w:eastAsia="宋体" w:cs="Times New Roman"/>
                <w:color w:val="auto"/>
                <w:spacing w:val="-1"/>
                <w:sz w:val="24"/>
                <w:highlight w:val="none"/>
                <w:lang w:val="en-US" w:eastAsia="zh-CN"/>
              </w:rPr>
            </w:pPr>
            <w:r>
              <w:rPr>
                <w:rFonts w:hint="default" w:ascii="Times New Roman" w:hAnsi="Times New Roman" w:cs="Times New Roman"/>
                <w:color w:val="auto"/>
                <w:sz w:val="24"/>
                <w:highlight w:val="none"/>
                <w:lang w:val="en-US" w:eastAsia="zh-CN"/>
              </w:rPr>
              <w:t>2409-660403-04-01-351732</w:t>
            </w:r>
          </w:p>
        </w:tc>
      </w:tr>
      <w:tr w14:paraId="14C1F6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2150" w:type="dxa"/>
            <w:noWrap w:val="0"/>
            <w:vAlign w:val="center"/>
          </w:tcPr>
          <w:p w14:paraId="22D3875A">
            <w:pPr>
              <w:pStyle w:val="113"/>
              <w:spacing w:line="240" w:lineRule="auto"/>
              <w:ind w:right="2" w:rightChars="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建设单位联系人</w:t>
            </w:r>
          </w:p>
        </w:tc>
        <w:tc>
          <w:tcPr>
            <w:tcW w:w="2091" w:type="dxa"/>
            <w:noWrap w:val="0"/>
            <w:vAlign w:val="center"/>
          </w:tcPr>
          <w:p w14:paraId="677971F7">
            <w:pPr>
              <w:spacing w:line="240" w:lineRule="auto"/>
              <w:jc w:val="center"/>
              <w:rPr>
                <w:rFonts w:hint="default" w:ascii="Times New Roman" w:hAnsi="Times New Roman" w:eastAsia="宋体" w:cs="Times New Roman"/>
                <w:color w:val="auto"/>
                <w:spacing w:val="-1"/>
                <w:sz w:val="24"/>
                <w:highlight w:val="none"/>
                <w:lang w:eastAsia="zh-CN"/>
              </w:rPr>
            </w:pPr>
            <w:r>
              <w:rPr>
                <w:rFonts w:hint="default" w:ascii="Times New Roman" w:hAnsi="Times New Roman" w:cs="Times New Roman"/>
                <w:color w:val="auto"/>
                <w:spacing w:val="-1"/>
                <w:sz w:val="24"/>
                <w:highlight w:val="none"/>
                <w:lang w:val="en-US" w:eastAsia="zh-CN"/>
              </w:rPr>
              <w:t>豆艳兵</w:t>
            </w:r>
          </w:p>
        </w:tc>
        <w:tc>
          <w:tcPr>
            <w:tcW w:w="1935" w:type="dxa"/>
            <w:noWrap w:val="0"/>
            <w:vAlign w:val="center"/>
          </w:tcPr>
          <w:p w14:paraId="673BF0EE">
            <w:pPr>
              <w:spacing w:line="24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cs="Times New Roman"/>
                <w:color w:val="auto"/>
                <w:spacing w:val="-1"/>
                <w:sz w:val="24"/>
                <w:highlight w:val="none"/>
                <w:lang w:val="en-US" w:eastAsia="zh-CN"/>
              </w:rPr>
              <w:t>电话号码</w:t>
            </w:r>
          </w:p>
        </w:tc>
        <w:tc>
          <w:tcPr>
            <w:tcW w:w="3178" w:type="dxa"/>
            <w:noWrap w:val="0"/>
            <w:vAlign w:val="center"/>
          </w:tcPr>
          <w:p w14:paraId="246AA302">
            <w:pPr>
              <w:spacing w:line="240" w:lineRule="auto"/>
              <w:jc w:val="center"/>
              <w:rPr>
                <w:rFonts w:hint="default" w:ascii="Times New Roman" w:hAnsi="Times New Roman" w:eastAsia="宋体" w:cs="Times New Roman"/>
                <w:color w:val="auto"/>
                <w:spacing w:val="-1"/>
                <w:sz w:val="24"/>
                <w:highlight w:val="none"/>
                <w:lang w:val="en-US" w:eastAsia="zh-CN"/>
              </w:rPr>
            </w:pPr>
            <w:r>
              <w:rPr>
                <w:rFonts w:hint="default" w:ascii="Times New Roman" w:hAnsi="Times New Roman" w:cs="Times New Roman"/>
                <w:color w:val="auto"/>
                <w:spacing w:val="-1"/>
                <w:sz w:val="24"/>
                <w:highlight w:val="none"/>
                <w:lang w:val="en-US" w:eastAsia="zh-CN"/>
              </w:rPr>
              <w:t>18123025091</w:t>
            </w:r>
          </w:p>
        </w:tc>
      </w:tr>
      <w:tr w14:paraId="4EBA6B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2150" w:type="dxa"/>
            <w:noWrap w:val="0"/>
            <w:vAlign w:val="center"/>
          </w:tcPr>
          <w:p w14:paraId="2E35D6BD">
            <w:pPr>
              <w:jc w:val="center"/>
              <w:rPr>
                <w:rFonts w:hint="default" w:ascii="Times New Roman" w:hAnsi="Times New Roman" w:cs="Times New Roman"/>
                <w:color w:val="auto"/>
                <w:spacing w:val="-1"/>
                <w:sz w:val="24"/>
                <w:highlight w:val="none"/>
                <w:lang w:val="en-US" w:eastAsia="zh-CN"/>
              </w:rPr>
            </w:pPr>
            <w:r>
              <w:rPr>
                <w:rFonts w:hint="default" w:ascii="Times New Roman" w:hAnsi="Times New Roman" w:cs="Times New Roman"/>
                <w:color w:val="auto"/>
                <w:spacing w:val="-1"/>
                <w:sz w:val="24"/>
                <w:highlight w:val="none"/>
                <w:lang w:val="en-US" w:eastAsia="zh-CN"/>
              </w:rPr>
              <w:t>建设地点</w:t>
            </w:r>
          </w:p>
        </w:tc>
        <w:tc>
          <w:tcPr>
            <w:tcW w:w="7204" w:type="dxa"/>
            <w:gridSpan w:val="3"/>
            <w:noWrap w:val="0"/>
            <w:vAlign w:val="center"/>
          </w:tcPr>
          <w:p w14:paraId="776FD8B2">
            <w:pPr>
              <w:jc w:val="center"/>
              <w:rPr>
                <w:rFonts w:hint="default" w:ascii="Times New Roman" w:hAnsi="Times New Roman" w:eastAsia="宋体" w:cs="Times New Roman"/>
                <w:color w:val="auto"/>
                <w:spacing w:val="-1"/>
                <w:sz w:val="24"/>
                <w:highlight w:val="none"/>
                <w:lang w:val="en-US" w:eastAsia="zh-CN"/>
              </w:rPr>
            </w:pPr>
            <w:bookmarkStart w:id="6" w:name="_GoBack"/>
            <w:bookmarkEnd w:id="6"/>
            <w:r>
              <w:rPr>
                <w:rFonts w:hint="default" w:ascii="Times New Roman" w:hAnsi="Times New Roman" w:eastAsia="宋体" w:cs="Times New Roman"/>
                <w:color w:val="auto"/>
                <w:sz w:val="24"/>
                <w:szCs w:val="24"/>
                <w:highlight w:val="none"/>
                <w:lang w:val="en-US" w:eastAsia="zh-CN"/>
              </w:rPr>
              <w:t>新疆生产建设兵团第四师</w:t>
            </w:r>
            <w:r>
              <w:rPr>
                <w:rFonts w:hint="default" w:ascii="Times New Roman" w:hAnsi="Times New Roman" w:cs="Times New Roman"/>
                <w:color w:val="auto"/>
                <w:sz w:val="24"/>
                <w:highlight w:val="none"/>
                <w:u w:val="none"/>
                <w:lang w:val="en-US" w:eastAsia="zh-CN"/>
              </w:rPr>
              <w:t>六十三团</w:t>
            </w:r>
          </w:p>
        </w:tc>
      </w:tr>
      <w:tr w14:paraId="200EB0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2150" w:type="dxa"/>
            <w:noWrap w:val="0"/>
            <w:vAlign w:val="center"/>
          </w:tcPr>
          <w:p w14:paraId="3A04B656">
            <w:pPr>
              <w:jc w:val="center"/>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地理坐标</w:t>
            </w:r>
          </w:p>
        </w:tc>
        <w:tc>
          <w:tcPr>
            <w:tcW w:w="7204" w:type="dxa"/>
            <w:gridSpan w:val="3"/>
            <w:noWrap w:val="0"/>
            <w:vAlign w:val="center"/>
          </w:tcPr>
          <w:p w14:paraId="60A184F0">
            <w:pPr>
              <w:jc w:val="center"/>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snapToGrid w:val="0"/>
                <w:color w:val="auto"/>
                <w:kern w:val="0"/>
                <w:sz w:val="24"/>
                <w:szCs w:val="24"/>
                <w:highlight w:val="none"/>
                <w:lang w:val="en-US" w:eastAsia="zh-CN" w:bidi="ar-SA"/>
              </w:rPr>
              <w:t>E80°36'10.54</w:t>
            </w:r>
            <w:r>
              <w:rPr>
                <w:rFonts w:hint="eastAsia" w:cs="Times New Roman"/>
                <w:snapToGrid w:val="0"/>
                <w:color w:val="auto"/>
                <w:kern w:val="0"/>
                <w:sz w:val="24"/>
                <w:szCs w:val="24"/>
                <w:highlight w:val="none"/>
                <w:lang w:val="en-US" w:eastAsia="zh-CN" w:bidi="ar-SA"/>
              </w:rPr>
              <w:t>2</w:t>
            </w:r>
            <w:r>
              <w:rPr>
                <w:rFonts w:hint="default" w:ascii="Times New Roman" w:hAnsi="Times New Roman" w:eastAsia="宋体" w:cs="Times New Roman"/>
                <w:snapToGrid w:val="0"/>
                <w:color w:val="auto"/>
                <w:kern w:val="0"/>
                <w:sz w:val="24"/>
                <w:szCs w:val="24"/>
                <w:highlight w:val="none"/>
                <w:lang w:val="en-US" w:eastAsia="zh-CN" w:bidi="ar-SA"/>
              </w:rPr>
              <w:t>"，N43°57'48.31</w:t>
            </w:r>
            <w:r>
              <w:rPr>
                <w:rFonts w:hint="eastAsia" w:cs="Times New Roman"/>
                <w:snapToGrid w:val="0"/>
                <w:color w:val="auto"/>
                <w:kern w:val="0"/>
                <w:sz w:val="24"/>
                <w:szCs w:val="24"/>
                <w:highlight w:val="none"/>
                <w:lang w:val="en-US" w:eastAsia="zh-CN" w:bidi="ar-SA"/>
              </w:rPr>
              <w:t>5</w:t>
            </w:r>
            <w:r>
              <w:rPr>
                <w:rFonts w:hint="default" w:ascii="Times New Roman" w:hAnsi="Times New Roman" w:eastAsia="宋体" w:cs="Times New Roman"/>
                <w:snapToGrid w:val="0"/>
                <w:color w:val="auto"/>
                <w:kern w:val="0"/>
                <w:sz w:val="24"/>
                <w:szCs w:val="24"/>
                <w:highlight w:val="none"/>
                <w:lang w:val="en-US" w:eastAsia="zh-CN" w:bidi="ar-SA"/>
              </w:rPr>
              <w:t>"</w:t>
            </w:r>
          </w:p>
        </w:tc>
      </w:tr>
      <w:tr w14:paraId="182CDE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2150" w:type="dxa"/>
            <w:noWrap w:val="0"/>
            <w:vAlign w:val="center"/>
          </w:tcPr>
          <w:p w14:paraId="0B6B2E73">
            <w:pPr>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国民经济</w:t>
            </w:r>
          </w:p>
          <w:p w14:paraId="49BB8C1D">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pacing w:val="-1"/>
                <w:sz w:val="24"/>
                <w:highlight w:val="none"/>
              </w:rPr>
              <w:t>行业类别</w:t>
            </w:r>
          </w:p>
        </w:tc>
        <w:tc>
          <w:tcPr>
            <w:tcW w:w="2091" w:type="dxa"/>
            <w:noWrap w:val="0"/>
            <w:vAlign w:val="center"/>
          </w:tcPr>
          <w:p w14:paraId="67A7B468">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C2625有机肥料及微生物肥料制造</w:t>
            </w:r>
          </w:p>
          <w:p w14:paraId="2239A087">
            <w:pP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C1329其他饲料加工</w:t>
            </w:r>
          </w:p>
        </w:tc>
        <w:tc>
          <w:tcPr>
            <w:tcW w:w="1935" w:type="dxa"/>
            <w:noWrap w:val="0"/>
            <w:vAlign w:val="center"/>
          </w:tcPr>
          <w:p w14:paraId="3142326D">
            <w:pPr>
              <w:jc w:val="center"/>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建设项目</w:t>
            </w:r>
          </w:p>
          <w:p w14:paraId="2A5A2D4E">
            <w:pPr>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szCs w:val="24"/>
                <w:highlight w:val="none"/>
              </w:rPr>
              <w:t>行业类别</w:t>
            </w:r>
          </w:p>
        </w:tc>
        <w:tc>
          <w:tcPr>
            <w:tcW w:w="3178" w:type="dxa"/>
            <w:noWrap w:val="0"/>
            <w:vAlign w:val="center"/>
          </w:tcPr>
          <w:p w14:paraId="442A36C7">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二十三、化学原料和化学制品制造业26-45.肥料制造262-其他；</w:t>
            </w:r>
          </w:p>
          <w:p w14:paraId="1832FE04">
            <w:pP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十、农副食品加工业13-15.谷物磨制131*；饲料加工132*-含发酵工艺的。</w:t>
            </w:r>
          </w:p>
        </w:tc>
      </w:tr>
      <w:tr w14:paraId="5BCAC1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2150" w:type="dxa"/>
            <w:noWrap w:val="0"/>
            <w:vAlign w:val="center"/>
          </w:tcPr>
          <w:p w14:paraId="304E745C">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建设性质</w:t>
            </w:r>
          </w:p>
        </w:tc>
        <w:tc>
          <w:tcPr>
            <w:tcW w:w="2091" w:type="dxa"/>
            <w:noWrap w:val="0"/>
            <w:vAlign w:val="center"/>
          </w:tcPr>
          <w:p w14:paraId="6591AD6F">
            <w:pPr>
              <w:pStyle w:val="113"/>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1"/>
                <w:sz w:val="24"/>
                <w:highlight w:val="none"/>
                <w:lang w:eastAsia="zh-CN"/>
              </w:rPr>
              <w:t>☑</w:t>
            </w:r>
            <w:r>
              <w:rPr>
                <w:rFonts w:hint="eastAsia" w:asciiTheme="minorEastAsia" w:hAnsiTheme="minorEastAsia" w:eastAsiaTheme="minorEastAsia" w:cstheme="minorEastAsia"/>
                <w:color w:val="auto"/>
                <w:spacing w:val="-1"/>
                <w:sz w:val="24"/>
                <w:highlight w:val="none"/>
              </w:rPr>
              <w:t>新建（迁建）</w:t>
            </w:r>
          </w:p>
          <w:p w14:paraId="047D727D">
            <w:pPr>
              <w:pStyle w:val="113"/>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1"/>
                <w:sz w:val="24"/>
                <w:highlight w:val="none"/>
              </w:rPr>
              <w:t>□改建</w:t>
            </w:r>
          </w:p>
          <w:p w14:paraId="11B42CC8">
            <w:pPr>
              <w:pStyle w:val="113"/>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1"/>
                <w:sz w:val="24"/>
                <w:highlight w:val="none"/>
              </w:rPr>
              <w:t>□扩建</w:t>
            </w:r>
          </w:p>
          <w:p w14:paraId="1E00F928">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1"/>
                <w:sz w:val="24"/>
                <w:highlight w:val="none"/>
              </w:rPr>
              <w:t>□技术改造</w:t>
            </w:r>
          </w:p>
        </w:tc>
        <w:tc>
          <w:tcPr>
            <w:tcW w:w="1935" w:type="dxa"/>
            <w:noWrap w:val="0"/>
            <w:vAlign w:val="center"/>
          </w:tcPr>
          <w:p w14:paraId="7281A68E">
            <w:pPr>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建设项目</w:t>
            </w:r>
          </w:p>
          <w:p w14:paraId="53D7540C">
            <w:pPr>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申报情形</w:t>
            </w:r>
          </w:p>
        </w:tc>
        <w:tc>
          <w:tcPr>
            <w:tcW w:w="3178" w:type="dxa"/>
            <w:noWrap w:val="0"/>
            <w:vAlign w:val="center"/>
          </w:tcPr>
          <w:p w14:paraId="30885F61">
            <w:pPr>
              <w:pStyle w:val="113"/>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heme="minorEastAsia" w:hAnsiTheme="minorEastAsia" w:eastAsiaTheme="minorEastAsia" w:cstheme="minorEastAsia"/>
                <w:color w:val="auto"/>
                <w:spacing w:val="-1"/>
                <w:sz w:val="24"/>
                <w:highlight w:val="none"/>
                <w:lang w:eastAsia="zh-CN"/>
              </w:rPr>
            </w:pPr>
            <w:r>
              <w:rPr>
                <w:rFonts w:hint="eastAsia" w:asciiTheme="minorEastAsia" w:hAnsiTheme="minorEastAsia" w:eastAsiaTheme="minorEastAsia" w:cstheme="minorEastAsia"/>
                <w:color w:val="auto"/>
                <w:spacing w:val="-1"/>
                <w:sz w:val="24"/>
                <w:highlight w:val="none"/>
                <w:lang w:eastAsia="zh-CN"/>
              </w:rPr>
              <w:t>☑首次申报项目</w:t>
            </w:r>
          </w:p>
          <w:p w14:paraId="087619E0">
            <w:pPr>
              <w:pStyle w:val="113"/>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heme="minorEastAsia" w:hAnsiTheme="minorEastAsia" w:eastAsiaTheme="minorEastAsia" w:cstheme="minorEastAsia"/>
                <w:color w:val="auto"/>
                <w:spacing w:val="-1"/>
                <w:sz w:val="24"/>
                <w:highlight w:val="none"/>
                <w:lang w:eastAsia="zh-CN"/>
              </w:rPr>
            </w:pPr>
            <w:r>
              <w:rPr>
                <w:rFonts w:hint="eastAsia" w:asciiTheme="minorEastAsia" w:hAnsiTheme="minorEastAsia" w:eastAsiaTheme="minorEastAsia" w:cstheme="minorEastAsia"/>
                <w:color w:val="auto"/>
                <w:spacing w:val="-1"/>
                <w:sz w:val="24"/>
                <w:highlight w:val="none"/>
                <w:lang w:eastAsia="zh-CN"/>
              </w:rPr>
              <w:t>□不予批准后再次申报项目</w:t>
            </w:r>
          </w:p>
          <w:p w14:paraId="47466D3D">
            <w:pPr>
              <w:pStyle w:val="113"/>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heme="minorEastAsia" w:hAnsiTheme="minorEastAsia" w:eastAsiaTheme="minorEastAsia" w:cstheme="minorEastAsia"/>
                <w:color w:val="auto"/>
                <w:spacing w:val="-1"/>
                <w:sz w:val="24"/>
                <w:highlight w:val="none"/>
                <w:lang w:eastAsia="zh-CN"/>
              </w:rPr>
            </w:pPr>
            <w:r>
              <w:rPr>
                <w:rFonts w:hint="eastAsia" w:asciiTheme="minorEastAsia" w:hAnsiTheme="minorEastAsia" w:eastAsiaTheme="minorEastAsia" w:cstheme="minorEastAsia"/>
                <w:color w:val="auto"/>
                <w:spacing w:val="-1"/>
                <w:sz w:val="24"/>
                <w:highlight w:val="none"/>
                <w:lang w:eastAsia="zh-CN"/>
              </w:rPr>
              <w:t>□超五年重新审核项目</w:t>
            </w:r>
          </w:p>
          <w:p w14:paraId="64D5B499">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1"/>
                <w:sz w:val="24"/>
                <w:highlight w:val="none"/>
                <w:lang w:eastAsia="zh-CN"/>
              </w:rPr>
              <w:t>□重大变动重新报批项目</w:t>
            </w:r>
          </w:p>
        </w:tc>
      </w:tr>
      <w:tr w14:paraId="6624E8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0" w:type="dxa"/>
            <w:noWrap w:val="0"/>
            <w:vAlign w:val="center"/>
          </w:tcPr>
          <w:p w14:paraId="04F68134">
            <w:pPr>
              <w:spacing w:line="24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r>
              <w:rPr>
                <w:rFonts w:hint="default" w:ascii="Times New Roman" w:hAnsi="Times New Roman" w:cs="Times New Roman"/>
                <w:color w:val="auto"/>
                <w:spacing w:val="-3"/>
                <w:sz w:val="24"/>
                <w:highlight w:val="none"/>
              </w:rPr>
              <w:t>审</w:t>
            </w:r>
            <w:r>
              <w:rPr>
                <w:rFonts w:hint="default" w:ascii="Times New Roman" w:hAnsi="Times New Roman" w:cs="Times New Roman"/>
                <w:color w:val="auto"/>
                <w:spacing w:val="-36"/>
                <w:sz w:val="24"/>
                <w:highlight w:val="none"/>
              </w:rPr>
              <w:t>批</w:t>
            </w:r>
            <w:r>
              <w:rPr>
                <w:rFonts w:hint="default" w:ascii="Times New Roman" w:hAnsi="Times New Roman" w:cs="Times New Roman"/>
                <w:color w:val="auto"/>
                <w:sz w:val="24"/>
                <w:highlight w:val="none"/>
              </w:rPr>
              <w:t>（</w:t>
            </w:r>
            <w:r>
              <w:rPr>
                <w:rFonts w:hint="default" w:ascii="Times New Roman" w:hAnsi="Times New Roman" w:cs="Times New Roman"/>
                <w:color w:val="auto"/>
                <w:spacing w:val="-3"/>
                <w:sz w:val="24"/>
                <w:highlight w:val="none"/>
              </w:rPr>
              <w:t>核</w:t>
            </w:r>
            <w:r>
              <w:rPr>
                <w:rFonts w:hint="default" w:ascii="Times New Roman" w:hAnsi="Times New Roman" w:cs="Times New Roman"/>
                <w:color w:val="auto"/>
                <w:sz w:val="24"/>
                <w:highlight w:val="none"/>
              </w:rPr>
              <w:t>准</w:t>
            </w:r>
            <w:r>
              <w:rPr>
                <w:rFonts w:hint="default" w:ascii="Times New Roman" w:hAnsi="Times New Roman" w:cs="Times New Roman"/>
                <w:color w:val="auto"/>
                <w:spacing w:val="-2"/>
                <w:sz w:val="24"/>
                <w:highlight w:val="none"/>
              </w:rPr>
              <w:t>/</w:t>
            </w:r>
            <w:r>
              <w:rPr>
                <w:rFonts w:hint="default" w:ascii="Times New Roman" w:hAnsi="Times New Roman" w:cs="Times New Roman"/>
                <w:color w:val="auto"/>
                <w:sz w:val="24"/>
                <w:highlight w:val="none"/>
              </w:rPr>
              <w:t>备案）部</w:t>
            </w:r>
            <w:r>
              <w:rPr>
                <w:rFonts w:hint="default" w:ascii="Times New Roman" w:hAnsi="Times New Roman" w:cs="Times New Roman"/>
                <w:color w:val="auto"/>
                <w:spacing w:val="-48"/>
                <w:sz w:val="24"/>
                <w:highlight w:val="none"/>
              </w:rPr>
              <w:t>门</w:t>
            </w:r>
            <w:r>
              <w:rPr>
                <w:rFonts w:hint="default" w:ascii="Times New Roman" w:hAnsi="Times New Roman" w:cs="Times New Roman"/>
                <w:color w:val="auto"/>
                <w:spacing w:val="-3"/>
                <w:sz w:val="24"/>
                <w:highlight w:val="none"/>
              </w:rPr>
              <w:t>（</w:t>
            </w:r>
            <w:r>
              <w:rPr>
                <w:rFonts w:hint="default" w:ascii="Times New Roman" w:hAnsi="Times New Roman" w:cs="Times New Roman"/>
                <w:color w:val="auto"/>
                <w:sz w:val="24"/>
                <w:highlight w:val="none"/>
              </w:rPr>
              <w:t>选填）</w:t>
            </w:r>
          </w:p>
        </w:tc>
        <w:tc>
          <w:tcPr>
            <w:tcW w:w="2091" w:type="dxa"/>
            <w:noWrap w:val="0"/>
            <w:vAlign w:val="center"/>
          </w:tcPr>
          <w:p w14:paraId="7B78DE8E">
            <w:pPr>
              <w:spacing w:line="240" w:lineRule="auto"/>
              <w:jc w:val="center"/>
              <w:rPr>
                <w:rFonts w:hint="default" w:ascii="Times New Roman" w:hAnsi="Times New Roman" w:cs="Times New Roman"/>
                <w:color w:val="auto"/>
                <w:spacing w:val="-1"/>
                <w:sz w:val="24"/>
                <w:highlight w:val="none"/>
                <w:lang w:val="en-US"/>
              </w:rPr>
            </w:pPr>
            <w:r>
              <w:rPr>
                <w:rFonts w:hint="default" w:ascii="Times New Roman" w:hAnsi="Times New Roman" w:cs="Times New Roman"/>
                <w:color w:val="auto"/>
                <w:sz w:val="24"/>
                <w:highlight w:val="none"/>
                <w:lang w:val="en-US" w:eastAsia="zh-CN"/>
              </w:rPr>
              <w:t>新疆生产建设兵团第四师六十三团经济发展办公室</w:t>
            </w:r>
          </w:p>
        </w:tc>
        <w:tc>
          <w:tcPr>
            <w:tcW w:w="1935" w:type="dxa"/>
            <w:noWrap w:val="0"/>
            <w:vAlign w:val="center"/>
          </w:tcPr>
          <w:p w14:paraId="1CFA1373">
            <w:pPr>
              <w:spacing w:line="24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项目审批（核准/备案）文号（选填）</w:t>
            </w:r>
          </w:p>
        </w:tc>
        <w:tc>
          <w:tcPr>
            <w:tcW w:w="3178" w:type="dxa"/>
            <w:noWrap w:val="0"/>
            <w:vAlign w:val="center"/>
          </w:tcPr>
          <w:p w14:paraId="6B4D4A9F">
            <w:pPr>
              <w:pStyle w:val="28"/>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pacing w:val="-1"/>
                <w:sz w:val="24"/>
                <w:highlight w:val="none"/>
                <w:lang w:val="en-US"/>
              </w:rPr>
            </w:pPr>
            <w:r>
              <w:rPr>
                <w:rFonts w:hint="default" w:ascii="Times New Roman" w:hAnsi="Times New Roman" w:cs="Times New Roman"/>
                <w:color w:val="auto"/>
                <w:sz w:val="24"/>
                <w:highlight w:val="none"/>
                <w:lang w:val="en-US" w:eastAsia="zh-CN"/>
              </w:rPr>
              <w:t>经发办备〔2024〕007号</w:t>
            </w:r>
          </w:p>
        </w:tc>
      </w:tr>
      <w:tr w14:paraId="416241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2150" w:type="dxa"/>
            <w:noWrap w:val="0"/>
            <w:vAlign w:val="center"/>
          </w:tcPr>
          <w:p w14:paraId="6D47BADB">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pacing w:val="-2"/>
                <w:sz w:val="24"/>
                <w:highlight w:val="none"/>
              </w:rPr>
              <w:t>总投资（万元）</w:t>
            </w:r>
          </w:p>
        </w:tc>
        <w:tc>
          <w:tcPr>
            <w:tcW w:w="2091" w:type="dxa"/>
            <w:noWrap w:val="0"/>
            <w:vAlign w:val="center"/>
          </w:tcPr>
          <w:p w14:paraId="58714177">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7500</w:t>
            </w:r>
          </w:p>
        </w:tc>
        <w:tc>
          <w:tcPr>
            <w:tcW w:w="1935" w:type="dxa"/>
            <w:noWrap w:val="0"/>
            <w:vAlign w:val="center"/>
          </w:tcPr>
          <w:p w14:paraId="68C0C3E5">
            <w:pPr>
              <w:jc w:val="center"/>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环保投资（万元）</w:t>
            </w:r>
          </w:p>
        </w:tc>
        <w:tc>
          <w:tcPr>
            <w:tcW w:w="3178" w:type="dxa"/>
            <w:noWrap w:val="0"/>
            <w:vAlign w:val="center"/>
          </w:tcPr>
          <w:p w14:paraId="7CA0FCA8">
            <w:pPr>
              <w:jc w:val="center"/>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215</w:t>
            </w:r>
          </w:p>
        </w:tc>
      </w:tr>
      <w:tr w14:paraId="70BB7F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2150" w:type="dxa"/>
            <w:noWrap w:val="0"/>
            <w:vAlign w:val="center"/>
          </w:tcPr>
          <w:p w14:paraId="26930B18">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pacing w:val="-1"/>
                <w:sz w:val="24"/>
                <w:highlight w:val="none"/>
              </w:rPr>
              <w:t>环保投资占比（%）</w:t>
            </w:r>
          </w:p>
        </w:tc>
        <w:tc>
          <w:tcPr>
            <w:tcW w:w="2091" w:type="dxa"/>
            <w:noWrap w:val="0"/>
            <w:vAlign w:val="center"/>
          </w:tcPr>
          <w:p w14:paraId="1EC9F428">
            <w:pPr>
              <w:spacing w:line="360" w:lineRule="auto"/>
              <w:jc w:val="center"/>
              <w:rPr>
                <w:rFonts w:hint="default" w:ascii="Times New Roman" w:hAnsi="Times New Roman" w:eastAsia="宋体" w:cs="Times New Roman"/>
                <w:color w:val="auto"/>
                <w:spacing w:val="6"/>
                <w:sz w:val="24"/>
                <w:highlight w:val="none"/>
                <w:lang w:val="en-US" w:eastAsia="zh-CN"/>
              </w:rPr>
            </w:pPr>
            <w:r>
              <w:rPr>
                <w:rFonts w:hint="eastAsia" w:cs="Times New Roman"/>
                <w:color w:val="auto"/>
                <w:spacing w:val="6"/>
                <w:sz w:val="24"/>
                <w:highlight w:val="none"/>
                <w:lang w:val="en-US" w:eastAsia="zh-CN"/>
              </w:rPr>
              <w:t>2.87</w:t>
            </w:r>
          </w:p>
        </w:tc>
        <w:tc>
          <w:tcPr>
            <w:tcW w:w="1935" w:type="dxa"/>
            <w:noWrap w:val="0"/>
            <w:vAlign w:val="center"/>
          </w:tcPr>
          <w:p w14:paraId="6BC00D05">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pacing w:val="-1"/>
                <w:sz w:val="24"/>
                <w:highlight w:val="none"/>
              </w:rPr>
              <w:t>施工工期</w:t>
            </w:r>
          </w:p>
        </w:tc>
        <w:tc>
          <w:tcPr>
            <w:tcW w:w="3178" w:type="dxa"/>
            <w:noWrap w:val="0"/>
            <w:vAlign w:val="center"/>
          </w:tcPr>
          <w:p w14:paraId="4F17ED93">
            <w:pPr>
              <w:spacing w:line="360" w:lineRule="auto"/>
              <w:jc w:val="center"/>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cs="Times New Roman"/>
                <w:color w:val="auto"/>
                <w:spacing w:val="6"/>
                <w:sz w:val="24"/>
                <w:highlight w:val="none"/>
                <w:lang w:val="en-US" w:eastAsia="zh-CN"/>
              </w:rPr>
              <w:t>12个月</w:t>
            </w:r>
          </w:p>
        </w:tc>
      </w:tr>
      <w:tr w14:paraId="3D2799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2150" w:type="dxa"/>
            <w:noWrap w:val="0"/>
            <w:vAlign w:val="center"/>
          </w:tcPr>
          <w:p w14:paraId="662536BB">
            <w:pPr>
              <w:spacing w:line="360" w:lineRule="auto"/>
              <w:jc w:val="center"/>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是否开工建设</w:t>
            </w:r>
          </w:p>
        </w:tc>
        <w:tc>
          <w:tcPr>
            <w:tcW w:w="2091" w:type="dxa"/>
            <w:noWrap w:val="0"/>
            <w:vAlign w:val="center"/>
          </w:tcPr>
          <w:p w14:paraId="68B9B922">
            <w:pPr>
              <w:pStyle w:val="113"/>
              <w:spacing w:before="41" w:line="281" w:lineRule="exact"/>
              <w:ind w:left="-1"/>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lang w:eastAsia="zh-CN"/>
              </w:rPr>
              <w:t>☑</w:t>
            </w:r>
            <w:r>
              <w:rPr>
                <w:rFonts w:hint="eastAsia" w:ascii="宋体" w:hAnsi="宋体" w:eastAsia="宋体" w:cs="宋体"/>
                <w:color w:val="auto"/>
                <w:spacing w:val="-1"/>
                <w:sz w:val="24"/>
                <w:highlight w:val="none"/>
              </w:rPr>
              <w:t>否</w:t>
            </w:r>
          </w:p>
          <w:p w14:paraId="4DD6D7B1">
            <w:pPr>
              <w:pStyle w:val="113"/>
              <w:spacing w:before="41" w:line="281" w:lineRule="exact"/>
              <w:rPr>
                <w:rFonts w:hint="eastAsia" w:ascii="宋体" w:hAnsi="宋体" w:eastAsia="宋体" w:cs="宋体"/>
                <w:color w:val="auto"/>
                <w:spacing w:val="6"/>
                <w:sz w:val="24"/>
                <w:highlight w:val="none"/>
                <w:lang w:val="en-US" w:eastAsia="zh-CN"/>
              </w:rPr>
            </w:pPr>
            <w:r>
              <w:rPr>
                <w:rFonts w:hint="eastAsia" w:ascii="宋体" w:hAnsi="宋体" w:eastAsia="宋体" w:cs="宋体"/>
                <w:color w:val="auto"/>
                <w:spacing w:val="-1"/>
                <w:sz w:val="24"/>
                <w:highlight w:val="none"/>
                <w:lang w:eastAsia="zh-CN"/>
              </w:rPr>
              <w:t>□</w:t>
            </w:r>
            <w:r>
              <w:rPr>
                <w:rFonts w:hint="eastAsia" w:ascii="宋体" w:hAnsi="宋体" w:eastAsia="宋体" w:cs="宋体"/>
                <w:color w:val="auto"/>
                <w:spacing w:val="-1"/>
                <w:sz w:val="24"/>
                <w:highlight w:val="none"/>
              </w:rPr>
              <w:t>是：</w:t>
            </w:r>
          </w:p>
        </w:tc>
        <w:tc>
          <w:tcPr>
            <w:tcW w:w="1935" w:type="dxa"/>
            <w:noWrap w:val="0"/>
            <w:vAlign w:val="center"/>
          </w:tcPr>
          <w:p w14:paraId="509D2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12"/>
                <w:sz w:val="24"/>
                <w:highlight w:val="none"/>
              </w:rPr>
            </w:pPr>
            <w:r>
              <w:rPr>
                <w:rFonts w:hint="default" w:ascii="Times New Roman" w:hAnsi="Times New Roman" w:cs="Times New Roman"/>
                <w:color w:val="auto"/>
                <w:spacing w:val="-12"/>
                <w:sz w:val="24"/>
                <w:highlight w:val="none"/>
              </w:rPr>
              <w:t>用地（用海）</w:t>
            </w:r>
          </w:p>
          <w:p w14:paraId="600750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0"/>
                <w:sz w:val="24"/>
                <w:highlight w:val="none"/>
              </w:rPr>
              <w:t>面积（m</w:t>
            </w:r>
            <w:r>
              <w:rPr>
                <w:rFonts w:hint="default" w:ascii="Times New Roman" w:hAnsi="Times New Roman" w:cs="Times New Roman"/>
                <w:color w:val="auto"/>
                <w:spacing w:val="-10"/>
                <w:sz w:val="24"/>
                <w:highlight w:val="none"/>
                <w:vertAlign w:val="superscript"/>
                <w:lang w:val="en-US" w:eastAsia="zh-CN"/>
              </w:rPr>
              <w:t>2</w:t>
            </w:r>
            <w:r>
              <w:rPr>
                <w:rFonts w:hint="default" w:ascii="Times New Roman" w:hAnsi="Times New Roman" w:cs="Times New Roman"/>
                <w:color w:val="auto"/>
                <w:spacing w:val="-10"/>
                <w:sz w:val="24"/>
                <w:highlight w:val="none"/>
              </w:rPr>
              <w:t>）</w:t>
            </w:r>
          </w:p>
        </w:tc>
        <w:tc>
          <w:tcPr>
            <w:tcW w:w="3178" w:type="dxa"/>
            <w:noWrap w:val="0"/>
            <w:vAlign w:val="center"/>
          </w:tcPr>
          <w:p w14:paraId="3873877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cs="Times New Roman"/>
                <w:snapToGrid w:val="0"/>
                <w:color w:val="auto"/>
                <w:kern w:val="0"/>
                <w:sz w:val="24"/>
                <w:szCs w:val="24"/>
                <w:highlight w:val="none"/>
                <w:lang w:val="en-US" w:eastAsia="zh-CN" w:bidi="ar-SA"/>
              </w:rPr>
              <w:t>43010.51</w:t>
            </w:r>
          </w:p>
        </w:tc>
      </w:tr>
      <w:tr w14:paraId="36844A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2150" w:type="dxa"/>
            <w:noWrap w:val="0"/>
            <w:vAlign w:val="center"/>
          </w:tcPr>
          <w:p w14:paraId="0C6D1A20">
            <w:pPr>
              <w:spacing w:line="360" w:lineRule="auto"/>
              <w:jc w:val="center"/>
              <w:rPr>
                <w:rFonts w:hint="default" w:ascii="Times New Roman" w:hAnsi="Times New Roman" w:cs="Times New Roman"/>
                <w:color w:val="auto"/>
                <w:spacing w:val="-20"/>
                <w:sz w:val="24"/>
                <w:highlight w:val="none"/>
              </w:rPr>
            </w:pPr>
            <w:r>
              <w:rPr>
                <w:rFonts w:hint="default" w:ascii="Times New Roman" w:hAnsi="Times New Roman" w:cs="Times New Roman"/>
                <w:color w:val="auto"/>
                <w:spacing w:val="-1"/>
                <w:sz w:val="24"/>
                <w:highlight w:val="none"/>
              </w:rPr>
              <w:t>专项评价设</w:t>
            </w:r>
            <w:r>
              <w:rPr>
                <w:rFonts w:hint="default" w:ascii="Times New Roman" w:hAnsi="Times New Roman" w:cs="Times New Roman"/>
                <w:color w:val="auto"/>
                <w:sz w:val="24"/>
                <w:highlight w:val="none"/>
              </w:rPr>
              <w:t>置情况</w:t>
            </w:r>
          </w:p>
        </w:tc>
        <w:tc>
          <w:tcPr>
            <w:tcW w:w="7204" w:type="dxa"/>
            <w:gridSpan w:val="3"/>
            <w:noWrap w:val="0"/>
            <w:vAlign w:val="center"/>
          </w:tcPr>
          <w:p w14:paraId="72C5C9A4">
            <w:pPr>
              <w:spacing w:line="360" w:lineRule="auto"/>
              <w:jc w:val="center"/>
              <w:rPr>
                <w:rFonts w:hint="default" w:ascii="Times New Roman" w:hAnsi="Times New Roman" w:cs="Times New Roman"/>
                <w:color w:val="auto"/>
                <w:spacing w:val="6"/>
                <w:sz w:val="24"/>
                <w:highlight w:val="none"/>
              </w:rPr>
            </w:pPr>
            <w:r>
              <w:rPr>
                <w:rFonts w:hint="default" w:ascii="Times New Roman" w:hAnsi="Times New Roman" w:cs="Times New Roman"/>
                <w:color w:val="auto"/>
                <w:sz w:val="24"/>
                <w:highlight w:val="none"/>
              </w:rPr>
              <w:t>无</w:t>
            </w:r>
          </w:p>
        </w:tc>
      </w:tr>
      <w:tr w14:paraId="2BAECF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2150" w:type="dxa"/>
            <w:noWrap w:val="0"/>
            <w:vAlign w:val="center"/>
          </w:tcPr>
          <w:p w14:paraId="18DC876E">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规划情况</w:t>
            </w:r>
          </w:p>
        </w:tc>
        <w:tc>
          <w:tcPr>
            <w:tcW w:w="7204" w:type="dxa"/>
            <w:gridSpan w:val="3"/>
            <w:noWrap w:val="0"/>
            <w:vAlign w:val="center"/>
          </w:tcPr>
          <w:p w14:paraId="5B9B9F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firstLine="0" w:firstLineChars="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无</w:t>
            </w:r>
          </w:p>
        </w:tc>
      </w:tr>
      <w:tr w14:paraId="7CFA02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2150" w:type="dxa"/>
            <w:noWrap w:val="0"/>
            <w:vAlign w:val="center"/>
          </w:tcPr>
          <w:p w14:paraId="251687D4">
            <w:pPr>
              <w:spacing w:line="24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规划环境影响</w:t>
            </w:r>
          </w:p>
          <w:p w14:paraId="615069E9">
            <w:pPr>
              <w:spacing w:line="24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评价情况</w:t>
            </w:r>
          </w:p>
        </w:tc>
        <w:tc>
          <w:tcPr>
            <w:tcW w:w="7204" w:type="dxa"/>
            <w:gridSpan w:val="3"/>
            <w:noWrap w:val="0"/>
            <w:vAlign w:val="center"/>
          </w:tcPr>
          <w:p w14:paraId="0086BA02">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right="0" w:rightChars="0" w:firstLine="0" w:firstLineChars="0"/>
              <w:jc w:val="center"/>
              <w:textAlignment w:val="auto"/>
              <w:rPr>
                <w:rFonts w:hint="default" w:ascii="Times New Roman" w:hAnsi="Times New Roman" w:cs="Times New Roman"/>
                <w:color w:val="auto"/>
                <w:sz w:val="24"/>
                <w:highlight w:val="none"/>
                <w:lang w:val="en-US"/>
              </w:rPr>
            </w:pPr>
            <w:r>
              <w:rPr>
                <w:rFonts w:hint="default" w:ascii="Times New Roman" w:hAnsi="Times New Roman" w:cs="Times New Roman"/>
                <w:color w:val="auto"/>
                <w:sz w:val="24"/>
                <w:highlight w:val="none"/>
              </w:rPr>
              <w:t>无</w:t>
            </w:r>
          </w:p>
        </w:tc>
      </w:tr>
      <w:tr w14:paraId="446DDD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2150" w:type="dxa"/>
            <w:noWrap w:val="0"/>
            <w:vAlign w:val="center"/>
          </w:tcPr>
          <w:p w14:paraId="672152AB">
            <w:pPr>
              <w:spacing w:line="24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规划及规划环境</w:t>
            </w:r>
          </w:p>
          <w:p w14:paraId="3AC37EE4">
            <w:pPr>
              <w:spacing w:line="24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影响评价符合性分析</w:t>
            </w:r>
          </w:p>
        </w:tc>
        <w:tc>
          <w:tcPr>
            <w:tcW w:w="7204" w:type="dxa"/>
            <w:gridSpan w:val="3"/>
            <w:noWrap w:val="0"/>
            <w:vAlign w:val="center"/>
          </w:tcPr>
          <w:p w14:paraId="29334EC7">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color w:val="auto"/>
                <w:spacing w:val="6"/>
                <w:sz w:val="24"/>
                <w:highlight w:val="none"/>
              </w:rPr>
            </w:pPr>
            <w:r>
              <w:rPr>
                <w:rFonts w:hint="default" w:ascii="Times New Roman" w:hAnsi="Times New Roman" w:cs="Times New Roman"/>
                <w:color w:val="auto"/>
                <w:sz w:val="24"/>
                <w:highlight w:val="none"/>
              </w:rPr>
              <w:t>无</w:t>
            </w:r>
          </w:p>
        </w:tc>
      </w:tr>
      <w:tr w14:paraId="7EA58F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031" w:hRule="atLeast"/>
          <w:jc w:val="center"/>
        </w:trPr>
        <w:tc>
          <w:tcPr>
            <w:tcW w:w="2150" w:type="dxa"/>
            <w:noWrap w:val="0"/>
            <w:vAlign w:val="center"/>
          </w:tcPr>
          <w:p w14:paraId="420099AB">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其他符合性分析</w:t>
            </w:r>
          </w:p>
        </w:tc>
        <w:tc>
          <w:tcPr>
            <w:tcW w:w="7204" w:type="dxa"/>
            <w:gridSpan w:val="3"/>
            <w:noWrap w:val="0"/>
            <w:vAlign w:val="center"/>
          </w:tcPr>
          <w:p w14:paraId="5C6F85AB">
            <w:pPr>
              <w:widowControl/>
              <w:numPr>
                <w:ilvl w:val="0"/>
                <w:numId w:val="0"/>
              </w:numPr>
              <w:spacing w:line="360" w:lineRule="auto"/>
              <w:ind w:firstLine="482" w:firstLineChars="200"/>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1、产业政策符合性分析</w:t>
            </w:r>
          </w:p>
          <w:p w14:paraId="24F7BF41">
            <w:pPr>
              <w:widowControl/>
              <w:numPr>
                <w:ilvl w:val="0"/>
                <w:numId w:val="0"/>
              </w:numPr>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为有机肥生产项目，</w:t>
            </w:r>
            <w:r>
              <w:rPr>
                <w:rFonts w:hint="default" w:ascii="Times New Roman" w:hAnsi="Times New Roman" w:cs="Times New Roman"/>
                <w:color w:val="auto"/>
                <w:sz w:val="24"/>
                <w:szCs w:val="24"/>
                <w:highlight w:val="none"/>
              </w:rPr>
              <w:t>既不属于《产业结构调整指导目录（20</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年本</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》中规定的限制类、淘汰类项目，也不属于鼓励类项目，符合国家当前产业政策。本项目的建成运营，不仅具有很好的经济效益，同时具有很好的社会效益。</w:t>
            </w:r>
          </w:p>
          <w:p w14:paraId="20D21B16">
            <w:pPr>
              <w:widowControl/>
              <w:numPr>
                <w:ilvl w:val="0"/>
                <w:numId w:val="0"/>
              </w:num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《&lt;国家发展改革委商务部市场监管总局关于印发《市场准入负面清单（2025年版）&gt;的通知》（发改体改规〔2025〕466号）</w:t>
            </w:r>
            <w:r>
              <w:rPr>
                <w:rFonts w:hint="eastAsia" w:cs="Times New Roman"/>
                <w:color w:val="auto"/>
                <w:sz w:val="24"/>
                <w:szCs w:val="24"/>
                <w:highlight w:val="none"/>
                <w:lang w:val="en-US" w:eastAsia="zh-CN"/>
              </w:rPr>
              <w:t>，本项目生产的产品不属于市场准入负面清单之列。</w:t>
            </w:r>
          </w:p>
          <w:p w14:paraId="776423D6">
            <w:pPr>
              <w:widowControl/>
              <w:numPr>
                <w:ilvl w:val="0"/>
                <w:numId w:val="0"/>
              </w:num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同时，2025年1月22日新疆生产建设兵团第四师六十三团经济发展办公室以经发办备〔2024〕007号对本项目进行备案，备案号为2409-660403-04-01-351732。</w:t>
            </w:r>
          </w:p>
          <w:p w14:paraId="716E5F14">
            <w:pPr>
              <w:spacing w:line="360" w:lineRule="auto"/>
              <w:ind w:firstLine="482" w:firstLineChars="200"/>
              <w:rPr>
                <w:rFonts w:hint="default" w:ascii="Times New Roman" w:hAnsi="Times New Roman" w:cs="Times New Roman"/>
                <w:b/>
                <w:bCs/>
                <w:color w:val="auto"/>
                <w:sz w:val="24"/>
                <w:szCs w:val="24"/>
                <w:highlight w:val="none"/>
              </w:rPr>
            </w:pPr>
            <w:bookmarkStart w:id="1" w:name="OLE_LINK1"/>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与“三线一单”</w:t>
            </w:r>
            <w:r>
              <w:rPr>
                <w:rFonts w:hint="default" w:ascii="Times New Roman" w:hAnsi="Times New Roman" w:cs="Times New Roman"/>
                <w:b/>
                <w:bCs/>
                <w:color w:val="auto"/>
                <w:sz w:val="24"/>
                <w:szCs w:val="24"/>
                <w:highlight w:val="none"/>
                <w:lang w:val="en-US" w:eastAsia="zh-CN"/>
              </w:rPr>
              <w:t>符合性分析</w:t>
            </w:r>
          </w:p>
          <w:bookmarkEnd w:id="1"/>
          <w:p w14:paraId="189BF16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0" w:firstLineChars="200"/>
              <w:jc w:val="left"/>
              <w:textAlignment w:val="baseline"/>
              <w:rPr>
                <w:rFonts w:hint="eastAsia" w:ascii="Times New Roman" w:hAnsi="Times New Roman" w:eastAsia="宋体" w:cs="Times New Roman"/>
                <w:color w:val="auto"/>
                <w:sz w:val="24"/>
                <w:szCs w:val="24"/>
                <w:highlight w:val="none"/>
                <w:lang w:val="en-US" w:eastAsia="zh-CN"/>
              </w:rPr>
            </w:pPr>
            <w:r>
              <w:rPr>
                <w:rFonts w:hint="eastAsia" w:cs="Times New Roman"/>
                <w:b w:val="0"/>
                <w:bCs w:val="0"/>
                <w:color w:val="auto"/>
                <w:kern w:val="0"/>
                <w:sz w:val="24"/>
                <w:szCs w:val="24"/>
                <w:highlight w:val="none"/>
                <w:lang w:val="en-US" w:eastAsia="zh-CN"/>
              </w:rPr>
              <w:t>2.1</w:t>
            </w:r>
            <w:r>
              <w:rPr>
                <w:rFonts w:hint="eastAsia" w:ascii="Times New Roman" w:hAnsi="Times New Roman" w:eastAsia="宋体" w:cs="Times New Roman"/>
                <w:color w:val="auto"/>
                <w:sz w:val="24"/>
                <w:szCs w:val="24"/>
                <w:highlight w:val="none"/>
                <w:lang w:val="en-US" w:eastAsia="zh-CN"/>
              </w:rPr>
              <w:t>与《新疆生产建设兵团2023年度生态环境分区管控动态更新成果》符合性分析</w:t>
            </w:r>
          </w:p>
          <w:p w14:paraId="440EC20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0" w:firstLineChars="200"/>
              <w:jc w:val="left"/>
              <w:textAlignment w:val="baseline"/>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根据新疆生产建设兵团2023年度生态环境分区管控动态更新成果公告</w:t>
            </w:r>
            <w:r>
              <w:rPr>
                <w:rFonts w:hint="eastAsia" w:cs="Times New Roman"/>
                <w:color w:val="auto"/>
                <w:sz w:val="24"/>
                <w:szCs w:val="24"/>
                <w:highlight w:val="none"/>
                <w:lang w:val="en-US" w:eastAsia="zh-CN"/>
              </w:rPr>
              <w:t>内容，登录“兵团生态环境分区管控信息平台”（网址：https://www.btsthjsxyd.cn/）</w:t>
            </w:r>
            <w:r>
              <w:rPr>
                <w:rFonts w:hint="eastAsia" w:ascii="Times New Roman" w:hAnsi="Times New Roman" w:eastAsia="宋体" w:cs="Times New Roman"/>
                <w:color w:val="auto"/>
                <w:sz w:val="24"/>
                <w:szCs w:val="24"/>
                <w:highlight w:val="none"/>
                <w:lang w:val="en-US" w:eastAsia="zh-CN"/>
              </w:rPr>
              <w:t>查询更新成果</w:t>
            </w:r>
            <w:r>
              <w:rPr>
                <w:rFonts w:hint="eastAsia" w:cs="Times New Roman"/>
                <w:color w:val="auto"/>
                <w:sz w:val="24"/>
                <w:szCs w:val="24"/>
                <w:highlight w:val="none"/>
                <w:lang w:val="en-US" w:eastAsia="zh-CN"/>
              </w:rPr>
              <w:t>显示：</w:t>
            </w:r>
          </w:p>
          <w:p w14:paraId="60E28EC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表2.1-1  与兵团2023年度生态环境分区管控动态更新成果符合性分析</w:t>
            </w:r>
          </w:p>
          <w:tbl>
            <w:tblPr>
              <w:tblStyle w:val="34"/>
              <w:tblW w:w="6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544"/>
              <w:gridCol w:w="2172"/>
              <w:gridCol w:w="933"/>
            </w:tblGrid>
            <w:tr w14:paraId="3B61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Align w:val="center"/>
                </w:tcPr>
                <w:p w14:paraId="2495CF0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类别</w:t>
                  </w:r>
                </w:p>
              </w:tc>
              <w:tc>
                <w:tcPr>
                  <w:tcW w:w="2544" w:type="dxa"/>
                  <w:vAlign w:val="center"/>
                </w:tcPr>
                <w:p w14:paraId="708DCF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分区管控动态更新成果</w:t>
                  </w:r>
                  <w:r>
                    <w:rPr>
                      <w:rFonts w:hint="eastAsia" w:cs="Times New Roman"/>
                      <w:color w:val="auto"/>
                      <w:sz w:val="21"/>
                      <w:szCs w:val="21"/>
                      <w:highlight w:val="none"/>
                      <w:vertAlign w:val="baseline"/>
                      <w:lang w:val="en-US" w:eastAsia="zh-CN"/>
                    </w:rPr>
                    <w:t>内容</w:t>
                  </w:r>
                </w:p>
              </w:tc>
              <w:tc>
                <w:tcPr>
                  <w:tcW w:w="2172" w:type="dxa"/>
                  <w:vAlign w:val="center"/>
                </w:tcPr>
                <w:p w14:paraId="3A3761B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本项目内容</w:t>
                  </w:r>
                </w:p>
              </w:tc>
              <w:tc>
                <w:tcPr>
                  <w:tcW w:w="933" w:type="dxa"/>
                  <w:vAlign w:val="center"/>
                </w:tcPr>
                <w:p w14:paraId="05B3AC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符合性分析</w:t>
                  </w:r>
                </w:p>
              </w:tc>
            </w:tr>
            <w:tr w14:paraId="00E0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4" w:space="0"/>
                  </w:tcBorders>
                  <w:vAlign w:val="center"/>
                </w:tcPr>
                <w:p w14:paraId="63444C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单元名称</w:t>
                  </w:r>
                </w:p>
              </w:tc>
              <w:tc>
                <w:tcPr>
                  <w:tcW w:w="2544" w:type="dxa"/>
                  <w:vAlign w:val="center"/>
                </w:tcPr>
                <w:p w14:paraId="59103E8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63团一般管控单元</w:t>
                  </w:r>
                </w:p>
              </w:tc>
              <w:tc>
                <w:tcPr>
                  <w:tcW w:w="2172" w:type="dxa"/>
                  <w:vAlign w:val="center"/>
                </w:tcPr>
                <w:p w14:paraId="036314A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933" w:type="dxa"/>
                  <w:vAlign w:val="center"/>
                </w:tcPr>
                <w:p w14:paraId="07717EC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6554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4" w:space="0"/>
                  </w:tcBorders>
                  <w:vAlign w:val="center"/>
                </w:tcPr>
                <w:p w14:paraId="236C074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单元编码</w:t>
                  </w:r>
                </w:p>
              </w:tc>
              <w:tc>
                <w:tcPr>
                  <w:tcW w:w="2544" w:type="dxa"/>
                  <w:vAlign w:val="center"/>
                </w:tcPr>
                <w:p w14:paraId="6F30A7C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ZH65740330001</w:t>
                  </w:r>
                </w:p>
              </w:tc>
              <w:tc>
                <w:tcPr>
                  <w:tcW w:w="2172" w:type="dxa"/>
                  <w:vAlign w:val="center"/>
                </w:tcPr>
                <w:p w14:paraId="6845FF6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933" w:type="dxa"/>
                  <w:vAlign w:val="center"/>
                </w:tcPr>
                <w:p w14:paraId="5F9715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07EB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4" w:space="0"/>
                  </w:tcBorders>
                  <w:vAlign w:val="center"/>
                </w:tcPr>
                <w:p w14:paraId="28B1306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地州/师</w:t>
                  </w:r>
                </w:p>
              </w:tc>
              <w:tc>
                <w:tcPr>
                  <w:tcW w:w="2544" w:type="dxa"/>
                  <w:vAlign w:val="center"/>
                </w:tcPr>
                <w:p w14:paraId="62D61E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第四师</w:t>
                  </w:r>
                </w:p>
              </w:tc>
              <w:tc>
                <w:tcPr>
                  <w:tcW w:w="2172" w:type="dxa"/>
                  <w:vAlign w:val="center"/>
                </w:tcPr>
                <w:p w14:paraId="79510B3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933" w:type="dxa"/>
                  <w:vAlign w:val="center"/>
                </w:tcPr>
                <w:p w14:paraId="13D496B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56F1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4" w:space="0"/>
                  </w:tcBorders>
                  <w:vAlign w:val="center"/>
                </w:tcPr>
                <w:p w14:paraId="5ABA01A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县市/团</w:t>
                  </w:r>
                </w:p>
              </w:tc>
              <w:tc>
                <w:tcPr>
                  <w:tcW w:w="2544" w:type="dxa"/>
                  <w:vAlign w:val="center"/>
                </w:tcPr>
                <w:p w14:paraId="7BAC1A0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63团</w:t>
                  </w:r>
                </w:p>
              </w:tc>
              <w:tc>
                <w:tcPr>
                  <w:tcW w:w="2172" w:type="dxa"/>
                  <w:vAlign w:val="center"/>
                </w:tcPr>
                <w:p w14:paraId="6E78B71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933" w:type="dxa"/>
                  <w:vAlign w:val="center"/>
                </w:tcPr>
                <w:p w14:paraId="7B0E9A9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0EF7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4" w:space="0"/>
                  </w:tcBorders>
                  <w:vAlign w:val="center"/>
                </w:tcPr>
                <w:p w14:paraId="7C734D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自治区/兵团</w:t>
                  </w:r>
                </w:p>
              </w:tc>
              <w:tc>
                <w:tcPr>
                  <w:tcW w:w="2544" w:type="dxa"/>
                  <w:vAlign w:val="center"/>
                </w:tcPr>
                <w:p w14:paraId="4683364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新疆生产建设兵团</w:t>
                  </w:r>
                </w:p>
              </w:tc>
              <w:tc>
                <w:tcPr>
                  <w:tcW w:w="2172" w:type="dxa"/>
                  <w:vAlign w:val="center"/>
                </w:tcPr>
                <w:p w14:paraId="3758B5C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933" w:type="dxa"/>
                  <w:vAlign w:val="center"/>
                </w:tcPr>
                <w:p w14:paraId="7CF11ED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49B7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4" w:space="0"/>
                  </w:tcBorders>
                  <w:vAlign w:val="center"/>
                </w:tcPr>
                <w:p w14:paraId="3FF4DB8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面积</w:t>
                  </w:r>
                </w:p>
              </w:tc>
              <w:tc>
                <w:tcPr>
                  <w:tcW w:w="2544" w:type="dxa"/>
                  <w:vAlign w:val="center"/>
                </w:tcPr>
                <w:p w14:paraId="5E917EA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4.44平方公里</w:t>
                  </w:r>
                </w:p>
              </w:tc>
              <w:tc>
                <w:tcPr>
                  <w:tcW w:w="2172" w:type="dxa"/>
                  <w:vAlign w:val="center"/>
                </w:tcPr>
                <w:p w14:paraId="76CA3B6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933" w:type="dxa"/>
                  <w:vAlign w:val="center"/>
                </w:tcPr>
                <w:p w14:paraId="1A42FC2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43AB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4" w:space="0"/>
                  </w:tcBorders>
                  <w:vAlign w:val="center"/>
                </w:tcPr>
                <w:p w14:paraId="276486D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管控单元</w:t>
                  </w:r>
                </w:p>
              </w:tc>
              <w:tc>
                <w:tcPr>
                  <w:tcW w:w="2544" w:type="dxa"/>
                  <w:vAlign w:val="center"/>
                </w:tcPr>
                <w:p w14:paraId="7B0D09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一般管控单元</w:t>
                  </w:r>
                </w:p>
              </w:tc>
              <w:tc>
                <w:tcPr>
                  <w:tcW w:w="2172" w:type="dxa"/>
                  <w:vAlign w:val="center"/>
                </w:tcPr>
                <w:p w14:paraId="1E46D06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933" w:type="dxa"/>
                  <w:vAlign w:val="center"/>
                </w:tcPr>
                <w:p w14:paraId="0625E5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17CF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tcBorders>
                    <w:left w:val="single" w:color="auto" w:sz="4" w:space="0"/>
                  </w:tcBorders>
                  <w:vAlign w:val="center"/>
                </w:tcPr>
                <w:p w14:paraId="28DD0C3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空间布局约束</w:t>
                  </w:r>
                </w:p>
              </w:tc>
              <w:tc>
                <w:tcPr>
                  <w:tcW w:w="2544" w:type="dxa"/>
                  <w:vAlign w:val="center"/>
                </w:tcPr>
                <w:p w14:paraId="750CED1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（1）加强退化湿地恢复及湿地保护管理机构建设，开展湿地生态保护修复，禁止侵占自然湿地等水源涵养空间。</w:t>
                  </w:r>
                </w:p>
              </w:tc>
              <w:tc>
                <w:tcPr>
                  <w:tcW w:w="2172" w:type="dxa"/>
                  <w:vAlign w:val="center"/>
                </w:tcPr>
                <w:p w14:paraId="63836D1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本项目位于</w:t>
                  </w:r>
                  <w:r>
                    <w:rPr>
                      <w:rFonts w:hint="eastAsia" w:ascii="Times New Roman" w:hAnsi="Times New Roman" w:eastAsia="宋体" w:cs="Times New Roman"/>
                      <w:color w:val="auto"/>
                      <w:sz w:val="21"/>
                      <w:szCs w:val="21"/>
                      <w:highlight w:val="none"/>
                      <w:vertAlign w:val="baseline"/>
                      <w:lang w:val="en-US" w:eastAsia="zh-CN"/>
                    </w:rPr>
                    <w:t>第四师六十三团</w:t>
                  </w:r>
                  <w:r>
                    <w:rPr>
                      <w:rFonts w:hint="eastAsia" w:cs="Times New Roman"/>
                      <w:color w:val="auto"/>
                      <w:sz w:val="21"/>
                      <w:szCs w:val="21"/>
                      <w:highlight w:val="none"/>
                      <w:vertAlign w:val="baseline"/>
                      <w:lang w:val="en-US" w:eastAsia="zh-CN"/>
                    </w:rPr>
                    <w:t>，不涉及自然湿地等水源涵养空间。</w:t>
                  </w:r>
                </w:p>
              </w:tc>
              <w:tc>
                <w:tcPr>
                  <w:tcW w:w="933" w:type="dxa"/>
                  <w:vAlign w:val="center"/>
                </w:tcPr>
                <w:p w14:paraId="6B8FF3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r w14:paraId="5661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restart"/>
                  <w:tcBorders>
                    <w:left w:val="single" w:color="auto" w:sz="4" w:space="0"/>
                  </w:tcBorders>
                  <w:vAlign w:val="center"/>
                </w:tcPr>
                <w:p w14:paraId="0E6CFF4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污染物排放管控</w:t>
                  </w:r>
                </w:p>
              </w:tc>
              <w:tc>
                <w:tcPr>
                  <w:tcW w:w="2544" w:type="dxa"/>
                  <w:vAlign w:val="center"/>
                </w:tcPr>
                <w:p w14:paraId="6374B4B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（1）在村庄/连队建设符合本地特点的小型污水处理站，同时新建污水管网、完善污水收集系统，将污泥运送到团场统一处理。加强生活垃圾处理。加强改厕与生活污水治理的有效衔接。</w:t>
                  </w:r>
                </w:p>
              </w:tc>
              <w:tc>
                <w:tcPr>
                  <w:tcW w:w="2172" w:type="dxa"/>
                  <w:vAlign w:val="center"/>
                </w:tcPr>
                <w:p w14:paraId="3AF52F4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（1）本项目不属于污水处理站、生活垃圾处理项目。</w:t>
                  </w:r>
                </w:p>
              </w:tc>
              <w:tc>
                <w:tcPr>
                  <w:tcW w:w="933" w:type="dxa"/>
                  <w:vAlign w:val="center"/>
                </w:tcPr>
                <w:p w14:paraId="5FC2426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r w14:paraId="2747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continue"/>
                  <w:tcBorders>
                    <w:left w:val="single" w:color="auto" w:sz="4" w:space="0"/>
                  </w:tcBorders>
                  <w:vAlign w:val="center"/>
                </w:tcPr>
                <w:p w14:paraId="2049143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p>
              </w:tc>
              <w:tc>
                <w:tcPr>
                  <w:tcW w:w="2544" w:type="dxa"/>
                  <w:vAlign w:val="center"/>
                </w:tcPr>
                <w:p w14:paraId="11BE6A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（2）实施区域污染物总量控制，强化工业污染防治，加快环保基础设施建设，推进城乡生活污染治理；深入推进农业面源污染治理，重视城镇面源污染防治。</w:t>
                  </w:r>
                </w:p>
              </w:tc>
              <w:tc>
                <w:tcPr>
                  <w:tcW w:w="2172" w:type="dxa"/>
                  <w:vAlign w:val="center"/>
                </w:tcPr>
                <w:p w14:paraId="0FD0EF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（2）本项目总量控制指标为氮氧化物0.223吨/年。本项目生物质锅炉采取低氮燃烧+选择性非催化还原法（SNCR）+布袋除尘器处理后达标排放。</w:t>
                  </w:r>
                </w:p>
              </w:tc>
              <w:tc>
                <w:tcPr>
                  <w:tcW w:w="933" w:type="dxa"/>
                  <w:vAlign w:val="center"/>
                </w:tcPr>
                <w:p w14:paraId="2E85D5E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r w14:paraId="7E68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restart"/>
                  <w:tcBorders>
                    <w:left w:val="single" w:color="auto" w:sz="4" w:space="0"/>
                  </w:tcBorders>
                  <w:vAlign w:val="center"/>
                </w:tcPr>
                <w:p w14:paraId="39DDCB1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环境风险防控</w:t>
                  </w:r>
                </w:p>
              </w:tc>
              <w:tc>
                <w:tcPr>
                  <w:tcW w:w="2544" w:type="dxa"/>
                  <w:vAlign w:val="center"/>
                </w:tcPr>
                <w:p w14:paraId="484DF9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（1）对耕地面积减少或土壤环境质量下降的团场要进行预警提醒，并依法采取环评限批等限制性措施。</w:t>
                  </w:r>
                </w:p>
              </w:tc>
              <w:tc>
                <w:tcPr>
                  <w:tcW w:w="2172" w:type="dxa"/>
                  <w:vAlign w:val="center"/>
                </w:tcPr>
                <w:p w14:paraId="40B2CC8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（1）本项目不涉及占用耕地。</w:t>
                  </w:r>
                </w:p>
              </w:tc>
              <w:tc>
                <w:tcPr>
                  <w:tcW w:w="933" w:type="dxa"/>
                  <w:vAlign w:val="center"/>
                </w:tcPr>
                <w:p w14:paraId="13EC226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r w14:paraId="2423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continue"/>
                  <w:tcBorders>
                    <w:left w:val="single" w:color="auto" w:sz="4" w:space="0"/>
                  </w:tcBorders>
                  <w:vAlign w:val="center"/>
                </w:tcPr>
                <w:p w14:paraId="07D139A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p>
              </w:tc>
              <w:tc>
                <w:tcPr>
                  <w:tcW w:w="2544" w:type="dxa"/>
                  <w:vAlign w:val="center"/>
                </w:tcPr>
                <w:p w14:paraId="70C4EB7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（2）对威胁地下水、饮用水水源安全的耕地，制定环境风险管控方案，并落实有关措施。</w:t>
                  </w:r>
                </w:p>
              </w:tc>
              <w:tc>
                <w:tcPr>
                  <w:tcW w:w="2172" w:type="dxa"/>
                  <w:vAlign w:val="center"/>
                </w:tcPr>
                <w:p w14:paraId="61B633B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本项目生活废水排入污水管网，危废暂存间建设过程中严格按《危险废物贮存污染控制标准》（GB18597-2023）等规范的要求，并委托具有危废处置资质单位收运处置。项目区周边不涉及饮用水水源地，对地下水环境影响较小。</w:t>
                  </w:r>
                </w:p>
              </w:tc>
              <w:tc>
                <w:tcPr>
                  <w:tcW w:w="933" w:type="dxa"/>
                  <w:vAlign w:val="center"/>
                </w:tcPr>
                <w:p w14:paraId="14F07F0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r w14:paraId="58C4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restart"/>
                  <w:tcBorders>
                    <w:left w:val="single" w:color="auto" w:sz="4" w:space="0"/>
                  </w:tcBorders>
                  <w:vAlign w:val="center"/>
                </w:tcPr>
                <w:p w14:paraId="7B3BFB4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资源利用效率</w:t>
                  </w:r>
                </w:p>
              </w:tc>
              <w:tc>
                <w:tcPr>
                  <w:tcW w:w="2544" w:type="dxa"/>
                  <w:vAlign w:val="center"/>
                </w:tcPr>
                <w:p w14:paraId="7896667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（1）推行秸秆还田、增施有机肥、少耕免耕、粮豆轮作、化肥农药减量、农膜减量与回收利用等措施，切实保护耕地土壤环境质量。</w:t>
                  </w:r>
                </w:p>
              </w:tc>
              <w:tc>
                <w:tcPr>
                  <w:tcW w:w="2172" w:type="dxa"/>
                  <w:vAlign w:val="center"/>
                </w:tcPr>
                <w:p w14:paraId="4D46FDB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（1）本项目不涉及农药化肥施用内容，项目生产产品为有机肥，可进一步推进有机肥施用。</w:t>
                  </w:r>
                </w:p>
              </w:tc>
              <w:tc>
                <w:tcPr>
                  <w:tcW w:w="933" w:type="dxa"/>
                  <w:vAlign w:val="center"/>
                </w:tcPr>
                <w:p w14:paraId="23C317B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r w14:paraId="1208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dxa"/>
                  <w:vMerge w:val="continue"/>
                  <w:tcBorders>
                    <w:left w:val="single" w:color="auto" w:sz="4" w:space="0"/>
                  </w:tcBorders>
                  <w:vAlign w:val="center"/>
                </w:tcPr>
                <w:p w14:paraId="36948C1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ascii="微软雅黑" w:hAnsi="微软雅黑" w:eastAsia="微软雅黑" w:cs="微软雅黑"/>
                      <w:b/>
                      <w:bCs/>
                      <w:i w:val="0"/>
                      <w:iCs w:val="0"/>
                      <w:caps w:val="0"/>
                      <w:color w:val="auto"/>
                      <w:spacing w:val="0"/>
                      <w:sz w:val="17"/>
                      <w:szCs w:val="17"/>
                      <w:highlight w:val="none"/>
                      <w:shd w:val="clear" w:fill="FFFFFF"/>
                    </w:rPr>
                  </w:pPr>
                </w:p>
              </w:tc>
              <w:tc>
                <w:tcPr>
                  <w:tcW w:w="2544" w:type="dxa"/>
                  <w:vAlign w:val="center"/>
                </w:tcPr>
                <w:p w14:paraId="1BC794C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（2）推进规模化高效节水灌溉，推广农作物节水抗旱技术。发展以喷滴灌和渠道防渗为中心的节水农业。</w:t>
                  </w:r>
                </w:p>
              </w:tc>
              <w:tc>
                <w:tcPr>
                  <w:tcW w:w="2172" w:type="dxa"/>
                  <w:vAlign w:val="center"/>
                </w:tcPr>
                <w:p w14:paraId="6226A1E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（2）本项目不涉及</w:t>
                  </w:r>
                </w:p>
              </w:tc>
              <w:tc>
                <w:tcPr>
                  <w:tcW w:w="933" w:type="dxa"/>
                  <w:vAlign w:val="center"/>
                </w:tcPr>
                <w:p w14:paraId="6320B5F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bl>
          <w:p w14:paraId="6A300A5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0" w:firstLineChars="200"/>
              <w:jc w:val="left"/>
              <w:textAlignment w:val="baseline"/>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综上，本项目符合</w:t>
            </w:r>
            <w:r>
              <w:rPr>
                <w:rFonts w:hint="eastAsia" w:ascii="Times New Roman" w:hAnsi="Times New Roman" w:eastAsia="宋体" w:cs="Times New Roman"/>
                <w:color w:val="auto"/>
                <w:sz w:val="24"/>
                <w:szCs w:val="24"/>
                <w:highlight w:val="none"/>
                <w:lang w:val="en-US" w:eastAsia="zh-CN"/>
              </w:rPr>
              <w:t>《新疆生产建设兵团2023年度生态环境分区管控动态更新成果》</w:t>
            </w:r>
            <w:r>
              <w:rPr>
                <w:rFonts w:hint="eastAsia" w:cs="Times New Roman"/>
                <w:color w:val="auto"/>
                <w:sz w:val="24"/>
                <w:szCs w:val="24"/>
                <w:highlight w:val="none"/>
                <w:lang w:val="en-US" w:eastAsia="zh-CN"/>
              </w:rPr>
              <w:t>中相关内容及要求</w:t>
            </w:r>
            <w:r>
              <w:rPr>
                <w:rFonts w:hint="eastAsia" w:ascii="Times New Roman" w:hAnsi="Times New Roman" w:eastAsia="宋体" w:cs="Times New Roman"/>
                <w:color w:val="auto"/>
                <w:sz w:val="24"/>
                <w:szCs w:val="24"/>
                <w:highlight w:val="none"/>
                <w:lang w:val="en-US" w:eastAsia="zh-CN"/>
              </w:rPr>
              <w:t>。</w:t>
            </w:r>
          </w:p>
          <w:p w14:paraId="660259B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kern w:val="0"/>
                <w:sz w:val="24"/>
                <w:szCs w:val="24"/>
                <w:highlight w:val="none"/>
                <w:lang w:val="en-US" w:eastAsia="zh-CN"/>
              </w:rPr>
              <w:t>2.</w:t>
            </w:r>
            <w:r>
              <w:rPr>
                <w:rFonts w:hint="eastAsia"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lang w:val="en-US" w:eastAsia="zh-CN" w:bidi="ar"/>
              </w:rPr>
              <w:t>与《第四师可克达拉市“三线一单”生态环境分区管控方案》和《新疆生产建设兵团第四师生态环境准入清单》（2023版）相符性分析</w:t>
            </w:r>
          </w:p>
          <w:p w14:paraId="539EDD9B">
            <w:pPr>
              <w:autoSpaceDE w:val="0"/>
              <w:autoSpaceDN w:val="0"/>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本项目位于</w:t>
            </w:r>
            <w:r>
              <w:rPr>
                <w:rFonts w:hint="default" w:ascii="Times New Roman" w:hAnsi="Times New Roman" w:cs="Times New Roman"/>
                <w:color w:val="auto"/>
                <w:sz w:val="24"/>
                <w:highlight w:val="none"/>
                <w:lang w:val="en-US" w:eastAsia="zh-CN"/>
              </w:rPr>
              <w:t>六十三团</w:t>
            </w:r>
            <w:r>
              <w:rPr>
                <w:rFonts w:hint="default" w:ascii="Times New Roman" w:hAnsi="Times New Roman" w:cs="Times New Roman"/>
                <w:color w:val="auto"/>
                <w:sz w:val="24"/>
                <w:highlight w:val="none"/>
              </w:rPr>
              <w:t>，对照新疆生产建设兵团第四师生态环境准入清单（2023版）。对照环境管控单元生态环境准入清单，本项目环境管控单元编码为ZH65900820001，</w:t>
            </w:r>
            <w:r>
              <w:rPr>
                <w:rFonts w:hint="default" w:ascii="Times New Roman" w:hAnsi="Times New Roman" w:cs="Times New Roman"/>
                <w:color w:val="auto"/>
                <w:sz w:val="24"/>
                <w:highlight w:val="none"/>
                <w:lang w:val="en-US" w:eastAsia="zh-CN"/>
              </w:rPr>
              <w:t>可克达拉市63团重点管控单元</w:t>
            </w:r>
            <w:r>
              <w:rPr>
                <w:rFonts w:hint="default" w:ascii="Times New Roman" w:hAnsi="Times New Roman" w:cs="Times New Roman"/>
                <w:color w:val="auto"/>
                <w:sz w:val="24"/>
                <w:highlight w:val="none"/>
              </w:rPr>
              <w:t>：本工程的建设与</w:t>
            </w:r>
            <w:r>
              <w:rPr>
                <w:rFonts w:hint="eastAsia" w:cs="Times New Roman"/>
                <w:color w:val="auto"/>
                <w:sz w:val="24"/>
                <w:highlight w:val="none"/>
                <w:lang w:val="en-US" w:eastAsia="zh-CN"/>
              </w:rPr>
              <w:t>分区管控</w:t>
            </w:r>
            <w:r>
              <w:rPr>
                <w:rFonts w:hint="default" w:ascii="Times New Roman" w:hAnsi="Times New Roman" w:cs="Times New Roman"/>
                <w:color w:val="auto"/>
                <w:sz w:val="24"/>
                <w:highlight w:val="none"/>
              </w:rPr>
              <w:t>符合性分析见表1-1。管控单元图见附图</w:t>
            </w:r>
            <w:r>
              <w:rPr>
                <w:rFonts w:hint="eastAsia" w:cs="Times New Roman"/>
                <w:color w:val="auto"/>
                <w:sz w:val="24"/>
                <w:highlight w:val="none"/>
                <w:lang w:val="en-US" w:eastAsia="zh-CN"/>
              </w:rPr>
              <w:t>1-1</w:t>
            </w:r>
            <w:r>
              <w:rPr>
                <w:rFonts w:hint="default" w:ascii="Times New Roman" w:hAnsi="Times New Roman" w:cs="Times New Roman"/>
                <w:color w:val="auto"/>
                <w:sz w:val="24"/>
                <w:highlight w:val="none"/>
              </w:rPr>
              <w:t>。</w:t>
            </w:r>
          </w:p>
          <w:p w14:paraId="42106B1F">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表1-1与《第四师可克达拉市“三线一单”生态环境分区管控方案》符合性分析</w:t>
            </w:r>
          </w:p>
          <w:tbl>
            <w:tblPr>
              <w:tblStyle w:val="33"/>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3511"/>
              <w:gridCol w:w="2559"/>
            </w:tblGrid>
            <w:tr w14:paraId="5D81C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181" w:type="pct"/>
                  <w:gridSpan w:val="2"/>
                  <w:noWrap w:val="0"/>
                  <w:vAlign w:val="center"/>
                </w:tcPr>
                <w:p w14:paraId="638EB143">
                  <w:pPr>
                    <w:widowControl/>
                    <w:spacing w:line="270" w:lineRule="exact"/>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c>
                <w:tcPr>
                  <w:tcW w:w="1818" w:type="pct"/>
                  <w:noWrap w:val="0"/>
                  <w:vAlign w:val="center"/>
                </w:tcPr>
                <w:p w14:paraId="170F6391">
                  <w:pPr>
                    <w:widowControl/>
                    <w:spacing w:line="27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本项目情况</w:t>
                  </w:r>
                </w:p>
              </w:tc>
            </w:tr>
            <w:tr w14:paraId="5E1DE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7" w:type="pct"/>
                  <w:noWrap w:val="0"/>
                  <w:vAlign w:val="center"/>
                </w:tcPr>
                <w:p w14:paraId="6863603F">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空间布局约束</w:t>
                  </w:r>
                </w:p>
              </w:tc>
              <w:tc>
                <w:tcPr>
                  <w:tcW w:w="2493" w:type="pct"/>
                  <w:noWrap w:val="0"/>
                  <w:vAlign w:val="center"/>
                </w:tcPr>
                <w:p w14:paraId="5247EDBA">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（1）执行大气环境布局敏感区相关要求。</w:t>
                  </w:r>
                </w:p>
                <w:p w14:paraId="2E29AE71">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（2）维护国土生态安全，改善边境沿线团场生态环境，实施边境团场生态治理与修复重建工程。</w:t>
                  </w:r>
                </w:p>
                <w:p w14:paraId="3E4EBBEE">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（3）加强退化湿地恢复及湿地保护管理机构建设，开展湿地生态保护修复，禁止侵占自然湿地等水源涵养空间。</w:t>
                  </w:r>
                </w:p>
                <w:p w14:paraId="2A3F390D">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（4）严格控制非农建设占用耕地，加大对土地整理复垦开发重点区域及重点工程、粮食主产区和基本农田保护区的投入。</w:t>
                  </w:r>
                </w:p>
                <w:p w14:paraId="606315B0">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（5）禁止任何单位和个人在基本农田保护区内建窑、建房、建坟、挖砂采石、采矿、取土、堆放固体废弃物或者进行其他破坏基本农田的活动。</w:t>
                  </w:r>
                </w:p>
              </w:tc>
              <w:tc>
                <w:tcPr>
                  <w:tcW w:w="1818" w:type="pct"/>
                  <w:noWrap w:val="0"/>
                  <w:vAlign w:val="center"/>
                </w:tcPr>
                <w:p w14:paraId="1292A1D3">
                  <w:pPr>
                    <w:widowControl/>
                    <w:spacing w:line="27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r>
            <w:tr w14:paraId="05181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7" w:type="pct"/>
                  <w:noWrap w:val="0"/>
                  <w:vAlign w:val="center"/>
                </w:tcPr>
                <w:p w14:paraId="2F7C4CB7">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2493" w:type="pct"/>
                  <w:noWrap w:val="0"/>
                  <w:vAlign w:val="center"/>
                </w:tcPr>
                <w:p w14:paraId="57D45BFE">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（1）重点控制区主要大气污染物排放须进行“倍量替代”，执行大气污染物特别排放限值，新增大气污染物排放量须在项目所在区域内实施总量替代，不得接受其他区域主要大气污染物可替代总量指标</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一般控制区域内主要大气污染物排放须进行“等量替代”，执行大气污染物特别排放限值。 </w:t>
                  </w:r>
                </w:p>
              </w:tc>
              <w:tc>
                <w:tcPr>
                  <w:tcW w:w="1818" w:type="pct"/>
                  <w:noWrap w:val="0"/>
                  <w:vAlign w:val="center"/>
                </w:tcPr>
                <w:p w14:paraId="44CB6F38">
                  <w:pPr>
                    <w:widowControl/>
                    <w:spacing w:line="27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本项目在一般控制区，大气污染物排放不需执行特别排放标准，实施等量替代消减。</w:t>
                  </w:r>
                </w:p>
                <w:p w14:paraId="335A3EB9">
                  <w:pPr>
                    <w:widowControl/>
                    <w:spacing w:line="270" w:lineRule="exact"/>
                    <w:jc w:val="both"/>
                    <w:rPr>
                      <w:rFonts w:hint="default" w:ascii="Times New Roman" w:hAnsi="Times New Roman" w:eastAsia="宋体" w:cs="Times New Roman"/>
                      <w:color w:val="auto"/>
                      <w:sz w:val="21"/>
                      <w:szCs w:val="21"/>
                      <w:highlight w:val="none"/>
                      <w:lang w:eastAsia="zh-CN"/>
                    </w:rPr>
                  </w:pPr>
                </w:p>
              </w:tc>
            </w:tr>
            <w:tr w14:paraId="52A33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7" w:type="pct"/>
                  <w:noWrap w:val="0"/>
                  <w:vAlign w:val="center"/>
                </w:tcPr>
                <w:p w14:paraId="39AC421E">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2493" w:type="pct"/>
                  <w:noWrap w:val="0"/>
                  <w:vAlign w:val="center"/>
                </w:tcPr>
                <w:p w14:paraId="6DFF1D60">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（1）对耕地面积减少或土壤环境质量下降的团场要进行预警提醒，并依法采取环评限批等限制性措施。</w:t>
                  </w:r>
                </w:p>
              </w:tc>
              <w:tc>
                <w:tcPr>
                  <w:tcW w:w="1818" w:type="pct"/>
                  <w:noWrap w:val="0"/>
                  <w:vAlign w:val="center"/>
                </w:tcPr>
                <w:p w14:paraId="091F7889">
                  <w:pPr>
                    <w:widowControl/>
                    <w:spacing w:line="27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eastAsia" w:cs="Times New Roman"/>
                      <w:color w:val="auto"/>
                      <w:sz w:val="21"/>
                      <w:szCs w:val="21"/>
                      <w:highlight w:val="none"/>
                      <w:lang w:val="en-US" w:eastAsia="zh-CN"/>
                    </w:rPr>
                    <w:t>耕地</w:t>
                  </w:r>
                  <w:r>
                    <w:rPr>
                      <w:rFonts w:hint="default" w:ascii="Times New Roman" w:hAnsi="Times New Roman" w:cs="Times New Roman"/>
                      <w:color w:val="auto"/>
                      <w:sz w:val="21"/>
                      <w:szCs w:val="21"/>
                      <w:highlight w:val="none"/>
                    </w:rPr>
                    <w:t>。</w:t>
                  </w:r>
                </w:p>
              </w:tc>
            </w:tr>
            <w:tr w14:paraId="2221C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7" w:type="pct"/>
                  <w:noWrap w:val="0"/>
                  <w:vAlign w:val="center"/>
                </w:tcPr>
                <w:p w14:paraId="7899F0BF">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资源利用率</w:t>
                  </w:r>
                </w:p>
              </w:tc>
              <w:tc>
                <w:tcPr>
                  <w:tcW w:w="2493" w:type="pct"/>
                  <w:noWrap w:val="0"/>
                  <w:vAlign w:val="center"/>
                </w:tcPr>
                <w:p w14:paraId="5E0F8576">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（1）推行秸秆还田、增施有机肥、少耕免耕、粮豆轮作、化肥农药减量、农膜减量与回收利用等措施，切实保护耕地土壤环境质量。 </w:t>
                  </w:r>
                </w:p>
                <w:p w14:paraId="4341810C">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（2）推进规模化高效节水灌溉，推广农作物节水抗旱技术。发展以喷滴灌和渠道防渗为中心的节水农业。</w:t>
                  </w:r>
                </w:p>
              </w:tc>
              <w:tc>
                <w:tcPr>
                  <w:tcW w:w="1818" w:type="pct"/>
                  <w:noWrap w:val="0"/>
                  <w:vAlign w:val="center"/>
                </w:tcPr>
                <w:p w14:paraId="3C90E7D3">
                  <w:pPr>
                    <w:widowControl/>
                    <w:spacing w:line="270" w:lineRule="exac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本项目属于有机肥项目，符合资源利用要求</w:t>
                  </w:r>
                  <w:r>
                    <w:rPr>
                      <w:rFonts w:hint="default" w:ascii="Times New Roman" w:hAnsi="Times New Roman" w:cs="Times New Roman"/>
                      <w:color w:val="auto"/>
                      <w:sz w:val="21"/>
                      <w:szCs w:val="21"/>
                      <w:highlight w:val="none"/>
                    </w:rPr>
                    <w:t>。</w:t>
                  </w:r>
                </w:p>
              </w:tc>
            </w:tr>
          </w:tbl>
          <w:p w14:paraId="2C917BF9">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60" w:lineRule="auto"/>
              <w:ind w:leftChars="0" w:firstLine="482" w:firstLineChars="200"/>
              <w:jc w:val="left"/>
              <w:textAlignment w:val="auto"/>
              <w:outlineLvl w:val="1"/>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cs="Times New Roman"/>
                <w:b/>
                <w:bCs/>
                <w:color w:val="auto"/>
                <w:sz w:val="24"/>
                <w:szCs w:val="32"/>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bidi="ar-SA"/>
              </w:rPr>
              <w:t>与《</w:t>
            </w:r>
            <w:r>
              <w:rPr>
                <w:rFonts w:hint="default" w:ascii="Times New Roman" w:hAnsi="Times New Roman" w:cs="Times New Roman"/>
                <w:b/>
                <w:bCs/>
                <w:color w:val="auto"/>
                <w:kern w:val="0"/>
                <w:sz w:val="24"/>
                <w:szCs w:val="24"/>
                <w:highlight w:val="none"/>
                <w:lang w:eastAsia="zh-CN"/>
              </w:rPr>
              <w:t>新疆生产建设兵团“十四五”生态环境保护规划</w:t>
            </w:r>
            <w:r>
              <w:rPr>
                <w:rFonts w:hint="default" w:ascii="Times New Roman" w:hAnsi="Times New Roman" w:eastAsia="宋体" w:cs="Times New Roman"/>
                <w:b/>
                <w:bCs/>
                <w:color w:val="auto"/>
                <w:kern w:val="0"/>
                <w:sz w:val="24"/>
                <w:szCs w:val="24"/>
                <w:highlight w:val="none"/>
                <w:lang w:val="en-US" w:eastAsia="zh-CN" w:bidi="ar-SA"/>
              </w:rPr>
              <w:t>》的符合性分析</w:t>
            </w:r>
          </w:p>
          <w:p w14:paraId="7477B27F">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与《新疆生产建设兵团“十四五”生态环境保护规划》符合性分析</w:t>
            </w:r>
          </w:p>
          <w:tbl>
            <w:tblPr>
              <w:tblStyle w:val="33"/>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98"/>
              <w:gridCol w:w="3269"/>
              <w:gridCol w:w="2294"/>
              <w:gridCol w:w="787"/>
            </w:tblGrid>
            <w:tr w14:paraId="4EA7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6" w:hRule="atLeast"/>
              </w:trPr>
              <w:tc>
                <w:tcPr>
                  <w:tcW w:w="495" w:type="pct"/>
                  <w:noWrap w:val="0"/>
                  <w:vAlign w:val="center"/>
                </w:tcPr>
                <w:p w14:paraId="6E731B6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文件</w:t>
                  </w:r>
                </w:p>
              </w:tc>
              <w:tc>
                <w:tcPr>
                  <w:tcW w:w="2319" w:type="pct"/>
                  <w:noWrap w:val="0"/>
                  <w:vAlign w:val="center"/>
                </w:tcPr>
                <w:p w14:paraId="6E0073F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具体要求</w:t>
                  </w:r>
                </w:p>
              </w:tc>
              <w:tc>
                <w:tcPr>
                  <w:tcW w:w="1627" w:type="pct"/>
                  <w:noWrap w:val="0"/>
                  <w:vAlign w:val="center"/>
                </w:tcPr>
                <w:p w14:paraId="23BD8CF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本项目情况</w:t>
                  </w:r>
                </w:p>
              </w:tc>
              <w:tc>
                <w:tcPr>
                  <w:tcW w:w="558" w:type="pct"/>
                  <w:noWrap w:val="0"/>
                  <w:vAlign w:val="center"/>
                </w:tcPr>
                <w:p w14:paraId="066BBD6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符合情况</w:t>
                  </w:r>
                </w:p>
              </w:tc>
            </w:tr>
            <w:tr w14:paraId="64AE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95" w:type="pct"/>
                  <w:vMerge w:val="restart"/>
                  <w:noWrap w:val="0"/>
                  <w:vAlign w:val="center"/>
                </w:tcPr>
                <w:p w14:paraId="5A1CD3E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《新疆生产建设兵团“十四五”生态环境保护规划》</w:t>
                  </w:r>
                </w:p>
              </w:tc>
              <w:tc>
                <w:tcPr>
                  <w:tcW w:w="2319" w:type="pct"/>
                  <w:noWrap w:val="0"/>
                  <w:vAlign w:val="center"/>
                </w:tcPr>
                <w:p w14:paraId="088E6E1E">
                  <w:pPr>
                    <w:rPr>
                      <w:rFonts w:hint="default" w:ascii="Times New Roman" w:hAnsi="Times New Roman" w:cs="Times New Roman"/>
                      <w:color w:val="auto"/>
                      <w:highlight w:val="none"/>
                    </w:rPr>
                  </w:pPr>
                  <w:r>
                    <w:rPr>
                      <w:rFonts w:hint="default" w:ascii="Times New Roman" w:hAnsi="Times New Roman" w:cs="Times New Roman"/>
                      <w:color w:val="auto"/>
                      <w:highlight w:val="none"/>
                    </w:rPr>
                    <w:t>严格环境准入，推动工业绿色转型。建立以“三线一单”为核心全覆盖的生态环境分区管控体系，完善管控单元环境准入清单，深化高耗能、高排放项目环境准入及管控要求，建立动态更新和调整机制。加强“三线一单”在政策制定、环境准入、园区管理、执法监管等方面的应用。持续推进区域和行业规划环境影响评价，严禁“三高”项目进兵团，严格落实钢铁、有色、煤炭、电力、石油化工、建材、印染等行业新、改、扩建项目的环境准入。有序承接精细化工产业转移，推进化工产业高质量发展；环境已超载或易引发次生环境风险的地区，限制承接化工产业。</w:t>
                  </w:r>
                </w:p>
              </w:tc>
              <w:tc>
                <w:tcPr>
                  <w:tcW w:w="1627" w:type="pct"/>
                  <w:noWrap w:val="0"/>
                  <w:vAlign w:val="center"/>
                </w:tcPr>
                <w:p w14:paraId="7F2EC99E">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本项目符合《第四师可克达拉市“三线一单”生态环境分区管控方案》中</w:t>
                  </w:r>
                  <w:r>
                    <w:rPr>
                      <w:rFonts w:hint="default" w:ascii="Times New Roman" w:hAnsi="Times New Roman" w:cs="Times New Roman"/>
                      <w:color w:val="auto"/>
                      <w:szCs w:val="21"/>
                      <w:highlight w:val="none"/>
                      <w:lang w:val="en-US" w:eastAsia="zh-CN"/>
                    </w:rPr>
                    <w:t>一般</w:t>
                  </w:r>
                  <w:r>
                    <w:rPr>
                      <w:rFonts w:hint="default" w:ascii="Times New Roman" w:hAnsi="Times New Roman" w:cs="Times New Roman"/>
                      <w:color w:val="auto"/>
                      <w:szCs w:val="21"/>
                      <w:highlight w:val="none"/>
                    </w:rPr>
                    <w:t>管控单元要求，项目不属于“三高”项目，不属于钢铁、有色、煤炭、电力、石油化工、建材、印染等行业，符合环境准入要求</w:t>
                  </w:r>
                  <w:r>
                    <w:rPr>
                      <w:rFonts w:hint="default" w:ascii="Times New Roman" w:hAnsi="Times New Roman" w:cs="Times New Roman"/>
                      <w:color w:val="auto"/>
                      <w:highlight w:val="none"/>
                    </w:rPr>
                    <w:t>。</w:t>
                  </w:r>
                </w:p>
              </w:tc>
              <w:tc>
                <w:tcPr>
                  <w:tcW w:w="558" w:type="pct"/>
                  <w:noWrap w:val="0"/>
                  <w:vAlign w:val="center"/>
                </w:tcPr>
                <w:p w14:paraId="054036E1">
                  <w:pPr>
                    <w:snapToGrid w:val="0"/>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符合</w:t>
                  </w:r>
                </w:p>
              </w:tc>
            </w:tr>
            <w:tr w14:paraId="2760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95" w:type="pct"/>
                  <w:vMerge w:val="continue"/>
                  <w:noWrap w:val="0"/>
                  <w:vAlign w:val="center"/>
                </w:tcPr>
                <w:p w14:paraId="2D5770E9">
                  <w:pPr>
                    <w:jc w:val="center"/>
                    <w:rPr>
                      <w:rFonts w:hint="default" w:ascii="Times New Roman" w:hAnsi="Times New Roman" w:cs="Times New Roman"/>
                      <w:color w:val="auto"/>
                      <w:szCs w:val="21"/>
                      <w:highlight w:val="none"/>
                    </w:rPr>
                  </w:pPr>
                </w:p>
              </w:tc>
              <w:tc>
                <w:tcPr>
                  <w:tcW w:w="2319" w:type="pct"/>
                  <w:noWrap w:val="0"/>
                  <w:vAlign w:val="center"/>
                </w:tcPr>
                <w:p w14:paraId="541CD698">
                  <w:pPr>
                    <w:rPr>
                      <w:rFonts w:hint="default" w:ascii="Times New Roman" w:hAnsi="Times New Roman" w:cs="Times New Roman"/>
                      <w:color w:val="auto"/>
                      <w:highlight w:val="none"/>
                    </w:rPr>
                  </w:pPr>
                  <w:r>
                    <w:rPr>
                      <w:rFonts w:hint="default" w:ascii="Times New Roman" w:hAnsi="Times New Roman" w:cs="Times New Roman"/>
                      <w:color w:val="auto"/>
                      <w:highlight w:val="none"/>
                    </w:rPr>
                    <w:t>深化工业污染源头治理。以“乌—昌—石”和“奎—独—乌”区域内师市为重点，开展工业污染深度治理，全面执行大气污染物特别排放限值要求，实现工业行业污染物排放总量进一步下降。深化煤化工、煤电硅、建材等产业的循环产业链条发展，全面推动循环经济建设和绿色清洁发展，通过改进工艺技术、提高原料利用率等，减少污染物源头产生量，力争污染物排放量最小化。加快推进钢铁、水泥、电解铝等行业超低排放改造和转型升级，加大石化化工行业整治力度。</w:t>
                  </w:r>
                </w:p>
              </w:tc>
              <w:tc>
                <w:tcPr>
                  <w:tcW w:w="1627" w:type="pct"/>
                  <w:noWrap w:val="0"/>
                  <w:vAlign w:val="center"/>
                </w:tcPr>
                <w:p w14:paraId="41CA6F54">
                  <w:pPr>
                    <w:wordWrap w:val="0"/>
                    <w:topLinePun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项目布袋除尘器收集粉尘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生物质锅炉炉渣</w:t>
                  </w:r>
                  <w:r>
                    <w:rPr>
                      <w:rFonts w:hint="default" w:ascii="Times New Roman" w:hAnsi="Times New Roman" w:cs="Times New Roman"/>
                      <w:color w:val="auto"/>
                      <w:szCs w:val="21"/>
                      <w:highlight w:val="none"/>
                    </w:rPr>
                    <w:t>全部回用于生产。提高原料利用率，减少污染物排放量，符合</w:t>
                  </w:r>
                  <w:r>
                    <w:rPr>
                      <w:rFonts w:hint="default" w:ascii="Times New Roman" w:hAnsi="Times New Roman" w:cs="Times New Roman"/>
                      <w:color w:val="auto"/>
                      <w:highlight w:val="none"/>
                    </w:rPr>
                    <w:t>工业污染源头治理要求。</w:t>
                  </w:r>
                </w:p>
              </w:tc>
              <w:tc>
                <w:tcPr>
                  <w:tcW w:w="558" w:type="pct"/>
                  <w:noWrap w:val="0"/>
                  <w:vAlign w:val="center"/>
                </w:tcPr>
                <w:p w14:paraId="76CB724B">
                  <w:pPr>
                    <w:snapToGrid w:val="0"/>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符合</w:t>
                  </w:r>
                </w:p>
              </w:tc>
            </w:tr>
          </w:tbl>
          <w:p w14:paraId="379E4ADF">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60" w:lineRule="auto"/>
              <w:ind w:leftChars="0" w:firstLine="482" w:firstLineChars="200"/>
              <w:jc w:val="left"/>
              <w:textAlignment w:val="auto"/>
              <w:outlineLvl w:val="1"/>
              <w:rPr>
                <w:rFonts w:hint="default" w:ascii="Times New Roman" w:hAnsi="Times New Roman" w:eastAsia="宋体" w:cs="Times New Roman"/>
                <w:b/>
                <w:bCs/>
                <w:color w:val="auto"/>
                <w:sz w:val="24"/>
                <w:szCs w:val="32"/>
                <w:highlight w:val="none"/>
                <w:lang w:val="en-US" w:eastAsia="zh-CN"/>
              </w:rPr>
            </w:pPr>
            <w:r>
              <w:rPr>
                <w:rFonts w:hint="eastAsia" w:cs="Times New Roman"/>
                <w:b/>
                <w:bCs/>
                <w:color w:val="auto"/>
                <w:sz w:val="24"/>
                <w:szCs w:val="32"/>
                <w:highlight w:val="none"/>
                <w:lang w:val="en-US" w:eastAsia="zh-CN"/>
              </w:rPr>
              <w:t>4</w:t>
            </w:r>
            <w:r>
              <w:rPr>
                <w:rFonts w:hint="default" w:ascii="Times New Roman" w:hAnsi="Times New Roman" w:eastAsia="宋体" w:cs="Times New Roman"/>
                <w:b/>
                <w:bCs/>
                <w:color w:val="auto"/>
                <w:sz w:val="24"/>
                <w:szCs w:val="32"/>
                <w:highlight w:val="none"/>
                <w:lang w:val="en-US" w:eastAsia="zh-CN"/>
              </w:rPr>
              <w:t>、与</w:t>
            </w:r>
            <w:r>
              <w:rPr>
                <w:rFonts w:hint="eastAsia" w:ascii="Times New Roman" w:hAnsi="Times New Roman"/>
                <w:b/>
                <w:bCs/>
                <w:color w:val="auto"/>
                <w:sz w:val="24"/>
                <w:szCs w:val="24"/>
                <w:highlight w:val="none"/>
                <w:lang w:val="en-US" w:eastAsia="zh-CN"/>
              </w:rPr>
              <w:t>《空气质量持续改善行动计划》的符合性分析</w:t>
            </w:r>
          </w:p>
          <w:p w14:paraId="5BAB4FA7">
            <w:p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表1-3  与《空气质量持续改善行动计划》的符合性分析</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0"/>
              <w:gridCol w:w="2550"/>
              <w:gridCol w:w="888"/>
            </w:tblGrid>
            <w:tr w14:paraId="4024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1" w:type="pct"/>
                  <w:vAlign w:val="center"/>
                </w:tcPr>
                <w:p w14:paraId="25E1E4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文件要求</w:t>
                  </w:r>
                </w:p>
              </w:tc>
              <w:tc>
                <w:tcPr>
                  <w:tcW w:w="1809" w:type="pct"/>
                  <w:vAlign w:val="center"/>
                </w:tcPr>
                <w:p w14:paraId="0D6D6E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本项目情况</w:t>
                  </w:r>
                </w:p>
              </w:tc>
              <w:tc>
                <w:tcPr>
                  <w:tcW w:w="629" w:type="pct"/>
                  <w:vAlign w:val="center"/>
                </w:tcPr>
                <w:p w14:paraId="091447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符合性分析</w:t>
                  </w:r>
                </w:p>
              </w:tc>
            </w:tr>
            <w:tr w14:paraId="3C44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1" w:type="pct"/>
                  <w:vAlign w:val="center"/>
                </w:tcPr>
                <w:p w14:paraId="767C9F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809" w:type="pct"/>
                  <w:vAlign w:val="center"/>
                </w:tcPr>
                <w:p w14:paraId="74CBC2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w:t>
                  </w:r>
                  <w:r>
                    <w:rPr>
                      <w:rFonts w:hint="default" w:ascii="Times New Roman" w:hAnsi="Times New Roman" w:eastAsia="宋体" w:cs="Times New Roman"/>
                      <w:color w:val="auto"/>
                      <w:sz w:val="21"/>
                      <w:szCs w:val="21"/>
                      <w:highlight w:val="none"/>
                      <w:vertAlign w:val="baseline"/>
                      <w:lang w:val="en-US" w:eastAsia="zh-CN"/>
                    </w:rPr>
                    <w:t>项目建设后年产有机液体肥2万t、颗粒肥1万t、饲料添加剂2万t</w:t>
                  </w:r>
                  <w:r>
                    <w:rPr>
                      <w:rFonts w:hint="eastAsia" w:ascii="Times New Roman" w:hAnsi="Times New Roman" w:eastAsia="宋体" w:cs="Times New Roman"/>
                      <w:color w:val="auto"/>
                      <w:sz w:val="21"/>
                      <w:szCs w:val="21"/>
                      <w:highlight w:val="none"/>
                      <w:vertAlign w:val="baseline"/>
                      <w:lang w:val="en-US" w:eastAsia="zh-CN"/>
                    </w:rPr>
                    <w:t>，不属于高耗能、高排放、低水平项目。项目符合产业政策及三线一单分区管控要求。氮氧化物实行总量控制指标。项目不涉及产能置换。</w:t>
                  </w:r>
                </w:p>
              </w:tc>
              <w:tc>
                <w:tcPr>
                  <w:tcW w:w="629" w:type="pct"/>
                  <w:vAlign w:val="center"/>
                </w:tcPr>
                <w:p w14:paraId="06EDC3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2DAA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1" w:type="pct"/>
                  <w:vAlign w:val="center"/>
                </w:tcPr>
                <w:p w14:paraId="661120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1809" w:type="pct"/>
                  <w:vAlign w:val="center"/>
                </w:tcPr>
                <w:p w14:paraId="28E1380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本项目为有机肥生产项目，既不属于《产业结构调整指导目录（2024年本）》中规定的限制类、淘汰类项目，也不属于鼓励类项目，符合国家当前产业政策。</w:t>
                  </w:r>
                </w:p>
              </w:tc>
              <w:tc>
                <w:tcPr>
                  <w:tcW w:w="629" w:type="pct"/>
                  <w:vAlign w:val="center"/>
                </w:tcPr>
                <w:p w14:paraId="18EAC7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4AA5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1" w:type="pct"/>
                  <w:vAlign w:val="center"/>
                </w:tcPr>
                <w:p w14:paraId="1E78CB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严格合理控制煤炭消费总量。在保障能源安全供应的前提下，重点区域继续实施煤炭消费总量控制。</w:t>
                  </w:r>
                </w:p>
              </w:tc>
              <w:tc>
                <w:tcPr>
                  <w:tcW w:w="1809" w:type="pct"/>
                  <w:vAlign w:val="center"/>
                </w:tcPr>
                <w:p w14:paraId="44DEAC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本项目建设生物质锅炉，燃料为生物质，不涉及煤炭消耗。</w:t>
                  </w:r>
                </w:p>
              </w:tc>
              <w:tc>
                <w:tcPr>
                  <w:tcW w:w="629" w:type="pct"/>
                  <w:vAlign w:val="center"/>
                </w:tcPr>
                <w:p w14:paraId="5688D4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7E44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1" w:type="pct"/>
                  <w:vAlign w:val="center"/>
                </w:tcPr>
                <w:p w14:paraId="4C6A21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2.5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1809" w:type="pct"/>
                  <w:vAlign w:val="center"/>
                </w:tcPr>
                <w:p w14:paraId="4F8FA3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本项目建设生物质锅炉，燃料为生物质，不涉及煤炭消耗。</w:t>
                  </w:r>
                </w:p>
              </w:tc>
              <w:tc>
                <w:tcPr>
                  <w:tcW w:w="629" w:type="pct"/>
                  <w:vAlign w:val="center"/>
                </w:tcPr>
                <w:p w14:paraId="5C02C7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bl>
          <w:p w14:paraId="7DCD6133">
            <w:pPr>
              <w:pStyle w:val="2"/>
              <w:pageBreakBefore w:val="0"/>
              <w:widowControl w:val="0"/>
              <w:numPr>
                <w:ilvl w:val="0"/>
                <w:numId w:val="0"/>
              </w:numPr>
              <w:kinsoku/>
              <w:wordWrap/>
              <w:topLinePunct w:val="0"/>
              <w:autoSpaceDE/>
              <w:autoSpaceDN/>
              <w:bidi w:val="0"/>
              <w:spacing w:before="0" w:after="0" w:line="360" w:lineRule="auto"/>
              <w:ind w:leftChars="0" w:firstLine="480" w:firstLineChars="200"/>
              <w:textAlignment w:val="auto"/>
              <w:rPr>
                <w:rFonts w:hint="default" w:cs="Times New Roman"/>
                <w:b w:val="0"/>
                <w:bCs w:val="0"/>
                <w:color w:val="auto"/>
                <w:kern w:val="2"/>
                <w:sz w:val="24"/>
                <w:szCs w:val="32"/>
                <w:highlight w:val="none"/>
                <w:lang w:val="en-US" w:eastAsia="zh-CN" w:bidi="ar-SA"/>
              </w:rPr>
            </w:pPr>
            <w:r>
              <w:rPr>
                <w:rFonts w:hint="eastAsia" w:cs="Times New Roman"/>
                <w:b w:val="0"/>
                <w:bCs w:val="0"/>
                <w:color w:val="auto"/>
                <w:kern w:val="2"/>
                <w:sz w:val="24"/>
                <w:szCs w:val="32"/>
                <w:highlight w:val="none"/>
                <w:lang w:val="en-US" w:eastAsia="zh-CN" w:bidi="ar-SA"/>
              </w:rPr>
              <w:t>综上所述，本项目建设符合《空气质量持续改善行动计划》中相关内容及要求。</w:t>
            </w:r>
          </w:p>
          <w:p w14:paraId="7D020E84">
            <w:pPr>
              <w:pStyle w:val="2"/>
              <w:pageBreakBefore w:val="0"/>
              <w:widowControl w:val="0"/>
              <w:numPr>
                <w:ilvl w:val="0"/>
                <w:numId w:val="0"/>
              </w:numPr>
              <w:kinsoku/>
              <w:wordWrap/>
              <w:topLinePunct w:val="0"/>
              <w:autoSpaceDE/>
              <w:autoSpaceDN/>
              <w:bidi w:val="0"/>
              <w:spacing w:before="0" w:after="0" w:line="360" w:lineRule="auto"/>
              <w:ind w:leftChars="0" w:firstLine="482" w:firstLineChars="200"/>
              <w:textAlignment w:val="auto"/>
              <w:rPr>
                <w:rFonts w:hint="default" w:ascii="Times New Roman" w:hAnsi="Times New Roman" w:eastAsia="宋体" w:cs="Times New Roman"/>
                <w:b/>
                <w:bCs/>
                <w:snapToGrid w:val="0"/>
                <w:color w:val="auto"/>
                <w:spacing w:val="-6"/>
                <w:kern w:val="0"/>
                <w:sz w:val="24"/>
                <w:szCs w:val="24"/>
                <w:highlight w:val="none"/>
                <w:lang w:val="en-US" w:eastAsia="zh-CN" w:bidi="ar"/>
              </w:rPr>
            </w:pPr>
            <w:r>
              <w:rPr>
                <w:rFonts w:hint="eastAsia" w:cs="Times New Roman"/>
                <w:b/>
                <w:bCs/>
                <w:color w:val="auto"/>
                <w:kern w:val="2"/>
                <w:sz w:val="24"/>
                <w:szCs w:val="32"/>
                <w:highlight w:val="none"/>
                <w:lang w:val="en-US" w:eastAsia="zh-CN" w:bidi="ar-SA"/>
              </w:rPr>
              <w:t>6</w:t>
            </w:r>
            <w:r>
              <w:rPr>
                <w:rFonts w:hint="default" w:ascii="Times New Roman" w:hAnsi="Times New Roman" w:eastAsia="宋体" w:cs="Times New Roman"/>
                <w:b/>
                <w:bCs/>
                <w:color w:val="auto"/>
                <w:kern w:val="2"/>
                <w:sz w:val="24"/>
                <w:szCs w:val="32"/>
                <w:highlight w:val="none"/>
                <w:lang w:val="en-US" w:eastAsia="zh-CN" w:bidi="ar-SA"/>
              </w:rPr>
              <w:t>、与《四师可克达拉市进一步加强大气污染防治工作实施意见》符合性分析</w:t>
            </w:r>
          </w:p>
          <w:p w14:paraId="5021208D">
            <w:pPr>
              <w:autoSpaceDE w:val="0"/>
              <w:autoSpaceDN w:val="0"/>
              <w:adjustRightInd w:val="0"/>
              <w:snapToGrid w:val="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表1-</w:t>
            </w:r>
            <w:r>
              <w:rPr>
                <w:rFonts w:hint="eastAsia" w:cs="Times New Roman"/>
                <w:b/>
                <w:bCs/>
                <w:color w:val="auto"/>
                <w:szCs w:val="20"/>
                <w:highlight w:val="none"/>
                <w:lang w:val="en-US" w:eastAsia="zh-CN"/>
              </w:rPr>
              <w:t>4</w:t>
            </w:r>
            <w:r>
              <w:rPr>
                <w:rFonts w:hint="default" w:ascii="Times New Roman" w:hAnsi="Times New Roman" w:cs="Times New Roman"/>
                <w:b/>
                <w:bCs/>
                <w:color w:val="auto"/>
                <w:szCs w:val="20"/>
                <w:highlight w:val="none"/>
                <w:lang w:val="en-US" w:eastAsia="zh-CN"/>
              </w:rPr>
              <w:t xml:space="preserve"> 与《四师可克达拉市进一步加强大气污染防治工作实施意见》</w:t>
            </w:r>
            <w:r>
              <w:rPr>
                <w:rFonts w:hint="default" w:ascii="Times New Roman" w:hAnsi="Times New Roman" w:eastAsia="宋体" w:cs="Times New Roman"/>
                <w:b/>
                <w:bCs/>
                <w:color w:val="auto"/>
                <w:sz w:val="21"/>
                <w:szCs w:val="21"/>
                <w:highlight w:val="none"/>
              </w:rPr>
              <w:t>符合性分析</w:t>
            </w:r>
          </w:p>
          <w:tbl>
            <w:tblPr>
              <w:tblStyle w:val="33"/>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35"/>
              <w:gridCol w:w="1742"/>
              <w:gridCol w:w="647"/>
            </w:tblGrid>
            <w:tr w14:paraId="63DB5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299" w:type="pct"/>
                  <w:noWrap w:val="0"/>
                  <w:vAlign w:val="center"/>
                </w:tcPr>
                <w:p w14:paraId="00676AD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文件</w:t>
                  </w:r>
                  <w:r>
                    <w:rPr>
                      <w:rFonts w:hint="default" w:ascii="Times New Roman" w:hAnsi="Times New Roman" w:cs="Times New Roman"/>
                      <w:color w:val="auto"/>
                      <w:szCs w:val="21"/>
                      <w:highlight w:val="none"/>
                    </w:rPr>
                    <w:t>要求</w:t>
                  </w:r>
                </w:p>
              </w:tc>
              <w:tc>
                <w:tcPr>
                  <w:tcW w:w="1240" w:type="pct"/>
                  <w:noWrap w:val="0"/>
                  <w:vAlign w:val="center"/>
                </w:tcPr>
                <w:p w14:paraId="4F94A3D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本项目情况</w:t>
                  </w:r>
                </w:p>
              </w:tc>
              <w:tc>
                <w:tcPr>
                  <w:tcW w:w="460" w:type="pct"/>
                  <w:noWrap w:val="0"/>
                  <w:vAlign w:val="center"/>
                </w:tcPr>
                <w:p w14:paraId="6046E82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符合性</w:t>
                  </w:r>
                </w:p>
              </w:tc>
            </w:tr>
            <w:tr w14:paraId="79FFA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0" w:hRule="atLeast"/>
              </w:trPr>
              <w:tc>
                <w:tcPr>
                  <w:tcW w:w="3299" w:type="pct"/>
                  <w:noWrap w:val="0"/>
                  <w:vAlign w:val="center"/>
                </w:tcPr>
                <w:p w14:paraId="5CCCEAB5">
                  <w:pPr>
                    <w:widowControl/>
                    <w:jc w:val="lef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实施燃煤锅炉整治。全面整治燃煤小锅炉，加快推进集中供热、“煤改气”“煤改电”工程建设，所有锅炉必须达到《锅炉大气污染物排放标准》（GB13271-2014）要求。到2017年底，除必要保留的以外，城市建成区基本淘汰每小时10蒸吨及以下燃煤锅炉，禁止新建每小时20蒸吨以下燃煤锅炉；其他区域原则上不再新建每小时10蒸吨以下的燃煤锅炉；在供热供气管网不能覆盖的地区，改用电、新能源或洁净煤，推广应用高效节能环保型锅炉。新建冶金、建材、化工等项目按要求实现余热余压综合利用。</w:t>
                  </w:r>
                </w:p>
              </w:tc>
              <w:tc>
                <w:tcPr>
                  <w:tcW w:w="1240" w:type="pct"/>
                  <w:noWrap w:val="0"/>
                  <w:vAlign w:val="center"/>
                </w:tcPr>
                <w:p w14:paraId="4028750B">
                  <w:pPr>
                    <w:kinsoku w:val="0"/>
                    <w:jc w:val="lef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本项目采用生物质</w:t>
                  </w:r>
                  <w:r>
                    <w:rPr>
                      <w:rFonts w:hint="default" w:ascii="Times New Roman" w:hAnsi="Times New Roman" w:cs="Times New Roman"/>
                      <w:color w:val="auto"/>
                      <w:kern w:val="0"/>
                      <w:szCs w:val="21"/>
                      <w:highlight w:val="none"/>
                      <w:lang w:val="en-US" w:eastAsia="zh-CN" w:bidi="ar"/>
                    </w:rPr>
                    <w:t>蒸汽锅炉</w:t>
                  </w:r>
                  <w:r>
                    <w:rPr>
                      <w:rFonts w:hint="default" w:ascii="Times New Roman" w:hAnsi="Times New Roman" w:cs="Times New Roman"/>
                      <w:color w:val="auto"/>
                      <w:kern w:val="0"/>
                      <w:szCs w:val="21"/>
                      <w:highlight w:val="none"/>
                      <w:lang w:bidi="ar"/>
                    </w:rPr>
                    <w:t>为生产供热，燃料为生物质，不涉及燃煤。</w:t>
                  </w:r>
                </w:p>
              </w:tc>
              <w:tc>
                <w:tcPr>
                  <w:tcW w:w="460" w:type="pct"/>
                  <w:noWrap w:val="0"/>
                  <w:vAlign w:val="center"/>
                </w:tcPr>
                <w:p w14:paraId="38F9DC1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376F6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299" w:type="pct"/>
                  <w:noWrap w:val="0"/>
                  <w:vAlign w:val="center"/>
                </w:tcPr>
                <w:p w14:paraId="6241D822">
                  <w:pPr>
                    <w:topLinePun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严控“三高”行业新增产能。严格执行国家产业准入政策，加大产业结构调整力度，严格控制多晶硅、聚氯乙烯等行业的新增产能项目。</w:t>
                  </w:r>
                </w:p>
              </w:tc>
              <w:tc>
                <w:tcPr>
                  <w:tcW w:w="1240" w:type="pct"/>
                  <w:noWrap w:val="0"/>
                  <w:vAlign w:val="center"/>
                </w:tcPr>
                <w:p w14:paraId="736D2E8B">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本项目不属于“三高”项目。</w:t>
                  </w:r>
                </w:p>
              </w:tc>
              <w:tc>
                <w:tcPr>
                  <w:tcW w:w="460" w:type="pct"/>
                  <w:noWrap w:val="0"/>
                  <w:vAlign w:val="center"/>
                </w:tcPr>
                <w:p w14:paraId="6DF7B9E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28FB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3" w:hRule="atLeast"/>
              </w:trPr>
              <w:tc>
                <w:tcPr>
                  <w:tcW w:w="3299" w:type="pct"/>
                  <w:noWrap w:val="0"/>
                  <w:vAlign w:val="center"/>
                </w:tcPr>
                <w:p w14:paraId="06277546">
                  <w:pPr>
                    <w:topLinePun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调整产业布局。所有新、改、扩建项目，必须全部进行环境影响评价；未通过环境影响评价审批的，一律不准开工建设。各类开发活动和建设活动应当符合环境保护规划和生态功能区划的要求，严格遵守生态保护红线的规定。加强对各类产业发展规划的环境影响评价以及开展建设项目后评价工作。</w:t>
                  </w:r>
                </w:p>
              </w:tc>
              <w:tc>
                <w:tcPr>
                  <w:tcW w:w="1240" w:type="pct"/>
                  <w:noWrap w:val="0"/>
                  <w:vAlign w:val="center"/>
                </w:tcPr>
                <w:p w14:paraId="18D849CC">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w:t>
                  </w:r>
                  <w:r>
                    <w:rPr>
                      <w:rFonts w:hint="default" w:ascii="Times New Roman" w:hAnsi="Times New Roman" w:cs="Times New Roman"/>
                      <w:color w:val="auto"/>
                      <w:highlight w:val="none"/>
                    </w:rPr>
                    <w:t>正在编制环境影响评价报告，项目尚未开工</w:t>
                  </w:r>
                  <w:r>
                    <w:rPr>
                      <w:rFonts w:hint="default" w:ascii="Times New Roman" w:hAnsi="Times New Roman" w:cs="Times New Roman"/>
                      <w:color w:val="auto"/>
                      <w:szCs w:val="21"/>
                      <w:highlight w:val="none"/>
                    </w:rPr>
                    <w:t>；满足《</w:t>
                  </w:r>
                  <w:r>
                    <w:rPr>
                      <w:rFonts w:hint="default" w:ascii="Times New Roman" w:hAnsi="Times New Roman" w:cs="Times New Roman"/>
                      <w:color w:val="auto"/>
                      <w:szCs w:val="21"/>
                      <w:highlight w:val="none"/>
                      <w:lang w:val="zh-CN"/>
                    </w:rPr>
                    <w:t>第四师可克达拉市“三线一单”生态环境分区管控方案</w:t>
                  </w:r>
                  <w:r>
                    <w:rPr>
                      <w:rFonts w:hint="default" w:ascii="Times New Roman" w:hAnsi="Times New Roman" w:cs="Times New Roman"/>
                      <w:color w:val="auto"/>
                      <w:szCs w:val="21"/>
                      <w:highlight w:val="none"/>
                    </w:rPr>
                    <w:t>》中的要求。</w:t>
                  </w:r>
                </w:p>
              </w:tc>
              <w:tc>
                <w:tcPr>
                  <w:tcW w:w="460" w:type="pct"/>
                  <w:noWrap w:val="0"/>
                  <w:vAlign w:val="center"/>
                </w:tcPr>
                <w:p w14:paraId="4EBD9A4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14:paraId="7F39E474">
            <w:pPr>
              <w:widowControl/>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cs="Times New Roman"/>
                <w:b/>
                <w:bCs/>
                <w:color w:val="auto"/>
                <w:kern w:val="2"/>
                <w:sz w:val="24"/>
                <w:szCs w:val="32"/>
                <w:highlight w:val="none"/>
                <w:lang w:val="en-US" w:eastAsia="zh-CN" w:bidi="ar-SA"/>
              </w:rPr>
              <w:t>7</w:t>
            </w:r>
            <w:r>
              <w:rPr>
                <w:rFonts w:hint="default" w:ascii="Times New Roman" w:hAnsi="Times New Roman" w:eastAsia="宋体" w:cs="Times New Roman"/>
                <w:b/>
                <w:bCs/>
                <w:color w:val="auto"/>
                <w:kern w:val="2"/>
                <w:sz w:val="24"/>
                <w:szCs w:val="32"/>
                <w:highlight w:val="none"/>
                <w:lang w:val="en-US" w:eastAsia="zh-CN" w:bidi="ar-SA"/>
              </w:rPr>
              <w:t>、</w:t>
            </w:r>
            <w:r>
              <w:rPr>
                <w:rFonts w:hint="default" w:ascii="Times New Roman" w:hAnsi="Times New Roman" w:cs="Times New Roman"/>
                <w:b/>
                <w:bCs/>
                <w:color w:val="auto"/>
                <w:sz w:val="24"/>
                <w:szCs w:val="24"/>
                <w:highlight w:val="none"/>
                <w:lang w:val="en-US" w:eastAsia="zh-CN"/>
              </w:rPr>
              <w:t>选址合理性分析</w:t>
            </w:r>
          </w:p>
          <w:p w14:paraId="124FFC35">
            <w:pPr>
              <w:pStyle w:val="152"/>
              <w:keepNext w:val="0"/>
              <w:keepLines w:val="0"/>
              <w:pageBreakBefore w:val="0"/>
              <w:widowControl w:val="0"/>
              <w:kinsoku/>
              <w:wordWrap w:val="0"/>
              <w:overflowPunct/>
              <w:topLinePunct w:val="0"/>
              <w:autoSpaceDE/>
              <w:autoSpaceDN/>
              <w:bidi w:val="0"/>
              <w:adjustRightInd/>
              <w:snapToGrid/>
              <w:spacing w:line="360" w:lineRule="auto"/>
              <w:ind w:firstLine="482" w:firstLineChars="0"/>
              <w:jc w:val="left"/>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本项目</w:t>
            </w:r>
            <w:r>
              <w:rPr>
                <w:rFonts w:hint="default" w:ascii="Times New Roman" w:hAnsi="Times New Roman" w:cs="Times New Roman"/>
                <w:color w:val="auto"/>
                <w:sz w:val="24"/>
                <w:szCs w:val="24"/>
                <w:highlight w:val="none"/>
              </w:rPr>
              <w:t>位</w:t>
            </w:r>
            <w:r>
              <w:rPr>
                <w:rFonts w:hint="default" w:ascii="Times New Roman" w:hAnsi="Times New Roman" w:eastAsia="宋体" w:cs="Times New Roman"/>
                <w:color w:val="auto"/>
                <w:sz w:val="24"/>
                <w:szCs w:val="24"/>
                <w:highlight w:val="none"/>
                <w:lang w:val="en-US" w:eastAsia="zh-CN"/>
              </w:rPr>
              <w:t>于</w:t>
            </w:r>
            <w:r>
              <w:rPr>
                <w:rFonts w:hint="default" w:ascii="Times New Roman" w:hAnsi="Times New Roman" w:cs="Times New Roman"/>
                <w:color w:val="auto"/>
                <w:sz w:val="24"/>
                <w:szCs w:val="24"/>
                <w:highlight w:val="none"/>
                <w:lang w:val="en-US" w:eastAsia="zh-CN"/>
              </w:rPr>
              <w:t>第四师63团</w:t>
            </w:r>
            <w:r>
              <w:rPr>
                <w:rFonts w:hint="default" w:ascii="Times New Roman" w:hAnsi="Times New Roman" w:eastAsia="宋体" w:cs="Times New Roman"/>
                <w:color w:val="auto"/>
                <w:sz w:val="24"/>
                <w:szCs w:val="24"/>
                <w:highlight w:val="none"/>
                <w:lang w:val="en-US" w:eastAsia="zh-CN"/>
              </w:rPr>
              <w:t>，中心地理</w:t>
            </w:r>
            <w:r>
              <w:rPr>
                <w:rFonts w:hint="default" w:ascii="Times New Roman" w:hAnsi="Times New Roman" w:cs="Times New Roman"/>
                <w:color w:val="auto"/>
                <w:sz w:val="24"/>
                <w:szCs w:val="24"/>
                <w:highlight w:val="none"/>
                <w:lang w:eastAsia="zh-CN"/>
              </w:rPr>
              <w:t>坐标</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snapToGrid w:val="0"/>
                <w:color w:val="auto"/>
                <w:kern w:val="0"/>
                <w:sz w:val="24"/>
                <w:szCs w:val="24"/>
                <w:highlight w:val="none"/>
                <w:lang w:val="en-US" w:eastAsia="zh-CN" w:bidi="ar-SA"/>
              </w:rPr>
              <w:t>E</w:t>
            </w:r>
            <w:r>
              <w:rPr>
                <w:rFonts w:hint="default" w:ascii="Times New Roman" w:hAnsi="Times New Roman" w:cs="Times New Roman"/>
                <w:color w:val="auto"/>
                <w:sz w:val="24"/>
                <w:szCs w:val="24"/>
                <w:highlight w:val="none"/>
              </w:rPr>
              <w:t>80°36'10.5417"</w:t>
            </w:r>
            <w:r>
              <w:rPr>
                <w:rFonts w:hint="default" w:ascii="Times New Roman" w:hAnsi="Times New Roman" w:eastAsia="宋体" w:cs="Times New Roman"/>
                <w:snapToGrid w:val="0"/>
                <w:color w:val="auto"/>
                <w:kern w:val="0"/>
                <w:sz w:val="24"/>
                <w:szCs w:val="24"/>
                <w:highlight w:val="none"/>
                <w:lang w:val="en-US" w:eastAsia="zh-CN" w:bidi="ar-SA"/>
              </w:rPr>
              <w:t>，N</w:t>
            </w:r>
            <w:r>
              <w:rPr>
                <w:rFonts w:hint="default" w:ascii="Times New Roman" w:hAnsi="Times New Roman" w:cs="Times New Roman"/>
                <w:color w:val="auto"/>
                <w:sz w:val="24"/>
                <w:szCs w:val="24"/>
                <w:highlight w:val="none"/>
              </w:rPr>
              <w:t>43°57'48.3148"</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选址用地性质属于“工业用地”，</w:t>
            </w:r>
            <w:r>
              <w:rPr>
                <w:rFonts w:hint="default" w:ascii="Times New Roman" w:hAnsi="Times New Roman" w:eastAsia="宋体" w:cs="Times New Roman"/>
                <w:color w:val="auto"/>
                <w:spacing w:val="0"/>
                <w:position w:val="0"/>
                <w:sz w:val="24"/>
                <w:szCs w:val="24"/>
                <w:highlight w:val="none"/>
              </w:rPr>
              <w:t>项目区</w:t>
            </w:r>
            <w:r>
              <w:rPr>
                <w:rFonts w:hint="default" w:ascii="Times New Roman" w:hAnsi="Times New Roman" w:eastAsia="宋体" w:cs="Times New Roman"/>
                <w:color w:val="auto"/>
                <w:spacing w:val="0"/>
                <w:position w:val="0"/>
                <w:sz w:val="24"/>
                <w:szCs w:val="24"/>
                <w:highlight w:val="none"/>
                <w:lang w:val="en-US" w:eastAsia="zh-CN"/>
              </w:rPr>
              <w:t>西侧为道路，</w:t>
            </w:r>
            <w:r>
              <w:rPr>
                <w:rFonts w:hint="default" w:ascii="Times New Roman" w:hAnsi="Times New Roman" w:eastAsia="宋体" w:cs="Times New Roman"/>
                <w:color w:val="auto"/>
                <w:spacing w:val="0"/>
                <w:position w:val="0"/>
                <w:sz w:val="24"/>
                <w:szCs w:val="24"/>
                <w:highlight w:val="none"/>
              </w:rPr>
              <w:t>交通运输满足建设期及运行期的原材料和燃料运输</w:t>
            </w:r>
            <w:r>
              <w:rPr>
                <w:rFonts w:hint="default" w:ascii="Times New Roman" w:hAnsi="Times New Roman" w:eastAsia="宋体" w:cs="Times New Roman"/>
                <w:color w:val="auto"/>
                <w:spacing w:val="0"/>
                <w:position w:val="0"/>
                <w:sz w:val="24"/>
                <w:szCs w:val="24"/>
                <w:highlight w:val="none"/>
                <w:lang w:val="en-US" w:eastAsia="zh-CN"/>
              </w:rPr>
              <w:t>；北侧、东侧</w:t>
            </w:r>
            <w:r>
              <w:rPr>
                <w:rFonts w:hint="default" w:ascii="Times New Roman" w:hAnsi="Times New Roman" w:cs="Times New Roman"/>
                <w:color w:val="auto"/>
                <w:spacing w:val="0"/>
                <w:position w:val="0"/>
                <w:sz w:val="24"/>
                <w:szCs w:val="24"/>
                <w:highlight w:val="none"/>
                <w:lang w:val="en-US" w:eastAsia="zh-CN"/>
              </w:rPr>
              <w:t>为现有企业；</w:t>
            </w:r>
            <w:r>
              <w:rPr>
                <w:rFonts w:hint="default" w:ascii="Times New Roman" w:hAnsi="Times New Roman" w:eastAsia="宋体" w:cs="Times New Roman"/>
                <w:color w:val="auto"/>
                <w:spacing w:val="0"/>
                <w:position w:val="0"/>
                <w:sz w:val="24"/>
                <w:szCs w:val="24"/>
                <w:highlight w:val="none"/>
                <w:lang w:val="en-US" w:eastAsia="zh-CN"/>
              </w:rPr>
              <w:t>项目</w:t>
            </w:r>
            <w:r>
              <w:rPr>
                <w:rFonts w:hint="default" w:ascii="Times New Roman" w:hAnsi="Times New Roman" w:eastAsia="宋体" w:cs="Times New Roman"/>
                <w:color w:val="auto"/>
                <w:spacing w:val="0"/>
                <w:position w:val="0"/>
                <w:sz w:val="24"/>
                <w:szCs w:val="24"/>
                <w:highlight w:val="none"/>
              </w:rPr>
              <w:t>周边给水、供电设施齐全。</w:t>
            </w:r>
          </w:p>
          <w:p w14:paraId="18DD38B1">
            <w:pPr>
              <w:pStyle w:val="152"/>
              <w:spacing w:line="360" w:lineRule="auto"/>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项目评价区域内无名胜古迹、风景区及自然保护区等特殊环境敏感点，同时，厂址周围无与建设项目性质不相容</w:t>
            </w:r>
            <w:r>
              <w:rPr>
                <w:rFonts w:hint="default" w:ascii="Times New Roman" w:hAnsi="Times New Roman" w:cs="Times New Roman"/>
                <w:color w:val="auto"/>
                <w:highlight w:val="none"/>
                <w:lang w:eastAsia="zh-CN"/>
              </w:rPr>
              <w:t>的其他</w:t>
            </w:r>
            <w:r>
              <w:rPr>
                <w:rFonts w:hint="default" w:ascii="Times New Roman" w:hAnsi="Times New Roman" w:cs="Times New Roman"/>
                <w:color w:val="auto"/>
                <w:highlight w:val="none"/>
              </w:rPr>
              <w:t>建设项目，无饮用水源保护区、自然保护区、风景名胜区、生态环境敏感区等敏感目标。本项目地理交通方便，路况良好，电力充足，厂区工程地质条件良好，外围运输便利，此外，在落实各项污控措施后，污染物达标排放，对周围环境的不利影响能够得到有效控制。</w:t>
            </w:r>
          </w:p>
          <w:p w14:paraId="320F61E4">
            <w:pPr>
              <w:pStyle w:val="28"/>
              <w:widowControl w:val="0"/>
              <w:snapToGrid w:val="0"/>
              <w:spacing w:before="0" w:beforeAutospacing="0" w:after="0" w:afterAutospacing="0" w:line="460" w:lineRule="exact"/>
              <w:ind w:firstLine="480"/>
              <w:jc w:val="both"/>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此外，</w:t>
            </w:r>
            <w:r>
              <w:rPr>
                <w:rFonts w:hint="default" w:ascii="Times New Roman" w:hAnsi="Times New Roman" w:cs="Times New Roman"/>
                <w:color w:val="auto"/>
                <w:highlight w:val="none"/>
              </w:rPr>
              <w:t>本项目选址</w:t>
            </w:r>
            <w:r>
              <w:rPr>
                <w:rFonts w:hint="eastAsia" w:ascii="Times New Roman" w:hAnsi="Times New Roman" w:cs="Times New Roman"/>
                <w:color w:val="auto"/>
                <w:highlight w:val="none"/>
                <w:lang w:val="en-US" w:eastAsia="zh-CN"/>
              </w:rPr>
              <w:t>符合</w:t>
            </w:r>
            <w:r>
              <w:rPr>
                <w:rFonts w:hint="default" w:ascii="Times New Roman" w:hAnsi="Times New Roman" w:cs="Times New Roman"/>
                <w:color w:val="auto"/>
                <w:highlight w:val="none"/>
              </w:rPr>
              <w:t>《第四师可克达拉市国土空间总体规划（2021-2035年）》的战略部署与空间布局要求，在国土空间格局、产业发展、生态保护、交通支撑及城乡协同等</w:t>
            </w:r>
            <w:r>
              <w:rPr>
                <w:rFonts w:hint="eastAsia" w:ascii="Times New Roman" w:hAnsi="Times New Roman" w:cs="Times New Roman"/>
                <w:color w:val="auto"/>
                <w:highlight w:val="none"/>
                <w:lang w:val="en-US" w:eastAsia="zh-CN"/>
              </w:rPr>
              <w:t>方面</w:t>
            </w:r>
            <w:r>
              <w:rPr>
                <w:rFonts w:hint="default" w:ascii="Times New Roman" w:hAnsi="Times New Roman" w:cs="Times New Roman"/>
                <w:color w:val="auto"/>
                <w:highlight w:val="none"/>
              </w:rPr>
              <w:t>均</w:t>
            </w:r>
            <w:r>
              <w:rPr>
                <w:rFonts w:hint="eastAsia" w:ascii="Times New Roman" w:hAnsi="Times New Roman" w:cs="Times New Roman"/>
                <w:color w:val="auto"/>
                <w:highlight w:val="none"/>
                <w:lang w:val="en-US" w:eastAsia="zh-CN"/>
              </w:rPr>
              <w:t>符合相关要求</w:t>
            </w:r>
            <w:r>
              <w:rPr>
                <w:rFonts w:hint="default" w:ascii="Times New Roman" w:hAnsi="Times New Roman" w:cs="Times New Roman"/>
                <w:color w:val="auto"/>
                <w:highlight w:val="none"/>
              </w:rPr>
              <w:t>，具体如下：</w:t>
            </w:r>
          </w:p>
          <w:p w14:paraId="00A23899">
            <w:pPr>
              <w:pStyle w:val="28"/>
              <w:widowControl w:val="0"/>
              <w:snapToGrid w:val="0"/>
              <w:spacing w:before="0" w:beforeAutospacing="0" w:after="0" w:afterAutospacing="0"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从国土空间总体格局来看，项目选址位于可克达拉中心城区及周边重点发展区域，正处于规划中“一核两轴三片区”的核心地带。可克达拉中心城区作为师域政治、经济、文化中心，是规划明确的发展核心，项目落位于此，能够直接承接核心区域的资源集聚效应与政策红利，与“两轴”（沿边境线南北向城镇发展轴、沿G218东西向城镇发展轴）形成联动，有利于融入区域协同发展网络，符合全域国土空间开发保护的行动纲领。</w:t>
            </w:r>
          </w:p>
          <w:p w14:paraId="189640B7">
            <w:pPr>
              <w:pStyle w:val="28"/>
              <w:widowControl w:val="0"/>
              <w:snapToGrid w:val="0"/>
              <w:spacing w:before="0" w:beforeAutospacing="0" w:after="0" w:afterAutospacing="0"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在产业布局匹配度方面，</w:t>
            </w:r>
            <w:r>
              <w:rPr>
                <w:rFonts w:hint="eastAsia" w:ascii="Times New Roman" w:hAnsi="Times New Roman" w:cs="Times New Roman"/>
                <w:color w:val="auto"/>
                <w:highlight w:val="none"/>
                <w:lang w:val="en-US" w:eastAsia="zh-CN"/>
              </w:rPr>
              <w:t>本项目位于63团，该团属于农副产品加工型。本项目属于有机肥生产，项目的建设有助于团场农副产品产业发展，</w:t>
            </w:r>
            <w:r>
              <w:rPr>
                <w:rFonts w:hint="default" w:ascii="Times New Roman" w:hAnsi="Times New Roman" w:cs="Times New Roman"/>
                <w:color w:val="auto"/>
                <w:highlight w:val="none"/>
              </w:rPr>
              <w:t>其选址与“北部片区”（含可克达拉市及</w:t>
            </w:r>
            <w:r>
              <w:rPr>
                <w:rFonts w:hint="eastAsia" w:ascii="Times New Roman" w:hAnsi="Times New Roman" w:cs="Times New Roman"/>
                <w:color w:val="auto"/>
                <w:highlight w:val="none"/>
                <w:lang w:val="en-US" w:eastAsia="zh-CN"/>
              </w:rPr>
              <w:t>63</w:t>
            </w:r>
            <w:r>
              <w:rPr>
                <w:rFonts w:hint="default" w:ascii="Times New Roman" w:hAnsi="Times New Roman" w:cs="Times New Roman"/>
                <w:color w:val="auto"/>
                <w:highlight w:val="none"/>
              </w:rPr>
              <w:t>团等）的产业功能定位高度契合。北部片区作为师域产业发展的重点区域，集聚了大量产业资源与基础设施，项目入驻可充分利用区域内的产业基础与产业链条，实现与现代产业体系的深度融合，符合“强产兴城”的发展目标。</w:t>
            </w:r>
          </w:p>
          <w:p w14:paraId="436631E6">
            <w:pPr>
              <w:pStyle w:val="28"/>
              <w:widowControl w:val="0"/>
              <w:snapToGrid w:val="0"/>
              <w:spacing w:before="0" w:beforeAutospacing="0" w:after="0" w:afterAutospacing="0"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交通基础设施支撑方面，项目选址周边涵盖“三横三纵”高速公路网及“两横三纵一环”国道网，临近沿G218东西向城镇发展轴，交通路网密集且通达性强。这种区位优势不仅能满足项目自身的物流运输需求，还能借助完善的交通体系加强与师域内外其他区域的经济联系，符合规划中“内促外通、完善全域公路交通体系”的基础设施建设要求，为项目长远发展提供坚实支撑。</w:t>
            </w:r>
          </w:p>
          <w:p w14:paraId="6A780375">
            <w:pPr>
              <w:pStyle w:val="28"/>
              <w:widowControl w:val="0"/>
              <w:snapToGrid w:val="0"/>
              <w:spacing w:before="0" w:beforeAutospacing="0" w:after="0" w:afterAutospacing="0"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生态保护合规性层面，项目选址严格遵守规划中“三条控制线”的划定要求，未涉及生态保护红线及永久基本农田保护红线，且位于城镇开发边界范围内，符合“优先划定生态保护红线、严格划定永久基本农田、合理划定城镇开发边界”的空间管制原则。</w:t>
            </w:r>
          </w:p>
          <w:p w14:paraId="4A2E3A86">
            <w:pPr>
              <w:pStyle w:val="28"/>
              <w:widowControl w:val="0"/>
              <w:snapToGrid w:val="0"/>
              <w:spacing w:before="0" w:beforeAutospacing="0" w:after="0" w:afterAutospacing="0" w:line="46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区域协同发展角度，项目选址有利于推动“兵地融合”与区域联动。沿G218城镇发展轴及边境线城镇发展轴的区位，能加强与周边县市及口岸（如霍尔果斯口岸、都拉塔口岸）的经济互动，符合“区域联动、共创兵地融合新局面”的规划方向，为区域协同发展注入新动能。</w:t>
            </w:r>
          </w:p>
          <w:p w14:paraId="2F1BFAFF">
            <w:pPr>
              <w:pStyle w:val="28"/>
              <w:widowControl w:val="0"/>
              <w:snapToGrid w:val="0"/>
              <w:spacing w:before="0" w:beforeAutospacing="0" w:after="0" w:afterAutospacing="0" w:line="460" w:lineRule="exact"/>
              <w:ind w:firstLine="48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综上所述，本项目选址在国土空间格局、产业布局、交通支撑、生态保护、城乡定位及区域协同等方面均</w:t>
            </w:r>
            <w:r>
              <w:rPr>
                <w:rFonts w:hint="eastAsia" w:ascii="Times New Roman" w:hAnsi="Times New Roman" w:cs="Times New Roman"/>
                <w:color w:val="auto"/>
                <w:highlight w:val="none"/>
                <w:lang w:val="en-US" w:eastAsia="zh-CN"/>
              </w:rPr>
              <w:t>符合</w:t>
            </w:r>
            <w:r>
              <w:rPr>
                <w:rFonts w:hint="default" w:ascii="Times New Roman" w:hAnsi="Times New Roman" w:cs="Times New Roman"/>
                <w:color w:val="auto"/>
                <w:highlight w:val="none"/>
              </w:rPr>
              <w:t>《第四师可克达拉市国土空间总体规划（2021-2035 年）》</w:t>
            </w:r>
            <w:r>
              <w:rPr>
                <w:rFonts w:hint="eastAsia" w:ascii="Times New Roman" w:hAnsi="Times New Roman" w:cs="Times New Roman"/>
                <w:color w:val="auto"/>
                <w:highlight w:val="none"/>
                <w:lang w:val="en-US" w:eastAsia="zh-CN"/>
              </w:rPr>
              <w:t>中相关内容及要求</w:t>
            </w:r>
            <w:r>
              <w:rPr>
                <w:rFonts w:hint="default" w:ascii="Times New Roman" w:hAnsi="Times New Roman" w:cs="Times New Roman"/>
                <w:color w:val="auto"/>
                <w:highlight w:val="none"/>
              </w:rPr>
              <w:t>，具备充分的合理性与可行性，能够为项目的可持续发展提供有力保障</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本项目厂址选择合理。</w:t>
            </w:r>
          </w:p>
        </w:tc>
      </w:tr>
    </w:tbl>
    <w:p w14:paraId="10F3DCDB">
      <w:pPr>
        <w:spacing w:line="360" w:lineRule="auto"/>
        <w:jc w:val="center"/>
        <w:rPr>
          <w:rFonts w:hint="default" w:ascii="Times New Roman" w:hAnsi="Times New Roman" w:eastAsia="黑体" w:cs="Times New Roman"/>
          <w:b/>
          <w:color w:val="auto"/>
          <w:sz w:val="30"/>
          <w:szCs w:val="30"/>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4CD6DDA8">
      <w:pPr>
        <w:pStyle w:val="28"/>
        <w:widowControl/>
        <w:ind w:left="0" w:right="0"/>
        <w:jc w:val="center"/>
        <w:outlineLvl w:val="0"/>
        <w:rPr>
          <w:rStyle w:val="44"/>
          <w:rFonts w:hint="default" w:ascii="Times New Roman" w:hAnsi="Times New Roman" w:eastAsia="黑体" w:cs="Times New Roman"/>
          <w:color w:val="auto"/>
          <w:sz w:val="30"/>
          <w:szCs w:val="30"/>
          <w:highlight w:val="none"/>
          <w:lang w:bidi="ar-SA"/>
        </w:rPr>
      </w:pPr>
      <w:r>
        <w:rPr>
          <w:rStyle w:val="44"/>
          <w:rFonts w:hint="default" w:ascii="Times New Roman" w:hAnsi="Times New Roman" w:eastAsia="黑体" w:cs="Times New Roman"/>
          <w:color w:val="auto"/>
          <w:sz w:val="30"/>
          <w:szCs w:val="30"/>
          <w:highlight w:val="none"/>
          <w:lang w:bidi="ar-SA"/>
        </w:rPr>
        <w:t>二、建设项目工程分析</w:t>
      </w:r>
    </w:p>
    <w:tbl>
      <w:tblPr>
        <w:tblStyle w:val="33"/>
        <w:tblW w:w="942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54"/>
        <w:gridCol w:w="8976"/>
      </w:tblGrid>
      <w:tr w14:paraId="0F870A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68" w:hRule="atLeast"/>
          <w:jc w:val="center"/>
        </w:trPr>
        <w:tc>
          <w:tcPr>
            <w:tcW w:w="485" w:type="dxa"/>
            <w:noWrap w:val="0"/>
            <w:vAlign w:val="center"/>
          </w:tcPr>
          <w:p w14:paraId="33D2D24E">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建</w:t>
            </w:r>
          </w:p>
          <w:p w14:paraId="4D21423A">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设</w:t>
            </w:r>
          </w:p>
          <w:p w14:paraId="7D8844F6">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内</w:t>
            </w:r>
          </w:p>
          <w:p w14:paraId="4228323A">
            <w:pPr>
              <w:spacing w:line="360" w:lineRule="auto"/>
              <w:jc w:val="center"/>
              <w:rPr>
                <w:rFonts w:hint="default" w:ascii="Times New Roman" w:hAnsi="Times New Roman" w:eastAsia="宋体" w:cs="Times New Roman"/>
                <w:color w:val="auto"/>
                <w:spacing w:val="-1"/>
                <w:szCs w:val="21"/>
                <w:highlight w:val="none"/>
              </w:rPr>
            </w:pPr>
            <w:r>
              <w:rPr>
                <w:rFonts w:hint="default" w:ascii="Times New Roman" w:hAnsi="Times New Roman" w:eastAsia="宋体" w:cs="Times New Roman"/>
                <w:color w:val="auto"/>
                <w:spacing w:val="-1"/>
                <w:sz w:val="24"/>
                <w:highlight w:val="none"/>
              </w:rPr>
              <w:t>容</w:t>
            </w:r>
          </w:p>
        </w:tc>
        <w:tc>
          <w:tcPr>
            <w:tcW w:w="8936" w:type="dxa"/>
            <w:noWrap w:val="0"/>
            <w:vAlign w:val="center"/>
          </w:tcPr>
          <w:p w14:paraId="5775F892">
            <w:pPr>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highlight w:val="none"/>
              </w:rPr>
              <w:t>1.</w:t>
            </w:r>
            <w:r>
              <w:rPr>
                <w:rFonts w:hint="default" w:ascii="Times New Roman" w:hAnsi="Times New Roman" w:eastAsia="宋体" w:cs="Times New Roman"/>
                <w:b/>
                <w:color w:val="auto"/>
                <w:sz w:val="24"/>
                <w:highlight w:val="none"/>
              </w:rPr>
              <w:t>建</w:t>
            </w:r>
            <w:r>
              <w:rPr>
                <w:rFonts w:hint="default" w:ascii="Times New Roman" w:hAnsi="Times New Roman" w:eastAsia="宋体" w:cs="Times New Roman"/>
                <w:b/>
                <w:color w:val="auto"/>
                <w:sz w:val="24"/>
                <w:szCs w:val="24"/>
                <w:highlight w:val="none"/>
              </w:rPr>
              <w:t>设内容及规模</w:t>
            </w:r>
          </w:p>
          <w:p w14:paraId="462AE451">
            <w:pPr>
              <w:pStyle w:val="10"/>
              <w:spacing w:line="360" w:lineRule="auto"/>
              <w:ind w:firstLine="480" w:firstLineChars="200"/>
              <w:rPr>
                <w:rFonts w:hint="default" w:ascii="Times New Roman" w:hAnsi="Times New Roman" w:cs="Times New Roman"/>
                <w:snapToGrid w:val="0"/>
                <w:color w:val="auto"/>
                <w:kern w:val="0"/>
                <w:sz w:val="24"/>
                <w:szCs w:val="24"/>
                <w:highlight w:val="none"/>
                <w:lang w:val="en-US" w:eastAsia="zh-CN" w:bidi="ar-SA"/>
              </w:rPr>
            </w:pPr>
            <w:r>
              <w:rPr>
                <w:rFonts w:hint="default" w:ascii="Times New Roman" w:hAnsi="Times New Roman" w:cs="Times New Roman"/>
                <w:snapToGrid w:val="0"/>
                <w:color w:val="auto"/>
                <w:kern w:val="0"/>
                <w:sz w:val="24"/>
                <w:szCs w:val="24"/>
                <w:highlight w:val="none"/>
                <w:lang w:val="en-US" w:eastAsia="zh-CN" w:bidi="ar-SA"/>
              </w:rPr>
              <w:t>项目名称：</w:t>
            </w:r>
            <w:r>
              <w:rPr>
                <w:rFonts w:hint="default" w:ascii="Times New Roman" w:hAnsi="Times New Roman" w:eastAsia="宋体" w:cs="Times New Roman"/>
                <w:color w:val="auto"/>
                <w:spacing w:val="-1"/>
                <w:sz w:val="24"/>
                <w:highlight w:val="none"/>
                <w:lang w:eastAsia="zh-CN"/>
              </w:rPr>
              <w:t>新疆谷润农业发展有限公司年产万吨有机肥深加工生产线建设项目</w:t>
            </w:r>
          </w:p>
          <w:p w14:paraId="415906D9">
            <w:pPr>
              <w:pStyle w:val="10"/>
              <w:spacing w:line="360" w:lineRule="auto"/>
              <w:ind w:firstLine="480" w:firstLineChars="200"/>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cs="Times New Roman"/>
                <w:snapToGrid w:val="0"/>
                <w:color w:val="auto"/>
                <w:kern w:val="0"/>
                <w:sz w:val="24"/>
                <w:szCs w:val="24"/>
                <w:highlight w:val="none"/>
                <w:lang w:val="en-US" w:eastAsia="zh-CN" w:bidi="ar-SA"/>
              </w:rPr>
              <w:t>建设单位</w:t>
            </w:r>
            <w:r>
              <w:rPr>
                <w:rFonts w:hint="default" w:ascii="Times New Roman" w:hAnsi="Times New Roman" w:eastAsia="宋体" w:cs="Times New Roman"/>
                <w:snapToGrid w:val="0"/>
                <w:color w:val="auto"/>
                <w:kern w:val="0"/>
                <w:sz w:val="24"/>
                <w:szCs w:val="24"/>
                <w:highlight w:val="none"/>
                <w:lang w:val="en-US" w:eastAsia="zh-CN" w:bidi="ar-SA"/>
              </w:rPr>
              <w:t>：</w:t>
            </w:r>
            <w:r>
              <w:rPr>
                <w:rFonts w:hint="default" w:ascii="Times New Roman" w:hAnsi="Times New Roman" w:eastAsia="宋体" w:cs="Times New Roman"/>
                <w:color w:val="auto"/>
                <w:spacing w:val="-1"/>
                <w:sz w:val="24"/>
                <w:highlight w:val="none"/>
                <w:lang w:eastAsia="zh-CN"/>
              </w:rPr>
              <w:t>新疆谷润农业发展有限公司</w:t>
            </w:r>
          </w:p>
          <w:p w14:paraId="20261922">
            <w:pPr>
              <w:pStyle w:val="10"/>
              <w:spacing w:line="360" w:lineRule="auto"/>
              <w:ind w:firstLine="480" w:firstLineChars="200"/>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建设地点：</w:t>
            </w:r>
            <w:r>
              <w:rPr>
                <w:rFonts w:hint="default" w:ascii="Times New Roman" w:hAnsi="Times New Roman" w:cs="Times New Roman"/>
                <w:color w:val="auto"/>
                <w:sz w:val="24"/>
                <w:highlight w:val="none"/>
                <w:u w:val="none"/>
                <w:lang w:val="en-US" w:eastAsia="zh-CN"/>
              </w:rPr>
              <w:t>新疆可克达拉市六十三团</w:t>
            </w:r>
            <w:r>
              <w:rPr>
                <w:rFonts w:hint="default" w:ascii="Times New Roman" w:hAnsi="Times New Roman" w:eastAsia="宋体" w:cs="Times New Roman"/>
                <w:snapToGrid w:val="0"/>
                <w:color w:val="auto"/>
                <w:kern w:val="0"/>
                <w:sz w:val="24"/>
                <w:szCs w:val="24"/>
                <w:highlight w:val="none"/>
                <w:lang w:val="en-US" w:eastAsia="zh-CN" w:bidi="ar-SA"/>
              </w:rPr>
              <w:t>，项目中心坐标：E80°36'10.5417"，N43°57'48.3148"；</w:t>
            </w:r>
            <w:r>
              <w:rPr>
                <w:rFonts w:hint="eastAsia" w:ascii="Times New Roman" w:hAnsi="Times New Roman" w:cs="Times New Roman"/>
                <w:snapToGrid w:val="0"/>
                <w:color w:val="auto"/>
                <w:kern w:val="0"/>
                <w:sz w:val="24"/>
                <w:szCs w:val="24"/>
                <w:highlight w:val="none"/>
                <w:lang w:val="en-US" w:eastAsia="zh-CN" w:bidi="ar-SA"/>
              </w:rPr>
              <w:t>详见项目地理位置图图2-1。</w:t>
            </w:r>
          </w:p>
          <w:p w14:paraId="74677ADD">
            <w:pPr>
              <w:pStyle w:val="10"/>
              <w:spacing w:line="360" w:lineRule="auto"/>
              <w:ind w:firstLine="480" w:firstLineChars="200"/>
              <w:rPr>
                <w:rFonts w:hint="default" w:ascii="Times New Roman" w:hAnsi="Times New Roman" w:cs="Times New Roman"/>
                <w:snapToGrid w:val="0"/>
                <w:color w:val="auto"/>
                <w:kern w:val="0"/>
                <w:sz w:val="24"/>
                <w:szCs w:val="24"/>
                <w:highlight w:val="none"/>
                <w:lang w:val="en-US" w:eastAsia="zh-CN" w:bidi="ar-SA"/>
              </w:rPr>
            </w:pPr>
            <w:r>
              <w:rPr>
                <w:rFonts w:hint="default" w:ascii="Times New Roman" w:hAnsi="Times New Roman" w:cs="Times New Roman"/>
                <w:snapToGrid w:val="0"/>
                <w:color w:val="auto"/>
                <w:kern w:val="0"/>
                <w:sz w:val="24"/>
                <w:szCs w:val="24"/>
                <w:highlight w:val="none"/>
                <w:lang w:val="en-US" w:eastAsia="zh-CN" w:bidi="ar-SA"/>
              </w:rPr>
              <w:t>项目性质：新建</w:t>
            </w:r>
          </w:p>
          <w:p w14:paraId="389341CB">
            <w:pPr>
              <w:pStyle w:val="10"/>
              <w:spacing w:line="360" w:lineRule="auto"/>
              <w:ind w:firstLine="480" w:firstLineChars="200"/>
              <w:rPr>
                <w:rFonts w:hint="default" w:ascii="Times New Roman" w:hAnsi="Times New Roman" w:eastAsia="宋体" w:cs="Times New Roman"/>
                <w:color w:val="auto"/>
                <w:sz w:val="24"/>
                <w:highlight w:val="none"/>
                <w:lang w:val="en-US"/>
              </w:rPr>
            </w:pPr>
            <w:r>
              <w:rPr>
                <w:rFonts w:hint="eastAsia" w:ascii="Times New Roman" w:hAnsi="Times New Roman" w:cs="Times New Roman"/>
                <w:snapToGrid w:val="0"/>
                <w:color w:val="auto"/>
                <w:kern w:val="0"/>
                <w:sz w:val="24"/>
                <w:szCs w:val="24"/>
                <w:highlight w:val="none"/>
                <w:lang w:val="en-US" w:eastAsia="zh-CN" w:bidi="ar-SA"/>
              </w:rPr>
              <w:t>本项目总投资</w:t>
            </w:r>
            <w:r>
              <w:rPr>
                <w:rFonts w:hint="default" w:ascii="Times New Roman" w:hAnsi="Times New Roman" w:cs="Times New Roman"/>
                <w:color w:val="auto"/>
                <w:sz w:val="24"/>
                <w:highlight w:val="none"/>
                <w:lang w:val="en-US" w:eastAsia="zh-CN"/>
              </w:rPr>
              <w:t>7500</w:t>
            </w:r>
            <w:r>
              <w:rPr>
                <w:rFonts w:hint="eastAsia" w:ascii="Times New Roman" w:hAnsi="Times New Roman" w:cs="Times New Roman"/>
                <w:snapToGrid w:val="0"/>
                <w:color w:val="auto"/>
                <w:kern w:val="0"/>
                <w:sz w:val="24"/>
                <w:szCs w:val="24"/>
                <w:highlight w:val="none"/>
                <w:lang w:val="en-US" w:eastAsia="zh-CN" w:bidi="ar-SA"/>
              </w:rPr>
              <w:t>万元，建设3栋生产车间</w:t>
            </w:r>
            <w:r>
              <w:rPr>
                <w:rFonts w:hint="eastAsia"/>
                <w:color w:val="auto"/>
                <w:sz w:val="24"/>
                <w:highlight w:val="none"/>
                <w:lang w:eastAsia="zh-CN"/>
              </w:rPr>
              <w:t>，</w:t>
            </w:r>
            <w:r>
              <w:rPr>
                <w:rFonts w:hint="eastAsia"/>
                <w:color w:val="auto"/>
                <w:sz w:val="24"/>
                <w:highlight w:val="none"/>
                <w:lang w:val="en-US" w:eastAsia="zh-CN"/>
              </w:rPr>
              <w:t>购置设备及相关配套工程。</w:t>
            </w:r>
            <w:r>
              <w:rPr>
                <w:rFonts w:hint="eastAsia" w:ascii="Times New Roman" w:hAnsi="Times New Roman" w:cs="Times New Roman"/>
                <w:snapToGrid w:val="0"/>
                <w:color w:val="auto"/>
                <w:kern w:val="0"/>
                <w:sz w:val="24"/>
                <w:szCs w:val="24"/>
                <w:highlight w:val="none"/>
                <w:lang w:val="en-US" w:eastAsia="zh-CN" w:bidi="ar-SA"/>
              </w:rPr>
              <w:t>项目建设后年产有机液体肥2万t、颗粒肥1万t、饲料添加剂2万t。</w:t>
            </w:r>
            <w:r>
              <w:rPr>
                <w:rFonts w:hint="default" w:ascii="Times New Roman" w:hAnsi="Times New Roman" w:cs="Times New Roman"/>
                <w:snapToGrid w:val="0"/>
                <w:color w:val="auto"/>
                <w:kern w:val="0"/>
                <w:sz w:val="24"/>
                <w:szCs w:val="24"/>
                <w:highlight w:val="none"/>
                <w:lang w:val="en-US" w:eastAsia="zh-CN" w:bidi="ar-SA"/>
              </w:rPr>
              <w:t>本项目总建筑面积20343.27平方米，占地面积43010.51平方米。</w:t>
            </w:r>
            <w:r>
              <w:rPr>
                <w:rFonts w:hint="eastAsia" w:ascii="Times New Roman" w:hAnsi="Times New Roman" w:cs="Times New Roman"/>
                <w:snapToGrid w:val="0"/>
                <w:color w:val="auto"/>
                <w:kern w:val="0"/>
                <w:sz w:val="24"/>
                <w:szCs w:val="24"/>
                <w:highlight w:val="none"/>
                <w:lang w:val="en-US" w:eastAsia="zh-CN" w:bidi="ar-SA"/>
              </w:rPr>
              <w:t>项目具体工程组成加下表。</w:t>
            </w:r>
          </w:p>
          <w:p w14:paraId="728DB46A">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表2-1  工程组成表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545"/>
              <w:gridCol w:w="5435"/>
              <w:gridCol w:w="1090"/>
            </w:tblGrid>
            <w:tr w14:paraId="6638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0" w:type="pct"/>
                  <w:gridSpan w:val="2"/>
                  <w:noWrap w:val="0"/>
                  <w:vAlign w:val="center"/>
                </w:tcPr>
                <w:p w14:paraId="6176F0F5">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项目组成</w:t>
                  </w:r>
                </w:p>
              </w:tc>
              <w:tc>
                <w:tcPr>
                  <w:tcW w:w="3106" w:type="pct"/>
                  <w:noWrap w:val="0"/>
                  <w:vAlign w:val="center"/>
                </w:tcPr>
                <w:p w14:paraId="1137B625">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建设内容及用途</w:t>
                  </w:r>
                </w:p>
              </w:tc>
              <w:tc>
                <w:tcPr>
                  <w:tcW w:w="623" w:type="pct"/>
                  <w:noWrap w:val="0"/>
                  <w:vAlign w:val="center"/>
                </w:tcPr>
                <w:p w14:paraId="79DDADCD">
                  <w:pPr>
                    <w:pStyle w:val="137"/>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cs="Times New Roman"/>
                      <w:b/>
                      <w:bCs/>
                      <w:color w:val="auto"/>
                      <w:kern w:val="2"/>
                      <w:sz w:val="21"/>
                      <w:szCs w:val="21"/>
                      <w:highlight w:val="none"/>
                      <w:lang w:val="en-US" w:eastAsia="zh-CN"/>
                    </w:rPr>
                    <w:t>备注</w:t>
                  </w:r>
                </w:p>
              </w:tc>
            </w:tr>
            <w:tr w14:paraId="6A53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restart"/>
                  <w:noWrap w:val="0"/>
                  <w:vAlign w:val="center"/>
                </w:tcPr>
                <w:p w14:paraId="48A1CA30">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主体工程</w:t>
                  </w:r>
                </w:p>
              </w:tc>
              <w:tc>
                <w:tcPr>
                  <w:tcW w:w="882" w:type="pct"/>
                  <w:noWrap w:val="0"/>
                  <w:vAlign w:val="center"/>
                </w:tcPr>
                <w:p w14:paraId="12762F68">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1#生产车间</w:t>
                  </w:r>
                </w:p>
              </w:tc>
              <w:tc>
                <w:tcPr>
                  <w:tcW w:w="3106" w:type="pct"/>
                  <w:noWrap w:val="0"/>
                  <w:vAlign w:val="center"/>
                </w:tcPr>
                <w:p w14:paraId="2FC90ADC">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建筑面积</w:t>
                  </w:r>
                  <w:r>
                    <w:rPr>
                      <w:rFonts w:hint="default" w:ascii="Times New Roman" w:hAnsi="Times New Roman" w:cs="Times New Roman"/>
                      <w:color w:val="auto"/>
                      <w:sz w:val="21"/>
                      <w:szCs w:val="21"/>
                      <w:highlight w:val="none"/>
                      <w:lang w:val="en-US" w:eastAsia="zh-CN"/>
                    </w:rPr>
                    <w:t>4704</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主要功能为</w:t>
                  </w:r>
                  <w:r>
                    <w:rPr>
                      <w:rFonts w:hint="default" w:ascii="Times New Roman" w:hAnsi="Times New Roman" w:cs="Times New Roman"/>
                      <w:color w:val="auto"/>
                      <w:sz w:val="21"/>
                      <w:szCs w:val="21"/>
                      <w:highlight w:val="none"/>
                    </w:rPr>
                    <w:t>湿糖渣等固体物料的存放及加工前处理</w:t>
                  </w:r>
                  <w:r>
                    <w:rPr>
                      <w:rFonts w:hint="eastAsia" w:cs="Times New Roman"/>
                      <w:color w:val="auto"/>
                      <w:sz w:val="21"/>
                      <w:szCs w:val="21"/>
                      <w:highlight w:val="none"/>
                      <w:lang w:eastAsia="zh-CN"/>
                    </w:rPr>
                    <w:t>。</w:t>
                  </w:r>
                </w:p>
              </w:tc>
              <w:tc>
                <w:tcPr>
                  <w:tcW w:w="623" w:type="pct"/>
                  <w:vMerge w:val="restart"/>
                  <w:noWrap w:val="0"/>
                  <w:vAlign w:val="center"/>
                </w:tcPr>
                <w:p w14:paraId="46DADDEA">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一般防渗区</w:t>
                  </w:r>
                </w:p>
              </w:tc>
            </w:tr>
            <w:tr w14:paraId="3571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continue"/>
                  <w:noWrap w:val="0"/>
                  <w:vAlign w:val="center"/>
                </w:tcPr>
                <w:p w14:paraId="0A8B30E0">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0038885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2#生产车间</w:t>
                  </w:r>
                </w:p>
              </w:tc>
              <w:tc>
                <w:tcPr>
                  <w:tcW w:w="3106" w:type="pct"/>
                  <w:noWrap w:val="0"/>
                  <w:vAlign w:val="center"/>
                </w:tcPr>
                <w:p w14:paraId="10F19F3A">
                  <w:pPr>
                    <w:pStyle w:val="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建筑面积</w:t>
                  </w:r>
                  <w:r>
                    <w:rPr>
                      <w:rFonts w:hint="default" w:ascii="Times New Roman" w:hAnsi="Times New Roman" w:cs="Times New Roman"/>
                      <w:color w:val="auto"/>
                      <w:sz w:val="21"/>
                      <w:szCs w:val="21"/>
                      <w:highlight w:val="none"/>
                      <w:lang w:val="en-US" w:eastAsia="zh-CN"/>
                    </w:rPr>
                    <w:t>4704</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主要功能为</w:t>
                  </w:r>
                  <w:r>
                    <w:rPr>
                      <w:rFonts w:hint="default" w:ascii="Times New Roman" w:hAnsi="Times New Roman" w:cs="Times New Roman"/>
                      <w:color w:val="auto"/>
                      <w:sz w:val="21"/>
                      <w:szCs w:val="21"/>
                      <w:highlight w:val="none"/>
                    </w:rPr>
                    <w:t>原料的烘干与及制粒后处理，以及成品的存放</w:t>
                  </w:r>
                </w:p>
              </w:tc>
              <w:tc>
                <w:tcPr>
                  <w:tcW w:w="623" w:type="pct"/>
                  <w:vMerge w:val="continue"/>
                  <w:noWrap w:val="0"/>
                  <w:vAlign w:val="center"/>
                </w:tcPr>
                <w:p w14:paraId="3226F9FF">
                  <w:pPr>
                    <w:pStyle w:val="7"/>
                    <w:jc w:val="center"/>
                    <w:rPr>
                      <w:rFonts w:hint="default" w:ascii="Times New Roman" w:hAnsi="Times New Roman" w:cs="Times New Roman"/>
                      <w:color w:val="auto"/>
                      <w:sz w:val="21"/>
                      <w:szCs w:val="21"/>
                      <w:highlight w:val="none"/>
                    </w:rPr>
                  </w:pPr>
                </w:p>
              </w:tc>
            </w:tr>
            <w:tr w14:paraId="27DD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continue"/>
                  <w:noWrap w:val="0"/>
                  <w:vAlign w:val="center"/>
                </w:tcPr>
                <w:p w14:paraId="3446B187">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657B38E1">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3#生产车间</w:t>
                  </w:r>
                </w:p>
              </w:tc>
              <w:tc>
                <w:tcPr>
                  <w:tcW w:w="3106" w:type="pct"/>
                  <w:noWrap w:val="0"/>
                  <w:vAlign w:val="center"/>
                </w:tcPr>
                <w:p w14:paraId="43B79253">
                  <w:pPr>
                    <w:pStyle w:val="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建筑面积</w:t>
                  </w:r>
                  <w:r>
                    <w:rPr>
                      <w:rFonts w:hint="default" w:ascii="Times New Roman" w:hAnsi="Times New Roman" w:cs="Times New Roman"/>
                      <w:color w:val="auto"/>
                      <w:sz w:val="21"/>
                      <w:szCs w:val="21"/>
                      <w:highlight w:val="none"/>
                      <w:lang w:val="en-US" w:eastAsia="zh-CN"/>
                    </w:rPr>
                    <w:t>4984</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主要功能为</w:t>
                  </w:r>
                  <w:r>
                    <w:rPr>
                      <w:rFonts w:hint="default" w:ascii="Times New Roman" w:hAnsi="Times New Roman" w:cs="Times New Roman"/>
                      <w:color w:val="auto"/>
                      <w:sz w:val="21"/>
                      <w:szCs w:val="21"/>
                      <w:highlight w:val="none"/>
                    </w:rPr>
                    <w:t>肥料用有益微生物培养生产线，液体肥料的调配、混合和成品灌装生产线，玉米芯的处理等</w:t>
                  </w:r>
                </w:p>
              </w:tc>
              <w:tc>
                <w:tcPr>
                  <w:tcW w:w="623" w:type="pct"/>
                  <w:vMerge w:val="continue"/>
                  <w:noWrap w:val="0"/>
                  <w:vAlign w:val="center"/>
                </w:tcPr>
                <w:p w14:paraId="41FF0E84">
                  <w:pPr>
                    <w:pStyle w:val="7"/>
                    <w:jc w:val="center"/>
                    <w:rPr>
                      <w:rFonts w:hint="default" w:ascii="Times New Roman" w:hAnsi="Times New Roman" w:cs="Times New Roman"/>
                      <w:color w:val="auto"/>
                      <w:sz w:val="21"/>
                      <w:szCs w:val="21"/>
                      <w:highlight w:val="none"/>
                    </w:rPr>
                  </w:pPr>
                </w:p>
              </w:tc>
            </w:tr>
            <w:tr w14:paraId="3BEE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noWrap w:val="0"/>
                  <w:vAlign w:val="center"/>
                </w:tcPr>
                <w:p w14:paraId="0DB19050">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储运工程</w:t>
                  </w:r>
                </w:p>
              </w:tc>
              <w:tc>
                <w:tcPr>
                  <w:tcW w:w="882" w:type="pct"/>
                  <w:noWrap w:val="0"/>
                  <w:vAlign w:val="center"/>
                </w:tcPr>
                <w:p w14:paraId="00E19D59">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原料储罐</w:t>
                  </w:r>
                </w:p>
              </w:tc>
              <w:tc>
                <w:tcPr>
                  <w:tcW w:w="3106" w:type="pct"/>
                  <w:noWrap w:val="0"/>
                  <w:vAlign w:val="center"/>
                </w:tcPr>
                <w:p w14:paraId="32526826">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储罐区</w:t>
                  </w:r>
                  <w:r>
                    <w:rPr>
                      <w:rFonts w:hint="default" w:ascii="Times New Roman" w:hAnsi="Times New Roman" w:cs="Times New Roman"/>
                      <w:color w:val="auto"/>
                      <w:sz w:val="21"/>
                      <w:szCs w:val="21"/>
                      <w:highlight w:val="none"/>
                    </w:rPr>
                    <w:t>建筑面积</w:t>
                  </w:r>
                  <w:r>
                    <w:rPr>
                      <w:rFonts w:hint="default" w:ascii="Times New Roman" w:hAnsi="Times New Roman" w:cs="Times New Roman"/>
                      <w:color w:val="auto"/>
                      <w:sz w:val="21"/>
                      <w:szCs w:val="21"/>
                      <w:highlight w:val="none"/>
                      <w:lang w:val="en-US" w:eastAsia="zh-CN"/>
                    </w:rPr>
                    <w:t>4241.15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建设6个卧式液体储罐</w:t>
                  </w:r>
                </w:p>
              </w:tc>
              <w:tc>
                <w:tcPr>
                  <w:tcW w:w="623" w:type="pct"/>
                  <w:noWrap w:val="0"/>
                  <w:vAlign w:val="center"/>
                </w:tcPr>
                <w:p w14:paraId="4732D59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重点防渗区</w:t>
                  </w:r>
                </w:p>
              </w:tc>
            </w:tr>
            <w:tr w14:paraId="5EE2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restart"/>
                  <w:noWrap w:val="0"/>
                  <w:vAlign w:val="center"/>
                </w:tcPr>
                <w:p w14:paraId="12B12E66">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辅助工程</w:t>
                  </w:r>
                </w:p>
              </w:tc>
              <w:tc>
                <w:tcPr>
                  <w:tcW w:w="882" w:type="pct"/>
                  <w:noWrap w:val="0"/>
                  <w:vAlign w:val="center"/>
                </w:tcPr>
                <w:p w14:paraId="5409F121">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办公室</w:t>
                  </w:r>
                </w:p>
              </w:tc>
              <w:tc>
                <w:tcPr>
                  <w:tcW w:w="3106" w:type="pct"/>
                  <w:noWrap w:val="0"/>
                  <w:vAlign w:val="center"/>
                </w:tcPr>
                <w:p w14:paraId="3819F179">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建筑面积</w:t>
                  </w:r>
                  <w:r>
                    <w:rPr>
                      <w:rFonts w:hint="default" w:ascii="Times New Roman" w:hAnsi="Times New Roman" w:cs="Times New Roman"/>
                      <w:color w:val="auto"/>
                      <w:sz w:val="21"/>
                      <w:szCs w:val="21"/>
                      <w:highlight w:val="none"/>
                      <w:lang w:val="en-US" w:eastAsia="zh-CN"/>
                    </w:rPr>
                    <w:t>1086.62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2F，主要用于人员办公及实验室检验</w:t>
                  </w:r>
                </w:p>
              </w:tc>
              <w:tc>
                <w:tcPr>
                  <w:tcW w:w="623" w:type="pct"/>
                  <w:vMerge w:val="restart"/>
                  <w:noWrap w:val="0"/>
                  <w:vAlign w:val="center"/>
                </w:tcPr>
                <w:p w14:paraId="52C07D9B">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简单防渗区</w:t>
                  </w:r>
                </w:p>
              </w:tc>
            </w:tr>
            <w:tr w14:paraId="07B2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continue"/>
                  <w:noWrap w:val="0"/>
                  <w:vAlign w:val="center"/>
                </w:tcPr>
                <w:p w14:paraId="074FBEBC">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20327A37">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宿舍</w:t>
                  </w:r>
                </w:p>
              </w:tc>
              <w:tc>
                <w:tcPr>
                  <w:tcW w:w="3106" w:type="pct"/>
                  <w:noWrap w:val="0"/>
                  <w:vAlign w:val="center"/>
                </w:tcPr>
                <w:p w14:paraId="5961B73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建筑面积</w:t>
                  </w:r>
                  <w:r>
                    <w:rPr>
                      <w:rFonts w:hint="default" w:ascii="Times New Roman" w:hAnsi="Times New Roman" w:cs="Times New Roman"/>
                      <w:color w:val="auto"/>
                      <w:sz w:val="21"/>
                      <w:szCs w:val="21"/>
                      <w:highlight w:val="none"/>
                      <w:lang w:val="en-US" w:eastAsia="zh-CN"/>
                    </w:rPr>
                    <w:t>492.7</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1F，主要用于人员住宿</w:t>
                  </w:r>
                </w:p>
              </w:tc>
              <w:tc>
                <w:tcPr>
                  <w:tcW w:w="623" w:type="pct"/>
                  <w:vMerge w:val="continue"/>
                  <w:noWrap w:val="0"/>
                  <w:vAlign w:val="center"/>
                </w:tcPr>
                <w:p w14:paraId="070E9D9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r>
            <w:tr w14:paraId="2D7A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continue"/>
                  <w:noWrap w:val="0"/>
                  <w:vAlign w:val="center"/>
                </w:tcPr>
                <w:p w14:paraId="2193C869">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1FB2B920">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门卫、地磅房</w:t>
                  </w:r>
                </w:p>
              </w:tc>
              <w:tc>
                <w:tcPr>
                  <w:tcW w:w="3106" w:type="pct"/>
                  <w:noWrap w:val="0"/>
                  <w:vAlign w:val="center"/>
                </w:tcPr>
                <w:p w14:paraId="12E5F86A">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建筑面积</w:t>
                  </w:r>
                  <w:r>
                    <w:rPr>
                      <w:rFonts w:hint="default" w:ascii="Times New Roman" w:hAnsi="Times New Roman" w:cs="Times New Roman"/>
                      <w:color w:val="auto"/>
                      <w:sz w:val="21"/>
                      <w:szCs w:val="21"/>
                      <w:highlight w:val="none"/>
                      <w:lang w:val="en-US" w:eastAsia="zh-CN"/>
                    </w:rPr>
                    <w:t>130.8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c>
                <w:tcPr>
                  <w:tcW w:w="623" w:type="pct"/>
                  <w:vMerge w:val="continue"/>
                  <w:noWrap w:val="0"/>
                  <w:vAlign w:val="center"/>
                </w:tcPr>
                <w:p w14:paraId="170A34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r>
            <w:tr w14:paraId="74F1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restart"/>
                  <w:noWrap w:val="0"/>
                  <w:vAlign w:val="center"/>
                </w:tcPr>
                <w:p w14:paraId="1136F353">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公用工程</w:t>
                  </w:r>
                </w:p>
              </w:tc>
              <w:tc>
                <w:tcPr>
                  <w:tcW w:w="882" w:type="pct"/>
                  <w:noWrap w:val="0"/>
                  <w:vAlign w:val="center"/>
                </w:tcPr>
                <w:p w14:paraId="0F3DCB6E">
                  <w:pPr>
                    <w:pStyle w:val="28"/>
                    <w:ind w:left="0" w:leftChars="0" w:right="0"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bCs/>
                      <w:color w:val="auto"/>
                      <w:kern w:val="2"/>
                      <w:sz w:val="21"/>
                      <w:szCs w:val="21"/>
                      <w:highlight w:val="none"/>
                    </w:rPr>
                    <w:t>供电系统</w:t>
                  </w:r>
                </w:p>
              </w:tc>
              <w:tc>
                <w:tcPr>
                  <w:tcW w:w="3106" w:type="pct"/>
                  <w:noWrap w:val="0"/>
                  <w:vAlign w:val="center"/>
                </w:tcPr>
                <w:p w14:paraId="161C8A55">
                  <w:pPr>
                    <w:pStyle w:val="28"/>
                    <w:ind w:left="0" w:leftChars="0" w:right="0" w:rightChars="0"/>
                    <w:jc w:val="left"/>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rPr>
                    <w:t>由</w:t>
                  </w:r>
                  <w:r>
                    <w:rPr>
                      <w:rFonts w:hint="eastAsia" w:ascii="Times New Roman" w:hAnsi="Times New Roman" w:cs="Times New Roman"/>
                      <w:bCs/>
                      <w:color w:val="auto"/>
                      <w:kern w:val="2"/>
                      <w:sz w:val="21"/>
                      <w:szCs w:val="21"/>
                      <w:highlight w:val="none"/>
                      <w:lang w:val="en-US" w:eastAsia="zh-CN"/>
                    </w:rPr>
                    <w:t>市政</w:t>
                  </w:r>
                  <w:r>
                    <w:rPr>
                      <w:rFonts w:hint="default" w:ascii="Times New Roman" w:hAnsi="Times New Roman" w:cs="Times New Roman"/>
                      <w:bCs/>
                      <w:color w:val="auto"/>
                      <w:kern w:val="2"/>
                      <w:sz w:val="21"/>
                      <w:szCs w:val="21"/>
                      <w:highlight w:val="none"/>
                    </w:rPr>
                    <w:t>供电电网提供</w:t>
                  </w:r>
                </w:p>
              </w:tc>
              <w:tc>
                <w:tcPr>
                  <w:tcW w:w="623" w:type="pct"/>
                  <w:noWrap w:val="0"/>
                  <w:vAlign w:val="center"/>
                </w:tcPr>
                <w:p w14:paraId="37C6CF80">
                  <w:pPr>
                    <w:pStyle w:val="28"/>
                    <w:ind w:left="0" w:leftChars="0" w:right="0" w:rightChars="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w:t>
                  </w:r>
                </w:p>
              </w:tc>
            </w:tr>
            <w:tr w14:paraId="41C5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continue"/>
                  <w:noWrap w:val="0"/>
                  <w:vAlign w:val="center"/>
                </w:tcPr>
                <w:p w14:paraId="2DE25D4A">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4A5D67AA">
                  <w:pPr>
                    <w:pStyle w:val="28"/>
                    <w:ind w:left="0" w:leftChars="0" w:right="0"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sz w:val="21"/>
                      <w:szCs w:val="21"/>
                      <w:highlight w:val="none"/>
                    </w:rPr>
                    <w:t>供水系统</w:t>
                  </w:r>
                </w:p>
              </w:tc>
              <w:tc>
                <w:tcPr>
                  <w:tcW w:w="3106" w:type="pct"/>
                  <w:noWrap w:val="0"/>
                  <w:vAlign w:val="center"/>
                </w:tcPr>
                <w:p w14:paraId="0E66B670">
                  <w:pPr>
                    <w:pStyle w:val="28"/>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kern w:val="2"/>
                      <w:sz w:val="21"/>
                      <w:szCs w:val="21"/>
                      <w:highlight w:val="none"/>
                    </w:rPr>
                    <w:t>由市政供水管网提供</w:t>
                  </w:r>
                </w:p>
              </w:tc>
              <w:tc>
                <w:tcPr>
                  <w:tcW w:w="623" w:type="pct"/>
                  <w:noWrap w:val="0"/>
                  <w:vAlign w:val="center"/>
                </w:tcPr>
                <w:p w14:paraId="7459399D">
                  <w:pPr>
                    <w:pStyle w:val="28"/>
                    <w:ind w:left="0" w:leftChars="0" w:right="0" w:rightChars="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w:t>
                  </w:r>
                </w:p>
              </w:tc>
            </w:tr>
            <w:tr w14:paraId="1696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7" w:type="pct"/>
                  <w:vMerge w:val="continue"/>
                  <w:noWrap w:val="0"/>
                  <w:vAlign w:val="center"/>
                </w:tcPr>
                <w:p w14:paraId="320FB075">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698D316F">
                  <w:pPr>
                    <w:pStyle w:val="28"/>
                    <w:ind w:left="0" w:leftChars="0" w:right="0"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sz w:val="21"/>
                      <w:szCs w:val="21"/>
                      <w:highlight w:val="none"/>
                    </w:rPr>
                    <w:t>排水系统</w:t>
                  </w:r>
                </w:p>
              </w:tc>
              <w:tc>
                <w:tcPr>
                  <w:tcW w:w="3106" w:type="pct"/>
                  <w:noWrap w:val="0"/>
                  <w:vAlign w:val="center"/>
                </w:tcPr>
                <w:p w14:paraId="6C98617D">
                  <w:pPr>
                    <w:pStyle w:val="28"/>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生活污水经化粪池处理后排污市政污水管网</w:t>
                  </w:r>
                </w:p>
              </w:tc>
              <w:tc>
                <w:tcPr>
                  <w:tcW w:w="623" w:type="pct"/>
                  <w:noWrap w:val="0"/>
                  <w:vAlign w:val="center"/>
                </w:tcPr>
                <w:p w14:paraId="10D38F9C">
                  <w:pPr>
                    <w:pStyle w:val="28"/>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一般防渗区</w:t>
                  </w:r>
                </w:p>
              </w:tc>
            </w:tr>
            <w:tr w14:paraId="223E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644DA83D">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2A6CAB6B">
                  <w:pPr>
                    <w:pStyle w:val="28"/>
                    <w:ind w:left="0" w:leftChars="0" w:right="0"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sz w:val="21"/>
                      <w:szCs w:val="21"/>
                      <w:highlight w:val="none"/>
                    </w:rPr>
                    <w:t>供</w:t>
                  </w:r>
                  <w:r>
                    <w:rPr>
                      <w:rFonts w:hint="default" w:ascii="Times New Roman" w:hAnsi="Times New Roman" w:cs="Times New Roman"/>
                      <w:color w:val="auto"/>
                      <w:kern w:val="2"/>
                      <w:sz w:val="21"/>
                      <w:szCs w:val="21"/>
                      <w:highlight w:val="none"/>
                      <w:lang w:val="en-US" w:eastAsia="zh-CN"/>
                    </w:rPr>
                    <w:t>热</w:t>
                  </w:r>
                  <w:r>
                    <w:rPr>
                      <w:rFonts w:hint="default" w:ascii="Times New Roman" w:hAnsi="Times New Roman" w:cs="Times New Roman"/>
                      <w:color w:val="auto"/>
                      <w:kern w:val="2"/>
                      <w:sz w:val="21"/>
                      <w:szCs w:val="21"/>
                      <w:highlight w:val="none"/>
                    </w:rPr>
                    <w:t>系统</w:t>
                  </w:r>
                </w:p>
              </w:tc>
              <w:tc>
                <w:tcPr>
                  <w:tcW w:w="3106" w:type="pct"/>
                  <w:noWrap w:val="0"/>
                  <w:vAlign w:val="center"/>
                </w:tcPr>
                <w:p w14:paraId="5C892B1C">
                  <w:pPr>
                    <w:pStyle w:val="28"/>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生产供热依托</w:t>
                  </w:r>
                  <w:r>
                    <w:rPr>
                      <w:rFonts w:hint="default" w:ascii="Times New Roman" w:hAnsi="Times New Roman" w:eastAsia="宋体" w:cs="Times New Roman"/>
                      <w:color w:val="auto"/>
                      <w:sz w:val="21"/>
                      <w:szCs w:val="21"/>
                      <w:highlight w:val="none"/>
                      <w:lang w:val="en-US" w:eastAsia="zh-CN"/>
                    </w:rPr>
                    <w:t>新建1台生物质蒸汽锅炉，锅炉为8t/h</w:t>
                  </w:r>
                  <w:r>
                    <w:rPr>
                      <w:rFonts w:hint="eastAsia" w:ascii="Times New Roman" w:hAnsi="Times New Roman" w:eastAsia="宋体" w:cs="Times New Roman"/>
                      <w:color w:val="auto"/>
                      <w:sz w:val="21"/>
                      <w:szCs w:val="21"/>
                      <w:highlight w:val="none"/>
                      <w:lang w:val="en-US" w:eastAsia="zh-CN"/>
                    </w:rPr>
                    <w:t>；生活供热采用电采暖。</w:t>
                  </w:r>
                </w:p>
              </w:tc>
              <w:tc>
                <w:tcPr>
                  <w:tcW w:w="623" w:type="pct"/>
                  <w:noWrap w:val="0"/>
                  <w:vAlign w:val="center"/>
                </w:tcPr>
                <w:p w14:paraId="445D8FE7">
                  <w:pPr>
                    <w:pStyle w:val="28"/>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BEB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35C93A7C">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2C142F8E">
                  <w:pPr>
                    <w:pStyle w:val="28"/>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消防</w:t>
                  </w:r>
                </w:p>
              </w:tc>
              <w:tc>
                <w:tcPr>
                  <w:tcW w:w="3106" w:type="pct"/>
                  <w:noWrap w:val="0"/>
                  <w:vAlign w:val="center"/>
                </w:tcPr>
                <w:p w14:paraId="2F134BE7">
                  <w:pPr>
                    <w:pStyle w:val="28"/>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新建消防水池540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2</w:t>
                  </w:r>
                </w:p>
              </w:tc>
              <w:tc>
                <w:tcPr>
                  <w:tcW w:w="623" w:type="pct"/>
                  <w:noWrap w:val="0"/>
                  <w:vAlign w:val="center"/>
                </w:tcPr>
                <w:p w14:paraId="5BE50FE9">
                  <w:pPr>
                    <w:pStyle w:val="28"/>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3F6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14:paraId="635CDEF3">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环保工程</w:t>
                  </w:r>
                </w:p>
              </w:tc>
              <w:tc>
                <w:tcPr>
                  <w:tcW w:w="882" w:type="pct"/>
                  <w:noWrap w:val="0"/>
                  <w:vAlign w:val="center"/>
                </w:tcPr>
                <w:p w14:paraId="550311EE">
                  <w:pPr>
                    <w:pStyle w:val="28"/>
                    <w:ind w:left="0" w:leftChars="0" w:right="0" w:right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废气</w:t>
                  </w:r>
                </w:p>
              </w:tc>
              <w:tc>
                <w:tcPr>
                  <w:tcW w:w="3106" w:type="pct"/>
                  <w:noWrap w:val="0"/>
                  <w:vAlign w:val="center"/>
                </w:tcPr>
                <w:p w14:paraId="4268133E">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锅炉烟气采用SNCR+布袋除尘器</w:t>
                  </w:r>
                  <w:r>
                    <w:rPr>
                      <w:rFonts w:hint="eastAsia" w:ascii="Times New Roman" w:hAnsi="Times New Roman" w:cs="Times New Roman"/>
                      <w:bCs/>
                      <w:color w:val="auto"/>
                      <w:kern w:val="2"/>
                      <w:sz w:val="21"/>
                      <w:szCs w:val="21"/>
                      <w:highlight w:val="none"/>
                      <w:lang w:val="en-US" w:eastAsia="zh-CN"/>
                    </w:rPr>
                    <w:t>+湿法脱硫</w:t>
                  </w:r>
                  <w:r>
                    <w:rPr>
                      <w:rFonts w:hint="default" w:ascii="Times New Roman" w:hAnsi="Times New Roman" w:cs="Times New Roman"/>
                      <w:bCs/>
                      <w:color w:val="auto"/>
                      <w:kern w:val="2"/>
                      <w:sz w:val="21"/>
                      <w:szCs w:val="21"/>
                      <w:highlight w:val="none"/>
                      <w:lang w:val="en-US" w:eastAsia="zh-CN"/>
                    </w:rPr>
                    <w:t>+35m高排气筒</w:t>
                  </w:r>
                  <w:r>
                    <w:rPr>
                      <w:rFonts w:hint="eastAsia" w:ascii="Times New Roman" w:hAnsi="Times New Roman" w:cs="Times New Roman"/>
                      <w:bCs/>
                      <w:color w:val="auto"/>
                      <w:kern w:val="2"/>
                      <w:sz w:val="21"/>
                      <w:szCs w:val="21"/>
                      <w:highlight w:val="none"/>
                      <w:lang w:val="en-US" w:eastAsia="zh-CN"/>
                    </w:rPr>
                    <w:t>（DA001）</w:t>
                  </w:r>
                  <w:r>
                    <w:rPr>
                      <w:rFonts w:hint="default" w:ascii="Times New Roman" w:hAnsi="Times New Roman" w:cs="Times New Roman"/>
                      <w:bCs/>
                      <w:color w:val="auto"/>
                      <w:kern w:val="2"/>
                      <w:sz w:val="21"/>
                      <w:szCs w:val="21"/>
                      <w:highlight w:val="none"/>
                      <w:lang w:val="en-US" w:eastAsia="zh-CN"/>
                    </w:rPr>
                    <w:t>排放；</w:t>
                  </w:r>
                </w:p>
                <w:p w14:paraId="4D5A554A">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玉米芯细粉粉尘采用集气罩+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+15m高排气筒排放</w:t>
                  </w:r>
                  <w:r>
                    <w:rPr>
                      <w:rFonts w:hint="eastAsia" w:ascii="Times New Roman" w:hAnsi="Times New Roman" w:cs="Times New Roman"/>
                      <w:bCs/>
                      <w:color w:val="auto"/>
                      <w:kern w:val="2"/>
                      <w:sz w:val="21"/>
                      <w:szCs w:val="21"/>
                      <w:highlight w:val="none"/>
                      <w:lang w:val="en-US" w:eastAsia="zh-CN"/>
                    </w:rPr>
                    <w:t>（DA002）；</w:t>
                  </w:r>
                </w:p>
                <w:p w14:paraId="596882BC">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玉米芯粗粉粉尘采用集气罩+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（DA003）</w:t>
                  </w:r>
                  <w:r>
                    <w:rPr>
                      <w:rFonts w:hint="default" w:ascii="Times New Roman" w:hAnsi="Times New Roman" w:cs="Times New Roman"/>
                      <w:bCs/>
                      <w:color w:val="auto"/>
                      <w:kern w:val="2"/>
                      <w:sz w:val="21"/>
                      <w:szCs w:val="21"/>
                      <w:highlight w:val="none"/>
                      <w:lang w:val="en-US" w:eastAsia="zh-CN"/>
                    </w:rPr>
                    <w:t>排放；</w:t>
                  </w:r>
                </w:p>
                <w:p w14:paraId="228C048C">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玉米芯细粉粉尘采用集气罩+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（DA004）</w:t>
                  </w:r>
                  <w:r>
                    <w:rPr>
                      <w:rFonts w:hint="default" w:ascii="Times New Roman" w:hAnsi="Times New Roman" w:cs="Times New Roman"/>
                      <w:bCs/>
                      <w:color w:val="auto"/>
                      <w:kern w:val="2"/>
                      <w:sz w:val="21"/>
                      <w:szCs w:val="21"/>
                      <w:highlight w:val="none"/>
                      <w:lang w:val="en-US" w:eastAsia="zh-CN"/>
                    </w:rPr>
                    <w:t>排放；</w:t>
                  </w:r>
                </w:p>
                <w:p w14:paraId="08CD4701">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玉米芯粉包装粉尘采用集气罩+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（DA005）</w:t>
                  </w:r>
                  <w:r>
                    <w:rPr>
                      <w:rFonts w:hint="default" w:ascii="Times New Roman" w:hAnsi="Times New Roman" w:cs="Times New Roman"/>
                      <w:bCs/>
                      <w:color w:val="auto"/>
                      <w:kern w:val="2"/>
                      <w:sz w:val="21"/>
                      <w:szCs w:val="21"/>
                      <w:highlight w:val="none"/>
                      <w:lang w:val="en-US" w:eastAsia="zh-CN"/>
                    </w:rPr>
                    <w:t>排放；</w:t>
                  </w:r>
                </w:p>
                <w:p w14:paraId="64FE8CE9">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玉米芯粉投料粉尘采用集气罩+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（DA006）</w:t>
                  </w:r>
                  <w:r>
                    <w:rPr>
                      <w:rFonts w:hint="default" w:ascii="Times New Roman" w:hAnsi="Times New Roman" w:cs="Times New Roman"/>
                      <w:bCs/>
                      <w:color w:val="auto"/>
                      <w:kern w:val="2"/>
                      <w:sz w:val="21"/>
                      <w:szCs w:val="21"/>
                      <w:highlight w:val="none"/>
                      <w:lang w:val="en-US" w:eastAsia="zh-CN"/>
                    </w:rPr>
                    <w:t>排放；</w:t>
                  </w:r>
                </w:p>
                <w:p w14:paraId="6D72E28B">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粉料烘干粉尘采用封闭+旋风+15m高排气筒</w:t>
                  </w:r>
                  <w:r>
                    <w:rPr>
                      <w:rFonts w:hint="eastAsia" w:ascii="Times New Roman" w:hAnsi="Times New Roman" w:cs="Times New Roman"/>
                      <w:bCs/>
                      <w:color w:val="auto"/>
                      <w:kern w:val="2"/>
                      <w:sz w:val="21"/>
                      <w:szCs w:val="21"/>
                      <w:highlight w:val="none"/>
                      <w:lang w:val="en-US" w:eastAsia="zh-CN"/>
                    </w:rPr>
                    <w:t>（DA007）</w:t>
                  </w:r>
                  <w:r>
                    <w:rPr>
                      <w:rFonts w:hint="default" w:ascii="Times New Roman" w:hAnsi="Times New Roman" w:cs="Times New Roman"/>
                      <w:bCs/>
                      <w:color w:val="auto"/>
                      <w:kern w:val="2"/>
                      <w:sz w:val="21"/>
                      <w:szCs w:val="21"/>
                      <w:highlight w:val="none"/>
                      <w:lang w:val="en-US" w:eastAsia="zh-CN"/>
                    </w:rPr>
                    <w:t>排放；</w:t>
                  </w:r>
                </w:p>
                <w:p w14:paraId="0F60721C">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粉料风冷粉尘采用封闭+旋风+15m高排气筒</w:t>
                  </w:r>
                  <w:r>
                    <w:rPr>
                      <w:rFonts w:hint="eastAsia" w:ascii="Times New Roman" w:hAnsi="Times New Roman" w:cs="Times New Roman"/>
                      <w:bCs/>
                      <w:color w:val="auto"/>
                      <w:kern w:val="2"/>
                      <w:sz w:val="21"/>
                      <w:szCs w:val="21"/>
                      <w:highlight w:val="none"/>
                      <w:lang w:val="en-US" w:eastAsia="zh-CN"/>
                    </w:rPr>
                    <w:t>（DA008）</w:t>
                  </w:r>
                  <w:r>
                    <w:rPr>
                      <w:rFonts w:hint="default" w:ascii="Times New Roman" w:hAnsi="Times New Roman" w:cs="Times New Roman"/>
                      <w:bCs/>
                      <w:color w:val="auto"/>
                      <w:kern w:val="2"/>
                      <w:sz w:val="21"/>
                      <w:szCs w:val="21"/>
                      <w:highlight w:val="none"/>
                      <w:lang w:val="en-US" w:eastAsia="zh-CN"/>
                    </w:rPr>
                    <w:t>排放；</w:t>
                  </w:r>
                </w:p>
                <w:p w14:paraId="78ABC8C8">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粉料破碎粉尘采用集气罩+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（DA009）</w:t>
                  </w:r>
                  <w:r>
                    <w:rPr>
                      <w:rFonts w:hint="default" w:ascii="Times New Roman" w:hAnsi="Times New Roman" w:cs="Times New Roman"/>
                      <w:bCs/>
                      <w:color w:val="auto"/>
                      <w:kern w:val="2"/>
                      <w:sz w:val="21"/>
                      <w:szCs w:val="21"/>
                      <w:highlight w:val="none"/>
                      <w:lang w:val="en-US" w:eastAsia="zh-CN"/>
                    </w:rPr>
                    <w:t>排放；</w:t>
                  </w:r>
                </w:p>
                <w:p w14:paraId="6DFCA8C6">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辅料投料粉尘采用集气罩+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（DA010）</w:t>
                  </w:r>
                  <w:r>
                    <w:rPr>
                      <w:rFonts w:hint="default" w:ascii="Times New Roman" w:hAnsi="Times New Roman" w:cs="Times New Roman"/>
                      <w:bCs/>
                      <w:color w:val="auto"/>
                      <w:kern w:val="2"/>
                      <w:sz w:val="21"/>
                      <w:szCs w:val="21"/>
                      <w:highlight w:val="none"/>
                      <w:lang w:val="en-US" w:eastAsia="zh-CN"/>
                    </w:rPr>
                    <w:t>排放；</w:t>
                  </w:r>
                </w:p>
                <w:p w14:paraId="2A3AFFC6">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辅料破碎粉尘采用集气罩+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（DA011）</w:t>
                  </w:r>
                  <w:r>
                    <w:rPr>
                      <w:rFonts w:hint="default" w:ascii="Times New Roman" w:hAnsi="Times New Roman" w:cs="Times New Roman"/>
                      <w:bCs/>
                      <w:color w:val="auto"/>
                      <w:kern w:val="2"/>
                      <w:sz w:val="21"/>
                      <w:szCs w:val="21"/>
                      <w:highlight w:val="none"/>
                      <w:lang w:val="en-US" w:eastAsia="zh-CN"/>
                    </w:rPr>
                    <w:t>排放；</w:t>
                  </w:r>
                </w:p>
                <w:p w14:paraId="00512ADE">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复配粉尘采用集气罩+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（DA012）</w:t>
                  </w:r>
                  <w:r>
                    <w:rPr>
                      <w:rFonts w:hint="default" w:ascii="Times New Roman" w:hAnsi="Times New Roman" w:cs="Times New Roman"/>
                      <w:bCs/>
                      <w:color w:val="auto"/>
                      <w:kern w:val="2"/>
                      <w:sz w:val="21"/>
                      <w:szCs w:val="21"/>
                      <w:highlight w:val="none"/>
                      <w:lang w:val="en-US" w:eastAsia="zh-CN"/>
                    </w:rPr>
                    <w:t>排放；</w:t>
                  </w:r>
                </w:p>
                <w:p w14:paraId="0E3A8B12">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颗粒肥风冷粉尘采用封闭+旋风</w:t>
                  </w:r>
                  <w:r>
                    <w:rPr>
                      <w:rFonts w:hint="eastAsia" w:ascii="Times New Roman" w:hAnsi="Times New Roman" w:cs="Times New Roman"/>
                      <w:bCs/>
                      <w:color w:val="auto"/>
                      <w:kern w:val="2"/>
                      <w:sz w:val="21"/>
                      <w:szCs w:val="21"/>
                      <w:highlight w:val="none"/>
                      <w:lang w:val="en-US" w:eastAsia="zh-CN"/>
                    </w:rPr>
                    <w:t>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（DA013）</w:t>
                  </w:r>
                  <w:r>
                    <w:rPr>
                      <w:rFonts w:hint="default" w:ascii="Times New Roman" w:hAnsi="Times New Roman" w:cs="Times New Roman"/>
                      <w:bCs/>
                      <w:color w:val="auto"/>
                      <w:kern w:val="2"/>
                      <w:sz w:val="21"/>
                      <w:szCs w:val="21"/>
                      <w:highlight w:val="none"/>
                      <w:lang w:val="en-US" w:eastAsia="zh-CN"/>
                    </w:rPr>
                    <w:t>排放；</w:t>
                  </w:r>
                </w:p>
                <w:p w14:paraId="36B62DFF">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颗粒肥包装粉尘采用集气罩+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（DA014）</w:t>
                  </w:r>
                  <w:r>
                    <w:rPr>
                      <w:rFonts w:hint="default" w:ascii="Times New Roman" w:hAnsi="Times New Roman" w:cs="Times New Roman"/>
                      <w:bCs/>
                      <w:color w:val="auto"/>
                      <w:kern w:val="2"/>
                      <w:sz w:val="21"/>
                      <w:szCs w:val="21"/>
                      <w:highlight w:val="none"/>
                      <w:lang w:val="en-US" w:eastAsia="zh-CN"/>
                    </w:rPr>
                    <w:t>排放；</w:t>
                  </w:r>
                </w:p>
                <w:p w14:paraId="0D8B272B">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发酵废气采用封闭管理，废气以无组织形式排放；</w:t>
                  </w:r>
                </w:p>
                <w:p w14:paraId="3BCA154B">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储罐呼吸废气以无组织形式排放；</w:t>
                  </w:r>
                </w:p>
                <w:p w14:paraId="62C4229A">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玉米芯原料堆场粉尘以无组织形式排放；</w:t>
                  </w:r>
                </w:p>
                <w:p w14:paraId="07A81954">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玉米芯粉产品堆场粉尘以无组织形式排放。</w:t>
                  </w:r>
                </w:p>
              </w:tc>
              <w:tc>
                <w:tcPr>
                  <w:tcW w:w="623" w:type="pct"/>
                  <w:noWrap w:val="0"/>
                  <w:vAlign w:val="center"/>
                </w:tcPr>
                <w:p w14:paraId="3751B45F">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w:t>
                  </w:r>
                </w:p>
              </w:tc>
            </w:tr>
            <w:tr w14:paraId="21FE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1D70891B">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4F25676F">
                  <w:pPr>
                    <w:pStyle w:val="28"/>
                    <w:ind w:left="0" w:leftChars="0" w:right="0" w:right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废水</w:t>
                  </w:r>
                </w:p>
              </w:tc>
              <w:tc>
                <w:tcPr>
                  <w:tcW w:w="3106" w:type="pct"/>
                  <w:noWrap w:val="0"/>
                  <w:vAlign w:val="center"/>
                </w:tcPr>
                <w:p w14:paraId="323E71D2">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项目生产废水回用不排放，生活污水排污管网。</w:t>
                  </w:r>
                </w:p>
              </w:tc>
              <w:tc>
                <w:tcPr>
                  <w:tcW w:w="623" w:type="pct"/>
                  <w:noWrap w:val="0"/>
                  <w:vAlign w:val="center"/>
                </w:tcPr>
                <w:p w14:paraId="20A682C8">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w:t>
                  </w:r>
                </w:p>
              </w:tc>
            </w:tr>
            <w:tr w14:paraId="30C8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7A48708A">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6DCBECF4">
                  <w:pPr>
                    <w:pStyle w:val="28"/>
                    <w:ind w:left="0" w:leftChars="0" w:right="0" w:right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噪声</w:t>
                  </w:r>
                </w:p>
              </w:tc>
              <w:tc>
                <w:tcPr>
                  <w:tcW w:w="3106" w:type="pct"/>
                  <w:noWrap w:val="0"/>
                  <w:vAlign w:val="center"/>
                </w:tcPr>
                <w:p w14:paraId="491EAF4F">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选用低噪声设备，设备室内安装，加装减振、隔声措施</w:t>
                  </w:r>
                </w:p>
              </w:tc>
              <w:tc>
                <w:tcPr>
                  <w:tcW w:w="623" w:type="pct"/>
                  <w:noWrap w:val="0"/>
                  <w:vAlign w:val="center"/>
                </w:tcPr>
                <w:p w14:paraId="26CBAE8D">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w:t>
                  </w:r>
                </w:p>
              </w:tc>
            </w:tr>
            <w:tr w14:paraId="4B06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78134B7E">
                  <w:pPr>
                    <w:pStyle w:val="137"/>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p>
              </w:tc>
              <w:tc>
                <w:tcPr>
                  <w:tcW w:w="882" w:type="pct"/>
                  <w:noWrap w:val="0"/>
                  <w:vAlign w:val="center"/>
                </w:tcPr>
                <w:p w14:paraId="22B17E84">
                  <w:pPr>
                    <w:pStyle w:val="28"/>
                    <w:ind w:left="0" w:leftChars="0" w:right="0" w:right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固废</w:t>
                  </w:r>
                </w:p>
              </w:tc>
              <w:tc>
                <w:tcPr>
                  <w:tcW w:w="3106" w:type="pct"/>
                  <w:noWrap w:val="0"/>
                  <w:vAlign w:val="center"/>
                </w:tcPr>
                <w:p w14:paraId="55ED57A9">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生活垃圾经垃圾箱收集后，</w:t>
                  </w:r>
                  <w:r>
                    <w:rPr>
                      <w:rFonts w:hint="eastAsia" w:ascii="Times New Roman" w:hAnsi="Times New Roman" w:cs="Times New Roman"/>
                      <w:bCs/>
                      <w:color w:val="auto"/>
                      <w:kern w:val="2"/>
                      <w:sz w:val="21"/>
                      <w:szCs w:val="21"/>
                      <w:highlight w:val="none"/>
                      <w:lang w:val="en-US" w:eastAsia="zh-CN"/>
                    </w:rPr>
                    <w:t>市政</w:t>
                  </w:r>
                  <w:r>
                    <w:rPr>
                      <w:rFonts w:hint="default" w:ascii="Times New Roman" w:hAnsi="Times New Roman" w:cs="Times New Roman"/>
                      <w:bCs/>
                      <w:color w:val="auto"/>
                      <w:kern w:val="2"/>
                      <w:sz w:val="21"/>
                      <w:szCs w:val="21"/>
                      <w:highlight w:val="none"/>
                      <w:lang w:val="en-US" w:eastAsia="zh-CN"/>
                    </w:rPr>
                    <w:t>环卫部门统一清运；布袋除尘器收集的粉尘，收集后回用</w:t>
                  </w:r>
                  <w:r>
                    <w:rPr>
                      <w:rFonts w:hint="eastAsia" w:ascii="Times New Roman" w:hAnsi="Times New Roman" w:cs="Times New Roman"/>
                      <w:bCs/>
                      <w:color w:val="auto"/>
                      <w:kern w:val="2"/>
                      <w:sz w:val="21"/>
                      <w:szCs w:val="21"/>
                      <w:highlight w:val="none"/>
                      <w:lang w:val="en-US" w:eastAsia="zh-CN"/>
                    </w:rPr>
                    <w:t>。</w:t>
                  </w:r>
                </w:p>
                <w:p w14:paraId="41225DB3">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本项目</w:t>
                  </w:r>
                  <w:r>
                    <w:rPr>
                      <w:rFonts w:hint="eastAsia" w:ascii="Times New Roman" w:hAnsi="Times New Roman" w:cs="Times New Roman"/>
                      <w:bCs/>
                      <w:color w:val="auto"/>
                      <w:kern w:val="2"/>
                      <w:sz w:val="21"/>
                      <w:szCs w:val="21"/>
                      <w:highlight w:val="none"/>
                      <w:lang w:val="en-US" w:eastAsia="zh-CN"/>
                    </w:rPr>
                    <w:t>在1#生产车间内</w:t>
                  </w:r>
                  <w:r>
                    <w:rPr>
                      <w:rFonts w:hint="default" w:ascii="Times New Roman" w:hAnsi="Times New Roman" w:cs="Times New Roman"/>
                      <w:bCs/>
                      <w:color w:val="auto"/>
                      <w:kern w:val="2"/>
                      <w:sz w:val="21"/>
                      <w:szCs w:val="21"/>
                      <w:highlight w:val="none"/>
                      <w:lang w:val="en-US" w:eastAsia="zh-CN"/>
                    </w:rPr>
                    <w:t>建设一座10m</w:t>
                  </w:r>
                  <w:r>
                    <w:rPr>
                      <w:rFonts w:hint="default" w:ascii="Times New Roman" w:hAnsi="Times New Roman" w:cs="Times New Roman"/>
                      <w:bCs/>
                      <w:color w:val="auto"/>
                      <w:kern w:val="2"/>
                      <w:sz w:val="21"/>
                      <w:szCs w:val="21"/>
                      <w:highlight w:val="none"/>
                      <w:vertAlign w:val="superscript"/>
                      <w:lang w:val="en-US" w:eastAsia="zh-CN"/>
                    </w:rPr>
                    <w:t>2</w:t>
                  </w:r>
                  <w:r>
                    <w:rPr>
                      <w:rFonts w:hint="default" w:ascii="Times New Roman" w:hAnsi="Times New Roman" w:cs="Times New Roman"/>
                      <w:bCs/>
                      <w:color w:val="auto"/>
                      <w:kern w:val="2"/>
                      <w:sz w:val="21"/>
                      <w:szCs w:val="21"/>
                      <w:highlight w:val="none"/>
                      <w:lang w:val="en-US" w:eastAsia="zh-CN"/>
                    </w:rPr>
                    <w:t>危废暂存间。项目产生的危险废物经危废暂存间暂存后定期交由有资质单位处置</w:t>
                  </w:r>
                </w:p>
              </w:tc>
              <w:tc>
                <w:tcPr>
                  <w:tcW w:w="623" w:type="pct"/>
                  <w:noWrap w:val="0"/>
                  <w:vAlign w:val="center"/>
                </w:tcPr>
                <w:p w14:paraId="2FC5B970">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危废间为重点防渗区</w:t>
                  </w:r>
                </w:p>
              </w:tc>
            </w:tr>
          </w:tbl>
          <w:p w14:paraId="7893E613">
            <w:pPr>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.主要</w:t>
            </w:r>
            <w:r>
              <w:rPr>
                <w:rFonts w:hint="default" w:ascii="Times New Roman" w:hAnsi="Times New Roman" w:eastAsia="宋体" w:cs="Times New Roman"/>
                <w:b/>
                <w:bCs/>
                <w:color w:val="auto"/>
                <w:sz w:val="24"/>
                <w:highlight w:val="none"/>
                <w:lang w:val="en-US" w:eastAsia="zh-CN"/>
              </w:rPr>
              <w:t>产品、</w:t>
            </w:r>
            <w:r>
              <w:rPr>
                <w:rFonts w:hint="default" w:ascii="Times New Roman" w:hAnsi="Times New Roman" w:eastAsia="宋体" w:cs="Times New Roman"/>
                <w:b/>
                <w:bCs/>
                <w:color w:val="auto"/>
                <w:sz w:val="24"/>
                <w:highlight w:val="none"/>
              </w:rPr>
              <w:t>原辅材料、动力消耗</w:t>
            </w:r>
            <w:r>
              <w:rPr>
                <w:rFonts w:hint="default" w:ascii="Times New Roman" w:hAnsi="Times New Roman" w:eastAsia="宋体" w:cs="Times New Roman"/>
                <w:b/>
                <w:bCs/>
                <w:color w:val="auto"/>
                <w:sz w:val="24"/>
                <w:highlight w:val="none"/>
                <w:lang w:val="en-US" w:eastAsia="zh-CN"/>
              </w:rPr>
              <w:t>规模</w:t>
            </w:r>
          </w:p>
          <w:p w14:paraId="59767595">
            <w:pPr>
              <w:pStyle w:val="124"/>
              <w:numPr>
                <w:ilvl w:val="1"/>
                <w:numId w:val="0"/>
              </w:numPr>
              <w:spacing w:before="0" w:beforeLines="0" w:afterLines="0" w:line="360" w:lineRule="auto"/>
              <w:ind w:firstLine="480" w:firstLineChars="200"/>
              <w:jc w:val="both"/>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（1）本项目主要生产的产品见下表。</w:t>
            </w:r>
          </w:p>
          <w:p w14:paraId="1C75A4C5">
            <w:pPr>
              <w:keepNext/>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表2-</w:t>
            </w:r>
            <w:r>
              <w:rPr>
                <w:rFonts w:hint="default" w:ascii="Times New Roman" w:hAnsi="Times New Roman" w:cs="Times New Roman"/>
                <w:b/>
                <w:color w:val="auto"/>
                <w:kern w:val="0"/>
                <w:sz w:val="21"/>
                <w:szCs w:val="21"/>
                <w:highlight w:val="none"/>
                <w:lang w:val="en-US" w:eastAsia="zh-CN"/>
              </w:rPr>
              <w:t>2</w:t>
            </w:r>
            <w:r>
              <w:rPr>
                <w:rFonts w:hint="default" w:ascii="Times New Roman" w:hAnsi="Times New Roman" w:cs="Times New Roman"/>
                <w:b/>
                <w:color w:val="auto"/>
                <w:kern w:val="0"/>
                <w:sz w:val="21"/>
                <w:szCs w:val="21"/>
                <w:highlight w:val="none"/>
              </w:rPr>
              <w:t xml:space="preserve">    本项目</w:t>
            </w:r>
            <w:r>
              <w:rPr>
                <w:rFonts w:hint="default" w:ascii="Times New Roman" w:hAnsi="Times New Roman" w:cs="Times New Roman"/>
                <w:b/>
                <w:color w:val="auto"/>
                <w:kern w:val="0"/>
                <w:sz w:val="21"/>
                <w:szCs w:val="21"/>
                <w:highlight w:val="none"/>
                <w:lang w:eastAsia="zh-CN"/>
              </w:rPr>
              <w:t>产品</w:t>
            </w:r>
            <w:r>
              <w:rPr>
                <w:rFonts w:hint="default" w:ascii="Times New Roman" w:hAnsi="Times New Roman" w:cs="Times New Roman"/>
                <w:b/>
                <w:color w:val="auto"/>
                <w:kern w:val="0"/>
                <w:sz w:val="21"/>
                <w:szCs w:val="21"/>
                <w:highlight w:val="none"/>
              </w:rPr>
              <w:t>方案</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966"/>
              <w:gridCol w:w="1106"/>
              <w:gridCol w:w="5133"/>
              <w:gridCol w:w="1029"/>
            </w:tblGrid>
            <w:tr w14:paraId="6EE1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noWrap w:val="0"/>
                  <w:vAlign w:val="center"/>
                </w:tcPr>
                <w:p w14:paraId="6D0F4D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52" w:type="pct"/>
                  <w:noWrap w:val="0"/>
                  <w:vAlign w:val="center"/>
                </w:tcPr>
                <w:p w14:paraId="7DF909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产品名称</w:t>
                  </w:r>
                </w:p>
              </w:tc>
              <w:tc>
                <w:tcPr>
                  <w:tcW w:w="632" w:type="pct"/>
                  <w:noWrap w:val="0"/>
                  <w:vAlign w:val="center"/>
                </w:tcPr>
                <w:p w14:paraId="16EA90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年产量</w:t>
                  </w:r>
                </w:p>
              </w:tc>
              <w:tc>
                <w:tcPr>
                  <w:tcW w:w="2933" w:type="pct"/>
                  <w:noWrap w:val="0"/>
                  <w:vAlign w:val="center"/>
                </w:tcPr>
                <w:p w14:paraId="1D2B8B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产品规格</w:t>
                  </w:r>
                </w:p>
              </w:tc>
              <w:tc>
                <w:tcPr>
                  <w:tcW w:w="588" w:type="pct"/>
                  <w:noWrap w:val="0"/>
                  <w:vAlign w:val="center"/>
                </w:tcPr>
                <w:p w14:paraId="0212BA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366E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noWrap w:val="0"/>
                  <w:vAlign w:val="center"/>
                </w:tcPr>
                <w:p w14:paraId="14F2C9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52" w:type="pct"/>
                  <w:noWrap w:val="0"/>
                  <w:vAlign w:val="center"/>
                </w:tcPr>
                <w:p w14:paraId="2E71932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有机液体肥</w:t>
                  </w:r>
                </w:p>
              </w:tc>
              <w:tc>
                <w:tcPr>
                  <w:tcW w:w="632" w:type="pct"/>
                  <w:noWrap w:val="0"/>
                  <w:vAlign w:val="center"/>
                </w:tcPr>
                <w:p w14:paraId="4BDC1DB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2万吨</w:t>
                  </w:r>
                </w:p>
              </w:tc>
              <w:tc>
                <w:tcPr>
                  <w:tcW w:w="2933" w:type="pct"/>
                  <w:noWrap w:val="0"/>
                  <w:vAlign w:val="center"/>
                </w:tcPr>
                <w:p w14:paraId="6C532534">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包装形式：塑料桶（20L/桶、1000L/IBC吨桶），部分散装槽车运输；</w:t>
                  </w:r>
                </w:p>
                <w:p w14:paraId="3BB20EDD">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外观：深褐色至黑色均匀液体，无明显悬浮物和沉淀；</w:t>
                  </w:r>
                </w:p>
                <w:p w14:paraId="1F177D4C">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密度：1.1-1.3g/cm</w:t>
                  </w:r>
                  <w:r>
                    <w:rPr>
                      <w:rFonts w:hint="eastAsia"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（20℃）；</w:t>
                  </w:r>
                </w:p>
              </w:tc>
              <w:tc>
                <w:tcPr>
                  <w:tcW w:w="588" w:type="pct"/>
                  <w:noWrap w:val="0"/>
                  <w:vAlign w:val="center"/>
                </w:tcPr>
                <w:p w14:paraId="18773C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w:t>
                  </w:r>
                </w:p>
              </w:tc>
            </w:tr>
            <w:tr w14:paraId="16CA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93" w:type="pct"/>
                  <w:noWrap w:val="0"/>
                  <w:vAlign w:val="center"/>
                </w:tcPr>
                <w:p w14:paraId="2E4CBB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52" w:type="pct"/>
                  <w:noWrap w:val="0"/>
                  <w:vAlign w:val="center"/>
                </w:tcPr>
                <w:p w14:paraId="1E97F6F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颗粒肥</w:t>
                  </w:r>
                </w:p>
              </w:tc>
              <w:tc>
                <w:tcPr>
                  <w:tcW w:w="632" w:type="pct"/>
                  <w:noWrap w:val="0"/>
                  <w:vAlign w:val="center"/>
                </w:tcPr>
                <w:p w14:paraId="448D60A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1万吨</w:t>
                  </w:r>
                </w:p>
              </w:tc>
              <w:tc>
                <w:tcPr>
                  <w:tcW w:w="2933" w:type="pct"/>
                  <w:noWrap w:val="0"/>
                  <w:vAlign w:val="center"/>
                </w:tcPr>
                <w:p w14:paraId="721D4DF4">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颗粒形状：圆柱形或不规则颗粒，粒径2-5mm（通过筛分环节控制）；</w:t>
                  </w:r>
                </w:p>
                <w:p w14:paraId="46254DC4">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包装形式：塑料编织袋（25kg/袋、50kg/袋）；</w:t>
                  </w:r>
                </w:p>
                <w:p w14:paraId="4D3DCD31">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含水率≤15%（经烘干、冷却工序控制）。</w:t>
                  </w:r>
                </w:p>
              </w:tc>
              <w:tc>
                <w:tcPr>
                  <w:tcW w:w="588" w:type="pct"/>
                  <w:noWrap w:val="0"/>
                  <w:vAlign w:val="center"/>
                </w:tcPr>
                <w:p w14:paraId="0D7F31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0F6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noWrap w:val="0"/>
                  <w:vAlign w:val="center"/>
                </w:tcPr>
                <w:p w14:paraId="0AFD7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52" w:type="pct"/>
                  <w:noWrap w:val="0"/>
                  <w:vAlign w:val="center"/>
                </w:tcPr>
                <w:p w14:paraId="7D37DB9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饲料添加剂</w:t>
                  </w:r>
                </w:p>
              </w:tc>
              <w:tc>
                <w:tcPr>
                  <w:tcW w:w="632" w:type="pct"/>
                  <w:noWrap w:val="0"/>
                  <w:vAlign w:val="center"/>
                </w:tcPr>
                <w:p w14:paraId="03FF2059">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2万吨</w:t>
                  </w:r>
                </w:p>
              </w:tc>
              <w:tc>
                <w:tcPr>
                  <w:tcW w:w="2933" w:type="pct"/>
                  <w:noWrap w:val="0"/>
                  <w:vAlign w:val="center"/>
                </w:tcPr>
                <w:p w14:paraId="5F67A7A3">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粒度：80-120目（通过细粉及筛分环节控制）；</w:t>
                  </w:r>
                </w:p>
                <w:p w14:paraId="68123E6C">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包装形式：塑料编织袋（25kg/袋），内衬PE膜防潮；</w:t>
                  </w:r>
                </w:p>
                <w:p w14:paraId="5E3F30F5">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含水率≤10%（储存于封闭车间，避免吸潮）。</w:t>
                  </w:r>
                </w:p>
              </w:tc>
              <w:tc>
                <w:tcPr>
                  <w:tcW w:w="588" w:type="pct"/>
                  <w:noWrap w:val="0"/>
                  <w:vAlign w:val="center"/>
                </w:tcPr>
                <w:p w14:paraId="34694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玉米芯粉</w:t>
                  </w:r>
                </w:p>
              </w:tc>
            </w:tr>
          </w:tbl>
          <w:p w14:paraId="6EC260FD">
            <w:pPr>
              <w:pStyle w:val="124"/>
              <w:numPr>
                <w:ilvl w:val="1"/>
                <w:numId w:val="0"/>
              </w:numPr>
              <w:spacing w:before="0" w:beforeLines="0" w:afterLines="0" w:line="360" w:lineRule="auto"/>
              <w:ind w:firstLine="480" w:firstLineChars="200"/>
              <w:jc w:val="both"/>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（2）主要原辅材料用量情况见表2-3。</w:t>
            </w:r>
          </w:p>
          <w:p w14:paraId="5FAE9533">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本项目主要原辅材料</w:t>
            </w:r>
            <w:r>
              <w:rPr>
                <w:rFonts w:hint="default" w:ascii="Times New Roman" w:hAnsi="Times New Roman" w:eastAsia="宋体" w:cs="Times New Roman"/>
                <w:b/>
                <w:bCs/>
                <w:color w:val="auto"/>
                <w:sz w:val="21"/>
                <w:szCs w:val="21"/>
                <w:highlight w:val="none"/>
                <w:lang w:val="en-US" w:eastAsia="zh-CN"/>
              </w:rPr>
              <w:t>使用</w:t>
            </w:r>
            <w:r>
              <w:rPr>
                <w:rFonts w:hint="default" w:ascii="Times New Roman" w:hAnsi="Times New Roman" w:eastAsia="宋体" w:cs="Times New Roman"/>
                <w:b/>
                <w:bCs/>
                <w:color w:val="auto"/>
                <w:sz w:val="21"/>
                <w:szCs w:val="21"/>
                <w:highlight w:val="none"/>
              </w:rPr>
              <w:t>情况表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1265"/>
              <w:gridCol w:w="1327"/>
              <w:gridCol w:w="1477"/>
              <w:gridCol w:w="1461"/>
              <w:gridCol w:w="1524"/>
            </w:tblGrid>
            <w:tr w14:paraId="24B5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0A2D8C57">
                  <w:pPr>
                    <w:pStyle w:val="137"/>
                    <w:spacing w:line="240" w:lineRule="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名称</w:t>
                  </w:r>
                </w:p>
              </w:tc>
              <w:tc>
                <w:tcPr>
                  <w:tcW w:w="723" w:type="pct"/>
                  <w:noWrap w:val="0"/>
                  <w:vAlign w:val="center"/>
                </w:tcPr>
                <w:p w14:paraId="5582740B">
                  <w:pPr>
                    <w:pStyle w:val="137"/>
                    <w:spacing w:line="240" w:lineRule="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单位</w:t>
                  </w:r>
                </w:p>
              </w:tc>
              <w:tc>
                <w:tcPr>
                  <w:tcW w:w="758" w:type="pct"/>
                  <w:noWrap w:val="0"/>
                  <w:vAlign w:val="center"/>
                </w:tcPr>
                <w:p w14:paraId="25BC43B3">
                  <w:pPr>
                    <w:pStyle w:val="137"/>
                    <w:spacing w:line="240" w:lineRule="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年耗量</w:t>
                  </w:r>
                </w:p>
              </w:tc>
              <w:tc>
                <w:tcPr>
                  <w:tcW w:w="844" w:type="pct"/>
                  <w:noWrap w:val="0"/>
                  <w:vAlign w:val="center"/>
                </w:tcPr>
                <w:p w14:paraId="6D94A888">
                  <w:pPr>
                    <w:pStyle w:val="137"/>
                    <w:spacing w:line="240" w:lineRule="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最大存储量</w:t>
                  </w:r>
                </w:p>
              </w:tc>
              <w:tc>
                <w:tcPr>
                  <w:tcW w:w="835" w:type="pct"/>
                  <w:noWrap w:val="0"/>
                  <w:vAlign w:val="center"/>
                </w:tcPr>
                <w:p w14:paraId="5A4536BA">
                  <w:pPr>
                    <w:pStyle w:val="137"/>
                    <w:spacing w:line="240" w:lineRule="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包装形式</w:t>
                  </w:r>
                </w:p>
              </w:tc>
              <w:tc>
                <w:tcPr>
                  <w:tcW w:w="871" w:type="pct"/>
                  <w:noWrap w:val="0"/>
                  <w:vAlign w:val="center"/>
                </w:tcPr>
                <w:p w14:paraId="79D55953">
                  <w:pPr>
                    <w:pStyle w:val="137"/>
                    <w:spacing w:line="240" w:lineRule="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备注</w:t>
                  </w:r>
                </w:p>
              </w:tc>
            </w:tr>
            <w:tr w14:paraId="638C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5457083D">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牛肉膏粉</w:t>
                  </w:r>
                </w:p>
              </w:tc>
              <w:tc>
                <w:tcPr>
                  <w:tcW w:w="723" w:type="pct"/>
                  <w:noWrap w:val="0"/>
                  <w:vAlign w:val="center"/>
                </w:tcPr>
                <w:p w14:paraId="3AC16C33">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kg</w:t>
                  </w:r>
                </w:p>
              </w:tc>
              <w:tc>
                <w:tcPr>
                  <w:tcW w:w="758" w:type="pct"/>
                  <w:noWrap w:val="0"/>
                  <w:vAlign w:val="center"/>
                </w:tcPr>
                <w:p w14:paraId="1806B112">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150</w:t>
                  </w:r>
                </w:p>
              </w:tc>
              <w:tc>
                <w:tcPr>
                  <w:tcW w:w="844" w:type="pct"/>
                  <w:noWrap w:val="0"/>
                  <w:vAlign w:val="center"/>
                </w:tcPr>
                <w:p w14:paraId="2DADD580">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100</w:t>
                  </w:r>
                </w:p>
              </w:tc>
              <w:tc>
                <w:tcPr>
                  <w:tcW w:w="835" w:type="pct"/>
                  <w:noWrap w:val="0"/>
                  <w:vAlign w:val="center"/>
                </w:tcPr>
                <w:p w14:paraId="4BE3E3E2">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袋装</w:t>
                  </w:r>
                </w:p>
              </w:tc>
              <w:tc>
                <w:tcPr>
                  <w:tcW w:w="871" w:type="pct"/>
                  <w:noWrap w:val="0"/>
                  <w:vAlign w:val="center"/>
                </w:tcPr>
                <w:p w14:paraId="1AE50D80">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3F3A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51424F35">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蛋白胨粉</w:t>
                  </w:r>
                </w:p>
              </w:tc>
              <w:tc>
                <w:tcPr>
                  <w:tcW w:w="723" w:type="pct"/>
                  <w:noWrap w:val="0"/>
                  <w:vAlign w:val="center"/>
                </w:tcPr>
                <w:p w14:paraId="6B41E438">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kg</w:t>
                  </w:r>
                </w:p>
              </w:tc>
              <w:tc>
                <w:tcPr>
                  <w:tcW w:w="758" w:type="pct"/>
                  <w:noWrap w:val="0"/>
                  <w:vAlign w:val="center"/>
                </w:tcPr>
                <w:p w14:paraId="63D3711F">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3000</w:t>
                  </w:r>
                </w:p>
              </w:tc>
              <w:tc>
                <w:tcPr>
                  <w:tcW w:w="844" w:type="pct"/>
                  <w:noWrap w:val="0"/>
                  <w:vAlign w:val="center"/>
                </w:tcPr>
                <w:p w14:paraId="607F463D">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1000</w:t>
                  </w:r>
                </w:p>
              </w:tc>
              <w:tc>
                <w:tcPr>
                  <w:tcW w:w="835" w:type="pct"/>
                  <w:noWrap w:val="0"/>
                  <w:vAlign w:val="center"/>
                </w:tcPr>
                <w:p w14:paraId="1E6FAC25">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袋装</w:t>
                  </w:r>
                </w:p>
              </w:tc>
              <w:tc>
                <w:tcPr>
                  <w:tcW w:w="871" w:type="pct"/>
                  <w:noWrap w:val="0"/>
                  <w:vAlign w:val="center"/>
                </w:tcPr>
                <w:p w14:paraId="7B8DEC4A">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4144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092925FB">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氯化镁</w:t>
                  </w:r>
                </w:p>
              </w:tc>
              <w:tc>
                <w:tcPr>
                  <w:tcW w:w="723" w:type="pct"/>
                  <w:noWrap w:val="0"/>
                  <w:vAlign w:val="center"/>
                </w:tcPr>
                <w:p w14:paraId="00D859F3">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kg</w:t>
                  </w:r>
                </w:p>
              </w:tc>
              <w:tc>
                <w:tcPr>
                  <w:tcW w:w="758" w:type="pct"/>
                  <w:noWrap w:val="0"/>
                  <w:vAlign w:val="center"/>
                </w:tcPr>
                <w:p w14:paraId="50B24134">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75</w:t>
                  </w:r>
                </w:p>
              </w:tc>
              <w:tc>
                <w:tcPr>
                  <w:tcW w:w="844" w:type="pct"/>
                  <w:noWrap w:val="0"/>
                  <w:vAlign w:val="center"/>
                </w:tcPr>
                <w:p w14:paraId="21E78CBE">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75</w:t>
                  </w:r>
                </w:p>
              </w:tc>
              <w:tc>
                <w:tcPr>
                  <w:tcW w:w="835" w:type="pct"/>
                  <w:noWrap w:val="0"/>
                  <w:vAlign w:val="center"/>
                </w:tcPr>
                <w:p w14:paraId="52196E37">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袋装</w:t>
                  </w:r>
                </w:p>
              </w:tc>
              <w:tc>
                <w:tcPr>
                  <w:tcW w:w="871" w:type="pct"/>
                  <w:noWrap w:val="0"/>
                  <w:vAlign w:val="center"/>
                </w:tcPr>
                <w:p w14:paraId="71AF8288">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57C4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3E95341D">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玉米粉</w:t>
                  </w:r>
                </w:p>
              </w:tc>
              <w:tc>
                <w:tcPr>
                  <w:tcW w:w="723" w:type="pct"/>
                  <w:noWrap w:val="0"/>
                  <w:vAlign w:val="center"/>
                </w:tcPr>
                <w:p w14:paraId="52E45D2E">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kg</w:t>
                  </w:r>
                </w:p>
              </w:tc>
              <w:tc>
                <w:tcPr>
                  <w:tcW w:w="758" w:type="pct"/>
                  <w:noWrap w:val="0"/>
                  <w:vAlign w:val="center"/>
                </w:tcPr>
                <w:p w14:paraId="37302C93">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6000</w:t>
                  </w:r>
                </w:p>
              </w:tc>
              <w:tc>
                <w:tcPr>
                  <w:tcW w:w="844" w:type="pct"/>
                  <w:noWrap w:val="0"/>
                  <w:vAlign w:val="center"/>
                </w:tcPr>
                <w:p w14:paraId="4C6DE374">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1000</w:t>
                  </w:r>
                </w:p>
              </w:tc>
              <w:tc>
                <w:tcPr>
                  <w:tcW w:w="835" w:type="pct"/>
                  <w:noWrap w:val="0"/>
                  <w:vAlign w:val="center"/>
                </w:tcPr>
                <w:p w14:paraId="4614741D">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袋装</w:t>
                  </w:r>
                </w:p>
              </w:tc>
              <w:tc>
                <w:tcPr>
                  <w:tcW w:w="871" w:type="pct"/>
                  <w:noWrap w:val="0"/>
                  <w:vAlign w:val="center"/>
                </w:tcPr>
                <w:p w14:paraId="528F04D9">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60C1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18376C8F">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蔗糖</w:t>
                  </w:r>
                </w:p>
              </w:tc>
              <w:tc>
                <w:tcPr>
                  <w:tcW w:w="723" w:type="pct"/>
                  <w:noWrap w:val="0"/>
                  <w:vAlign w:val="center"/>
                </w:tcPr>
                <w:p w14:paraId="60AC9E31">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kg</w:t>
                  </w:r>
                </w:p>
              </w:tc>
              <w:tc>
                <w:tcPr>
                  <w:tcW w:w="758" w:type="pct"/>
                  <w:noWrap w:val="0"/>
                  <w:vAlign w:val="center"/>
                </w:tcPr>
                <w:p w14:paraId="6C4FFF92">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4500</w:t>
                  </w:r>
                </w:p>
              </w:tc>
              <w:tc>
                <w:tcPr>
                  <w:tcW w:w="844" w:type="pct"/>
                  <w:noWrap w:val="0"/>
                  <w:vAlign w:val="center"/>
                </w:tcPr>
                <w:p w14:paraId="1E8F1AA1">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1500</w:t>
                  </w:r>
                </w:p>
              </w:tc>
              <w:tc>
                <w:tcPr>
                  <w:tcW w:w="835" w:type="pct"/>
                  <w:noWrap w:val="0"/>
                  <w:vAlign w:val="center"/>
                </w:tcPr>
                <w:p w14:paraId="6A9C623D">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袋装</w:t>
                  </w:r>
                </w:p>
              </w:tc>
              <w:tc>
                <w:tcPr>
                  <w:tcW w:w="871" w:type="pct"/>
                  <w:noWrap w:val="0"/>
                  <w:vAlign w:val="center"/>
                </w:tcPr>
                <w:p w14:paraId="250BBA3C">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2E03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53D4EA3A">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淀粉</w:t>
                  </w:r>
                </w:p>
              </w:tc>
              <w:tc>
                <w:tcPr>
                  <w:tcW w:w="723" w:type="pct"/>
                  <w:noWrap w:val="0"/>
                  <w:vAlign w:val="center"/>
                </w:tcPr>
                <w:p w14:paraId="0CED8C24">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kg</w:t>
                  </w:r>
                </w:p>
              </w:tc>
              <w:tc>
                <w:tcPr>
                  <w:tcW w:w="758" w:type="pct"/>
                  <w:noWrap w:val="0"/>
                  <w:vAlign w:val="center"/>
                </w:tcPr>
                <w:p w14:paraId="5B911679">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1500</w:t>
                  </w:r>
                </w:p>
              </w:tc>
              <w:tc>
                <w:tcPr>
                  <w:tcW w:w="844" w:type="pct"/>
                  <w:noWrap w:val="0"/>
                  <w:vAlign w:val="center"/>
                </w:tcPr>
                <w:p w14:paraId="274932B1">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1500</w:t>
                  </w:r>
                </w:p>
              </w:tc>
              <w:tc>
                <w:tcPr>
                  <w:tcW w:w="835" w:type="pct"/>
                  <w:noWrap w:val="0"/>
                  <w:vAlign w:val="center"/>
                </w:tcPr>
                <w:p w14:paraId="22EEDDE2">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袋装</w:t>
                  </w:r>
                </w:p>
              </w:tc>
              <w:tc>
                <w:tcPr>
                  <w:tcW w:w="871" w:type="pct"/>
                  <w:noWrap w:val="0"/>
                  <w:vAlign w:val="center"/>
                </w:tcPr>
                <w:p w14:paraId="28B85994">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14DB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269B9636">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硫酸亚铁</w:t>
                  </w:r>
                </w:p>
              </w:tc>
              <w:tc>
                <w:tcPr>
                  <w:tcW w:w="723" w:type="pct"/>
                  <w:noWrap w:val="0"/>
                  <w:vAlign w:val="center"/>
                </w:tcPr>
                <w:p w14:paraId="47A998A0">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kg</w:t>
                  </w:r>
                </w:p>
              </w:tc>
              <w:tc>
                <w:tcPr>
                  <w:tcW w:w="758" w:type="pct"/>
                  <w:noWrap w:val="0"/>
                  <w:vAlign w:val="center"/>
                </w:tcPr>
                <w:p w14:paraId="2FBC0581">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150</w:t>
                  </w:r>
                </w:p>
              </w:tc>
              <w:tc>
                <w:tcPr>
                  <w:tcW w:w="844" w:type="pct"/>
                  <w:noWrap w:val="0"/>
                  <w:vAlign w:val="center"/>
                </w:tcPr>
                <w:p w14:paraId="1E05954A">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100</w:t>
                  </w:r>
                </w:p>
              </w:tc>
              <w:tc>
                <w:tcPr>
                  <w:tcW w:w="835" w:type="pct"/>
                  <w:noWrap w:val="0"/>
                  <w:vAlign w:val="center"/>
                </w:tcPr>
                <w:p w14:paraId="6D881381">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袋装</w:t>
                  </w:r>
                </w:p>
              </w:tc>
              <w:tc>
                <w:tcPr>
                  <w:tcW w:w="871" w:type="pct"/>
                  <w:noWrap w:val="0"/>
                  <w:vAlign w:val="center"/>
                </w:tcPr>
                <w:p w14:paraId="34023E32">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207B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340F9E58">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磷酸二氢钾</w:t>
                  </w:r>
                </w:p>
              </w:tc>
              <w:tc>
                <w:tcPr>
                  <w:tcW w:w="723" w:type="pct"/>
                  <w:noWrap w:val="0"/>
                  <w:vAlign w:val="center"/>
                </w:tcPr>
                <w:p w14:paraId="008359CD">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kg</w:t>
                  </w:r>
                </w:p>
              </w:tc>
              <w:tc>
                <w:tcPr>
                  <w:tcW w:w="758" w:type="pct"/>
                  <w:noWrap w:val="0"/>
                  <w:vAlign w:val="center"/>
                </w:tcPr>
                <w:p w14:paraId="3B740057">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60</w:t>
                  </w:r>
                </w:p>
              </w:tc>
              <w:tc>
                <w:tcPr>
                  <w:tcW w:w="844" w:type="pct"/>
                  <w:noWrap w:val="0"/>
                  <w:vAlign w:val="center"/>
                </w:tcPr>
                <w:p w14:paraId="2B56095A">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100</w:t>
                  </w:r>
                </w:p>
              </w:tc>
              <w:tc>
                <w:tcPr>
                  <w:tcW w:w="835" w:type="pct"/>
                  <w:noWrap w:val="0"/>
                  <w:vAlign w:val="center"/>
                </w:tcPr>
                <w:p w14:paraId="744C127D">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袋装</w:t>
                  </w:r>
                </w:p>
              </w:tc>
              <w:tc>
                <w:tcPr>
                  <w:tcW w:w="871" w:type="pct"/>
                  <w:noWrap w:val="0"/>
                  <w:vAlign w:val="center"/>
                </w:tcPr>
                <w:p w14:paraId="73533DC2">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1BA7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47FB13CF">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氯化钠</w:t>
                  </w:r>
                </w:p>
              </w:tc>
              <w:tc>
                <w:tcPr>
                  <w:tcW w:w="723" w:type="pct"/>
                  <w:noWrap w:val="0"/>
                  <w:vAlign w:val="center"/>
                </w:tcPr>
                <w:p w14:paraId="2786D1EA">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g</w:t>
                  </w:r>
                </w:p>
              </w:tc>
              <w:tc>
                <w:tcPr>
                  <w:tcW w:w="758" w:type="pct"/>
                  <w:noWrap w:val="0"/>
                  <w:vAlign w:val="center"/>
                </w:tcPr>
                <w:p w14:paraId="179D4597">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250</w:t>
                  </w:r>
                </w:p>
              </w:tc>
              <w:tc>
                <w:tcPr>
                  <w:tcW w:w="844" w:type="pct"/>
                  <w:noWrap w:val="0"/>
                  <w:vAlign w:val="center"/>
                </w:tcPr>
                <w:p w14:paraId="7C81E600">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1000</w:t>
                  </w:r>
                </w:p>
              </w:tc>
              <w:tc>
                <w:tcPr>
                  <w:tcW w:w="835" w:type="pct"/>
                  <w:noWrap w:val="0"/>
                  <w:vAlign w:val="center"/>
                </w:tcPr>
                <w:p w14:paraId="5B2645D7">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袋装</w:t>
                  </w:r>
                </w:p>
              </w:tc>
              <w:tc>
                <w:tcPr>
                  <w:tcW w:w="871" w:type="pct"/>
                  <w:noWrap w:val="0"/>
                  <w:vAlign w:val="center"/>
                </w:tcPr>
                <w:p w14:paraId="19FD1C12">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63D3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36CD37EF">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琼脂</w:t>
                  </w:r>
                </w:p>
              </w:tc>
              <w:tc>
                <w:tcPr>
                  <w:tcW w:w="723" w:type="pct"/>
                  <w:noWrap w:val="0"/>
                  <w:vAlign w:val="center"/>
                </w:tcPr>
                <w:p w14:paraId="340E16E9">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g</w:t>
                  </w:r>
                </w:p>
              </w:tc>
              <w:tc>
                <w:tcPr>
                  <w:tcW w:w="758" w:type="pct"/>
                  <w:noWrap w:val="0"/>
                  <w:vAlign w:val="center"/>
                </w:tcPr>
                <w:p w14:paraId="7796092B">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1000</w:t>
                  </w:r>
                </w:p>
              </w:tc>
              <w:tc>
                <w:tcPr>
                  <w:tcW w:w="844" w:type="pct"/>
                  <w:noWrap w:val="0"/>
                  <w:vAlign w:val="center"/>
                </w:tcPr>
                <w:p w14:paraId="67F86C92">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1000</w:t>
                  </w:r>
                </w:p>
              </w:tc>
              <w:tc>
                <w:tcPr>
                  <w:tcW w:w="835" w:type="pct"/>
                  <w:noWrap w:val="0"/>
                  <w:vAlign w:val="center"/>
                </w:tcPr>
                <w:p w14:paraId="79703503">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瓶</w:t>
                  </w:r>
                  <w:r>
                    <w:rPr>
                      <w:rFonts w:hint="default" w:ascii="Times New Roman" w:hAnsi="Times New Roman" w:eastAsia="宋体" w:cs="Times New Roman"/>
                      <w:bCs/>
                      <w:color w:val="auto"/>
                      <w:szCs w:val="21"/>
                      <w:highlight w:val="none"/>
                      <w:lang w:val="en-US" w:eastAsia="zh-CN"/>
                    </w:rPr>
                    <w:t>装</w:t>
                  </w:r>
                </w:p>
              </w:tc>
              <w:tc>
                <w:tcPr>
                  <w:tcW w:w="871" w:type="pct"/>
                  <w:noWrap w:val="0"/>
                  <w:vAlign w:val="center"/>
                </w:tcPr>
                <w:p w14:paraId="4857439C">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6E7A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377822DB">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葡萄糖</w:t>
                  </w:r>
                </w:p>
              </w:tc>
              <w:tc>
                <w:tcPr>
                  <w:tcW w:w="723" w:type="pct"/>
                  <w:noWrap w:val="0"/>
                  <w:vAlign w:val="center"/>
                </w:tcPr>
                <w:p w14:paraId="23F4AB43">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g</w:t>
                  </w:r>
                </w:p>
              </w:tc>
              <w:tc>
                <w:tcPr>
                  <w:tcW w:w="758" w:type="pct"/>
                  <w:noWrap w:val="0"/>
                  <w:vAlign w:val="center"/>
                </w:tcPr>
                <w:p w14:paraId="3675127A">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1000</w:t>
                  </w:r>
                </w:p>
              </w:tc>
              <w:tc>
                <w:tcPr>
                  <w:tcW w:w="844" w:type="pct"/>
                  <w:noWrap w:val="0"/>
                  <w:vAlign w:val="center"/>
                </w:tcPr>
                <w:p w14:paraId="43B05279">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1000</w:t>
                  </w:r>
                </w:p>
              </w:tc>
              <w:tc>
                <w:tcPr>
                  <w:tcW w:w="835" w:type="pct"/>
                  <w:noWrap w:val="0"/>
                  <w:vAlign w:val="center"/>
                </w:tcPr>
                <w:p w14:paraId="76D23A1D">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袋装</w:t>
                  </w:r>
                </w:p>
              </w:tc>
              <w:tc>
                <w:tcPr>
                  <w:tcW w:w="871" w:type="pct"/>
                  <w:noWrap w:val="0"/>
                  <w:vAlign w:val="center"/>
                </w:tcPr>
                <w:p w14:paraId="35B1EBC9">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1876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217CE6CB">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湿糖渣</w:t>
                  </w:r>
                </w:p>
              </w:tc>
              <w:tc>
                <w:tcPr>
                  <w:tcW w:w="723" w:type="pct"/>
                  <w:noWrap w:val="0"/>
                  <w:vAlign w:val="center"/>
                </w:tcPr>
                <w:p w14:paraId="1BB006B3">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万t</w:t>
                  </w:r>
                </w:p>
              </w:tc>
              <w:tc>
                <w:tcPr>
                  <w:tcW w:w="758" w:type="pct"/>
                  <w:noWrap w:val="0"/>
                  <w:vAlign w:val="center"/>
                </w:tcPr>
                <w:p w14:paraId="232B1D79">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1.5</w:t>
                  </w:r>
                </w:p>
              </w:tc>
              <w:tc>
                <w:tcPr>
                  <w:tcW w:w="844" w:type="pct"/>
                  <w:noWrap w:val="0"/>
                  <w:vAlign w:val="center"/>
                </w:tcPr>
                <w:p w14:paraId="4EBBA302">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0.06</w:t>
                  </w:r>
                </w:p>
              </w:tc>
              <w:tc>
                <w:tcPr>
                  <w:tcW w:w="835" w:type="pct"/>
                  <w:noWrap w:val="0"/>
                  <w:vAlign w:val="center"/>
                </w:tcPr>
                <w:p w14:paraId="473854E1">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袋装或散装</w:t>
                  </w:r>
                </w:p>
              </w:tc>
              <w:tc>
                <w:tcPr>
                  <w:tcW w:w="871" w:type="pct"/>
                  <w:noWrap w:val="0"/>
                  <w:vAlign w:val="center"/>
                </w:tcPr>
                <w:p w14:paraId="6ADEF444">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暂存在1号生产车间内</w:t>
                  </w:r>
                </w:p>
              </w:tc>
            </w:tr>
            <w:tr w14:paraId="29EE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19A07F75">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有机废渣</w:t>
                  </w:r>
                </w:p>
              </w:tc>
              <w:tc>
                <w:tcPr>
                  <w:tcW w:w="723" w:type="pct"/>
                  <w:noWrap w:val="0"/>
                  <w:vAlign w:val="center"/>
                </w:tcPr>
                <w:p w14:paraId="7996CB57">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万t</w:t>
                  </w:r>
                </w:p>
              </w:tc>
              <w:tc>
                <w:tcPr>
                  <w:tcW w:w="758" w:type="pct"/>
                  <w:noWrap w:val="0"/>
                  <w:vAlign w:val="center"/>
                </w:tcPr>
                <w:p w14:paraId="399D1B24">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1.5</w:t>
                  </w:r>
                </w:p>
              </w:tc>
              <w:tc>
                <w:tcPr>
                  <w:tcW w:w="844" w:type="pct"/>
                  <w:noWrap w:val="0"/>
                  <w:vAlign w:val="center"/>
                </w:tcPr>
                <w:p w14:paraId="58B700F8">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0.1</w:t>
                  </w:r>
                </w:p>
              </w:tc>
              <w:tc>
                <w:tcPr>
                  <w:tcW w:w="835" w:type="pct"/>
                  <w:noWrap w:val="0"/>
                  <w:vAlign w:val="center"/>
                </w:tcPr>
                <w:p w14:paraId="050ACB37">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散装</w:t>
                  </w:r>
                </w:p>
              </w:tc>
              <w:tc>
                <w:tcPr>
                  <w:tcW w:w="871" w:type="pct"/>
                  <w:noWrap w:val="0"/>
                  <w:vAlign w:val="center"/>
                </w:tcPr>
                <w:p w14:paraId="6B92D9F3">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p>
              </w:tc>
            </w:tr>
            <w:tr w14:paraId="4B95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4B8AC797">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氨基酸废液</w:t>
                  </w:r>
                </w:p>
              </w:tc>
              <w:tc>
                <w:tcPr>
                  <w:tcW w:w="723" w:type="pct"/>
                  <w:noWrap w:val="0"/>
                  <w:vAlign w:val="center"/>
                </w:tcPr>
                <w:p w14:paraId="461BFA6E">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万t</w:t>
                  </w:r>
                </w:p>
              </w:tc>
              <w:tc>
                <w:tcPr>
                  <w:tcW w:w="758" w:type="pct"/>
                  <w:noWrap w:val="0"/>
                  <w:vAlign w:val="center"/>
                </w:tcPr>
                <w:p w14:paraId="7F412E23">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7</w:t>
                  </w:r>
                </w:p>
              </w:tc>
              <w:tc>
                <w:tcPr>
                  <w:tcW w:w="844" w:type="pct"/>
                  <w:noWrap w:val="0"/>
                  <w:vAlign w:val="center"/>
                </w:tcPr>
                <w:p w14:paraId="1C7F9205">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0.4</w:t>
                  </w:r>
                </w:p>
              </w:tc>
              <w:tc>
                <w:tcPr>
                  <w:tcW w:w="835" w:type="pct"/>
                  <w:noWrap w:val="0"/>
                  <w:vAlign w:val="center"/>
                </w:tcPr>
                <w:p w14:paraId="15329FC0">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w:t>
                  </w:r>
                </w:p>
              </w:tc>
              <w:tc>
                <w:tcPr>
                  <w:tcW w:w="871" w:type="pct"/>
                  <w:noWrap w:val="0"/>
                  <w:vAlign w:val="center"/>
                </w:tcPr>
                <w:p w14:paraId="0EB61FBD">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罐车拉运进入厂区后于罐区储存</w:t>
                  </w:r>
                </w:p>
              </w:tc>
            </w:tr>
            <w:tr w14:paraId="1025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5542AF55">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玉米芯</w:t>
                  </w:r>
                </w:p>
              </w:tc>
              <w:tc>
                <w:tcPr>
                  <w:tcW w:w="723" w:type="pct"/>
                  <w:noWrap w:val="0"/>
                  <w:vAlign w:val="center"/>
                </w:tcPr>
                <w:p w14:paraId="32A0B86D">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万t</w:t>
                  </w:r>
                </w:p>
              </w:tc>
              <w:tc>
                <w:tcPr>
                  <w:tcW w:w="758" w:type="pct"/>
                  <w:noWrap w:val="0"/>
                  <w:vAlign w:val="center"/>
                </w:tcPr>
                <w:p w14:paraId="658E01A8">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1</w:t>
                  </w:r>
                </w:p>
              </w:tc>
              <w:tc>
                <w:tcPr>
                  <w:tcW w:w="844" w:type="pct"/>
                  <w:noWrap w:val="0"/>
                  <w:vAlign w:val="center"/>
                </w:tcPr>
                <w:p w14:paraId="0C1ED6F3">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1</w:t>
                  </w:r>
                </w:p>
              </w:tc>
              <w:tc>
                <w:tcPr>
                  <w:tcW w:w="835" w:type="pct"/>
                  <w:noWrap w:val="0"/>
                  <w:vAlign w:val="center"/>
                </w:tcPr>
                <w:p w14:paraId="3B99E130">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暂存</w:t>
                  </w:r>
                </w:p>
              </w:tc>
              <w:tc>
                <w:tcPr>
                  <w:tcW w:w="871" w:type="pct"/>
                  <w:noWrap w:val="0"/>
                  <w:vAlign w:val="center"/>
                </w:tcPr>
                <w:p w14:paraId="0CE6A177">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p>
              </w:tc>
            </w:tr>
            <w:tr w14:paraId="5A54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1446132F">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生物菌剂</w:t>
                  </w:r>
                </w:p>
              </w:tc>
              <w:tc>
                <w:tcPr>
                  <w:tcW w:w="723" w:type="pct"/>
                  <w:noWrap w:val="0"/>
                  <w:vAlign w:val="center"/>
                </w:tcPr>
                <w:p w14:paraId="03A96CD8">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eastAsia" w:cs="Times New Roman"/>
                      <w:bCs/>
                      <w:color w:val="auto"/>
                      <w:szCs w:val="21"/>
                      <w:highlight w:val="none"/>
                      <w:lang w:val="en-US" w:eastAsia="zh-CN"/>
                    </w:rPr>
                    <w:t>t</w:t>
                  </w:r>
                </w:p>
              </w:tc>
              <w:tc>
                <w:tcPr>
                  <w:tcW w:w="758" w:type="pct"/>
                  <w:noWrap w:val="0"/>
                  <w:vAlign w:val="center"/>
                </w:tcPr>
                <w:p w14:paraId="538ACA4F">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10</w:t>
                  </w:r>
                </w:p>
              </w:tc>
              <w:tc>
                <w:tcPr>
                  <w:tcW w:w="844" w:type="pct"/>
                  <w:noWrap w:val="0"/>
                  <w:vAlign w:val="center"/>
                </w:tcPr>
                <w:p w14:paraId="60113436">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1</w:t>
                  </w:r>
                </w:p>
              </w:tc>
              <w:tc>
                <w:tcPr>
                  <w:tcW w:w="835" w:type="pct"/>
                  <w:noWrap w:val="0"/>
                  <w:vAlign w:val="center"/>
                </w:tcPr>
                <w:p w14:paraId="3DD57112">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暂存</w:t>
                  </w:r>
                </w:p>
              </w:tc>
              <w:tc>
                <w:tcPr>
                  <w:tcW w:w="871" w:type="pct"/>
                  <w:noWrap w:val="0"/>
                  <w:vAlign w:val="center"/>
                </w:tcPr>
                <w:p w14:paraId="25404BBB">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p>
              </w:tc>
            </w:tr>
            <w:tr w14:paraId="797F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68947628">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水</w:t>
                  </w:r>
                </w:p>
              </w:tc>
              <w:tc>
                <w:tcPr>
                  <w:tcW w:w="723" w:type="pct"/>
                  <w:noWrap w:val="0"/>
                  <w:vAlign w:val="center"/>
                </w:tcPr>
                <w:p w14:paraId="29FB4289">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bCs/>
                      <w:color w:val="auto"/>
                      <w:szCs w:val="21"/>
                      <w:highlight w:val="none"/>
                    </w:rPr>
                    <w:t>t</w:t>
                  </w:r>
                </w:p>
              </w:tc>
              <w:tc>
                <w:tcPr>
                  <w:tcW w:w="758" w:type="pct"/>
                  <w:noWrap w:val="0"/>
                  <w:vAlign w:val="center"/>
                </w:tcPr>
                <w:p w14:paraId="17498DBB">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11998.8</w:t>
                  </w:r>
                </w:p>
              </w:tc>
              <w:tc>
                <w:tcPr>
                  <w:tcW w:w="844" w:type="pct"/>
                  <w:noWrap w:val="0"/>
                  <w:vAlign w:val="center"/>
                </w:tcPr>
                <w:p w14:paraId="61410A30">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w:t>
                  </w:r>
                </w:p>
              </w:tc>
              <w:tc>
                <w:tcPr>
                  <w:tcW w:w="835" w:type="pct"/>
                  <w:noWrap w:val="0"/>
                  <w:vAlign w:val="center"/>
                </w:tcPr>
                <w:p w14:paraId="21535D12">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管道</w:t>
                  </w:r>
                </w:p>
              </w:tc>
              <w:tc>
                <w:tcPr>
                  <w:tcW w:w="871" w:type="pct"/>
                  <w:noWrap w:val="0"/>
                  <w:vAlign w:val="center"/>
                </w:tcPr>
                <w:p w14:paraId="2D1A1064">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进入生产</w:t>
                  </w:r>
                </w:p>
              </w:tc>
            </w:tr>
            <w:tr w14:paraId="2ABD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0581EBC5">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生物质燃料</w:t>
                  </w:r>
                </w:p>
              </w:tc>
              <w:tc>
                <w:tcPr>
                  <w:tcW w:w="723" w:type="pct"/>
                  <w:noWrap w:val="0"/>
                  <w:vAlign w:val="center"/>
                </w:tcPr>
                <w:p w14:paraId="235D9139">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t</w:t>
                  </w:r>
                </w:p>
              </w:tc>
              <w:tc>
                <w:tcPr>
                  <w:tcW w:w="758" w:type="pct"/>
                  <w:noWrap w:val="0"/>
                  <w:vAlign w:val="center"/>
                </w:tcPr>
                <w:p w14:paraId="738400FE">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400</w:t>
                  </w:r>
                </w:p>
              </w:tc>
              <w:tc>
                <w:tcPr>
                  <w:tcW w:w="844" w:type="pct"/>
                  <w:noWrap w:val="0"/>
                  <w:vAlign w:val="center"/>
                </w:tcPr>
                <w:p w14:paraId="277C9AC0">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100</w:t>
                  </w:r>
                </w:p>
              </w:tc>
              <w:tc>
                <w:tcPr>
                  <w:tcW w:w="835" w:type="pct"/>
                  <w:noWrap w:val="0"/>
                  <w:vAlign w:val="center"/>
                </w:tcPr>
                <w:p w14:paraId="300341DE">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871" w:type="pct"/>
                  <w:noWrap w:val="0"/>
                  <w:vAlign w:val="center"/>
                </w:tcPr>
                <w:p w14:paraId="23097D8C">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p>
              </w:tc>
            </w:tr>
            <w:tr w14:paraId="75DA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noWrap w:val="0"/>
                  <w:vAlign w:val="center"/>
                </w:tcPr>
                <w:p w14:paraId="16E58907">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电</w:t>
                  </w:r>
                </w:p>
              </w:tc>
              <w:tc>
                <w:tcPr>
                  <w:tcW w:w="723" w:type="pct"/>
                  <w:noWrap w:val="0"/>
                  <w:vAlign w:val="center"/>
                </w:tcPr>
                <w:p w14:paraId="6F9903EE">
                  <w:pPr>
                    <w:adjustRightInd w:val="0"/>
                    <w:snapToGrid w:val="0"/>
                    <w:spacing w:line="240" w:lineRule="auto"/>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万千瓦时</w:t>
                  </w:r>
                </w:p>
              </w:tc>
              <w:tc>
                <w:tcPr>
                  <w:tcW w:w="758" w:type="pct"/>
                  <w:noWrap w:val="0"/>
                  <w:vAlign w:val="center"/>
                </w:tcPr>
                <w:p w14:paraId="75A395D5">
                  <w:pPr>
                    <w:adjustRightInd w:val="0"/>
                    <w:snapToGrid w:val="0"/>
                    <w:spacing w:line="240" w:lineRule="auto"/>
                    <w:jc w:val="center"/>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419.57</w:t>
                  </w:r>
                </w:p>
              </w:tc>
              <w:tc>
                <w:tcPr>
                  <w:tcW w:w="844" w:type="pct"/>
                  <w:noWrap w:val="0"/>
                  <w:vAlign w:val="center"/>
                </w:tcPr>
                <w:p w14:paraId="0EEF4A68">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bidi="ar-SA"/>
                    </w:rPr>
                    <w:t>/</w:t>
                  </w:r>
                </w:p>
              </w:tc>
              <w:tc>
                <w:tcPr>
                  <w:tcW w:w="835" w:type="pct"/>
                  <w:noWrap w:val="0"/>
                  <w:vAlign w:val="center"/>
                </w:tcPr>
                <w:p w14:paraId="37BBCA7E">
                  <w:pPr>
                    <w:pStyle w:val="10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871" w:type="pct"/>
                  <w:noWrap w:val="0"/>
                  <w:vAlign w:val="center"/>
                </w:tcPr>
                <w:p w14:paraId="7992CEE4">
                  <w:pPr>
                    <w:adjustRightInd w:val="0"/>
                    <w:snapToGrid w:val="0"/>
                    <w:spacing w:line="240" w:lineRule="auto"/>
                    <w:jc w:val="center"/>
                    <w:rPr>
                      <w:rFonts w:hint="default" w:ascii="Times New Roman" w:hAnsi="Times New Roman" w:cs="Times New Roman"/>
                      <w:bCs/>
                      <w:color w:val="auto"/>
                      <w:kern w:val="2"/>
                      <w:sz w:val="21"/>
                      <w:szCs w:val="21"/>
                      <w:highlight w:val="none"/>
                      <w:lang w:val="en-US" w:eastAsia="zh-CN" w:bidi="ar-SA"/>
                    </w:rPr>
                  </w:pPr>
                </w:p>
              </w:tc>
            </w:tr>
          </w:tbl>
          <w:p w14:paraId="06BFCA3C">
            <w:pPr>
              <w:spacing w:line="360" w:lineRule="auto"/>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主要原辅材料理化性质</w:t>
            </w:r>
          </w:p>
          <w:p w14:paraId="27FFD2B6">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1.玉米芯</w:t>
            </w:r>
          </w:p>
          <w:p w14:paraId="517B5F4B">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外观：浅黄色至黄褐色块状，表面粗糙，质地疏松；</w:t>
            </w:r>
          </w:p>
          <w:p w14:paraId="1FCAAD6A">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主要成分：纤维素（32%-36%）、半纤维素（35%-40%）、木质素（25%-30%），含少量蛋白质（2%-3%）、灰分（1%-2%）；</w:t>
            </w:r>
          </w:p>
          <w:p w14:paraId="6541D2ED">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理化特性：密度约0.15-0.3g/cm</w:t>
            </w:r>
            <w:r>
              <w:rPr>
                <w:rFonts w:hint="eastAsia"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，不溶于水，pH值6.5-7.5（中性）；具有良好的吸附性和透气性，易被粉碎。</w:t>
            </w:r>
          </w:p>
          <w:p w14:paraId="724D6E9F">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2.生物质燃料（成型燃料棒）</w:t>
            </w:r>
          </w:p>
          <w:p w14:paraId="0C786115">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原料：农林废弃物（如秸秆、木屑等）压缩成型；</w:t>
            </w:r>
          </w:p>
          <w:p w14:paraId="41A717F2">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外观：圆柱形颗粒或棒状，直径30-50mm，长度50-100mm，褐色；</w:t>
            </w:r>
          </w:p>
          <w:p w14:paraId="45FE2891">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理化特性：热值15-18MJ/kg，含硫量≤0.05%（报告中提及本项目燃料含硫量 0.03%），灰分≤5%；密度1.1-1.3g/cm³，含水率≤10%，易燃，燃烧后主要残留物为草木灰（含钾、钙等氧化物）。</w:t>
            </w:r>
          </w:p>
          <w:p w14:paraId="41678F49">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3.菌种</w:t>
            </w:r>
          </w:p>
          <w:p w14:paraId="399D5BF8">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类型：主要为腐熟菌（如芽孢杆菌、酵母菌等，用于有机物料发酵）；</w:t>
            </w:r>
          </w:p>
          <w:p w14:paraId="3D02A585">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形态：液体菌剂或冻干菌粉，外观为浅黄色至浅棕色液体或粉末；</w:t>
            </w:r>
          </w:p>
          <w:p w14:paraId="4E4E1207">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理化特性：pH值6.0-7.5，适宜生长温度25-35℃；需在阴凉干燥处储存，避免高温和强光。</w:t>
            </w:r>
          </w:p>
          <w:p w14:paraId="2953D79B">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4.营养基（牛肉膏、蛋白胨、淀粉）</w:t>
            </w:r>
          </w:p>
          <w:p w14:paraId="5F73F27A">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牛肉膏：</w:t>
            </w:r>
          </w:p>
          <w:p w14:paraId="022432F7">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外观：棕黄色至棕褐色膏状，有肉香气味；</w:t>
            </w:r>
          </w:p>
          <w:p w14:paraId="06712B03">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成分：含蛋白质（≥8%）、多肽、氨基酸、维生素等；</w:t>
            </w:r>
          </w:p>
          <w:p w14:paraId="31D5E15D">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特性：易溶于水，pH 值 7.0-7.4（1% 水溶液），为菌种提供氮源和生长因子。</w:t>
            </w:r>
          </w:p>
          <w:p w14:paraId="6739BF35">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lang w:val="en-US" w:eastAsia="zh-CN"/>
              </w:rPr>
              <w:t>蛋白胨：</w:t>
            </w:r>
          </w:p>
          <w:p w14:paraId="791C35AB">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外观：淡黄色至棕黄色粉末，无臭；</w:t>
            </w:r>
          </w:p>
          <w:p w14:paraId="0A13574B">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成分：主要为多肽和氨基酸（总氮≥12%）；</w:t>
            </w:r>
          </w:p>
          <w:p w14:paraId="68A8B760">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特性：易溶于水，水溶液呈弱酸性（pH 值 5.5-7.0），作为菌种氮源。</w:t>
            </w:r>
          </w:p>
          <w:p w14:paraId="012A1345">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lang w:val="en-US" w:eastAsia="zh-CN"/>
              </w:rPr>
              <w:t>淀粉：</w:t>
            </w:r>
          </w:p>
          <w:p w14:paraId="48B4CE82">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外观：白色粉末，无臭无味；</w:t>
            </w:r>
          </w:p>
          <w:p w14:paraId="054E021D">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特性：不溶于冷水，遇热水糊化；为菌种提供碳源，分子式 (C₆H₁₀O₅)ₙ。</w:t>
            </w:r>
          </w:p>
          <w:p w14:paraId="52FBBB3C">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5.无机盐（如磷酸二氢钾、硫酸镁等）</w:t>
            </w:r>
          </w:p>
          <w:p w14:paraId="63836BBF">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磷酸二氢钾：</w:t>
            </w:r>
          </w:p>
          <w:p w14:paraId="1FACBD33">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外观：白色结晶性粉末，易溶于水；</w:t>
            </w:r>
          </w:p>
          <w:p w14:paraId="27A085AA">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特性：pH 值 4.4-4.7（1% 水溶液），为菌种提供磷、钾元素，分子式 KH₂PO₄。</w:t>
            </w:r>
          </w:p>
          <w:p w14:paraId="25B30B45">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lang w:val="en-US" w:eastAsia="zh-CN"/>
              </w:rPr>
              <w:t>硫酸镁：</w:t>
            </w:r>
          </w:p>
          <w:p w14:paraId="3E20B4EB">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外观：白色晶体或粉末，易溶于水；</w:t>
            </w:r>
          </w:p>
          <w:p w14:paraId="69FB829B">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特性：为菌种提供镁离子（生长必需微量元素），分子式MgSO₄・7H₂O。</w:t>
            </w:r>
          </w:p>
          <w:p w14:paraId="15988674">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6.核苷酸、氨基酸原料液</w:t>
            </w:r>
          </w:p>
          <w:p w14:paraId="6296390B">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核苷酸原料液：</w:t>
            </w:r>
          </w:p>
          <w:p w14:paraId="2D825148">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外观：浅黄色至棕色液体，有轻微鲜味；</w:t>
            </w:r>
          </w:p>
          <w:p w14:paraId="4C19E140">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成分：含腺嘌呤核苷酸、鸟嘌呤核苷酸等（总核苷酸≥5%）；</w:t>
            </w:r>
          </w:p>
          <w:p w14:paraId="2566AE9A">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特性：pH 值 6.0-7.0，易溶于水，灭菌后用于液体肥混合（报告中提及与灭菌菌液混合）。</w:t>
            </w:r>
          </w:p>
          <w:p w14:paraId="44DF7443">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lang w:val="en-US" w:eastAsia="zh-CN"/>
              </w:rPr>
              <w:t>氨基酸原料液：</w:t>
            </w:r>
          </w:p>
          <w:p w14:paraId="457CE4BD">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外观：棕黄色液体，含游离氨基酸（≥10%）；</w:t>
            </w:r>
          </w:p>
          <w:p w14:paraId="1AD415EA">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特性：pH 值 5.0-6.5，易溶于水，为液体肥提供有机氮源，提升肥料营养活性。</w:t>
            </w:r>
          </w:p>
          <w:p w14:paraId="311A8F8B">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.主要设备</w:t>
            </w:r>
          </w:p>
          <w:p w14:paraId="6142774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本项目所用设备见表2-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14:paraId="16482A20">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项目主要设备一览表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3642"/>
              <w:gridCol w:w="2697"/>
              <w:gridCol w:w="1314"/>
            </w:tblGrid>
            <w:tr w14:paraId="5E61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682A15E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2081" w:type="pct"/>
                  <w:tcBorders>
                    <w:tl2br w:val="nil"/>
                    <w:tr2bl w:val="nil"/>
                  </w:tcBorders>
                  <w:noWrap w:val="0"/>
                  <w:vAlign w:val="center"/>
                </w:tcPr>
                <w:p w14:paraId="45565F1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设备名称</w:t>
                  </w:r>
                </w:p>
              </w:tc>
              <w:tc>
                <w:tcPr>
                  <w:tcW w:w="1541" w:type="pct"/>
                  <w:tcBorders>
                    <w:tl2br w:val="nil"/>
                    <w:tr2bl w:val="nil"/>
                  </w:tcBorders>
                  <w:noWrap w:val="0"/>
                  <w:vAlign w:val="center"/>
                </w:tcPr>
                <w:p w14:paraId="2C425AC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型号</w:t>
                  </w:r>
                </w:p>
              </w:tc>
              <w:tc>
                <w:tcPr>
                  <w:tcW w:w="751" w:type="pct"/>
                  <w:tcBorders>
                    <w:tl2br w:val="nil"/>
                    <w:tr2bl w:val="nil"/>
                  </w:tcBorders>
                  <w:noWrap w:val="0"/>
                  <w:vAlign w:val="center"/>
                </w:tcPr>
                <w:p w14:paraId="101877D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数量</w:t>
                  </w:r>
                  <w:r>
                    <w:rPr>
                      <w:rFonts w:hint="default"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lang w:val="en-US" w:eastAsia="zh-CN"/>
                    </w:rPr>
                    <w:t>台/套</w:t>
                  </w:r>
                  <w:r>
                    <w:rPr>
                      <w:rFonts w:hint="default" w:ascii="Times New Roman" w:hAnsi="Times New Roman" w:eastAsia="宋体" w:cs="Times New Roman"/>
                      <w:b/>
                      <w:bCs/>
                      <w:color w:val="auto"/>
                      <w:kern w:val="0"/>
                      <w:sz w:val="21"/>
                      <w:szCs w:val="21"/>
                      <w:highlight w:val="none"/>
                      <w:lang w:eastAsia="zh-CN"/>
                    </w:rPr>
                    <w:t>）</w:t>
                  </w:r>
                </w:p>
              </w:tc>
            </w:tr>
            <w:tr w14:paraId="2427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060817C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w:t>
                  </w:r>
                </w:p>
              </w:tc>
              <w:tc>
                <w:tcPr>
                  <w:tcW w:w="2081" w:type="pct"/>
                  <w:tcBorders>
                    <w:tl2br w:val="nil"/>
                    <w:tr2bl w:val="nil"/>
                  </w:tcBorders>
                  <w:noWrap w:val="0"/>
                  <w:vAlign w:val="center"/>
                </w:tcPr>
                <w:p w14:paraId="63BC45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输送刮板机</w:t>
                  </w:r>
                </w:p>
              </w:tc>
              <w:tc>
                <w:tcPr>
                  <w:tcW w:w="1541" w:type="pct"/>
                  <w:tcBorders>
                    <w:tl2br w:val="nil"/>
                    <w:tr2bl w:val="nil"/>
                  </w:tcBorders>
                  <w:noWrap w:val="0"/>
                  <w:vAlign w:val="center"/>
                </w:tcPr>
                <w:p w14:paraId="2B3DE0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TGSS20</w:t>
                  </w:r>
                </w:p>
              </w:tc>
              <w:tc>
                <w:tcPr>
                  <w:tcW w:w="751" w:type="pct"/>
                  <w:tcBorders>
                    <w:tl2br w:val="nil"/>
                    <w:tr2bl w:val="nil"/>
                  </w:tcBorders>
                  <w:noWrap w:val="0"/>
                  <w:vAlign w:val="center"/>
                </w:tcPr>
                <w:p w14:paraId="1F9D73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14:paraId="3EBE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2BC3220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w:t>
                  </w:r>
                </w:p>
              </w:tc>
              <w:tc>
                <w:tcPr>
                  <w:tcW w:w="2081" w:type="pct"/>
                  <w:tcBorders>
                    <w:tl2br w:val="nil"/>
                    <w:tr2bl w:val="nil"/>
                  </w:tcBorders>
                  <w:noWrap w:val="0"/>
                  <w:vAlign w:val="center"/>
                </w:tcPr>
                <w:p w14:paraId="354662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破块机</w:t>
                  </w:r>
                </w:p>
              </w:tc>
              <w:tc>
                <w:tcPr>
                  <w:tcW w:w="1541" w:type="pct"/>
                  <w:tcBorders>
                    <w:tl2br w:val="nil"/>
                    <w:tr2bl w:val="nil"/>
                  </w:tcBorders>
                  <w:noWrap w:val="0"/>
                  <w:vAlign w:val="center"/>
                </w:tcPr>
                <w:p w14:paraId="60F5B0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TPSC50X100</w:t>
                  </w:r>
                </w:p>
              </w:tc>
              <w:tc>
                <w:tcPr>
                  <w:tcW w:w="751" w:type="pct"/>
                  <w:tcBorders>
                    <w:tl2br w:val="nil"/>
                    <w:tr2bl w:val="nil"/>
                  </w:tcBorders>
                  <w:noWrap w:val="0"/>
                  <w:vAlign w:val="center"/>
                </w:tcPr>
                <w:p w14:paraId="1AA9F4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B7E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7513C67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w:t>
                  </w:r>
                </w:p>
              </w:tc>
              <w:tc>
                <w:tcPr>
                  <w:tcW w:w="2081" w:type="pct"/>
                  <w:tcBorders>
                    <w:tl2br w:val="nil"/>
                    <w:tr2bl w:val="nil"/>
                  </w:tcBorders>
                  <w:noWrap w:val="0"/>
                  <w:vAlign w:val="center"/>
                </w:tcPr>
                <w:p w14:paraId="75AB4E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粗粉碎机</w:t>
                  </w:r>
                </w:p>
              </w:tc>
              <w:tc>
                <w:tcPr>
                  <w:tcW w:w="1541" w:type="pct"/>
                  <w:tcBorders>
                    <w:tl2br w:val="nil"/>
                    <w:tr2bl w:val="nil"/>
                  </w:tcBorders>
                  <w:noWrap w:val="0"/>
                  <w:vAlign w:val="center"/>
                </w:tcPr>
                <w:p w14:paraId="1E378B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SFSP56*100</w:t>
                  </w:r>
                </w:p>
              </w:tc>
              <w:tc>
                <w:tcPr>
                  <w:tcW w:w="751" w:type="pct"/>
                  <w:tcBorders>
                    <w:tl2br w:val="nil"/>
                    <w:tr2bl w:val="nil"/>
                  </w:tcBorders>
                  <w:noWrap w:val="0"/>
                  <w:vAlign w:val="center"/>
                </w:tcPr>
                <w:p w14:paraId="64ABEF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C16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16FEEB0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w:t>
                  </w:r>
                </w:p>
              </w:tc>
              <w:tc>
                <w:tcPr>
                  <w:tcW w:w="2081" w:type="pct"/>
                  <w:tcBorders>
                    <w:tl2br w:val="nil"/>
                    <w:tr2bl w:val="nil"/>
                  </w:tcBorders>
                  <w:noWrap w:val="0"/>
                  <w:vAlign w:val="center"/>
                </w:tcPr>
                <w:p w14:paraId="5CB9AB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斗式提升机</w:t>
                  </w:r>
                </w:p>
              </w:tc>
              <w:tc>
                <w:tcPr>
                  <w:tcW w:w="1541" w:type="pct"/>
                  <w:tcBorders>
                    <w:tl2br w:val="nil"/>
                    <w:tr2bl w:val="nil"/>
                  </w:tcBorders>
                  <w:noWrap w:val="0"/>
                  <w:vAlign w:val="center"/>
                </w:tcPr>
                <w:p w14:paraId="670591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TDTG40/28</w:t>
                  </w:r>
                </w:p>
              </w:tc>
              <w:tc>
                <w:tcPr>
                  <w:tcW w:w="751" w:type="pct"/>
                  <w:tcBorders>
                    <w:tl2br w:val="nil"/>
                    <w:tr2bl w:val="nil"/>
                  </w:tcBorders>
                  <w:noWrap w:val="0"/>
                  <w:vAlign w:val="center"/>
                </w:tcPr>
                <w:p w14:paraId="61C5CE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r>
            <w:tr w14:paraId="3FFD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4A3AD7E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5</w:t>
                  </w:r>
                </w:p>
              </w:tc>
              <w:tc>
                <w:tcPr>
                  <w:tcW w:w="2081" w:type="pct"/>
                  <w:tcBorders>
                    <w:tl2br w:val="nil"/>
                    <w:tr2bl w:val="nil"/>
                  </w:tcBorders>
                  <w:noWrap w:val="0"/>
                  <w:vAlign w:val="center"/>
                </w:tcPr>
                <w:p w14:paraId="69462F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圆筒初清筛</w:t>
                  </w:r>
                </w:p>
              </w:tc>
              <w:tc>
                <w:tcPr>
                  <w:tcW w:w="1541" w:type="pct"/>
                  <w:tcBorders>
                    <w:tl2br w:val="nil"/>
                    <w:tr2bl w:val="nil"/>
                  </w:tcBorders>
                  <w:noWrap w:val="0"/>
                  <w:vAlign w:val="center"/>
                </w:tcPr>
                <w:p w14:paraId="3523CF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TCQY80</w:t>
                  </w:r>
                </w:p>
              </w:tc>
              <w:tc>
                <w:tcPr>
                  <w:tcW w:w="751" w:type="pct"/>
                  <w:tcBorders>
                    <w:tl2br w:val="nil"/>
                    <w:tr2bl w:val="nil"/>
                  </w:tcBorders>
                  <w:noWrap w:val="0"/>
                  <w:vAlign w:val="center"/>
                </w:tcPr>
                <w:p w14:paraId="018DB5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D00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4B949BE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6</w:t>
                  </w:r>
                </w:p>
              </w:tc>
              <w:tc>
                <w:tcPr>
                  <w:tcW w:w="2081" w:type="pct"/>
                  <w:tcBorders>
                    <w:tl2br w:val="nil"/>
                    <w:tr2bl w:val="nil"/>
                  </w:tcBorders>
                  <w:noWrap w:val="0"/>
                  <w:vAlign w:val="center"/>
                </w:tcPr>
                <w:p w14:paraId="66C5AB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叶轮喂料器（含消音器）</w:t>
                  </w:r>
                </w:p>
              </w:tc>
              <w:tc>
                <w:tcPr>
                  <w:tcW w:w="1541" w:type="pct"/>
                  <w:tcBorders>
                    <w:tl2br w:val="nil"/>
                    <w:tr2bl w:val="nil"/>
                  </w:tcBorders>
                  <w:noWrap w:val="0"/>
                  <w:vAlign w:val="center"/>
                </w:tcPr>
                <w:p w14:paraId="2CAD2A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TWLY25X102</w:t>
                  </w:r>
                </w:p>
              </w:tc>
              <w:tc>
                <w:tcPr>
                  <w:tcW w:w="751" w:type="pct"/>
                  <w:tcBorders>
                    <w:tl2br w:val="nil"/>
                    <w:tr2bl w:val="nil"/>
                  </w:tcBorders>
                  <w:noWrap w:val="0"/>
                  <w:vAlign w:val="center"/>
                </w:tcPr>
                <w:p w14:paraId="6636FE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058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2009C51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7</w:t>
                  </w:r>
                </w:p>
              </w:tc>
              <w:tc>
                <w:tcPr>
                  <w:tcW w:w="2081" w:type="pct"/>
                  <w:tcBorders>
                    <w:tl2br w:val="nil"/>
                    <w:tr2bl w:val="nil"/>
                  </w:tcBorders>
                  <w:noWrap w:val="0"/>
                  <w:vAlign w:val="center"/>
                </w:tcPr>
                <w:p w14:paraId="32C816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微粉碎机</w:t>
                  </w:r>
                </w:p>
              </w:tc>
              <w:tc>
                <w:tcPr>
                  <w:tcW w:w="1541" w:type="pct"/>
                  <w:tcBorders>
                    <w:tl2br w:val="nil"/>
                    <w:tr2bl w:val="nil"/>
                  </w:tcBorders>
                  <w:noWrap w:val="0"/>
                  <w:vAlign w:val="center"/>
                </w:tcPr>
                <w:p w14:paraId="4961F3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SFSP65X100w</w:t>
                  </w:r>
                </w:p>
              </w:tc>
              <w:tc>
                <w:tcPr>
                  <w:tcW w:w="751" w:type="pct"/>
                  <w:tcBorders>
                    <w:tl2br w:val="nil"/>
                    <w:tr2bl w:val="nil"/>
                  </w:tcBorders>
                  <w:noWrap w:val="0"/>
                  <w:vAlign w:val="center"/>
                </w:tcPr>
                <w:p w14:paraId="3A4D45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662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7D0F98B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8</w:t>
                  </w:r>
                </w:p>
              </w:tc>
              <w:tc>
                <w:tcPr>
                  <w:tcW w:w="2081" w:type="pct"/>
                  <w:tcBorders>
                    <w:tl2br w:val="nil"/>
                    <w:tr2bl w:val="nil"/>
                  </w:tcBorders>
                  <w:noWrap w:val="0"/>
                  <w:vAlign w:val="center"/>
                </w:tcPr>
                <w:p w14:paraId="01C584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抽屉式粉料检验筛</w:t>
                  </w:r>
                </w:p>
              </w:tc>
              <w:tc>
                <w:tcPr>
                  <w:tcW w:w="1541" w:type="pct"/>
                  <w:tcBorders>
                    <w:tl2br w:val="nil"/>
                    <w:tr2bl w:val="nil"/>
                  </w:tcBorders>
                  <w:noWrap w:val="0"/>
                  <w:vAlign w:val="center"/>
                </w:tcPr>
                <w:p w14:paraId="06FD6D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ZFS260</w:t>
                  </w:r>
                </w:p>
              </w:tc>
              <w:tc>
                <w:tcPr>
                  <w:tcW w:w="751" w:type="pct"/>
                  <w:tcBorders>
                    <w:tl2br w:val="nil"/>
                    <w:tr2bl w:val="nil"/>
                  </w:tcBorders>
                  <w:noWrap w:val="0"/>
                  <w:vAlign w:val="center"/>
                </w:tcPr>
                <w:p w14:paraId="2EFB53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64EC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6D5C38B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9</w:t>
                  </w:r>
                </w:p>
              </w:tc>
              <w:tc>
                <w:tcPr>
                  <w:tcW w:w="2081" w:type="pct"/>
                  <w:tcBorders>
                    <w:tl2br w:val="nil"/>
                    <w:tr2bl w:val="nil"/>
                  </w:tcBorders>
                  <w:noWrap w:val="0"/>
                  <w:vAlign w:val="center"/>
                </w:tcPr>
                <w:p w14:paraId="107139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粉料吨袋秤</w:t>
                  </w:r>
                </w:p>
              </w:tc>
              <w:tc>
                <w:tcPr>
                  <w:tcW w:w="1541" w:type="pct"/>
                  <w:tcBorders>
                    <w:tl2br w:val="nil"/>
                    <w:tr2bl w:val="nil"/>
                  </w:tcBorders>
                  <w:noWrap w:val="0"/>
                  <w:vAlign w:val="center"/>
                </w:tcPr>
                <w:p w14:paraId="0B8024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LCS-1T：</w:t>
                  </w:r>
                </w:p>
              </w:tc>
              <w:tc>
                <w:tcPr>
                  <w:tcW w:w="751" w:type="pct"/>
                  <w:tcBorders>
                    <w:tl2br w:val="nil"/>
                    <w:tr2bl w:val="nil"/>
                  </w:tcBorders>
                  <w:noWrap w:val="0"/>
                  <w:vAlign w:val="center"/>
                </w:tcPr>
                <w:p w14:paraId="154938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6638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12EEA60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10</w:t>
                  </w:r>
                </w:p>
              </w:tc>
              <w:tc>
                <w:tcPr>
                  <w:tcW w:w="2081" w:type="pct"/>
                  <w:tcBorders>
                    <w:tl2br w:val="nil"/>
                    <w:tr2bl w:val="nil"/>
                  </w:tcBorders>
                  <w:noWrap w:val="0"/>
                  <w:vAlign w:val="center"/>
                </w:tcPr>
                <w:p w14:paraId="0F9957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螺旋输送机</w:t>
                  </w:r>
                </w:p>
              </w:tc>
              <w:tc>
                <w:tcPr>
                  <w:tcW w:w="1541" w:type="pct"/>
                  <w:tcBorders>
                    <w:tl2br w:val="nil"/>
                    <w:tr2bl w:val="nil"/>
                  </w:tcBorders>
                  <w:noWrap w:val="0"/>
                  <w:vAlign w:val="center"/>
                </w:tcPr>
                <w:p w14:paraId="5124FD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TLSU32</w:t>
                  </w:r>
                </w:p>
              </w:tc>
              <w:tc>
                <w:tcPr>
                  <w:tcW w:w="751" w:type="pct"/>
                  <w:tcBorders>
                    <w:tl2br w:val="nil"/>
                    <w:tr2bl w:val="nil"/>
                  </w:tcBorders>
                  <w:noWrap w:val="0"/>
                  <w:vAlign w:val="center"/>
                </w:tcPr>
                <w:p w14:paraId="3CF2D8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054A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451D91E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11</w:t>
                  </w:r>
                </w:p>
              </w:tc>
              <w:tc>
                <w:tcPr>
                  <w:tcW w:w="2081" w:type="pct"/>
                  <w:tcBorders>
                    <w:tl2br w:val="nil"/>
                    <w:tr2bl w:val="nil"/>
                  </w:tcBorders>
                  <w:noWrap w:val="0"/>
                  <w:vAlign w:val="center"/>
                </w:tcPr>
                <w:p w14:paraId="7CBD9A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圆筒初清筛</w:t>
                  </w:r>
                </w:p>
              </w:tc>
              <w:tc>
                <w:tcPr>
                  <w:tcW w:w="1541" w:type="pct"/>
                  <w:tcBorders>
                    <w:tl2br w:val="nil"/>
                    <w:tr2bl w:val="nil"/>
                  </w:tcBorders>
                  <w:noWrap w:val="0"/>
                  <w:vAlign w:val="center"/>
                </w:tcPr>
                <w:p w14:paraId="6A60C3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TCQY63</w:t>
                  </w:r>
                </w:p>
              </w:tc>
              <w:tc>
                <w:tcPr>
                  <w:tcW w:w="751" w:type="pct"/>
                  <w:tcBorders>
                    <w:tl2br w:val="nil"/>
                    <w:tr2bl w:val="nil"/>
                  </w:tcBorders>
                  <w:noWrap w:val="0"/>
                  <w:vAlign w:val="center"/>
                </w:tcPr>
                <w:p w14:paraId="436271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06B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3BAA6E2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12</w:t>
                  </w:r>
                </w:p>
              </w:tc>
              <w:tc>
                <w:tcPr>
                  <w:tcW w:w="2081" w:type="pct"/>
                  <w:tcBorders>
                    <w:tl2br w:val="nil"/>
                    <w:tr2bl w:val="nil"/>
                  </w:tcBorders>
                  <w:noWrap w:val="0"/>
                  <w:vAlign w:val="center"/>
                </w:tcPr>
                <w:p w14:paraId="63E39D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螺旋输送机</w:t>
                  </w:r>
                </w:p>
              </w:tc>
              <w:tc>
                <w:tcPr>
                  <w:tcW w:w="1541" w:type="pct"/>
                  <w:tcBorders>
                    <w:tl2br w:val="nil"/>
                    <w:tr2bl w:val="nil"/>
                  </w:tcBorders>
                  <w:noWrap w:val="0"/>
                  <w:vAlign w:val="center"/>
                </w:tcPr>
                <w:p w14:paraId="1B8134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TLSY25</w:t>
                  </w:r>
                </w:p>
              </w:tc>
              <w:tc>
                <w:tcPr>
                  <w:tcW w:w="751" w:type="pct"/>
                  <w:tcBorders>
                    <w:tl2br w:val="nil"/>
                    <w:tr2bl w:val="nil"/>
                  </w:tcBorders>
                  <w:noWrap w:val="0"/>
                  <w:vAlign w:val="center"/>
                </w:tcPr>
                <w:p w14:paraId="444A30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14:paraId="332C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00BE52D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13</w:t>
                  </w:r>
                </w:p>
              </w:tc>
              <w:tc>
                <w:tcPr>
                  <w:tcW w:w="2081" w:type="pct"/>
                  <w:tcBorders>
                    <w:tl2br w:val="nil"/>
                    <w:tr2bl w:val="nil"/>
                  </w:tcBorders>
                  <w:noWrap w:val="0"/>
                  <w:vAlign w:val="center"/>
                </w:tcPr>
                <w:p w14:paraId="4F179D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541" w:type="pct"/>
                  <w:tcBorders>
                    <w:tl2br w:val="nil"/>
                    <w:tr2bl w:val="nil"/>
                  </w:tcBorders>
                  <w:noWrap w:val="0"/>
                  <w:vAlign w:val="center"/>
                </w:tcPr>
                <w:p w14:paraId="2F46EF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TQSS25</w:t>
                  </w:r>
                </w:p>
              </w:tc>
              <w:tc>
                <w:tcPr>
                  <w:tcW w:w="751" w:type="pct"/>
                  <w:tcBorders>
                    <w:tl2br w:val="nil"/>
                    <w:tr2bl w:val="nil"/>
                  </w:tcBorders>
                  <w:noWrap w:val="0"/>
                  <w:vAlign w:val="center"/>
                </w:tcPr>
                <w:p w14:paraId="01D587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14:paraId="764C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07765D3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14</w:t>
                  </w:r>
                </w:p>
              </w:tc>
              <w:tc>
                <w:tcPr>
                  <w:tcW w:w="2081" w:type="pct"/>
                  <w:tcBorders>
                    <w:tl2br w:val="nil"/>
                    <w:tr2bl w:val="nil"/>
                  </w:tcBorders>
                  <w:noWrap w:val="0"/>
                  <w:vAlign w:val="center"/>
                </w:tcPr>
                <w:p w14:paraId="342BE4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螺旋输送机</w:t>
                  </w:r>
                </w:p>
              </w:tc>
              <w:tc>
                <w:tcPr>
                  <w:tcW w:w="1541" w:type="pct"/>
                  <w:tcBorders>
                    <w:tl2br w:val="nil"/>
                    <w:tr2bl w:val="nil"/>
                  </w:tcBorders>
                  <w:noWrap w:val="0"/>
                  <w:vAlign w:val="center"/>
                </w:tcPr>
                <w:p w14:paraId="7B4528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TLSY2-25</w:t>
                  </w:r>
                </w:p>
              </w:tc>
              <w:tc>
                <w:tcPr>
                  <w:tcW w:w="751" w:type="pct"/>
                  <w:tcBorders>
                    <w:tl2br w:val="nil"/>
                    <w:tr2bl w:val="nil"/>
                  </w:tcBorders>
                  <w:noWrap w:val="0"/>
                  <w:vAlign w:val="center"/>
                </w:tcPr>
                <w:p w14:paraId="295B3C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42B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25" w:type="pct"/>
                  <w:tcBorders>
                    <w:tl2br w:val="nil"/>
                    <w:tr2bl w:val="nil"/>
                  </w:tcBorders>
                  <w:noWrap w:val="0"/>
                  <w:vAlign w:val="center"/>
                </w:tcPr>
                <w:p w14:paraId="7AC5238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15</w:t>
                  </w:r>
                </w:p>
              </w:tc>
              <w:tc>
                <w:tcPr>
                  <w:tcW w:w="2081" w:type="pct"/>
                  <w:tcBorders>
                    <w:tl2br w:val="nil"/>
                    <w:tr2bl w:val="nil"/>
                  </w:tcBorders>
                  <w:noWrap w:val="0"/>
                  <w:vAlign w:val="center"/>
                </w:tcPr>
                <w:p w14:paraId="4D7AE8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皮带输送机</w:t>
                  </w:r>
                </w:p>
              </w:tc>
              <w:tc>
                <w:tcPr>
                  <w:tcW w:w="1541" w:type="pct"/>
                  <w:tcBorders>
                    <w:tl2br w:val="nil"/>
                    <w:tr2bl w:val="nil"/>
                  </w:tcBorders>
                  <w:noWrap w:val="0"/>
                  <w:vAlign w:val="center"/>
                </w:tcPr>
                <w:p w14:paraId="7161A1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TDST40</w:t>
                  </w:r>
                </w:p>
              </w:tc>
              <w:tc>
                <w:tcPr>
                  <w:tcW w:w="751" w:type="pct"/>
                  <w:tcBorders>
                    <w:tl2br w:val="nil"/>
                    <w:tr2bl w:val="nil"/>
                  </w:tcBorders>
                  <w:noWrap w:val="0"/>
                  <w:vAlign w:val="center"/>
                </w:tcPr>
                <w:p w14:paraId="576DD1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D25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12395A7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16</w:t>
                  </w:r>
                </w:p>
              </w:tc>
              <w:tc>
                <w:tcPr>
                  <w:tcW w:w="2081" w:type="pct"/>
                  <w:tcBorders>
                    <w:tl2br w:val="nil"/>
                    <w:tr2bl w:val="nil"/>
                  </w:tcBorders>
                  <w:noWrap w:val="0"/>
                  <w:vAlign w:val="center"/>
                </w:tcPr>
                <w:p w14:paraId="32704D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连续混合机</w:t>
                  </w:r>
                </w:p>
              </w:tc>
              <w:tc>
                <w:tcPr>
                  <w:tcW w:w="1541" w:type="pct"/>
                  <w:tcBorders>
                    <w:tl2br w:val="nil"/>
                    <w:tr2bl w:val="nil"/>
                  </w:tcBorders>
                  <w:noWrap w:val="0"/>
                  <w:vAlign w:val="center"/>
                </w:tcPr>
                <w:p w14:paraId="42D84D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TLSU40x2</w:t>
                  </w:r>
                </w:p>
              </w:tc>
              <w:tc>
                <w:tcPr>
                  <w:tcW w:w="751" w:type="pct"/>
                  <w:tcBorders>
                    <w:tl2br w:val="nil"/>
                    <w:tr2bl w:val="nil"/>
                  </w:tcBorders>
                  <w:noWrap w:val="0"/>
                  <w:vAlign w:val="center"/>
                </w:tcPr>
                <w:p w14:paraId="6817EC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6277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6FDA972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17</w:t>
                  </w:r>
                </w:p>
              </w:tc>
              <w:tc>
                <w:tcPr>
                  <w:tcW w:w="2081" w:type="pct"/>
                  <w:tcBorders>
                    <w:tl2br w:val="nil"/>
                    <w:tr2bl w:val="nil"/>
                  </w:tcBorders>
                  <w:noWrap w:val="0"/>
                  <w:vAlign w:val="center"/>
                </w:tcPr>
                <w:p w14:paraId="7ED839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皮带输送机</w:t>
                  </w:r>
                </w:p>
              </w:tc>
              <w:tc>
                <w:tcPr>
                  <w:tcW w:w="1541" w:type="pct"/>
                  <w:tcBorders>
                    <w:tl2br w:val="nil"/>
                    <w:tr2bl w:val="nil"/>
                  </w:tcBorders>
                  <w:noWrap w:val="0"/>
                  <w:vAlign w:val="center"/>
                </w:tcPr>
                <w:p w14:paraId="37CC96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TDST50</w:t>
                  </w:r>
                </w:p>
              </w:tc>
              <w:tc>
                <w:tcPr>
                  <w:tcW w:w="751" w:type="pct"/>
                  <w:tcBorders>
                    <w:tl2br w:val="nil"/>
                    <w:tr2bl w:val="nil"/>
                  </w:tcBorders>
                  <w:noWrap w:val="0"/>
                  <w:vAlign w:val="center"/>
                </w:tcPr>
                <w:p w14:paraId="383640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14:paraId="34BA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766CE65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18</w:t>
                  </w:r>
                </w:p>
              </w:tc>
              <w:tc>
                <w:tcPr>
                  <w:tcW w:w="2081" w:type="pct"/>
                  <w:tcBorders>
                    <w:tl2br w:val="nil"/>
                    <w:tr2bl w:val="nil"/>
                  </w:tcBorders>
                  <w:noWrap w:val="0"/>
                  <w:vAlign w:val="center"/>
                </w:tcPr>
                <w:p w14:paraId="0DE55D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螺旋输送机</w:t>
                  </w:r>
                </w:p>
              </w:tc>
              <w:tc>
                <w:tcPr>
                  <w:tcW w:w="1541" w:type="pct"/>
                  <w:tcBorders>
                    <w:tl2br w:val="nil"/>
                    <w:tr2bl w:val="nil"/>
                  </w:tcBorders>
                  <w:noWrap w:val="0"/>
                  <w:vAlign w:val="center"/>
                </w:tcPr>
                <w:p w14:paraId="7EC1C3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TLSU40</w:t>
                  </w:r>
                </w:p>
              </w:tc>
              <w:tc>
                <w:tcPr>
                  <w:tcW w:w="751" w:type="pct"/>
                  <w:tcBorders>
                    <w:tl2br w:val="nil"/>
                    <w:tr2bl w:val="nil"/>
                  </w:tcBorders>
                  <w:noWrap w:val="0"/>
                  <w:vAlign w:val="center"/>
                </w:tcPr>
                <w:p w14:paraId="58C5EA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643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03B343C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19</w:t>
                  </w:r>
                </w:p>
              </w:tc>
              <w:tc>
                <w:tcPr>
                  <w:tcW w:w="2081" w:type="pct"/>
                  <w:tcBorders>
                    <w:tl2br w:val="nil"/>
                    <w:tr2bl w:val="nil"/>
                  </w:tcBorders>
                  <w:noWrap w:val="0"/>
                  <w:vAlign w:val="center"/>
                </w:tcPr>
                <w:p w14:paraId="55BF9B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连续混合机</w:t>
                  </w:r>
                </w:p>
              </w:tc>
              <w:tc>
                <w:tcPr>
                  <w:tcW w:w="1541" w:type="pct"/>
                  <w:tcBorders>
                    <w:tl2br w:val="nil"/>
                    <w:tr2bl w:val="nil"/>
                  </w:tcBorders>
                  <w:noWrap w:val="0"/>
                  <w:vAlign w:val="center"/>
                </w:tcPr>
                <w:p w14:paraId="4EE9A4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THSJ50x275</w:t>
                  </w:r>
                </w:p>
              </w:tc>
              <w:tc>
                <w:tcPr>
                  <w:tcW w:w="751" w:type="pct"/>
                  <w:tcBorders>
                    <w:tl2br w:val="nil"/>
                    <w:tr2bl w:val="nil"/>
                  </w:tcBorders>
                  <w:noWrap w:val="0"/>
                  <w:vAlign w:val="center"/>
                </w:tcPr>
                <w:p w14:paraId="711573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AF1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151F252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20</w:t>
                  </w:r>
                </w:p>
              </w:tc>
              <w:tc>
                <w:tcPr>
                  <w:tcW w:w="2081" w:type="pct"/>
                  <w:tcBorders>
                    <w:tl2br w:val="nil"/>
                    <w:tr2bl w:val="nil"/>
                  </w:tcBorders>
                  <w:noWrap w:val="0"/>
                  <w:vAlign w:val="center"/>
                </w:tcPr>
                <w:p w14:paraId="778A08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列管干燥机</w:t>
                  </w:r>
                </w:p>
              </w:tc>
              <w:tc>
                <w:tcPr>
                  <w:tcW w:w="1541" w:type="pct"/>
                  <w:tcBorders>
                    <w:tl2br w:val="nil"/>
                    <w:tr2bl w:val="nil"/>
                  </w:tcBorders>
                  <w:noWrap w:val="0"/>
                  <w:vAlign w:val="center"/>
                </w:tcPr>
                <w:p w14:paraId="3629CD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TGZG1500</w:t>
                  </w:r>
                </w:p>
              </w:tc>
              <w:tc>
                <w:tcPr>
                  <w:tcW w:w="751" w:type="pct"/>
                  <w:tcBorders>
                    <w:tl2br w:val="nil"/>
                    <w:tr2bl w:val="nil"/>
                  </w:tcBorders>
                  <w:noWrap w:val="0"/>
                  <w:vAlign w:val="center"/>
                </w:tcPr>
                <w:p w14:paraId="6349F5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A1E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3C57717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21</w:t>
                  </w:r>
                </w:p>
              </w:tc>
              <w:tc>
                <w:tcPr>
                  <w:tcW w:w="2081" w:type="pct"/>
                  <w:tcBorders>
                    <w:tl2br w:val="nil"/>
                    <w:tr2bl w:val="nil"/>
                  </w:tcBorders>
                  <w:noWrap w:val="0"/>
                  <w:vAlign w:val="center"/>
                </w:tcPr>
                <w:p w14:paraId="70F54F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链式提升机</w:t>
                  </w:r>
                </w:p>
              </w:tc>
              <w:tc>
                <w:tcPr>
                  <w:tcW w:w="1541" w:type="pct"/>
                  <w:tcBorders>
                    <w:tl2br w:val="nil"/>
                    <w:tr2bl w:val="nil"/>
                  </w:tcBorders>
                  <w:noWrap w:val="0"/>
                  <w:vAlign w:val="center"/>
                </w:tcPr>
                <w:p w14:paraId="538C7E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9t/h</w:t>
                  </w:r>
                </w:p>
              </w:tc>
              <w:tc>
                <w:tcPr>
                  <w:tcW w:w="751" w:type="pct"/>
                  <w:tcBorders>
                    <w:tl2br w:val="nil"/>
                    <w:tr2bl w:val="nil"/>
                  </w:tcBorders>
                  <w:noWrap w:val="0"/>
                  <w:vAlign w:val="center"/>
                </w:tcPr>
                <w:p w14:paraId="04B0F8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938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43CDA3B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22</w:t>
                  </w:r>
                </w:p>
              </w:tc>
              <w:tc>
                <w:tcPr>
                  <w:tcW w:w="2081" w:type="pct"/>
                  <w:tcBorders>
                    <w:tl2br w:val="nil"/>
                    <w:tr2bl w:val="nil"/>
                  </w:tcBorders>
                  <w:noWrap w:val="0"/>
                  <w:vAlign w:val="center"/>
                </w:tcPr>
                <w:p w14:paraId="213B47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翻板冷却器</w:t>
                  </w:r>
                </w:p>
              </w:tc>
              <w:tc>
                <w:tcPr>
                  <w:tcW w:w="1541" w:type="pct"/>
                  <w:tcBorders>
                    <w:tl2br w:val="nil"/>
                    <w:tr2bl w:val="nil"/>
                  </w:tcBorders>
                  <w:noWrap w:val="0"/>
                  <w:vAlign w:val="center"/>
                </w:tcPr>
                <w:p w14:paraId="7371A4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SLNF28x28</w:t>
                  </w:r>
                </w:p>
              </w:tc>
              <w:tc>
                <w:tcPr>
                  <w:tcW w:w="751" w:type="pct"/>
                  <w:tcBorders>
                    <w:tl2br w:val="nil"/>
                    <w:tr2bl w:val="nil"/>
                  </w:tcBorders>
                  <w:noWrap w:val="0"/>
                  <w:vAlign w:val="center"/>
                </w:tcPr>
                <w:p w14:paraId="536C24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514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45753B5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23</w:t>
                  </w:r>
                </w:p>
              </w:tc>
              <w:tc>
                <w:tcPr>
                  <w:tcW w:w="2081" w:type="pct"/>
                  <w:tcBorders>
                    <w:tl2br w:val="nil"/>
                    <w:tr2bl w:val="nil"/>
                  </w:tcBorders>
                  <w:noWrap w:val="0"/>
                  <w:vAlign w:val="center"/>
                </w:tcPr>
                <w:p w14:paraId="45CFC4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螺旋输送机</w:t>
                  </w:r>
                </w:p>
              </w:tc>
              <w:tc>
                <w:tcPr>
                  <w:tcW w:w="1541" w:type="pct"/>
                  <w:tcBorders>
                    <w:tl2br w:val="nil"/>
                    <w:tr2bl w:val="nil"/>
                  </w:tcBorders>
                  <w:noWrap w:val="0"/>
                  <w:vAlign w:val="center"/>
                </w:tcPr>
                <w:p w14:paraId="47F755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TLSU16</w:t>
                  </w:r>
                </w:p>
              </w:tc>
              <w:tc>
                <w:tcPr>
                  <w:tcW w:w="751" w:type="pct"/>
                  <w:tcBorders>
                    <w:tl2br w:val="nil"/>
                    <w:tr2bl w:val="nil"/>
                  </w:tcBorders>
                  <w:noWrap w:val="0"/>
                  <w:vAlign w:val="center"/>
                </w:tcPr>
                <w:p w14:paraId="1867EF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725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3BA27EF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24</w:t>
                  </w:r>
                </w:p>
              </w:tc>
              <w:tc>
                <w:tcPr>
                  <w:tcW w:w="2081" w:type="pct"/>
                  <w:tcBorders>
                    <w:tl2br w:val="nil"/>
                    <w:tr2bl w:val="nil"/>
                  </w:tcBorders>
                  <w:noWrap w:val="0"/>
                  <w:vAlign w:val="center"/>
                </w:tcPr>
                <w:p w14:paraId="081871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螺旋输送机</w:t>
                  </w:r>
                </w:p>
              </w:tc>
              <w:tc>
                <w:tcPr>
                  <w:tcW w:w="1541" w:type="pct"/>
                  <w:tcBorders>
                    <w:tl2br w:val="nil"/>
                    <w:tr2bl w:val="nil"/>
                  </w:tcBorders>
                  <w:noWrap w:val="0"/>
                  <w:vAlign w:val="center"/>
                </w:tcPr>
                <w:p w14:paraId="2BA0EB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TLSU25</w:t>
                  </w:r>
                </w:p>
              </w:tc>
              <w:tc>
                <w:tcPr>
                  <w:tcW w:w="751" w:type="pct"/>
                  <w:tcBorders>
                    <w:tl2br w:val="nil"/>
                    <w:tr2bl w:val="nil"/>
                  </w:tcBorders>
                  <w:noWrap w:val="0"/>
                  <w:vAlign w:val="center"/>
                </w:tcPr>
                <w:p w14:paraId="274406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03C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41AE51E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25</w:t>
                  </w:r>
                </w:p>
              </w:tc>
              <w:tc>
                <w:tcPr>
                  <w:tcW w:w="2081" w:type="pct"/>
                  <w:tcBorders>
                    <w:tl2br w:val="nil"/>
                    <w:tr2bl w:val="nil"/>
                  </w:tcBorders>
                  <w:noWrap w:val="0"/>
                  <w:vAlign w:val="center"/>
                </w:tcPr>
                <w:p w14:paraId="4D58B3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541" w:type="pct"/>
                  <w:tcBorders>
                    <w:tl2br w:val="nil"/>
                    <w:tr2bl w:val="nil"/>
                  </w:tcBorders>
                  <w:noWrap w:val="0"/>
                  <w:vAlign w:val="center"/>
                </w:tcPr>
                <w:p w14:paraId="043408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TQSS20</w:t>
                  </w:r>
                </w:p>
              </w:tc>
              <w:tc>
                <w:tcPr>
                  <w:tcW w:w="751" w:type="pct"/>
                  <w:tcBorders>
                    <w:tl2br w:val="nil"/>
                    <w:tr2bl w:val="nil"/>
                  </w:tcBorders>
                  <w:noWrap w:val="0"/>
                  <w:vAlign w:val="center"/>
                </w:tcPr>
                <w:p w14:paraId="44B58C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D0B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50F6D29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26</w:t>
                  </w:r>
                </w:p>
              </w:tc>
              <w:tc>
                <w:tcPr>
                  <w:tcW w:w="2081" w:type="pct"/>
                  <w:tcBorders>
                    <w:tl2br w:val="nil"/>
                    <w:tr2bl w:val="nil"/>
                  </w:tcBorders>
                  <w:noWrap w:val="0"/>
                  <w:vAlign w:val="center"/>
                </w:tcPr>
                <w:p w14:paraId="0EA5F8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圆锥粉料筛</w:t>
                  </w:r>
                </w:p>
              </w:tc>
              <w:tc>
                <w:tcPr>
                  <w:tcW w:w="1541" w:type="pct"/>
                  <w:tcBorders>
                    <w:tl2br w:val="nil"/>
                    <w:tr2bl w:val="nil"/>
                  </w:tcBorders>
                  <w:noWrap w:val="0"/>
                  <w:vAlign w:val="center"/>
                </w:tcPr>
                <w:p w14:paraId="797E69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SCQZ80X90X110</w:t>
                  </w:r>
                </w:p>
              </w:tc>
              <w:tc>
                <w:tcPr>
                  <w:tcW w:w="751" w:type="pct"/>
                  <w:tcBorders>
                    <w:tl2br w:val="nil"/>
                    <w:tr2bl w:val="nil"/>
                  </w:tcBorders>
                  <w:noWrap w:val="0"/>
                  <w:vAlign w:val="center"/>
                </w:tcPr>
                <w:p w14:paraId="091A77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73E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0EF9247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27</w:t>
                  </w:r>
                </w:p>
              </w:tc>
              <w:tc>
                <w:tcPr>
                  <w:tcW w:w="2081" w:type="pct"/>
                  <w:tcBorders>
                    <w:tl2br w:val="nil"/>
                    <w:tr2bl w:val="nil"/>
                  </w:tcBorders>
                  <w:noWrap w:val="0"/>
                  <w:vAlign w:val="center"/>
                </w:tcPr>
                <w:p w14:paraId="4461A3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输送刮板机(双层)</w:t>
                  </w:r>
                </w:p>
              </w:tc>
              <w:tc>
                <w:tcPr>
                  <w:tcW w:w="1541" w:type="pct"/>
                  <w:tcBorders>
                    <w:tl2br w:val="nil"/>
                    <w:tr2bl w:val="nil"/>
                  </w:tcBorders>
                  <w:noWrap w:val="0"/>
                  <w:vAlign w:val="center"/>
                </w:tcPr>
                <w:p w14:paraId="3B050E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TGSS20</w:t>
                  </w:r>
                </w:p>
              </w:tc>
              <w:tc>
                <w:tcPr>
                  <w:tcW w:w="751" w:type="pct"/>
                  <w:tcBorders>
                    <w:tl2br w:val="nil"/>
                    <w:tr2bl w:val="nil"/>
                  </w:tcBorders>
                  <w:noWrap w:val="0"/>
                  <w:vAlign w:val="center"/>
                </w:tcPr>
                <w:p w14:paraId="347313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AF4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73FCE77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28</w:t>
                  </w:r>
                </w:p>
              </w:tc>
              <w:tc>
                <w:tcPr>
                  <w:tcW w:w="2081" w:type="pct"/>
                  <w:tcBorders>
                    <w:tl2br w:val="nil"/>
                    <w:tr2bl w:val="nil"/>
                  </w:tcBorders>
                  <w:noWrap w:val="0"/>
                  <w:vAlign w:val="center"/>
                </w:tcPr>
                <w:p w14:paraId="195FF7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输送刮板机(单层)</w:t>
                  </w:r>
                </w:p>
              </w:tc>
              <w:tc>
                <w:tcPr>
                  <w:tcW w:w="1541" w:type="pct"/>
                  <w:tcBorders>
                    <w:tl2br w:val="nil"/>
                    <w:tr2bl w:val="nil"/>
                  </w:tcBorders>
                  <w:noWrap w:val="0"/>
                  <w:vAlign w:val="center"/>
                </w:tcPr>
                <w:p w14:paraId="4DFCFC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TGSS20</w:t>
                  </w:r>
                </w:p>
              </w:tc>
              <w:tc>
                <w:tcPr>
                  <w:tcW w:w="751" w:type="pct"/>
                  <w:tcBorders>
                    <w:tl2br w:val="nil"/>
                    <w:tr2bl w:val="nil"/>
                  </w:tcBorders>
                  <w:noWrap w:val="0"/>
                  <w:vAlign w:val="center"/>
                </w:tcPr>
                <w:p w14:paraId="76D0AE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460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61F8FD6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29</w:t>
                  </w:r>
                </w:p>
              </w:tc>
              <w:tc>
                <w:tcPr>
                  <w:tcW w:w="2081" w:type="pct"/>
                  <w:tcBorders>
                    <w:tl2br w:val="nil"/>
                    <w:tr2bl w:val="nil"/>
                  </w:tcBorders>
                  <w:noWrap w:val="0"/>
                  <w:vAlign w:val="center"/>
                </w:tcPr>
                <w:p w14:paraId="5675A8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叶轮喂料器</w:t>
                  </w:r>
                </w:p>
              </w:tc>
              <w:tc>
                <w:tcPr>
                  <w:tcW w:w="1541" w:type="pct"/>
                  <w:tcBorders>
                    <w:tl2br w:val="nil"/>
                    <w:tr2bl w:val="nil"/>
                  </w:tcBorders>
                  <w:noWrap w:val="0"/>
                  <w:vAlign w:val="center"/>
                </w:tcPr>
                <w:p w14:paraId="6692F7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TWLY32X50</w:t>
                  </w:r>
                </w:p>
              </w:tc>
              <w:tc>
                <w:tcPr>
                  <w:tcW w:w="751" w:type="pct"/>
                  <w:tcBorders>
                    <w:tl2br w:val="nil"/>
                    <w:tr2bl w:val="nil"/>
                  </w:tcBorders>
                  <w:noWrap w:val="0"/>
                  <w:vAlign w:val="center"/>
                </w:tcPr>
                <w:p w14:paraId="75469E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970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7E72E9E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30</w:t>
                  </w:r>
                </w:p>
              </w:tc>
              <w:tc>
                <w:tcPr>
                  <w:tcW w:w="2081" w:type="pct"/>
                  <w:tcBorders>
                    <w:tl2br w:val="nil"/>
                    <w:tr2bl w:val="nil"/>
                  </w:tcBorders>
                  <w:noWrap w:val="0"/>
                  <w:vAlign w:val="center"/>
                </w:tcPr>
                <w:p w14:paraId="11A4EF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粗粉碎机</w:t>
                  </w:r>
                </w:p>
              </w:tc>
              <w:tc>
                <w:tcPr>
                  <w:tcW w:w="1541" w:type="pct"/>
                  <w:tcBorders>
                    <w:tl2br w:val="nil"/>
                    <w:tr2bl w:val="nil"/>
                  </w:tcBorders>
                  <w:noWrap w:val="0"/>
                  <w:vAlign w:val="center"/>
                </w:tcPr>
                <w:p w14:paraId="19022A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SFSP132*50</w:t>
                  </w:r>
                </w:p>
              </w:tc>
              <w:tc>
                <w:tcPr>
                  <w:tcW w:w="751" w:type="pct"/>
                  <w:tcBorders>
                    <w:tl2br w:val="nil"/>
                    <w:tr2bl w:val="nil"/>
                  </w:tcBorders>
                  <w:noWrap w:val="0"/>
                  <w:vAlign w:val="center"/>
                </w:tcPr>
                <w:p w14:paraId="4BE27C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722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3D0DE42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31</w:t>
                  </w:r>
                </w:p>
              </w:tc>
              <w:tc>
                <w:tcPr>
                  <w:tcW w:w="2081" w:type="pct"/>
                  <w:tcBorders>
                    <w:tl2br w:val="nil"/>
                    <w:tr2bl w:val="nil"/>
                  </w:tcBorders>
                  <w:noWrap w:val="0"/>
                  <w:vAlign w:val="center"/>
                </w:tcPr>
                <w:p w14:paraId="70BD93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斗式提升机</w:t>
                  </w:r>
                </w:p>
              </w:tc>
              <w:tc>
                <w:tcPr>
                  <w:tcW w:w="1541" w:type="pct"/>
                  <w:tcBorders>
                    <w:tl2br w:val="nil"/>
                    <w:tr2bl w:val="nil"/>
                  </w:tcBorders>
                  <w:noWrap w:val="0"/>
                  <w:vAlign w:val="center"/>
                </w:tcPr>
                <w:p w14:paraId="295F30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751" w:type="pct"/>
                  <w:tcBorders>
                    <w:tl2br w:val="nil"/>
                    <w:tr2bl w:val="nil"/>
                  </w:tcBorders>
                  <w:noWrap w:val="0"/>
                  <w:vAlign w:val="center"/>
                </w:tcPr>
                <w:p w14:paraId="151DC4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60D5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21DF090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32</w:t>
                  </w:r>
                </w:p>
              </w:tc>
              <w:tc>
                <w:tcPr>
                  <w:tcW w:w="2081" w:type="pct"/>
                  <w:tcBorders>
                    <w:tl2br w:val="nil"/>
                    <w:tr2bl w:val="nil"/>
                  </w:tcBorders>
                  <w:noWrap w:val="0"/>
                  <w:vAlign w:val="center"/>
                </w:tcPr>
                <w:p w14:paraId="164EE1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输送刮板机（配料）</w:t>
                  </w:r>
                </w:p>
              </w:tc>
              <w:tc>
                <w:tcPr>
                  <w:tcW w:w="1541" w:type="pct"/>
                  <w:tcBorders>
                    <w:tl2br w:val="nil"/>
                    <w:tr2bl w:val="nil"/>
                  </w:tcBorders>
                  <w:noWrap w:val="0"/>
                  <w:vAlign w:val="center"/>
                </w:tcPr>
                <w:p w14:paraId="49D6B7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TGSS25</w:t>
                  </w:r>
                </w:p>
              </w:tc>
              <w:tc>
                <w:tcPr>
                  <w:tcW w:w="751" w:type="pct"/>
                  <w:tcBorders>
                    <w:tl2br w:val="nil"/>
                    <w:tr2bl w:val="nil"/>
                  </w:tcBorders>
                  <w:noWrap w:val="0"/>
                  <w:vAlign w:val="center"/>
                </w:tcPr>
                <w:p w14:paraId="3C32A8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A86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7294DAD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33</w:t>
                  </w:r>
                </w:p>
              </w:tc>
              <w:tc>
                <w:tcPr>
                  <w:tcW w:w="2081" w:type="pct"/>
                  <w:tcBorders>
                    <w:tl2br w:val="nil"/>
                    <w:tr2bl w:val="nil"/>
                  </w:tcBorders>
                  <w:noWrap w:val="0"/>
                  <w:vAlign w:val="center"/>
                </w:tcPr>
                <w:p w14:paraId="330B7A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输送刮板机（袋打包）</w:t>
                  </w:r>
                </w:p>
              </w:tc>
              <w:tc>
                <w:tcPr>
                  <w:tcW w:w="1541" w:type="pct"/>
                  <w:tcBorders>
                    <w:tl2br w:val="nil"/>
                    <w:tr2bl w:val="nil"/>
                  </w:tcBorders>
                  <w:noWrap w:val="0"/>
                  <w:vAlign w:val="center"/>
                </w:tcPr>
                <w:p w14:paraId="00D412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TGSS25</w:t>
                  </w:r>
                </w:p>
              </w:tc>
              <w:tc>
                <w:tcPr>
                  <w:tcW w:w="751" w:type="pct"/>
                  <w:tcBorders>
                    <w:tl2br w:val="nil"/>
                    <w:tr2bl w:val="nil"/>
                  </w:tcBorders>
                  <w:noWrap w:val="0"/>
                  <w:vAlign w:val="center"/>
                </w:tcPr>
                <w:p w14:paraId="5824A1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58A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694E2EB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34</w:t>
                  </w:r>
                </w:p>
              </w:tc>
              <w:tc>
                <w:tcPr>
                  <w:tcW w:w="2081" w:type="pct"/>
                  <w:tcBorders>
                    <w:tl2br w:val="nil"/>
                    <w:tr2bl w:val="nil"/>
                  </w:tcBorders>
                  <w:noWrap w:val="0"/>
                  <w:vAlign w:val="center"/>
                </w:tcPr>
                <w:p w14:paraId="342A6E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541" w:type="pct"/>
                  <w:tcBorders>
                    <w:tl2br w:val="nil"/>
                    <w:tr2bl w:val="nil"/>
                  </w:tcBorders>
                  <w:noWrap w:val="0"/>
                  <w:vAlign w:val="center"/>
                </w:tcPr>
                <w:p w14:paraId="3935D3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PLDY2000</w:t>
                  </w:r>
                </w:p>
              </w:tc>
              <w:tc>
                <w:tcPr>
                  <w:tcW w:w="751" w:type="pct"/>
                  <w:tcBorders>
                    <w:tl2br w:val="nil"/>
                    <w:tr2bl w:val="nil"/>
                  </w:tcBorders>
                  <w:noWrap w:val="0"/>
                  <w:vAlign w:val="center"/>
                </w:tcPr>
                <w:p w14:paraId="7FD3A3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076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0DCBBB6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35</w:t>
                  </w:r>
                </w:p>
              </w:tc>
              <w:tc>
                <w:tcPr>
                  <w:tcW w:w="2081" w:type="pct"/>
                  <w:tcBorders>
                    <w:tl2br w:val="nil"/>
                    <w:tr2bl w:val="nil"/>
                  </w:tcBorders>
                  <w:noWrap w:val="0"/>
                  <w:vAlign w:val="center"/>
                </w:tcPr>
                <w:p w14:paraId="35A096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双轴桨叶式混合机</w:t>
                  </w:r>
                </w:p>
              </w:tc>
              <w:tc>
                <w:tcPr>
                  <w:tcW w:w="1541" w:type="pct"/>
                  <w:tcBorders>
                    <w:tl2br w:val="nil"/>
                    <w:tr2bl w:val="nil"/>
                  </w:tcBorders>
                  <w:noWrap w:val="0"/>
                  <w:vAlign w:val="center"/>
                </w:tcPr>
                <w:p w14:paraId="537094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SLHS4</w:t>
                  </w:r>
                </w:p>
              </w:tc>
              <w:tc>
                <w:tcPr>
                  <w:tcW w:w="751" w:type="pct"/>
                  <w:tcBorders>
                    <w:tl2br w:val="nil"/>
                    <w:tr2bl w:val="nil"/>
                  </w:tcBorders>
                  <w:noWrap w:val="0"/>
                  <w:vAlign w:val="center"/>
                </w:tcPr>
                <w:p w14:paraId="64C892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EE9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5061F20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36</w:t>
                  </w:r>
                </w:p>
              </w:tc>
              <w:tc>
                <w:tcPr>
                  <w:tcW w:w="2081" w:type="pct"/>
                  <w:tcBorders>
                    <w:tl2br w:val="nil"/>
                    <w:tr2bl w:val="nil"/>
                  </w:tcBorders>
                  <w:noWrap w:val="0"/>
                  <w:vAlign w:val="center"/>
                </w:tcPr>
                <w:p w14:paraId="24FA8D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油脂添加系统</w:t>
                  </w:r>
                </w:p>
              </w:tc>
              <w:tc>
                <w:tcPr>
                  <w:tcW w:w="1541" w:type="pct"/>
                  <w:tcBorders>
                    <w:tl2br w:val="nil"/>
                    <w:tr2bl w:val="nil"/>
                  </w:tcBorders>
                  <w:noWrap w:val="0"/>
                  <w:vAlign w:val="center"/>
                </w:tcPr>
                <w:p w14:paraId="0149D1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100kg/批</w:t>
                  </w:r>
                </w:p>
              </w:tc>
              <w:tc>
                <w:tcPr>
                  <w:tcW w:w="751" w:type="pct"/>
                  <w:tcBorders>
                    <w:tl2br w:val="nil"/>
                    <w:tr2bl w:val="nil"/>
                  </w:tcBorders>
                  <w:noWrap w:val="0"/>
                  <w:vAlign w:val="center"/>
                </w:tcPr>
                <w:p w14:paraId="4037BB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3E6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1DE939E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37</w:t>
                  </w:r>
                </w:p>
              </w:tc>
              <w:tc>
                <w:tcPr>
                  <w:tcW w:w="2081" w:type="pct"/>
                  <w:tcBorders>
                    <w:tl2br w:val="nil"/>
                    <w:tr2bl w:val="nil"/>
                  </w:tcBorders>
                  <w:noWrap w:val="0"/>
                  <w:vAlign w:val="center"/>
                </w:tcPr>
                <w:p w14:paraId="7C1328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刮板输送机(双层)</w:t>
                  </w:r>
                </w:p>
              </w:tc>
              <w:tc>
                <w:tcPr>
                  <w:tcW w:w="1541" w:type="pct"/>
                  <w:tcBorders>
                    <w:tl2br w:val="nil"/>
                    <w:tr2bl w:val="nil"/>
                  </w:tcBorders>
                  <w:noWrap w:val="0"/>
                  <w:vAlign w:val="center"/>
                </w:tcPr>
                <w:p w14:paraId="20048C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TGSS25</w:t>
                  </w:r>
                </w:p>
              </w:tc>
              <w:tc>
                <w:tcPr>
                  <w:tcW w:w="751" w:type="pct"/>
                  <w:tcBorders>
                    <w:tl2br w:val="nil"/>
                    <w:tr2bl w:val="nil"/>
                  </w:tcBorders>
                  <w:noWrap w:val="0"/>
                  <w:vAlign w:val="center"/>
                </w:tcPr>
                <w:p w14:paraId="02A381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5AA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5DA01E1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38</w:t>
                  </w:r>
                </w:p>
              </w:tc>
              <w:tc>
                <w:tcPr>
                  <w:tcW w:w="2081" w:type="pct"/>
                  <w:tcBorders>
                    <w:tl2br w:val="nil"/>
                    <w:tr2bl w:val="nil"/>
                  </w:tcBorders>
                  <w:noWrap w:val="0"/>
                  <w:vAlign w:val="center"/>
                </w:tcPr>
                <w:p w14:paraId="2BC856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板链输送机</w:t>
                  </w:r>
                </w:p>
              </w:tc>
              <w:tc>
                <w:tcPr>
                  <w:tcW w:w="1541" w:type="pct"/>
                  <w:tcBorders>
                    <w:tl2br w:val="nil"/>
                    <w:tr2bl w:val="nil"/>
                  </w:tcBorders>
                  <w:noWrap w:val="0"/>
                  <w:vAlign w:val="center"/>
                </w:tcPr>
                <w:p w14:paraId="669CDDB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751" w:type="pct"/>
                  <w:tcBorders>
                    <w:tl2br w:val="nil"/>
                    <w:tr2bl w:val="nil"/>
                  </w:tcBorders>
                  <w:noWrap w:val="0"/>
                  <w:vAlign w:val="center"/>
                </w:tcPr>
                <w:p w14:paraId="73F8F1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801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6329CD7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39</w:t>
                  </w:r>
                </w:p>
              </w:tc>
              <w:tc>
                <w:tcPr>
                  <w:tcW w:w="2081" w:type="pct"/>
                  <w:tcBorders>
                    <w:tl2br w:val="nil"/>
                    <w:tr2bl w:val="nil"/>
                  </w:tcBorders>
                  <w:noWrap w:val="0"/>
                  <w:vAlign w:val="center"/>
                </w:tcPr>
                <w:p w14:paraId="22142E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制粒机(双马达传动)</w:t>
                  </w:r>
                </w:p>
              </w:tc>
              <w:tc>
                <w:tcPr>
                  <w:tcW w:w="1541" w:type="pct"/>
                  <w:tcBorders>
                    <w:tl2br w:val="nil"/>
                    <w:tr2bl w:val="nil"/>
                  </w:tcBorders>
                  <w:noWrap w:val="0"/>
                  <w:vAlign w:val="center"/>
                </w:tcPr>
                <w:p w14:paraId="5022F0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KDZL550-150kw</w:t>
                  </w:r>
                </w:p>
              </w:tc>
              <w:tc>
                <w:tcPr>
                  <w:tcW w:w="751" w:type="pct"/>
                  <w:tcBorders>
                    <w:tl2br w:val="nil"/>
                    <w:tr2bl w:val="nil"/>
                  </w:tcBorders>
                  <w:noWrap w:val="0"/>
                  <w:vAlign w:val="center"/>
                </w:tcPr>
                <w:p w14:paraId="17CA2B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2D7E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43ADB3D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40</w:t>
                  </w:r>
                </w:p>
              </w:tc>
              <w:tc>
                <w:tcPr>
                  <w:tcW w:w="2081" w:type="pct"/>
                  <w:tcBorders>
                    <w:tl2br w:val="nil"/>
                    <w:tr2bl w:val="nil"/>
                  </w:tcBorders>
                  <w:noWrap w:val="0"/>
                  <w:vAlign w:val="center"/>
                </w:tcPr>
                <w:p w14:paraId="264C7F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皮带输送机</w:t>
                  </w:r>
                </w:p>
              </w:tc>
              <w:tc>
                <w:tcPr>
                  <w:tcW w:w="1541" w:type="pct"/>
                  <w:tcBorders>
                    <w:tl2br w:val="nil"/>
                    <w:tr2bl w:val="nil"/>
                  </w:tcBorders>
                  <w:noWrap w:val="0"/>
                  <w:vAlign w:val="center"/>
                </w:tcPr>
                <w:p w14:paraId="277344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PDSS40</w:t>
                  </w:r>
                </w:p>
              </w:tc>
              <w:tc>
                <w:tcPr>
                  <w:tcW w:w="751" w:type="pct"/>
                  <w:tcBorders>
                    <w:tl2br w:val="nil"/>
                    <w:tr2bl w:val="nil"/>
                  </w:tcBorders>
                  <w:noWrap w:val="0"/>
                  <w:vAlign w:val="center"/>
                </w:tcPr>
                <w:p w14:paraId="51AFBA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6978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5A84FFE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41</w:t>
                  </w:r>
                </w:p>
              </w:tc>
              <w:tc>
                <w:tcPr>
                  <w:tcW w:w="2081" w:type="pct"/>
                  <w:tcBorders>
                    <w:tl2br w:val="nil"/>
                    <w:tr2bl w:val="nil"/>
                  </w:tcBorders>
                  <w:noWrap w:val="0"/>
                  <w:vAlign w:val="center"/>
                </w:tcPr>
                <w:p w14:paraId="427FDA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逆流式冷却器</w:t>
                  </w:r>
                </w:p>
              </w:tc>
              <w:tc>
                <w:tcPr>
                  <w:tcW w:w="1541" w:type="pct"/>
                  <w:tcBorders>
                    <w:tl2br w:val="nil"/>
                    <w:tr2bl w:val="nil"/>
                  </w:tcBorders>
                  <w:noWrap w:val="0"/>
                  <w:vAlign w:val="center"/>
                </w:tcPr>
                <w:p w14:paraId="32564C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SKLN24X24</w:t>
                  </w:r>
                </w:p>
              </w:tc>
              <w:tc>
                <w:tcPr>
                  <w:tcW w:w="751" w:type="pct"/>
                  <w:tcBorders>
                    <w:tl2br w:val="nil"/>
                    <w:tr2bl w:val="nil"/>
                  </w:tcBorders>
                  <w:noWrap w:val="0"/>
                  <w:vAlign w:val="center"/>
                </w:tcPr>
                <w:p w14:paraId="78C0AB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2C99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1352CE0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42</w:t>
                  </w:r>
                </w:p>
              </w:tc>
              <w:tc>
                <w:tcPr>
                  <w:tcW w:w="2081" w:type="pct"/>
                  <w:tcBorders>
                    <w:tl2br w:val="nil"/>
                    <w:tr2bl w:val="nil"/>
                  </w:tcBorders>
                  <w:noWrap w:val="0"/>
                  <w:vAlign w:val="center"/>
                </w:tcPr>
                <w:p w14:paraId="5C569A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包装秤</w:t>
                  </w:r>
                </w:p>
              </w:tc>
              <w:tc>
                <w:tcPr>
                  <w:tcW w:w="1541" w:type="pct"/>
                  <w:tcBorders>
                    <w:tl2br w:val="nil"/>
                    <w:tr2bl w:val="nil"/>
                  </w:tcBorders>
                  <w:noWrap w:val="0"/>
                  <w:vAlign w:val="center"/>
                </w:tcPr>
                <w:p w14:paraId="58D288D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751" w:type="pct"/>
                  <w:tcBorders>
                    <w:tl2br w:val="nil"/>
                    <w:tr2bl w:val="nil"/>
                  </w:tcBorders>
                  <w:noWrap w:val="0"/>
                  <w:vAlign w:val="center"/>
                </w:tcPr>
                <w:p w14:paraId="26016F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14D0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pct"/>
                  <w:tcBorders>
                    <w:tl2br w:val="nil"/>
                    <w:tr2bl w:val="nil"/>
                  </w:tcBorders>
                  <w:noWrap w:val="0"/>
                  <w:vAlign w:val="center"/>
                </w:tcPr>
                <w:p w14:paraId="60546FF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43</w:t>
                  </w:r>
                </w:p>
              </w:tc>
              <w:tc>
                <w:tcPr>
                  <w:tcW w:w="2081" w:type="pct"/>
                  <w:tcBorders>
                    <w:tl2br w:val="nil"/>
                    <w:tr2bl w:val="nil"/>
                  </w:tcBorders>
                  <w:noWrap w:val="0"/>
                  <w:vAlign w:val="center"/>
                </w:tcPr>
                <w:p w14:paraId="5D832A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缝口输送组合机</w:t>
                  </w:r>
                </w:p>
              </w:tc>
              <w:tc>
                <w:tcPr>
                  <w:tcW w:w="1541" w:type="pct"/>
                  <w:tcBorders>
                    <w:tl2br w:val="nil"/>
                    <w:tr2bl w:val="nil"/>
                  </w:tcBorders>
                  <w:noWrap w:val="0"/>
                  <w:vAlign w:val="center"/>
                </w:tcPr>
                <w:p w14:paraId="371373A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751" w:type="pct"/>
                  <w:tcBorders>
                    <w:tl2br w:val="nil"/>
                    <w:tr2bl w:val="nil"/>
                  </w:tcBorders>
                  <w:noWrap w:val="0"/>
                  <w:vAlign w:val="center"/>
                </w:tcPr>
                <w:p w14:paraId="438A29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bl>
          <w:p w14:paraId="0ADEE5E4">
            <w:pPr>
              <w:spacing w:line="520" w:lineRule="exact"/>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pacing w:val="6"/>
                <w:sz w:val="24"/>
                <w:highlight w:val="none"/>
                <w:lang w:val="en-US" w:eastAsia="zh-CN"/>
              </w:rPr>
              <w:t>4</w:t>
            </w:r>
            <w:r>
              <w:rPr>
                <w:rFonts w:hint="default" w:ascii="Times New Roman" w:hAnsi="Times New Roman" w:eastAsia="宋体" w:cs="Times New Roman"/>
                <w:b/>
                <w:bCs/>
                <w:color w:val="auto"/>
                <w:spacing w:val="6"/>
                <w:sz w:val="24"/>
                <w:highlight w:val="none"/>
              </w:rPr>
              <w:t>.</w:t>
            </w:r>
            <w:r>
              <w:rPr>
                <w:rFonts w:hint="default" w:ascii="Times New Roman" w:hAnsi="Times New Roman" w:eastAsia="宋体" w:cs="Times New Roman"/>
                <w:b/>
                <w:bCs/>
                <w:color w:val="auto"/>
                <w:sz w:val="24"/>
                <w:highlight w:val="none"/>
              </w:rPr>
              <w:t>公用工程</w:t>
            </w:r>
          </w:p>
          <w:p w14:paraId="6DA4CADF">
            <w:pPr>
              <w:spacing w:line="520" w:lineRule="exac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.1给水</w:t>
            </w:r>
            <w:r>
              <w:rPr>
                <w:rFonts w:hint="eastAsia" w:cs="Times New Roman"/>
                <w:b/>
                <w:bCs/>
                <w:color w:val="auto"/>
                <w:sz w:val="24"/>
                <w:highlight w:val="none"/>
                <w:lang w:val="en-US" w:eastAsia="zh-CN"/>
              </w:rPr>
              <w:t>及排水</w:t>
            </w:r>
          </w:p>
          <w:p w14:paraId="3FFB0482">
            <w:pPr>
              <w:spacing w:line="480" w:lineRule="exact"/>
              <w:ind w:firstLine="460" w:firstLineChars="192"/>
              <w:rPr>
                <w:rFonts w:hint="default" w:ascii="Times New Roman" w:hAnsi="Times New Roman" w:cs="Times New Roman"/>
                <w:snapToGrid w:val="0"/>
                <w:color w:val="auto"/>
                <w:kern w:val="0"/>
                <w:sz w:val="24"/>
                <w:szCs w:val="22"/>
                <w:highlight w:val="none"/>
              </w:rPr>
            </w:pPr>
            <w:r>
              <w:rPr>
                <w:rFonts w:hint="eastAsia" w:cs="Times New Roman"/>
                <w:snapToGrid w:val="0"/>
                <w:color w:val="auto"/>
                <w:kern w:val="0"/>
                <w:sz w:val="24"/>
                <w:szCs w:val="22"/>
                <w:highlight w:val="none"/>
                <w:lang w:eastAsia="zh-CN"/>
              </w:rPr>
              <w:t>（</w:t>
            </w:r>
            <w:r>
              <w:rPr>
                <w:rFonts w:hint="eastAsia" w:cs="Times New Roman"/>
                <w:snapToGrid w:val="0"/>
                <w:color w:val="auto"/>
                <w:kern w:val="0"/>
                <w:sz w:val="24"/>
                <w:szCs w:val="22"/>
                <w:highlight w:val="none"/>
                <w:lang w:val="en-US" w:eastAsia="zh-CN"/>
              </w:rPr>
              <w:t>1</w:t>
            </w:r>
            <w:r>
              <w:rPr>
                <w:rFonts w:hint="eastAsia" w:cs="Times New Roman"/>
                <w:snapToGrid w:val="0"/>
                <w:color w:val="auto"/>
                <w:kern w:val="0"/>
                <w:sz w:val="24"/>
                <w:szCs w:val="22"/>
                <w:highlight w:val="none"/>
                <w:lang w:eastAsia="zh-CN"/>
              </w:rPr>
              <w:t>）</w:t>
            </w:r>
            <w:r>
              <w:rPr>
                <w:rFonts w:hint="default" w:ascii="Times New Roman" w:hAnsi="Times New Roman" w:cs="Times New Roman"/>
                <w:snapToGrid w:val="0"/>
                <w:color w:val="auto"/>
                <w:kern w:val="0"/>
                <w:sz w:val="24"/>
                <w:szCs w:val="22"/>
                <w:highlight w:val="none"/>
              </w:rPr>
              <w:t>生活用水</w:t>
            </w:r>
          </w:p>
          <w:p w14:paraId="624F51D4">
            <w:pPr>
              <w:spacing w:line="480" w:lineRule="exact"/>
              <w:ind w:firstLine="460" w:firstLineChars="192"/>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szCs w:val="22"/>
                <w:highlight w:val="none"/>
              </w:rPr>
              <w:t>项目劳动定员为</w:t>
            </w:r>
            <w:r>
              <w:rPr>
                <w:rFonts w:hint="default" w:ascii="Times New Roman" w:hAnsi="Times New Roman" w:cs="Times New Roman"/>
                <w:snapToGrid w:val="0"/>
                <w:color w:val="auto"/>
                <w:kern w:val="0"/>
                <w:sz w:val="24"/>
                <w:szCs w:val="22"/>
                <w:highlight w:val="none"/>
                <w:lang w:val="en-US" w:eastAsia="zh-CN"/>
              </w:rPr>
              <w:t>25</w:t>
            </w:r>
            <w:r>
              <w:rPr>
                <w:rFonts w:hint="default" w:ascii="Times New Roman" w:hAnsi="Times New Roman" w:cs="Times New Roman"/>
                <w:snapToGrid w:val="0"/>
                <w:color w:val="auto"/>
                <w:kern w:val="0"/>
                <w:sz w:val="24"/>
                <w:szCs w:val="22"/>
                <w:highlight w:val="none"/>
              </w:rPr>
              <w:t>人，根据《新疆维吾尔自治区生活用水定额》确定本项目职工人均生活用水量为</w:t>
            </w:r>
            <w:r>
              <w:rPr>
                <w:rFonts w:hint="default" w:ascii="Times New Roman" w:hAnsi="Times New Roman" w:cs="Times New Roman"/>
                <w:snapToGrid w:val="0"/>
                <w:color w:val="auto"/>
                <w:kern w:val="0"/>
                <w:sz w:val="24"/>
                <w:szCs w:val="22"/>
                <w:highlight w:val="none"/>
                <w:lang w:val="en-US" w:eastAsia="zh-CN"/>
              </w:rPr>
              <w:t>12</w:t>
            </w:r>
            <w:r>
              <w:rPr>
                <w:rFonts w:hint="default" w:ascii="Times New Roman" w:hAnsi="Times New Roman" w:cs="Times New Roman"/>
                <w:snapToGrid w:val="0"/>
                <w:color w:val="auto"/>
                <w:kern w:val="0"/>
                <w:sz w:val="24"/>
                <w:szCs w:val="22"/>
                <w:highlight w:val="none"/>
              </w:rPr>
              <w:t>0L/人</w:t>
            </w:r>
            <w:r>
              <w:rPr>
                <w:rFonts w:hint="default" w:ascii="Times New Roman" w:hAnsi="Times New Roman" w:eastAsia="宋体" w:cs="Times New Roman"/>
                <w:snapToGrid w:val="0"/>
                <w:color w:val="auto"/>
                <w:kern w:val="0"/>
                <w:sz w:val="24"/>
                <w:szCs w:val="22"/>
                <w:highlight w:val="none"/>
              </w:rPr>
              <w:t>·</w:t>
            </w:r>
            <w:r>
              <w:rPr>
                <w:rFonts w:hint="default" w:ascii="Times New Roman" w:hAnsi="Times New Roman" w:cs="Times New Roman"/>
                <w:snapToGrid w:val="0"/>
                <w:color w:val="auto"/>
                <w:kern w:val="0"/>
                <w:sz w:val="24"/>
                <w:szCs w:val="22"/>
                <w:highlight w:val="none"/>
              </w:rPr>
              <w:t>d。项目全年有效生产运营</w:t>
            </w:r>
            <w:r>
              <w:rPr>
                <w:rFonts w:hint="default" w:ascii="Times New Roman" w:hAnsi="Times New Roman" w:cs="Times New Roman"/>
                <w:snapToGrid w:val="0"/>
                <w:color w:val="auto"/>
                <w:kern w:val="0"/>
                <w:sz w:val="24"/>
                <w:szCs w:val="22"/>
                <w:highlight w:val="none"/>
                <w:lang w:val="en-US" w:eastAsia="zh-CN"/>
              </w:rPr>
              <w:t>330</w:t>
            </w:r>
            <w:r>
              <w:rPr>
                <w:rFonts w:hint="default" w:ascii="Times New Roman" w:hAnsi="Times New Roman" w:cs="Times New Roman"/>
                <w:snapToGrid w:val="0"/>
                <w:color w:val="auto"/>
                <w:kern w:val="0"/>
                <w:sz w:val="24"/>
                <w:szCs w:val="22"/>
                <w:highlight w:val="none"/>
              </w:rPr>
              <w:t>d，则项目员工生活用水量约</w:t>
            </w:r>
            <w:r>
              <w:rPr>
                <w:rFonts w:hint="default" w:ascii="Times New Roman" w:hAnsi="Times New Roman" w:cs="Times New Roman"/>
                <w:snapToGrid w:val="0"/>
                <w:color w:val="auto"/>
                <w:kern w:val="0"/>
                <w:sz w:val="24"/>
                <w:szCs w:val="22"/>
                <w:highlight w:val="none"/>
                <w:lang w:val="en-US" w:eastAsia="zh-CN"/>
              </w:rPr>
              <w:t>990</w:t>
            </w:r>
            <w:r>
              <w:rPr>
                <w:rFonts w:hint="default" w:ascii="Times New Roman" w:hAnsi="Times New Roman" w:cs="Times New Roman"/>
                <w:snapToGrid w:val="0"/>
                <w:color w:val="auto"/>
                <w:kern w:val="0"/>
                <w:sz w:val="24"/>
                <w:szCs w:val="22"/>
                <w:highlight w:val="none"/>
              </w:rPr>
              <w:t>m</w:t>
            </w:r>
            <w:r>
              <w:rPr>
                <w:rFonts w:hint="default" w:ascii="Times New Roman" w:hAnsi="Times New Roman" w:cs="Times New Roman"/>
                <w:snapToGrid w:val="0"/>
                <w:color w:val="auto"/>
                <w:kern w:val="0"/>
                <w:sz w:val="24"/>
                <w:szCs w:val="22"/>
                <w:highlight w:val="none"/>
                <w:vertAlign w:val="superscript"/>
              </w:rPr>
              <w:t>3</w:t>
            </w:r>
            <w:r>
              <w:rPr>
                <w:rFonts w:hint="default" w:ascii="Times New Roman" w:hAnsi="Times New Roman" w:cs="Times New Roman"/>
                <w:snapToGrid w:val="0"/>
                <w:color w:val="auto"/>
                <w:kern w:val="0"/>
                <w:sz w:val="24"/>
                <w:szCs w:val="22"/>
                <w:highlight w:val="none"/>
              </w:rPr>
              <w:t>/a</w:t>
            </w:r>
            <w:r>
              <w:rPr>
                <w:rFonts w:hint="default" w:ascii="Times New Roman" w:hAnsi="Times New Roman" w:cs="Times New Roman"/>
                <w:snapToGrid w:val="0"/>
                <w:color w:val="auto"/>
                <w:kern w:val="0"/>
                <w:sz w:val="24"/>
                <w:szCs w:val="22"/>
                <w:highlight w:val="none"/>
                <w:lang w:eastAsia="zh-CN"/>
              </w:rPr>
              <w:t>（</w:t>
            </w:r>
            <w:r>
              <w:rPr>
                <w:rFonts w:hint="eastAsia" w:cs="Times New Roman"/>
                <w:snapToGrid w:val="0"/>
                <w:color w:val="auto"/>
                <w:kern w:val="0"/>
                <w:sz w:val="24"/>
                <w:szCs w:val="22"/>
                <w:highlight w:val="none"/>
                <w:lang w:val="en-US" w:eastAsia="zh-CN"/>
              </w:rPr>
              <w:t>3</w:t>
            </w:r>
            <w:r>
              <w:rPr>
                <w:rFonts w:hint="default" w:ascii="Times New Roman" w:hAnsi="Times New Roman" w:cs="Times New Roman"/>
                <w:snapToGrid w:val="0"/>
                <w:color w:val="auto"/>
                <w:kern w:val="0"/>
                <w:sz w:val="24"/>
                <w:szCs w:val="22"/>
                <w:highlight w:val="none"/>
              </w:rPr>
              <w:t>m</w:t>
            </w:r>
            <w:r>
              <w:rPr>
                <w:rFonts w:hint="default" w:ascii="Times New Roman" w:hAnsi="Times New Roman" w:cs="Times New Roman"/>
                <w:snapToGrid w:val="0"/>
                <w:color w:val="auto"/>
                <w:kern w:val="0"/>
                <w:sz w:val="24"/>
                <w:szCs w:val="22"/>
                <w:highlight w:val="none"/>
                <w:vertAlign w:val="superscript"/>
              </w:rPr>
              <w:t>3</w:t>
            </w:r>
            <w:r>
              <w:rPr>
                <w:rFonts w:hint="default" w:ascii="Times New Roman" w:hAnsi="Times New Roman" w:cs="Times New Roman"/>
                <w:snapToGrid w:val="0"/>
                <w:color w:val="auto"/>
                <w:kern w:val="0"/>
                <w:sz w:val="24"/>
                <w:szCs w:val="22"/>
                <w:highlight w:val="none"/>
              </w:rPr>
              <w:t>/</w:t>
            </w:r>
            <w:r>
              <w:rPr>
                <w:rFonts w:hint="default" w:ascii="Times New Roman" w:hAnsi="Times New Roman" w:cs="Times New Roman"/>
                <w:snapToGrid w:val="0"/>
                <w:color w:val="auto"/>
                <w:kern w:val="0"/>
                <w:sz w:val="24"/>
                <w:szCs w:val="22"/>
                <w:highlight w:val="none"/>
                <w:lang w:val="en-US" w:eastAsia="zh-CN"/>
              </w:rPr>
              <w:t>d）。</w:t>
            </w:r>
            <w:r>
              <w:rPr>
                <w:rFonts w:hint="default" w:ascii="Times New Roman" w:hAnsi="Times New Roman" w:cs="Times New Roman"/>
                <w:snapToGrid w:val="0"/>
                <w:color w:val="auto"/>
                <w:kern w:val="0"/>
                <w:sz w:val="24"/>
                <w:highlight w:val="none"/>
              </w:rPr>
              <w:t>生活污水按生活用水量的8</w:t>
            </w:r>
            <w:r>
              <w:rPr>
                <w:rFonts w:hint="default" w:ascii="Times New Roman" w:hAnsi="Times New Roman" w:cs="Times New Roman"/>
                <w:snapToGrid w:val="0"/>
                <w:color w:val="auto"/>
                <w:kern w:val="0"/>
                <w:sz w:val="24"/>
                <w:highlight w:val="none"/>
                <w:lang w:val="en-US" w:eastAsia="zh-CN"/>
              </w:rPr>
              <w:t>5</w:t>
            </w:r>
            <w:r>
              <w:rPr>
                <w:rFonts w:hint="default" w:ascii="Times New Roman" w:hAnsi="Times New Roman" w:cs="Times New Roman"/>
                <w:snapToGrid w:val="0"/>
                <w:color w:val="auto"/>
                <w:kern w:val="0"/>
                <w:sz w:val="24"/>
                <w:highlight w:val="none"/>
              </w:rPr>
              <w:t>%计，即</w:t>
            </w:r>
            <w:r>
              <w:rPr>
                <w:rFonts w:hint="default" w:ascii="Times New Roman" w:hAnsi="Times New Roman" w:cs="Times New Roman"/>
                <w:snapToGrid w:val="0"/>
                <w:color w:val="auto"/>
                <w:kern w:val="0"/>
                <w:sz w:val="24"/>
                <w:highlight w:val="none"/>
                <w:lang w:val="en-US" w:eastAsia="zh-CN"/>
              </w:rPr>
              <w:t>841.5</w:t>
            </w:r>
            <w:r>
              <w:rPr>
                <w:rFonts w:hint="default" w:ascii="Times New Roman" w:hAnsi="Times New Roman" w:cs="Times New Roman"/>
                <w:snapToGrid w:val="0"/>
                <w:color w:val="auto"/>
                <w:kern w:val="0"/>
                <w:sz w:val="24"/>
                <w:highlight w:val="none"/>
              </w:rPr>
              <w:t>m</w:t>
            </w:r>
            <w:r>
              <w:rPr>
                <w:rFonts w:hint="default" w:ascii="Times New Roman" w:hAnsi="Times New Roman" w:cs="Times New Roman"/>
                <w:snapToGrid w:val="0"/>
                <w:color w:val="auto"/>
                <w:kern w:val="0"/>
                <w:sz w:val="24"/>
                <w:highlight w:val="none"/>
                <w:vertAlign w:val="superscript"/>
              </w:rPr>
              <w:t>3</w:t>
            </w:r>
            <w:r>
              <w:rPr>
                <w:rFonts w:hint="default" w:ascii="Times New Roman" w:hAnsi="Times New Roman" w:cs="Times New Roman"/>
                <w:snapToGrid w:val="0"/>
                <w:color w:val="auto"/>
                <w:kern w:val="0"/>
                <w:sz w:val="24"/>
                <w:highlight w:val="none"/>
              </w:rPr>
              <w:t>/a</w:t>
            </w:r>
            <w:r>
              <w:rPr>
                <w:rFonts w:hint="default" w:ascii="Times New Roman" w:hAnsi="Times New Roman" w:cs="Times New Roman"/>
                <w:snapToGrid w:val="0"/>
                <w:color w:val="auto"/>
                <w:kern w:val="0"/>
                <w:sz w:val="24"/>
                <w:szCs w:val="22"/>
                <w:highlight w:val="none"/>
                <w:lang w:eastAsia="zh-CN"/>
              </w:rPr>
              <w:t>（</w:t>
            </w:r>
            <w:r>
              <w:rPr>
                <w:rFonts w:hint="eastAsia" w:ascii="Times New Roman" w:hAnsi="Times New Roman" w:cs="Times New Roman"/>
                <w:snapToGrid w:val="0"/>
                <w:color w:val="auto"/>
                <w:kern w:val="0"/>
                <w:sz w:val="24"/>
                <w:szCs w:val="22"/>
                <w:highlight w:val="none"/>
                <w:lang w:val="en-US" w:eastAsia="zh-CN"/>
              </w:rPr>
              <w:t>2.55</w:t>
            </w:r>
            <w:r>
              <w:rPr>
                <w:rFonts w:hint="default" w:ascii="Times New Roman" w:hAnsi="Times New Roman" w:cs="Times New Roman"/>
                <w:snapToGrid w:val="0"/>
                <w:color w:val="auto"/>
                <w:kern w:val="0"/>
                <w:sz w:val="24"/>
                <w:szCs w:val="22"/>
                <w:highlight w:val="none"/>
              </w:rPr>
              <w:t>m</w:t>
            </w:r>
            <w:r>
              <w:rPr>
                <w:rFonts w:hint="default" w:ascii="Times New Roman" w:hAnsi="Times New Roman" w:cs="Times New Roman"/>
                <w:snapToGrid w:val="0"/>
                <w:color w:val="auto"/>
                <w:kern w:val="0"/>
                <w:sz w:val="24"/>
                <w:szCs w:val="22"/>
                <w:highlight w:val="none"/>
                <w:vertAlign w:val="superscript"/>
              </w:rPr>
              <w:t>3</w:t>
            </w:r>
            <w:r>
              <w:rPr>
                <w:rFonts w:hint="default" w:ascii="Times New Roman" w:hAnsi="Times New Roman" w:cs="Times New Roman"/>
                <w:snapToGrid w:val="0"/>
                <w:color w:val="auto"/>
                <w:kern w:val="0"/>
                <w:sz w:val="24"/>
                <w:szCs w:val="22"/>
                <w:highlight w:val="none"/>
              </w:rPr>
              <w:t>/</w:t>
            </w:r>
            <w:r>
              <w:rPr>
                <w:rFonts w:hint="default" w:ascii="Times New Roman" w:hAnsi="Times New Roman" w:cs="Times New Roman"/>
                <w:snapToGrid w:val="0"/>
                <w:color w:val="auto"/>
                <w:kern w:val="0"/>
                <w:sz w:val="24"/>
                <w:szCs w:val="22"/>
                <w:highlight w:val="none"/>
                <w:lang w:val="en-US" w:eastAsia="zh-CN"/>
              </w:rPr>
              <w:t>d）</w:t>
            </w:r>
            <w:r>
              <w:rPr>
                <w:rFonts w:hint="default" w:ascii="Times New Roman" w:hAnsi="Times New Roman" w:cs="Times New Roman"/>
                <w:snapToGrid w:val="0"/>
                <w:color w:val="auto"/>
                <w:kern w:val="0"/>
                <w:sz w:val="24"/>
                <w:highlight w:val="none"/>
              </w:rPr>
              <w:t>，</w:t>
            </w:r>
            <w:r>
              <w:rPr>
                <w:rFonts w:hint="default" w:ascii="Times New Roman" w:hAnsi="Times New Roman" w:cs="Times New Roman"/>
                <w:color w:val="auto"/>
                <w:sz w:val="24"/>
                <w:highlight w:val="none"/>
                <w:lang w:eastAsia="zh-CN"/>
              </w:rPr>
              <w:t>生活污</w:t>
            </w:r>
            <w:r>
              <w:rPr>
                <w:rFonts w:hint="eastAsia" w:cs="Times New Roman"/>
                <w:color w:val="auto"/>
                <w:sz w:val="24"/>
                <w:highlight w:val="none"/>
                <w:lang w:val="en-US" w:eastAsia="zh-CN"/>
              </w:rPr>
              <w:t>排入市政污水管网</w:t>
            </w:r>
            <w:r>
              <w:rPr>
                <w:rFonts w:hint="default" w:ascii="Times New Roman" w:hAnsi="Times New Roman" w:cs="Times New Roman"/>
                <w:snapToGrid w:val="0"/>
                <w:color w:val="auto"/>
                <w:kern w:val="0"/>
                <w:sz w:val="24"/>
                <w:highlight w:val="none"/>
              </w:rPr>
              <w:t>。</w:t>
            </w:r>
          </w:p>
          <w:p w14:paraId="38216AE4">
            <w:pPr>
              <w:spacing w:line="500" w:lineRule="exact"/>
              <w:ind w:firstLine="480" w:firstLineChars="200"/>
              <w:rPr>
                <w:rFonts w:hint="default" w:ascii="Times New Roman" w:hAnsi="Times New Roman" w:cs="Times New Roman"/>
                <w:snapToGrid w:val="0"/>
                <w:color w:val="auto"/>
                <w:kern w:val="0"/>
                <w:sz w:val="24"/>
                <w:szCs w:val="22"/>
                <w:highlight w:val="none"/>
              </w:rPr>
            </w:pPr>
            <w:r>
              <w:rPr>
                <w:rFonts w:hint="eastAsia" w:cs="Times New Roman"/>
                <w:snapToGrid w:val="0"/>
                <w:color w:val="auto"/>
                <w:kern w:val="0"/>
                <w:sz w:val="24"/>
                <w:szCs w:val="22"/>
                <w:highlight w:val="none"/>
                <w:lang w:val="en-US" w:eastAsia="zh-CN"/>
              </w:rPr>
              <w:t>（2）</w:t>
            </w:r>
            <w:r>
              <w:rPr>
                <w:rFonts w:hint="default" w:ascii="Times New Roman" w:hAnsi="Times New Roman" w:cs="Times New Roman"/>
                <w:snapToGrid w:val="0"/>
                <w:color w:val="auto"/>
                <w:kern w:val="0"/>
                <w:sz w:val="24"/>
                <w:szCs w:val="22"/>
                <w:highlight w:val="none"/>
                <w:lang w:val="en-US" w:eastAsia="zh-CN"/>
              </w:rPr>
              <w:t>生产</w:t>
            </w:r>
            <w:r>
              <w:rPr>
                <w:rFonts w:hint="default" w:ascii="Times New Roman" w:hAnsi="Times New Roman" w:cs="Times New Roman"/>
                <w:snapToGrid w:val="0"/>
                <w:color w:val="auto"/>
                <w:kern w:val="0"/>
                <w:sz w:val="24"/>
                <w:szCs w:val="22"/>
                <w:highlight w:val="none"/>
              </w:rPr>
              <w:t>用水</w:t>
            </w:r>
          </w:p>
          <w:p w14:paraId="55D6FBA1">
            <w:pPr>
              <w:spacing w:line="500" w:lineRule="exact"/>
              <w:ind w:firstLine="480" w:firstLineChars="200"/>
              <w:rPr>
                <w:rFonts w:hint="default" w:ascii="Times New Roman" w:hAnsi="Times New Roman" w:cs="Times New Roman"/>
                <w:snapToGrid w:val="0"/>
                <w:color w:val="auto"/>
                <w:kern w:val="0"/>
                <w:sz w:val="24"/>
                <w:szCs w:val="22"/>
                <w:highlight w:val="none"/>
                <w:lang w:val="en-US" w:eastAsia="zh-CN"/>
              </w:rPr>
            </w:pPr>
            <w:r>
              <w:rPr>
                <w:rFonts w:hint="eastAsia" w:cs="Times New Roman"/>
                <w:snapToGrid w:val="0"/>
                <w:color w:val="auto"/>
                <w:kern w:val="0"/>
                <w:sz w:val="24"/>
                <w:szCs w:val="22"/>
                <w:highlight w:val="none"/>
                <w:lang w:val="en-US" w:eastAsia="zh-CN"/>
              </w:rPr>
              <w:t>①菌种配置用水</w:t>
            </w:r>
          </w:p>
          <w:p w14:paraId="19FC73FA">
            <w:pPr>
              <w:spacing w:line="500" w:lineRule="exact"/>
              <w:ind w:firstLine="480" w:firstLineChars="200"/>
              <w:rPr>
                <w:rFonts w:hint="default" w:ascii="Times New Roman" w:hAnsi="Times New Roman" w:eastAsia="宋体" w:cs="Times New Roman"/>
                <w:snapToGrid w:val="0"/>
                <w:color w:val="auto"/>
                <w:kern w:val="0"/>
                <w:sz w:val="24"/>
                <w:szCs w:val="22"/>
                <w:highlight w:val="none"/>
                <w:lang w:val="en-US" w:eastAsia="zh-CN"/>
              </w:rPr>
            </w:pPr>
            <w:r>
              <w:rPr>
                <w:rFonts w:hint="eastAsia" w:cs="Times New Roman"/>
                <w:snapToGrid w:val="0"/>
                <w:color w:val="auto"/>
                <w:kern w:val="0"/>
                <w:sz w:val="24"/>
                <w:szCs w:val="22"/>
                <w:highlight w:val="none"/>
                <w:lang w:val="en-US" w:eastAsia="zh-CN"/>
              </w:rPr>
              <w:t>根据项目设计资料，项目菌种配置用水量约为</w:t>
            </w:r>
            <w:r>
              <w:rPr>
                <w:rFonts w:hint="default" w:ascii="Times New Roman" w:hAnsi="Times New Roman" w:cs="Times New Roman"/>
                <w:snapToGrid w:val="0"/>
                <w:color w:val="auto"/>
                <w:kern w:val="0"/>
                <w:sz w:val="24"/>
                <w:szCs w:val="22"/>
                <w:highlight w:val="none"/>
                <w:lang w:val="en-US" w:eastAsia="zh-CN"/>
              </w:rPr>
              <w:t>7</w:t>
            </w:r>
            <w:r>
              <w:rPr>
                <w:rFonts w:hint="default" w:ascii="Times New Roman" w:hAnsi="Times New Roman" w:cs="Times New Roman"/>
                <w:snapToGrid w:val="0"/>
                <w:color w:val="auto"/>
                <w:kern w:val="0"/>
                <w:sz w:val="24"/>
                <w:szCs w:val="22"/>
                <w:highlight w:val="none"/>
              </w:rPr>
              <w:t>m</w:t>
            </w:r>
            <w:r>
              <w:rPr>
                <w:rFonts w:hint="default" w:ascii="Times New Roman" w:hAnsi="Times New Roman" w:cs="Times New Roman"/>
                <w:snapToGrid w:val="0"/>
                <w:color w:val="auto"/>
                <w:kern w:val="0"/>
                <w:sz w:val="24"/>
                <w:szCs w:val="22"/>
                <w:highlight w:val="none"/>
                <w:vertAlign w:val="superscript"/>
              </w:rPr>
              <w:t>3</w:t>
            </w:r>
            <w:r>
              <w:rPr>
                <w:rFonts w:hint="default" w:ascii="Times New Roman" w:hAnsi="Times New Roman" w:cs="Times New Roman"/>
                <w:snapToGrid w:val="0"/>
                <w:color w:val="auto"/>
                <w:kern w:val="0"/>
                <w:sz w:val="24"/>
                <w:szCs w:val="22"/>
                <w:highlight w:val="none"/>
              </w:rPr>
              <w:t>/</w:t>
            </w:r>
            <w:r>
              <w:rPr>
                <w:rFonts w:hint="eastAsia" w:cs="Times New Roman"/>
                <w:snapToGrid w:val="0"/>
                <w:color w:val="auto"/>
                <w:kern w:val="0"/>
                <w:sz w:val="24"/>
                <w:szCs w:val="22"/>
                <w:highlight w:val="none"/>
                <w:lang w:val="en-US" w:eastAsia="zh-CN"/>
              </w:rPr>
              <w:t>d</w:t>
            </w:r>
            <w:r>
              <w:rPr>
                <w:rFonts w:hint="eastAsia" w:cs="Times New Roman"/>
                <w:snapToGrid w:val="0"/>
                <w:color w:val="auto"/>
                <w:kern w:val="0"/>
                <w:sz w:val="24"/>
                <w:szCs w:val="22"/>
                <w:highlight w:val="none"/>
                <w:lang w:eastAsia="zh-CN"/>
              </w:rPr>
              <w:t>，</w:t>
            </w:r>
            <w:r>
              <w:rPr>
                <w:rFonts w:hint="eastAsia" w:cs="Times New Roman"/>
                <w:snapToGrid w:val="0"/>
                <w:color w:val="auto"/>
                <w:kern w:val="0"/>
                <w:sz w:val="24"/>
                <w:szCs w:val="22"/>
                <w:highlight w:val="none"/>
                <w:lang w:val="en-US" w:eastAsia="zh-CN"/>
              </w:rPr>
              <w:t>配置用水进入产品，无废水产生。</w:t>
            </w:r>
          </w:p>
          <w:p w14:paraId="667F7667">
            <w:pPr>
              <w:spacing w:line="500" w:lineRule="exact"/>
              <w:ind w:firstLine="480" w:firstLineChars="200"/>
              <w:rPr>
                <w:rFonts w:hint="default" w:ascii="Times New Roman" w:hAnsi="Times New Roman" w:cs="Times New Roman"/>
                <w:snapToGrid w:val="0"/>
                <w:color w:val="auto"/>
                <w:kern w:val="0"/>
                <w:sz w:val="24"/>
                <w:szCs w:val="22"/>
                <w:highlight w:val="none"/>
                <w:lang w:val="en-US" w:eastAsia="zh-CN"/>
              </w:rPr>
            </w:pPr>
            <w:r>
              <w:rPr>
                <w:rFonts w:hint="eastAsia" w:cs="Times New Roman"/>
                <w:snapToGrid w:val="0"/>
                <w:color w:val="auto"/>
                <w:kern w:val="0"/>
                <w:sz w:val="24"/>
                <w:szCs w:val="22"/>
                <w:highlight w:val="none"/>
                <w:lang w:val="en-US" w:eastAsia="zh-CN"/>
              </w:rPr>
              <w:t>②锅炉用水及排水</w:t>
            </w:r>
          </w:p>
          <w:p w14:paraId="3B1F846F">
            <w:pPr>
              <w:pStyle w:val="112"/>
              <w:spacing w:line="360" w:lineRule="auto"/>
              <w:ind w:firstLine="480"/>
              <w:rPr>
                <w:rFonts w:hint="default" w:ascii="Times New Roman" w:hAnsi="Times New Roman" w:eastAsia="宋体" w:cs="Times New Roman"/>
                <w:color w:val="auto"/>
                <w:kern w:val="0"/>
                <w:highlight w:val="none"/>
                <w:lang w:val="en-US" w:eastAsia="zh-CN"/>
              </w:rPr>
            </w:pPr>
            <w:r>
              <w:rPr>
                <w:rFonts w:ascii="Times New Roman" w:hAnsi="Times New Roman" w:eastAsia="宋体" w:cs="Times New Roman"/>
                <w:color w:val="auto"/>
                <w:kern w:val="0"/>
                <w:highlight w:val="none"/>
              </w:rPr>
              <w:t>项目生产期采用一台</w:t>
            </w:r>
            <w:r>
              <w:rPr>
                <w:rFonts w:hint="eastAsia" w:ascii="Times New Roman" w:hAnsi="Times New Roman" w:eastAsia="宋体" w:cs="Times New Roman"/>
                <w:color w:val="auto"/>
                <w:kern w:val="0"/>
                <w:highlight w:val="none"/>
                <w:lang w:val="en-US" w:eastAsia="zh-CN"/>
              </w:rPr>
              <w:t>8</w:t>
            </w:r>
            <w:r>
              <w:rPr>
                <w:rFonts w:ascii="Times New Roman" w:hAnsi="Times New Roman" w:eastAsia="宋体" w:cs="Times New Roman"/>
                <w:color w:val="auto"/>
                <w:kern w:val="0"/>
                <w:highlight w:val="none"/>
              </w:rPr>
              <w:t>t/h</w:t>
            </w:r>
            <w:r>
              <w:rPr>
                <w:rFonts w:hint="eastAsia" w:ascii="Times New Roman" w:hAnsi="Times New Roman" w:eastAsia="宋体" w:cs="Times New Roman"/>
                <w:color w:val="auto"/>
                <w:kern w:val="0"/>
                <w:highlight w:val="none"/>
                <w:lang w:val="en-US" w:eastAsia="zh-CN"/>
              </w:rPr>
              <w:t>生物质锅炉</w:t>
            </w:r>
            <w:r>
              <w:rPr>
                <w:rFonts w:ascii="Times New Roman" w:hAnsi="Times New Roman" w:eastAsia="宋体" w:cs="Times New Roman"/>
                <w:color w:val="auto"/>
                <w:kern w:val="0"/>
                <w:highlight w:val="none"/>
              </w:rPr>
              <w:t>，锅炉运行时间按</w:t>
            </w:r>
            <w:r>
              <w:rPr>
                <w:rFonts w:hint="default" w:ascii="Times New Roman" w:hAnsi="Times New Roman" w:eastAsia="宋体" w:cs="Times New Roman"/>
                <w:color w:val="auto"/>
                <w:sz w:val="24"/>
                <w:highlight w:val="none"/>
                <w:lang w:val="en-US" w:eastAsia="zh-CN"/>
              </w:rPr>
              <w:t>2640</w:t>
            </w:r>
            <w:r>
              <w:rPr>
                <w:rFonts w:ascii="Times New Roman" w:hAnsi="Times New Roman" w:eastAsia="宋体" w:cs="Times New Roman"/>
                <w:color w:val="auto"/>
                <w:kern w:val="0"/>
                <w:highlight w:val="none"/>
              </w:rPr>
              <w:t>h</w:t>
            </w: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lang w:val="en-US" w:eastAsia="zh-CN"/>
              </w:rPr>
              <w:t>330d</w:t>
            </w:r>
            <w:r>
              <w:rPr>
                <w:rFonts w:hint="eastAsia" w:ascii="Times New Roman" w:hAnsi="Times New Roman" w:eastAsia="宋体" w:cs="Times New Roman"/>
                <w:color w:val="auto"/>
                <w:kern w:val="0"/>
                <w:highlight w:val="none"/>
                <w:lang w:eastAsia="zh-CN"/>
              </w:rPr>
              <w:t>）</w:t>
            </w:r>
            <w:r>
              <w:rPr>
                <w:rFonts w:ascii="Times New Roman" w:hAnsi="Times New Roman" w:eastAsia="宋体" w:cs="Times New Roman"/>
                <w:color w:val="auto"/>
                <w:kern w:val="0"/>
                <w:highlight w:val="none"/>
              </w:rPr>
              <w:t>。锅炉循环量按照</w:t>
            </w:r>
            <w:r>
              <w:rPr>
                <w:rFonts w:hint="eastAsia" w:ascii="Times New Roman" w:hAnsi="Times New Roman" w:eastAsia="宋体" w:cs="Times New Roman"/>
                <w:color w:val="auto"/>
                <w:kern w:val="0"/>
                <w:highlight w:val="none"/>
                <w:lang w:val="en-US" w:eastAsia="zh-CN"/>
              </w:rPr>
              <w:t>公式</w:t>
            </w:r>
            <w:r>
              <w:rPr>
                <w:rFonts w:ascii="Times New Roman" w:hAnsi="Times New Roman" w:eastAsia="宋体" w:cs="Times New Roman"/>
                <w:color w:val="auto"/>
                <w:kern w:val="0"/>
                <w:highlight w:val="none"/>
              </w:rPr>
              <w:t>：循环量=0.86×吸热量/温度差。本项目锅炉出力</w:t>
            </w:r>
            <w:r>
              <w:rPr>
                <w:rFonts w:hint="eastAsia" w:ascii="Times New Roman" w:hAnsi="Times New Roman" w:eastAsia="宋体" w:cs="Times New Roman"/>
                <w:color w:val="auto"/>
                <w:kern w:val="0"/>
                <w:highlight w:val="none"/>
                <w:lang w:val="en-US" w:eastAsia="zh-CN"/>
              </w:rPr>
              <w:t>8</w:t>
            </w:r>
            <w:r>
              <w:rPr>
                <w:rFonts w:ascii="Times New Roman" w:hAnsi="Times New Roman" w:eastAsia="宋体" w:cs="Times New Roman"/>
                <w:color w:val="auto"/>
                <w:kern w:val="0"/>
                <w:highlight w:val="none"/>
              </w:rPr>
              <w:t>t/h，折</w:t>
            </w:r>
            <w:r>
              <w:rPr>
                <w:rFonts w:hint="eastAsia" w:ascii="Times New Roman" w:hAnsi="Times New Roman" w:eastAsia="宋体" w:cs="Times New Roman"/>
                <w:color w:val="auto"/>
                <w:kern w:val="0"/>
                <w:highlight w:val="none"/>
                <w:lang w:val="en-US" w:eastAsia="zh-CN"/>
              </w:rPr>
              <w:t>5600</w:t>
            </w:r>
            <w:r>
              <w:rPr>
                <w:rFonts w:ascii="Times New Roman" w:hAnsi="Times New Roman" w:eastAsia="宋体" w:cs="Times New Roman"/>
                <w:color w:val="auto"/>
                <w:kern w:val="0"/>
                <w:highlight w:val="none"/>
              </w:rPr>
              <w:t>kw=</w:t>
            </w:r>
            <w:r>
              <w:rPr>
                <w:rFonts w:hint="eastAsia" w:ascii="Times New Roman" w:hAnsi="Times New Roman" w:eastAsia="宋体" w:cs="Times New Roman"/>
                <w:color w:val="auto"/>
                <w:kern w:val="0"/>
                <w:highlight w:val="none"/>
              </w:rPr>
              <w:t>1552.85</w:t>
            </w:r>
            <w:r>
              <w:rPr>
                <w:rFonts w:ascii="Times New Roman" w:hAnsi="Times New Roman" w:eastAsia="宋体" w:cs="Times New Roman"/>
                <w:color w:val="auto"/>
                <w:kern w:val="0"/>
                <w:highlight w:val="none"/>
              </w:rPr>
              <w:t>万Kcal/h，温度差25℃（95~70℃）。经核算可知项目</w:t>
            </w:r>
            <w:r>
              <w:rPr>
                <w:rFonts w:hint="eastAsia" w:ascii="Times New Roman" w:hAnsi="Times New Roman" w:eastAsia="宋体" w:cs="Times New Roman"/>
                <w:color w:val="auto"/>
                <w:kern w:val="0"/>
                <w:highlight w:val="none"/>
                <w:lang w:val="en-US" w:eastAsia="zh-CN"/>
              </w:rPr>
              <w:t>8</w:t>
            </w:r>
            <w:r>
              <w:rPr>
                <w:rFonts w:ascii="Times New Roman" w:hAnsi="Times New Roman" w:eastAsia="宋体" w:cs="Times New Roman"/>
                <w:color w:val="auto"/>
                <w:highlight w:val="none"/>
              </w:rPr>
              <w:t>t/h锅炉循环量为</w:t>
            </w:r>
            <w:r>
              <w:rPr>
                <w:rFonts w:hint="eastAsia" w:ascii="Times New Roman" w:hAnsi="Times New Roman" w:eastAsia="宋体" w:cs="Times New Roman"/>
                <w:color w:val="auto"/>
                <w:highlight w:val="none"/>
                <w:lang w:val="en-US" w:eastAsia="zh-CN"/>
              </w:rPr>
              <w:t>53.4</w:t>
            </w:r>
            <w:r>
              <w:rPr>
                <w:rFonts w:ascii="Times New Roman" w:hAnsi="Times New Roman" w:eastAsia="宋体" w:cs="Times New Roman"/>
                <w:color w:val="auto"/>
                <w:highlight w:val="none"/>
              </w:rPr>
              <w:t>t/h。</w:t>
            </w:r>
            <w:r>
              <w:rPr>
                <w:rFonts w:ascii="Times New Roman" w:hAnsi="Times New Roman" w:eastAsia="宋体" w:cs="Times New Roman"/>
                <w:color w:val="auto"/>
                <w:kern w:val="0"/>
                <w:highlight w:val="none"/>
              </w:rPr>
              <w:t>锅炉补水量按循环量5%计，则锅炉补水量为</w:t>
            </w:r>
            <w:r>
              <w:rPr>
                <w:rFonts w:hint="eastAsia" w:ascii="Times New Roman" w:hAnsi="Times New Roman" w:eastAsia="宋体" w:cs="Times New Roman"/>
                <w:color w:val="auto"/>
                <w:kern w:val="0"/>
                <w:highlight w:val="none"/>
                <w:lang w:val="en-US" w:eastAsia="zh-CN"/>
              </w:rPr>
              <w:t>21.36</w:t>
            </w:r>
            <w:r>
              <w:rPr>
                <w:rFonts w:ascii="Times New Roman" w:hAnsi="Times New Roman" w:eastAsia="宋体" w:cs="Times New Roman"/>
                <w:color w:val="auto"/>
                <w:kern w:val="0"/>
                <w:highlight w:val="none"/>
              </w:rPr>
              <w:t>t/d（</w:t>
            </w:r>
            <w:r>
              <w:rPr>
                <w:rFonts w:hint="eastAsia" w:ascii="Times New Roman" w:hAnsi="Times New Roman" w:eastAsia="宋体" w:cs="Times New Roman"/>
                <w:color w:val="auto"/>
                <w:kern w:val="0"/>
                <w:highlight w:val="none"/>
                <w:lang w:val="en-US" w:eastAsia="zh-CN"/>
              </w:rPr>
              <w:t>2.67</w:t>
            </w:r>
            <w:r>
              <w:rPr>
                <w:rFonts w:ascii="Times New Roman" w:hAnsi="Times New Roman" w:eastAsia="宋体" w:cs="Times New Roman"/>
                <w:color w:val="auto"/>
                <w:kern w:val="0"/>
                <w:highlight w:val="none"/>
              </w:rPr>
              <w:t>t/h），锅炉补水采用软水设备制取，</w:t>
            </w:r>
            <w:r>
              <w:rPr>
                <w:rFonts w:hint="eastAsia" w:ascii="Times New Roman" w:hAnsi="Times New Roman" w:eastAsia="宋体" w:cs="Times New Roman"/>
                <w:color w:val="auto"/>
                <w:kern w:val="0"/>
                <w:highlight w:val="none"/>
                <w:lang w:val="en-US" w:eastAsia="zh-CN"/>
              </w:rPr>
              <w:t>软水制备率为85%，</w:t>
            </w:r>
            <w:r>
              <w:rPr>
                <w:rFonts w:hint="eastAsia" w:ascii="Times New Roman" w:hAnsi="Times New Roman" w:eastAsia="宋体" w:cs="Times New Roman"/>
                <w:color w:val="auto"/>
                <w:szCs w:val="21"/>
                <w:highlight w:val="none"/>
                <w:lang w:val="en-US" w:eastAsia="zh-CN"/>
              </w:rPr>
              <w:t>则软化制备浓水为3.77t/d，用于厂区洒水降尘不外排。</w:t>
            </w:r>
          </w:p>
          <w:p w14:paraId="6327FAB0">
            <w:pPr>
              <w:pStyle w:val="112"/>
              <w:spacing w:line="360" w:lineRule="auto"/>
              <w:ind w:firstLine="480"/>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szCs w:val="21"/>
                <w:highlight w:val="none"/>
                <w:lang w:val="en-US" w:eastAsia="zh-CN"/>
              </w:rPr>
              <w:t>本项目软化水系统定期进行反冲洗时，</w:t>
            </w:r>
            <w:r>
              <w:rPr>
                <w:rFonts w:ascii="Times New Roman" w:hAnsi="Times New Roman" w:eastAsia="宋体" w:cs="Times New Roman"/>
                <w:color w:val="auto"/>
                <w:kern w:val="0"/>
                <w:highlight w:val="none"/>
              </w:rPr>
              <w:t>软水设备反洗水按照产品水量5%计，则软水设备反</w:t>
            </w:r>
            <w:r>
              <w:rPr>
                <w:rFonts w:hint="eastAsia" w:ascii="Times New Roman" w:hAnsi="Times New Roman" w:eastAsia="宋体" w:cs="Times New Roman"/>
                <w:color w:val="auto"/>
                <w:kern w:val="0"/>
                <w:highlight w:val="none"/>
                <w:lang w:val="en-US" w:eastAsia="zh-CN"/>
              </w:rPr>
              <w:t>冲</w:t>
            </w:r>
            <w:r>
              <w:rPr>
                <w:rFonts w:ascii="Times New Roman" w:hAnsi="Times New Roman" w:eastAsia="宋体" w:cs="Times New Roman"/>
                <w:color w:val="auto"/>
                <w:kern w:val="0"/>
                <w:highlight w:val="none"/>
              </w:rPr>
              <w:t>洗</w:t>
            </w:r>
            <w:r>
              <w:rPr>
                <w:rFonts w:hint="eastAsia" w:ascii="Times New Roman" w:hAnsi="Times New Roman" w:eastAsia="宋体" w:cs="Times New Roman"/>
                <w:color w:val="auto"/>
                <w:kern w:val="0"/>
                <w:highlight w:val="none"/>
                <w:lang w:val="en-US" w:eastAsia="zh-CN"/>
              </w:rPr>
              <w:t>用水</w:t>
            </w:r>
            <w:r>
              <w:rPr>
                <w:rFonts w:ascii="Times New Roman" w:hAnsi="Times New Roman" w:eastAsia="宋体" w:cs="Times New Roman"/>
                <w:color w:val="auto"/>
                <w:kern w:val="0"/>
                <w:highlight w:val="none"/>
              </w:rPr>
              <w:t>量为</w:t>
            </w:r>
            <w:r>
              <w:rPr>
                <w:rFonts w:hint="eastAsia" w:ascii="Times New Roman" w:hAnsi="Times New Roman" w:eastAsia="宋体" w:cs="Times New Roman"/>
                <w:color w:val="auto"/>
                <w:kern w:val="0"/>
                <w:highlight w:val="none"/>
                <w:lang w:val="en-US" w:eastAsia="zh-CN"/>
              </w:rPr>
              <w:t>1.06</w:t>
            </w:r>
            <w:r>
              <w:rPr>
                <w:rFonts w:ascii="Times New Roman" w:hAnsi="Times New Roman" w:eastAsia="宋体" w:cs="Times New Roman"/>
                <w:color w:val="auto"/>
                <w:kern w:val="0"/>
                <w:highlight w:val="none"/>
              </w:rPr>
              <w:t>m</w:t>
            </w:r>
            <w:r>
              <w:rPr>
                <w:rFonts w:ascii="Times New Roman" w:hAnsi="Times New Roman" w:eastAsia="宋体" w:cs="Times New Roman"/>
                <w:color w:val="auto"/>
                <w:kern w:val="0"/>
                <w:highlight w:val="none"/>
                <w:vertAlign w:val="superscript"/>
              </w:rPr>
              <w:t>3</w:t>
            </w:r>
            <w:r>
              <w:rPr>
                <w:rFonts w:ascii="Times New Roman" w:hAnsi="Times New Roman" w:eastAsia="宋体" w:cs="Times New Roman"/>
                <w:color w:val="auto"/>
                <w:kern w:val="0"/>
                <w:highlight w:val="none"/>
              </w:rPr>
              <w:t>/d，</w:t>
            </w:r>
            <w:r>
              <w:rPr>
                <w:rFonts w:hint="eastAsia" w:ascii="Times New Roman" w:hAnsi="Times New Roman" w:eastAsia="宋体" w:cs="Times New Roman"/>
                <w:color w:val="auto"/>
                <w:szCs w:val="21"/>
                <w:highlight w:val="none"/>
                <w:lang w:val="en-US" w:eastAsia="zh-CN"/>
              </w:rPr>
              <w:t>反冲洗时会产生20%损耗，则反冲洗废水为0.848t/d</w:t>
            </w:r>
            <w:r>
              <w:rPr>
                <w:rFonts w:ascii="Times New Roman" w:hAnsi="Times New Roman" w:eastAsia="宋体" w:cs="Times New Roman"/>
                <w:color w:val="auto"/>
                <w:kern w:val="0"/>
                <w:highlight w:val="none"/>
              </w:rPr>
              <w:t>。项目软水设备反</w:t>
            </w:r>
            <w:r>
              <w:rPr>
                <w:rFonts w:hint="eastAsia" w:ascii="Times New Roman" w:hAnsi="Times New Roman" w:eastAsia="宋体" w:cs="Times New Roman"/>
                <w:color w:val="auto"/>
                <w:kern w:val="0"/>
                <w:highlight w:val="none"/>
                <w:lang w:val="en-US" w:eastAsia="zh-CN"/>
              </w:rPr>
              <w:t>冲</w:t>
            </w:r>
            <w:r>
              <w:rPr>
                <w:rFonts w:ascii="Times New Roman" w:hAnsi="Times New Roman" w:eastAsia="宋体" w:cs="Times New Roman"/>
                <w:color w:val="auto"/>
                <w:kern w:val="0"/>
                <w:highlight w:val="none"/>
              </w:rPr>
              <w:t>洗水较为洁净，</w:t>
            </w:r>
            <w:r>
              <w:rPr>
                <w:rFonts w:hint="eastAsia" w:ascii="Times New Roman" w:hAnsi="Times New Roman" w:eastAsia="宋体" w:cs="Times New Roman"/>
                <w:color w:val="auto"/>
                <w:kern w:val="0"/>
                <w:highlight w:val="none"/>
                <w:lang w:val="en-US" w:eastAsia="zh-CN"/>
              </w:rPr>
              <w:t>用于项目区洒水降尘</w:t>
            </w:r>
            <w:r>
              <w:rPr>
                <w:rFonts w:ascii="Times New Roman" w:hAnsi="Times New Roman" w:eastAsia="宋体" w:cs="Times New Roman"/>
                <w:color w:val="auto"/>
                <w:kern w:val="0"/>
                <w:highlight w:val="none"/>
              </w:rPr>
              <w:t>。</w:t>
            </w:r>
          </w:p>
          <w:p w14:paraId="213C7F1F">
            <w:pPr>
              <w:spacing w:line="500" w:lineRule="exact"/>
              <w:ind w:firstLine="480" w:firstLineChars="200"/>
              <w:rPr>
                <w:rFonts w:hint="default" w:ascii="Times New Roman" w:hAnsi="Times New Roman" w:cs="Times New Roman"/>
                <w:snapToGrid w:val="0"/>
                <w:color w:val="auto"/>
                <w:kern w:val="0"/>
                <w:sz w:val="24"/>
                <w:szCs w:val="22"/>
                <w:highlight w:val="none"/>
                <w:lang w:val="en-US" w:eastAsia="zh-CN"/>
              </w:rPr>
            </w:pPr>
            <w:r>
              <w:rPr>
                <w:rFonts w:hint="eastAsia" w:cs="Times New Roman"/>
                <w:snapToGrid w:val="0"/>
                <w:color w:val="auto"/>
                <w:kern w:val="0"/>
                <w:sz w:val="24"/>
                <w:szCs w:val="22"/>
                <w:highlight w:val="none"/>
                <w:lang w:val="en-US" w:eastAsia="zh-CN"/>
              </w:rPr>
              <w:t>③循环冷却用水</w:t>
            </w:r>
          </w:p>
          <w:p w14:paraId="7C24D526">
            <w:pPr>
              <w:spacing w:line="500" w:lineRule="exact"/>
              <w:ind w:firstLine="480" w:firstLineChars="200"/>
              <w:rPr>
                <w:rFonts w:hint="default" w:ascii="Times New Roman" w:hAnsi="Times New Roman" w:cs="Times New Roman"/>
                <w:snapToGrid w:val="0"/>
                <w:color w:val="auto"/>
                <w:kern w:val="0"/>
                <w:sz w:val="24"/>
                <w:szCs w:val="22"/>
                <w:highlight w:val="none"/>
                <w:lang w:val="en-US" w:eastAsia="zh-CN"/>
              </w:rPr>
            </w:pPr>
            <w:r>
              <w:rPr>
                <w:rFonts w:hint="eastAsia" w:cs="Times New Roman"/>
                <w:snapToGrid w:val="0"/>
                <w:color w:val="auto"/>
                <w:kern w:val="0"/>
                <w:sz w:val="24"/>
                <w:szCs w:val="22"/>
                <w:highlight w:val="none"/>
                <w:lang w:val="en-US" w:eastAsia="zh-CN"/>
              </w:rPr>
              <w:t>项目生产工序配套循环冷却系统，采用冷却水进行循环冷却，根据项目设计，项目循环冷却系统冷却水损失量为5m</w:t>
            </w:r>
            <w:r>
              <w:rPr>
                <w:rFonts w:hint="eastAsia" w:cs="Times New Roman"/>
                <w:snapToGrid w:val="0"/>
                <w:color w:val="auto"/>
                <w:kern w:val="0"/>
                <w:sz w:val="24"/>
                <w:szCs w:val="22"/>
                <w:highlight w:val="none"/>
                <w:vertAlign w:val="superscript"/>
                <w:lang w:val="en-US" w:eastAsia="zh-CN"/>
              </w:rPr>
              <w:t>3</w:t>
            </w:r>
            <w:r>
              <w:rPr>
                <w:rFonts w:hint="eastAsia" w:cs="Times New Roman"/>
                <w:snapToGrid w:val="0"/>
                <w:color w:val="auto"/>
                <w:kern w:val="0"/>
                <w:sz w:val="24"/>
                <w:szCs w:val="22"/>
                <w:highlight w:val="none"/>
                <w:lang w:val="en-US" w:eastAsia="zh-CN"/>
              </w:rPr>
              <w:t>/d，循环冷却系统补水采用新鲜水和锅炉反洗废水。</w:t>
            </w:r>
          </w:p>
          <w:p w14:paraId="61993867">
            <w:pPr>
              <w:pStyle w:val="122"/>
              <w:spacing w:line="360" w:lineRule="auto"/>
              <w:ind w:firstLine="480"/>
              <w:rPr>
                <w:rFonts w:hint="default" w:eastAsia="宋体"/>
                <w:color w:val="auto"/>
                <w:highlight w:val="none"/>
                <w:lang w:val="en-US" w:eastAsia="zh-CN"/>
              </w:rPr>
            </w:pPr>
            <w:r>
              <w:rPr>
                <w:rFonts w:hint="default"/>
                <w:color w:val="auto"/>
                <w:highlight w:val="none"/>
              </w:rPr>
              <w:t>项目供排水情况见下表及图2-</w:t>
            </w:r>
            <w:r>
              <w:rPr>
                <w:rFonts w:hint="eastAsia"/>
                <w:color w:val="auto"/>
                <w:highlight w:val="none"/>
                <w:lang w:val="en-US" w:eastAsia="zh-CN"/>
              </w:rPr>
              <w:t>2。</w:t>
            </w:r>
          </w:p>
          <w:p w14:paraId="487A53E3">
            <w:pPr>
              <w:pStyle w:val="2"/>
              <w:snapToGrid/>
              <w:spacing w:before="0" w:after="0" w:line="240" w:lineRule="auto"/>
              <w:ind w:left="0" w:firstLine="0"/>
              <w:jc w:val="center"/>
              <w:rPr>
                <w:rFonts w:eastAsia="宋体"/>
                <w:color w:val="auto"/>
                <w:sz w:val="21"/>
                <w:szCs w:val="21"/>
                <w:highlight w:val="none"/>
              </w:rPr>
            </w:pPr>
            <w:r>
              <w:rPr>
                <w:rFonts w:eastAsia="宋体"/>
                <w:color w:val="auto"/>
                <w:sz w:val="21"/>
                <w:szCs w:val="21"/>
                <w:highlight w:val="none"/>
              </w:rPr>
              <w:t>表2-6  项目水平衡一览表    单位：m</w:t>
            </w:r>
            <w:r>
              <w:rPr>
                <w:rFonts w:eastAsia="宋体"/>
                <w:color w:val="auto"/>
                <w:sz w:val="21"/>
                <w:szCs w:val="21"/>
                <w:highlight w:val="none"/>
                <w:vertAlign w:val="superscript"/>
              </w:rPr>
              <w:t>3</w:t>
            </w:r>
            <w:r>
              <w:rPr>
                <w:rFonts w:eastAsia="宋体"/>
                <w:color w:val="auto"/>
                <w:sz w:val="21"/>
                <w:szCs w:val="21"/>
                <w:highlight w:val="none"/>
              </w:rPr>
              <w:t>/d</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1281"/>
              <w:gridCol w:w="995"/>
              <w:gridCol w:w="497"/>
              <w:gridCol w:w="1221"/>
              <w:gridCol w:w="1070"/>
              <w:gridCol w:w="573"/>
              <w:gridCol w:w="1597"/>
              <w:gridCol w:w="1054"/>
            </w:tblGrid>
            <w:tr w14:paraId="2453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38" w:type="dxa"/>
                  <w:gridSpan w:val="3"/>
                  <w:noWrap w:val="0"/>
                  <w:vAlign w:val="center"/>
                </w:tcPr>
                <w:p w14:paraId="75DA4605">
                  <w:pPr>
                    <w:pStyle w:val="121"/>
                    <w:rPr>
                      <w:rFonts w:eastAsia="宋体" w:cs="Times New Roman"/>
                      <w:b/>
                      <w:color w:val="auto"/>
                      <w:sz w:val="21"/>
                      <w:highlight w:val="none"/>
                    </w:rPr>
                  </w:pPr>
                  <w:r>
                    <w:rPr>
                      <w:rFonts w:eastAsia="宋体" w:cs="Times New Roman"/>
                      <w:b/>
                      <w:color w:val="auto"/>
                      <w:sz w:val="21"/>
                      <w:highlight w:val="none"/>
                    </w:rPr>
                    <w:t>投入</w:t>
                  </w:r>
                </w:p>
              </w:tc>
              <w:tc>
                <w:tcPr>
                  <w:tcW w:w="2788" w:type="dxa"/>
                  <w:gridSpan w:val="3"/>
                  <w:noWrap w:val="0"/>
                  <w:vAlign w:val="center"/>
                </w:tcPr>
                <w:p w14:paraId="06079B61">
                  <w:pPr>
                    <w:pStyle w:val="121"/>
                    <w:rPr>
                      <w:rFonts w:eastAsia="宋体" w:cs="Times New Roman"/>
                      <w:b/>
                      <w:color w:val="auto"/>
                      <w:sz w:val="21"/>
                      <w:highlight w:val="none"/>
                    </w:rPr>
                  </w:pPr>
                  <w:r>
                    <w:rPr>
                      <w:rFonts w:eastAsia="宋体" w:cs="Times New Roman"/>
                      <w:b/>
                      <w:color w:val="auto"/>
                      <w:sz w:val="21"/>
                      <w:highlight w:val="none"/>
                    </w:rPr>
                    <w:t>产出</w:t>
                  </w:r>
                </w:p>
              </w:tc>
              <w:tc>
                <w:tcPr>
                  <w:tcW w:w="3224" w:type="dxa"/>
                  <w:gridSpan w:val="3"/>
                  <w:noWrap w:val="0"/>
                  <w:vAlign w:val="center"/>
                </w:tcPr>
                <w:p w14:paraId="23CCC266">
                  <w:pPr>
                    <w:pStyle w:val="121"/>
                    <w:rPr>
                      <w:rFonts w:hint="eastAsia" w:eastAsia="宋体" w:cs="Times New Roman"/>
                      <w:b/>
                      <w:color w:val="auto"/>
                      <w:sz w:val="21"/>
                      <w:highlight w:val="none"/>
                      <w:lang w:val="en-US" w:eastAsia="zh-CN"/>
                    </w:rPr>
                  </w:pPr>
                  <w:r>
                    <w:rPr>
                      <w:rFonts w:hint="eastAsia" w:cs="Times New Roman"/>
                      <w:b/>
                      <w:color w:val="auto"/>
                      <w:sz w:val="21"/>
                      <w:highlight w:val="none"/>
                      <w:lang w:val="en-US" w:eastAsia="zh-CN"/>
                    </w:rPr>
                    <w:t>损失</w:t>
                  </w:r>
                </w:p>
              </w:tc>
            </w:tr>
            <w:tr w14:paraId="2B08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dxa"/>
                  <w:noWrap w:val="0"/>
                  <w:vAlign w:val="center"/>
                </w:tcPr>
                <w:p w14:paraId="04E08301">
                  <w:pPr>
                    <w:pStyle w:val="121"/>
                    <w:rPr>
                      <w:rFonts w:eastAsia="宋体" w:cs="Times New Roman"/>
                      <w:b/>
                      <w:color w:val="auto"/>
                      <w:sz w:val="21"/>
                      <w:highlight w:val="none"/>
                    </w:rPr>
                  </w:pPr>
                  <w:r>
                    <w:rPr>
                      <w:rFonts w:eastAsia="宋体" w:cs="Times New Roman"/>
                      <w:b/>
                      <w:color w:val="auto"/>
                      <w:sz w:val="21"/>
                      <w:highlight w:val="none"/>
                    </w:rPr>
                    <w:t>序号</w:t>
                  </w:r>
                </w:p>
              </w:tc>
              <w:tc>
                <w:tcPr>
                  <w:tcW w:w="1281" w:type="dxa"/>
                  <w:noWrap w:val="0"/>
                  <w:vAlign w:val="center"/>
                </w:tcPr>
                <w:p w14:paraId="5488B62B">
                  <w:pPr>
                    <w:pStyle w:val="121"/>
                    <w:rPr>
                      <w:rFonts w:eastAsia="宋体" w:cs="Times New Roman"/>
                      <w:b/>
                      <w:color w:val="auto"/>
                      <w:sz w:val="21"/>
                      <w:highlight w:val="none"/>
                    </w:rPr>
                  </w:pPr>
                  <w:r>
                    <w:rPr>
                      <w:rFonts w:eastAsia="宋体" w:cs="Times New Roman"/>
                      <w:b/>
                      <w:color w:val="auto"/>
                      <w:sz w:val="21"/>
                      <w:highlight w:val="none"/>
                    </w:rPr>
                    <w:t>物料名称</w:t>
                  </w:r>
                </w:p>
              </w:tc>
              <w:tc>
                <w:tcPr>
                  <w:tcW w:w="995" w:type="dxa"/>
                  <w:noWrap w:val="0"/>
                  <w:vAlign w:val="center"/>
                </w:tcPr>
                <w:p w14:paraId="3981C05B">
                  <w:pPr>
                    <w:pStyle w:val="121"/>
                    <w:rPr>
                      <w:rFonts w:eastAsia="宋体" w:cs="Times New Roman"/>
                      <w:b/>
                      <w:color w:val="auto"/>
                      <w:sz w:val="21"/>
                      <w:highlight w:val="none"/>
                    </w:rPr>
                  </w:pPr>
                  <w:r>
                    <w:rPr>
                      <w:rFonts w:eastAsia="宋体" w:cs="Times New Roman"/>
                      <w:b/>
                      <w:color w:val="auto"/>
                      <w:sz w:val="21"/>
                      <w:highlight w:val="none"/>
                    </w:rPr>
                    <w:t>投入量</w:t>
                  </w:r>
                </w:p>
              </w:tc>
              <w:tc>
                <w:tcPr>
                  <w:tcW w:w="497" w:type="dxa"/>
                  <w:noWrap w:val="0"/>
                  <w:vAlign w:val="center"/>
                </w:tcPr>
                <w:p w14:paraId="54FF910E">
                  <w:pPr>
                    <w:pStyle w:val="121"/>
                    <w:rPr>
                      <w:rFonts w:eastAsia="宋体" w:cs="Times New Roman"/>
                      <w:b/>
                      <w:color w:val="auto"/>
                      <w:sz w:val="21"/>
                      <w:highlight w:val="none"/>
                    </w:rPr>
                  </w:pPr>
                  <w:r>
                    <w:rPr>
                      <w:rFonts w:eastAsia="宋体" w:cs="Times New Roman"/>
                      <w:b/>
                      <w:color w:val="auto"/>
                      <w:sz w:val="21"/>
                      <w:highlight w:val="none"/>
                    </w:rPr>
                    <w:t>序号</w:t>
                  </w:r>
                </w:p>
              </w:tc>
              <w:tc>
                <w:tcPr>
                  <w:tcW w:w="1221" w:type="dxa"/>
                  <w:noWrap w:val="0"/>
                  <w:vAlign w:val="center"/>
                </w:tcPr>
                <w:p w14:paraId="43DD5ADD">
                  <w:pPr>
                    <w:pStyle w:val="121"/>
                    <w:rPr>
                      <w:rFonts w:eastAsia="宋体" w:cs="Times New Roman"/>
                      <w:b/>
                      <w:color w:val="auto"/>
                      <w:sz w:val="21"/>
                      <w:highlight w:val="none"/>
                    </w:rPr>
                  </w:pPr>
                  <w:r>
                    <w:rPr>
                      <w:rFonts w:eastAsia="宋体" w:cs="Times New Roman"/>
                      <w:b/>
                      <w:color w:val="auto"/>
                      <w:sz w:val="21"/>
                      <w:highlight w:val="none"/>
                    </w:rPr>
                    <w:t>物料名称</w:t>
                  </w:r>
                </w:p>
              </w:tc>
              <w:tc>
                <w:tcPr>
                  <w:tcW w:w="1070" w:type="dxa"/>
                  <w:noWrap w:val="0"/>
                  <w:vAlign w:val="center"/>
                </w:tcPr>
                <w:p w14:paraId="7A0DD05B">
                  <w:pPr>
                    <w:pStyle w:val="121"/>
                    <w:rPr>
                      <w:rFonts w:eastAsia="宋体" w:cs="Times New Roman"/>
                      <w:b/>
                      <w:color w:val="auto"/>
                      <w:sz w:val="21"/>
                      <w:highlight w:val="none"/>
                    </w:rPr>
                  </w:pPr>
                  <w:r>
                    <w:rPr>
                      <w:rFonts w:eastAsia="宋体" w:cs="Times New Roman"/>
                      <w:b/>
                      <w:color w:val="auto"/>
                      <w:sz w:val="21"/>
                      <w:highlight w:val="none"/>
                    </w:rPr>
                    <w:t>产出量</w:t>
                  </w:r>
                </w:p>
              </w:tc>
              <w:tc>
                <w:tcPr>
                  <w:tcW w:w="573" w:type="dxa"/>
                  <w:shd w:val="clear" w:color="auto" w:fill="auto"/>
                  <w:noWrap w:val="0"/>
                  <w:vAlign w:val="center"/>
                </w:tcPr>
                <w:p w14:paraId="23B0AEE6">
                  <w:pPr>
                    <w:pStyle w:val="121"/>
                    <w:ind w:firstLine="0" w:firstLineChars="0"/>
                    <w:rPr>
                      <w:rFonts w:hint="eastAsia" w:ascii="Times New Roman" w:hAnsi="Times New Roman" w:eastAsia="宋体" w:cs="Times New Roman"/>
                      <w:b/>
                      <w:color w:val="auto"/>
                      <w:spacing w:val="8"/>
                      <w:kern w:val="0"/>
                      <w:sz w:val="21"/>
                      <w:szCs w:val="21"/>
                      <w:highlight w:val="none"/>
                      <w:lang w:val="en-US" w:eastAsia="zh-CN" w:bidi="ar-SA"/>
                    </w:rPr>
                  </w:pPr>
                  <w:r>
                    <w:rPr>
                      <w:rFonts w:eastAsia="宋体" w:cs="Times New Roman"/>
                      <w:b/>
                      <w:color w:val="auto"/>
                      <w:sz w:val="21"/>
                      <w:highlight w:val="none"/>
                    </w:rPr>
                    <w:t>序号</w:t>
                  </w:r>
                </w:p>
              </w:tc>
              <w:tc>
                <w:tcPr>
                  <w:tcW w:w="1597" w:type="dxa"/>
                  <w:noWrap w:val="0"/>
                  <w:vAlign w:val="center"/>
                </w:tcPr>
                <w:p w14:paraId="72848E36">
                  <w:pPr>
                    <w:pStyle w:val="121"/>
                    <w:ind w:firstLine="0" w:firstLineChars="0"/>
                    <w:rPr>
                      <w:rFonts w:eastAsia="宋体" w:cs="Times New Roman"/>
                      <w:b/>
                      <w:color w:val="auto"/>
                      <w:sz w:val="21"/>
                      <w:highlight w:val="none"/>
                    </w:rPr>
                  </w:pPr>
                  <w:r>
                    <w:rPr>
                      <w:rFonts w:eastAsia="宋体" w:cs="Times New Roman"/>
                      <w:b/>
                      <w:color w:val="auto"/>
                      <w:sz w:val="21"/>
                      <w:highlight w:val="none"/>
                    </w:rPr>
                    <w:t>物料名称</w:t>
                  </w:r>
                </w:p>
              </w:tc>
              <w:tc>
                <w:tcPr>
                  <w:tcW w:w="1054" w:type="dxa"/>
                  <w:noWrap w:val="0"/>
                  <w:vAlign w:val="center"/>
                </w:tcPr>
                <w:p w14:paraId="2E07F880">
                  <w:pPr>
                    <w:pStyle w:val="121"/>
                    <w:ind w:firstLine="0" w:firstLineChars="0"/>
                    <w:rPr>
                      <w:rFonts w:eastAsia="宋体" w:cs="Times New Roman"/>
                      <w:b/>
                      <w:color w:val="auto"/>
                      <w:sz w:val="21"/>
                      <w:highlight w:val="none"/>
                    </w:rPr>
                  </w:pPr>
                  <w:r>
                    <w:rPr>
                      <w:rFonts w:eastAsia="宋体" w:cs="Times New Roman"/>
                      <w:b/>
                      <w:color w:val="auto"/>
                      <w:sz w:val="21"/>
                      <w:highlight w:val="none"/>
                    </w:rPr>
                    <w:t>投入量</w:t>
                  </w:r>
                </w:p>
              </w:tc>
            </w:tr>
            <w:tr w14:paraId="71C2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dxa"/>
                  <w:noWrap w:val="0"/>
                  <w:vAlign w:val="center"/>
                </w:tcPr>
                <w:p w14:paraId="6ED6AA10">
                  <w:pPr>
                    <w:pStyle w:val="121"/>
                    <w:rPr>
                      <w:rFonts w:eastAsia="宋体" w:cs="Times New Roman"/>
                      <w:bCs/>
                      <w:color w:val="auto"/>
                      <w:sz w:val="21"/>
                      <w:highlight w:val="none"/>
                    </w:rPr>
                  </w:pPr>
                  <w:r>
                    <w:rPr>
                      <w:rFonts w:eastAsia="宋体" w:cs="Times New Roman"/>
                      <w:bCs/>
                      <w:color w:val="auto"/>
                      <w:sz w:val="21"/>
                      <w:highlight w:val="none"/>
                    </w:rPr>
                    <w:t>1</w:t>
                  </w:r>
                </w:p>
              </w:tc>
              <w:tc>
                <w:tcPr>
                  <w:tcW w:w="1281" w:type="dxa"/>
                  <w:noWrap w:val="0"/>
                  <w:vAlign w:val="center"/>
                </w:tcPr>
                <w:p w14:paraId="20D291C5">
                  <w:pPr>
                    <w:snapToGrid w:val="0"/>
                    <w:jc w:val="center"/>
                    <w:rPr>
                      <w:bCs/>
                      <w:color w:val="auto"/>
                      <w:szCs w:val="21"/>
                      <w:highlight w:val="none"/>
                    </w:rPr>
                  </w:pPr>
                  <w:r>
                    <w:rPr>
                      <w:bCs/>
                      <w:color w:val="auto"/>
                      <w:szCs w:val="21"/>
                      <w:highlight w:val="none"/>
                    </w:rPr>
                    <w:t>新鲜水</w:t>
                  </w:r>
                </w:p>
              </w:tc>
              <w:tc>
                <w:tcPr>
                  <w:tcW w:w="995" w:type="dxa"/>
                  <w:noWrap w:val="0"/>
                  <w:vAlign w:val="center"/>
                </w:tcPr>
                <w:p w14:paraId="6637BEA6">
                  <w:pPr>
                    <w:pStyle w:val="121"/>
                    <w:rPr>
                      <w:rFonts w:hint="default" w:eastAsia="宋体" w:cs="Times New Roman"/>
                      <w:bCs/>
                      <w:color w:val="auto"/>
                      <w:sz w:val="21"/>
                      <w:highlight w:val="none"/>
                      <w:lang w:val="en-US" w:eastAsia="zh-CN"/>
                    </w:rPr>
                  </w:pPr>
                  <w:r>
                    <w:rPr>
                      <w:rFonts w:hint="eastAsia" w:cs="Times New Roman"/>
                      <w:bCs/>
                      <w:color w:val="auto"/>
                      <w:sz w:val="21"/>
                      <w:highlight w:val="none"/>
                      <w:lang w:val="en-US" w:eastAsia="zh-CN"/>
                    </w:rPr>
                    <w:t>41.19</w:t>
                  </w:r>
                </w:p>
              </w:tc>
              <w:tc>
                <w:tcPr>
                  <w:tcW w:w="497" w:type="dxa"/>
                  <w:noWrap w:val="0"/>
                  <w:vAlign w:val="center"/>
                </w:tcPr>
                <w:p w14:paraId="4F45F4A1">
                  <w:pPr>
                    <w:pStyle w:val="121"/>
                    <w:rPr>
                      <w:rFonts w:eastAsia="宋体" w:cs="Times New Roman"/>
                      <w:bCs/>
                      <w:color w:val="auto"/>
                      <w:sz w:val="21"/>
                      <w:highlight w:val="none"/>
                    </w:rPr>
                  </w:pPr>
                  <w:r>
                    <w:rPr>
                      <w:rFonts w:eastAsia="宋体" w:cs="Times New Roman"/>
                      <w:bCs/>
                      <w:color w:val="auto"/>
                      <w:sz w:val="21"/>
                      <w:highlight w:val="none"/>
                    </w:rPr>
                    <w:t>1</w:t>
                  </w:r>
                </w:p>
              </w:tc>
              <w:tc>
                <w:tcPr>
                  <w:tcW w:w="1221" w:type="dxa"/>
                  <w:noWrap w:val="0"/>
                  <w:vAlign w:val="center"/>
                </w:tcPr>
                <w:p w14:paraId="5C690AE8">
                  <w:pPr>
                    <w:pStyle w:val="121"/>
                    <w:rPr>
                      <w:rFonts w:hint="default" w:eastAsia="宋体" w:cs="Times New Roman"/>
                      <w:bCs/>
                      <w:color w:val="auto"/>
                      <w:sz w:val="21"/>
                      <w:highlight w:val="none"/>
                      <w:lang w:val="en-US" w:eastAsia="zh-CN"/>
                    </w:rPr>
                  </w:pPr>
                  <w:r>
                    <w:rPr>
                      <w:rFonts w:hint="eastAsia" w:cs="Times New Roman"/>
                      <w:bCs/>
                      <w:color w:val="auto"/>
                      <w:sz w:val="21"/>
                      <w:highlight w:val="none"/>
                      <w:lang w:val="en-US" w:eastAsia="zh-CN"/>
                    </w:rPr>
                    <w:t>生活污水</w:t>
                  </w:r>
                </w:p>
              </w:tc>
              <w:tc>
                <w:tcPr>
                  <w:tcW w:w="1070" w:type="dxa"/>
                  <w:noWrap w:val="0"/>
                  <w:vAlign w:val="center"/>
                </w:tcPr>
                <w:p w14:paraId="798CA79E">
                  <w:pPr>
                    <w:pStyle w:val="121"/>
                    <w:rPr>
                      <w:rFonts w:hint="default" w:eastAsia="宋体" w:cs="Times New Roman"/>
                      <w:bCs/>
                      <w:color w:val="auto"/>
                      <w:sz w:val="21"/>
                      <w:highlight w:val="none"/>
                      <w:lang w:val="en-US" w:eastAsia="zh-CN"/>
                    </w:rPr>
                  </w:pPr>
                  <w:r>
                    <w:rPr>
                      <w:rFonts w:hint="eastAsia" w:cs="Times New Roman"/>
                      <w:bCs/>
                      <w:color w:val="auto"/>
                      <w:sz w:val="21"/>
                      <w:highlight w:val="none"/>
                      <w:lang w:val="en-US" w:eastAsia="zh-CN"/>
                    </w:rPr>
                    <w:t>2.55</w:t>
                  </w:r>
                </w:p>
              </w:tc>
              <w:tc>
                <w:tcPr>
                  <w:tcW w:w="573" w:type="dxa"/>
                  <w:shd w:val="clear" w:color="auto" w:fill="auto"/>
                  <w:noWrap w:val="0"/>
                  <w:vAlign w:val="center"/>
                </w:tcPr>
                <w:p w14:paraId="2D927219">
                  <w:pPr>
                    <w:pStyle w:val="121"/>
                    <w:ind w:firstLine="0" w:firstLineChars="0"/>
                    <w:rPr>
                      <w:rFonts w:hint="eastAsia" w:ascii="Times New Roman" w:hAnsi="Times New Roman" w:eastAsia="宋体" w:cs="Times New Roman"/>
                      <w:bCs/>
                      <w:color w:val="auto"/>
                      <w:spacing w:val="8"/>
                      <w:kern w:val="0"/>
                      <w:sz w:val="21"/>
                      <w:szCs w:val="21"/>
                      <w:highlight w:val="none"/>
                      <w:lang w:val="en-US" w:eastAsia="zh-CN" w:bidi="ar-SA"/>
                    </w:rPr>
                  </w:pPr>
                  <w:r>
                    <w:rPr>
                      <w:rFonts w:eastAsia="宋体" w:cs="Times New Roman"/>
                      <w:bCs/>
                      <w:color w:val="auto"/>
                      <w:sz w:val="21"/>
                      <w:highlight w:val="none"/>
                    </w:rPr>
                    <w:t>1</w:t>
                  </w:r>
                </w:p>
              </w:tc>
              <w:tc>
                <w:tcPr>
                  <w:tcW w:w="1597" w:type="dxa"/>
                  <w:noWrap w:val="0"/>
                  <w:vAlign w:val="center"/>
                </w:tcPr>
                <w:p w14:paraId="23676469">
                  <w:pPr>
                    <w:pStyle w:val="121"/>
                    <w:rPr>
                      <w:rFonts w:hint="default" w:eastAsia="宋体" w:cs="Times New Roman"/>
                      <w:bCs/>
                      <w:color w:val="auto"/>
                      <w:sz w:val="21"/>
                      <w:highlight w:val="none"/>
                      <w:lang w:val="en-US" w:eastAsia="zh-CN"/>
                    </w:rPr>
                  </w:pPr>
                  <w:r>
                    <w:rPr>
                      <w:rFonts w:hint="eastAsia" w:cs="Times New Roman"/>
                      <w:bCs/>
                      <w:color w:val="auto"/>
                      <w:sz w:val="21"/>
                      <w:highlight w:val="none"/>
                      <w:lang w:val="en-US" w:eastAsia="zh-CN"/>
                    </w:rPr>
                    <w:t>生活污水损失</w:t>
                  </w:r>
                </w:p>
              </w:tc>
              <w:tc>
                <w:tcPr>
                  <w:tcW w:w="1054" w:type="dxa"/>
                  <w:noWrap w:val="0"/>
                  <w:vAlign w:val="center"/>
                </w:tcPr>
                <w:p w14:paraId="49655422">
                  <w:pPr>
                    <w:pStyle w:val="121"/>
                    <w:rPr>
                      <w:rFonts w:hint="default" w:eastAsia="宋体" w:cs="Times New Roman"/>
                      <w:bCs/>
                      <w:color w:val="auto"/>
                      <w:sz w:val="21"/>
                      <w:highlight w:val="none"/>
                      <w:lang w:val="en-US" w:eastAsia="zh-CN"/>
                    </w:rPr>
                  </w:pPr>
                  <w:r>
                    <w:rPr>
                      <w:rFonts w:hint="eastAsia" w:cs="Times New Roman"/>
                      <w:bCs/>
                      <w:color w:val="auto"/>
                      <w:sz w:val="21"/>
                      <w:highlight w:val="none"/>
                      <w:lang w:val="en-US" w:eastAsia="zh-CN"/>
                    </w:rPr>
                    <w:t>0.45</w:t>
                  </w:r>
                </w:p>
              </w:tc>
            </w:tr>
            <w:tr w14:paraId="7DBB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dxa"/>
                  <w:noWrap w:val="0"/>
                  <w:vAlign w:val="center"/>
                </w:tcPr>
                <w:p w14:paraId="3AB20419">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81" w:type="dxa"/>
                  <w:noWrap w:val="0"/>
                  <w:vAlign w:val="center"/>
                </w:tcPr>
                <w:p w14:paraId="17ADFF96">
                  <w:pPr>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995" w:type="dxa"/>
                  <w:noWrap w:val="0"/>
                  <w:vAlign w:val="center"/>
                </w:tcPr>
                <w:p w14:paraId="2F00731A">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497" w:type="dxa"/>
                  <w:noWrap w:val="0"/>
                  <w:vAlign w:val="center"/>
                </w:tcPr>
                <w:p w14:paraId="68F6C54E">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21" w:type="dxa"/>
                  <w:noWrap w:val="0"/>
                  <w:vAlign w:val="center"/>
                </w:tcPr>
                <w:p w14:paraId="3FE0092F">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070" w:type="dxa"/>
                  <w:noWrap w:val="0"/>
                  <w:vAlign w:val="center"/>
                </w:tcPr>
                <w:p w14:paraId="22B480CC">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573" w:type="dxa"/>
                  <w:shd w:val="clear" w:color="auto" w:fill="auto"/>
                  <w:noWrap w:val="0"/>
                  <w:vAlign w:val="center"/>
                </w:tcPr>
                <w:p w14:paraId="08F942DD">
                  <w:pPr>
                    <w:pStyle w:val="121"/>
                    <w:ind w:firstLine="0" w:firstLineChars="0"/>
                    <w:rPr>
                      <w:rFonts w:hint="eastAsia" w:ascii="Times New Roman" w:hAnsi="Times New Roman" w:eastAsia="宋体" w:cs="Times New Roman"/>
                      <w:bCs/>
                      <w:color w:val="auto"/>
                      <w:spacing w:val="8"/>
                      <w:kern w:val="0"/>
                      <w:sz w:val="21"/>
                      <w:szCs w:val="21"/>
                      <w:highlight w:val="none"/>
                      <w:lang w:val="en-US" w:eastAsia="zh-CN" w:bidi="ar-SA"/>
                    </w:rPr>
                  </w:pPr>
                  <w:r>
                    <w:rPr>
                      <w:rFonts w:eastAsia="宋体" w:cs="Times New Roman"/>
                      <w:bCs/>
                      <w:color w:val="auto"/>
                      <w:sz w:val="21"/>
                      <w:highlight w:val="none"/>
                    </w:rPr>
                    <w:t>2</w:t>
                  </w:r>
                </w:p>
              </w:tc>
              <w:tc>
                <w:tcPr>
                  <w:tcW w:w="1597" w:type="dxa"/>
                  <w:noWrap w:val="0"/>
                  <w:vAlign w:val="center"/>
                </w:tcPr>
                <w:p w14:paraId="41AC1EF5">
                  <w:pPr>
                    <w:pStyle w:val="121"/>
                    <w:rPr>
                      <w:rFonts w:hint="default" w:eastAsia="宋体" w:cs="Times New Roman"/>
                      <w:bCs/>
                      <w:color w:val="auto"/>
                      <w:sz w:val="21"/>
                      <w:highlight w:val="none"/>
                      <w:lang w:val="en-US" w:eastAsia="zh-CN"/>
                    </w:rPr>
                  </w:pPr>
                  <w:r>
                    <w:rPr>
                      <w:rFonts w:hint="eastAsia" w:cs="Times New Roman"/>
                      <w:bCs/>
                      <w:color w:val="auto"/>
                      <w:sz w:val="21"/>
                      <w:highlight w:val="none"/>
                      <w:lang w:val="en-US" w:eastAsia="zh-CN"/>
                    </w:rPr>
                    <w:t>锅炉用水损失</w:t>
                  </w:r>
                </w:p>
              </w:tc>
              <w:tc>
                <w:tcPr>
                  <w:tcW w:w="1054" w:type="dxa"/>
                  <w:noWrap w:val="0"/>
                  <w:vAlign w:val="center"/>
                </w:tcPr>
                <w:p w14:paraId="661B0266">
                  <w:pPr>
                    <w:pStyle w:val="121"/>
                    <w:rPr>
                      <w:rFonts w:hint="default" w:eastAsia="宋体" w:cs="Times New Roman"/>
                      <w:bCs/>
                      <w:color w:val="auto"/>
                      <w:sz w:val="21"/>
                      <w:highlight w:val="none"/>
                      <w:lang w:val="en-US" w:eastAsia="zh-CN"/>
                    </w:rPr>
                  </w:pPr>
                  <w:r>
                    <w:rPr>
                      <w:rFonts w:hint="eastAsia" w:cs="Times New Roman"/>
                      <w:bCs/>
                      <w:color w:val="auto"/>
                      <w:sz w:val="21"/>
                      <w:highlight w:val="none"/>
                      <w:lang w:val="en-US" w:eastAsia="zh-CN"/>
                    </w:rPr>
                    <w:t>21.36</w:t>
                  </w:r>
                </w:p>
              </w:tc>
            </w:tr>
            <w:tr w14:paraId="475A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dxa"/>
                  <w:noWrap w:val="0"/>
                  <w:vAlign w:val="center"/>
                </w:tcPr>
                <w:p w14:paraId="786FA4C7">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81" w:type="dxa"/>
                  <w:noWrap w:val="0"/>
                  <w:vAlign w:val="center"/>
                </w:tcPr>
                <w:p w14:paraId="701B5F0D">
                  <w:pPr>
                    <w:snapToGrid w:val="0"/>
                    <w:jc w:val="center"/>
                    <w:rPr>
                      <w:bCs/>
                      <w:color w:val="auto"/>
                      <w:szCs w:val="21"/>
                      <w:highlight w:val="none"/>
                    </w:rPr>
                  </w:pPr>
                  <w:r>
                    <w:rPr>
                      <w:rFonts w:hint="eastAsia"/>
                      <w:bCs/>
                      <w:color w:val="auto"/>
                      <w:szCs w:val="21"/>
                      <w:highlight w:val="none"/>
                      <w:lang w:val="en-US" w:eastAsia="zh-CN"/>
                    </w:rPr>
                    <w:t>/</w:t>
                  </w:r>
                </w:p>
              </w:tc>
              <w:tc>
                <w:tcPr>
                  <w:tcW w:w="995" w:type="dxa"/>
                  <w:noWrap w:val="0"/>
                  <w:vAlign w:val="center"/>
                </w:tcPr>
                <w:p w14:paraId="3BDA243C">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497" w:type="dxa"/>
                  <w:noWrap w:val="0"/>
                  <w:vAlign w:val="center"/>
                </w:tcPr>
                <w:p w14:paraId="6618DCFB">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21" w:type="dxa"/>
                  <w:noWrap w:val="0"/>
                  <w:vAlign w:val="center"/>
                </w:tcPr>
                <w:p w14:paraId="348EB4E3">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070" w:type="dxa"/>
                  <w:noWrap w:val="0"/>
                  <w:vAlign w:val="center"/>
                </w:tcPr>
                <w:p w14:paraId="5471669E">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573" w:type="dxa"/>
                  <w:shd w:val="clear" w:color="auto" w:fill="auto"/>
                  <w:noWrap w:val="0"/>
                  <w:vAlign w:val="center"/>
                </w:tcPr>
                <w:p w14:paraId="15202D29">
                  <w:pPr>
                    <w:pStyle w:val="121"/>
                    <w:ind w:firstLine="0" w:firstLineChars="0"/>
                    <w:rPr>
                      <w:rFonts w:hint="eastAsia" w:ascii="Times New Roman" w:hAnsi="Times New Roman" w:eastAsia="宋体" w:cs="Times New Roman"/>
                      <w:bCs/>
                      <w:color w:val="auto"/>
                      <w:spacing w:val="8"/>
                      <w:kern w:val="0"/>
                      <w:sz w:val="21"/>
                      <w:szCs w:val="21"/>
                      <w:highlight w:val="none"/>
                      <w:lang w:val="en-US" w:eastAsia="zh-CN" w:bidi="ar-SA"/>
                    </w:rPr>
                  </w:pPr>
                  <w:r>
                    <w:rPr>
                      <w:rFonts w:eastAsia="宋体" w:cs="Times New Roman"/>
                      <w:bCs/>
                      <w:color w:val="auto"/>
                      <w:sz w:val="21"/>
                      <w:highlight w:val="none"/>
                    </w:rPr>
                    <w:t>3</w:t>
                  </w:r>
                </w:p>
              </w:tc>
              <w:tc>
                <w:tcPr>
                  <w:tcW w:w="1597" w:type="dxa"/>
                  <w:noWrap w:val="0"/>
                  <w:vAlign w:val="center"/>
                </w:tcPr>
                <w:p w14:paraId="6EE05B0C">
                  <w:pPr>
                    <w:pStyle w:val="121"/>
                    <w:rPr>
                      <w:rFonts w:hint="default" w:eastAsia="宋体" w:cs="Times New Roman"/>
                      <w:bCs/>
                      <w:color w:val="auto"/>
                      <w:sz w:val="21"/>
                      <w:highlight w:val="none"/>
                      <w:lang w:val="en-US" w:eastAsia="zh-CN"/>
                    </w:rPr>
                  </w:pPr>
                  <w:r>
                    <w:rPr>
                      <w:rFonts w:hint="eastAsia" w:cs="Times New Roman"/>
                      <w:bCs/>
                      <w:color w:val="auto"/>
                      <w:sz w:val="21"/>
                      <w:highlight w:val="none"/>
                      <w:lang w:val="en-US" w:eastAsia="zh-CN"/>
                    </w:rPr>
                    <w:t>冷却系统损失</w:t>
                  </w:r>
                </w:p>
              </w:tc>
              <w:tc>
                <w:tcPr>
                  <w:tcW w:w="1054" w:type="dxa"/>
                  <w:noWrap w:val="0"/>
                  <w:vAlign w:val="center"/>
                </w:tcPr>
                <w:p w14:paraId="7E39E821">
                  <w:pPr>
                    <w:pStyle w:val="121"/>
                    <w:rPr>
                      <w:rFonts w:hint="eastAsia" w:eastAsia="宋体" w:cs="Times New Roman"/>
                      <w:bCs/>
                      <w:color w:val="auto"/>
                      <w:sz w:val="21"/>
                      <w:highlight w:val="none"/>
                      <w:lang w:val="en-US" w:eastAsia="zh-CN"/>
                    </w:rPr>
                  </w:pPr>
                  <w:r>
                    <w:rPr>
                      <w:rFonts w:hint="eastAsia" w:cs="Times New Roman"/>
                      <w:bCs/>
                      <w:color w:val="auto"/>
                      <w:sz w:val="21"/>
                      <w:highlight w:val="none"/>
                      <w:lang w:val="en-US" w:eastAsia="zh-CN"/>
                    </w:rPr>
                    <w:t>5</w:t>
                  </w:r>
                </w:p>
              </w:tc>
            </w:tr>
            <w:tr w14:paraId="4329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dxa"/>
                  <w:noWrap w:val="0"/>
                  <w:vAlign w:val="center"/>
                </w:tcPr>
                <w:p w14:paraId="55AE9A2C">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81" w:type="dxa"/>
                  <w:noWrap w:val="0"/>
                  <w:vAlign w:val="center"/>
                </w:tcPr>
                <w:p w14:paraId="41E6A05A">
                  <w:pPr>
                    <w:snapToGrid w:val="0"/>
                    <w:jc w:val="center"/>
                    <w:rPr>
                      <w:bCs/>
                      <w:color w:val="auto"/>
                      <w:szCs w:val="21"/>
                      <w:highlight w:val="none"/>
                    </w:rPr>
                  </w:pPr>
                  <w:r>
                    <w:rPr>
                      <w:rFonts w:hint="eastAsia"/>
                      <w:bCs/>
                      <w:color w:val="auto"/>
                      <w:szCs w:val="21"/>
                      <w:highlight w:val="none"/>
                      <w:lang w:val="en-US" w:eastAsia="zh-CN"/>
                    </w:rPr>
                    <w:t>/</w:t>
                  </w:r>
                </w:p>
              </w:tc>
              <w:tc>
                <w:tcPr>
                  <w:tcW w:w="995" w:type="dxa"/>
                  <w:noWrap w:val="0"/>
                  <w:vAlign w:val="center"/>
                </w:tcPr>
                <w:p w14:paraId="3EEAEF80">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497" w:type="dxa"/>
                  <w:noWrap w:val="0"/>
                  <w:vAlign w:val="center"/>
                </w:tcPr>
                <w:p w14:paraId="47D41B08">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21" w:type="dxa"/>
                  <w:noWrap w:val="0"/>
                  <w:vAlign w:val="center"/>
                </w:tcPr>
                <w:p w14:paraId="62CD217E">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070" w:type="dxa"/>
                  <w:noWrap w:val="0"/>
                  <w:vAlign w:val="center"/>
                </w:tcPr>
                <w:p w14:paraId="65EA0A85">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573" w:type="dxa"/>
                  <w:shd w:val="clear" w:color="auto" w:fill="auto"/>
                  <w:noWrap w:val="0"/>
                  <w:vAlign w:val="center"/>
                </w:tcPr>
                <w:p w14:paraId="53D26F75">
                  <w:pPr>
                    <w:pStyle w:val="121"/>
                    <w:ind w:firstLine="0" w:firstLineChars="0"/>
                    <w:rPr>
                      <w:rFonts w:eastAsia="宋体" w:cs="Times New Roman"/>
                      <w:bCs/>
                      <w:color w:val="auto"/>
                      <w:sz w:val="21"/>
                      <w:highlight w:val="none"/>
                    </w:rPr>
                  </w:pPr>
                  <w:r>
                    <w:rPr>
                      <w:rFonts w:eastAsia="宋体" w:cs="Times New Roman"/>
                      <w:bCs/>
                      <w:color w:val="auto"/>
                      <w:sz w:val="21"/>
                      <w:highlight w:val="none"/>
                    </w:rPr>
                    <w:t>4</w:t>
                  </w:r>
                </w:p>
              </w:tc>
              <w:tc>
                <w:tcPr>
                  <w:tcW w:w="1597" w:type="dxa"/>
                  <w:noWrap w:val="0"/>
                  <w:vAlign w:val="center"/>
                </w:tcPr>
                <w:p w14:paraId="6E6107D0">
                  <w:pPr>
                    <w:pStyle w:val="121"/>
                    <w:rPr>
                      <w:rFonts w:hint="default" w:cs="Times New Roman"/>
                      <w:bCs/>
                      <w:color w:val="auto"/>
                      <w:sz w:val="21"/>
                      <w:highlight w:val="none"/>
                      <w:lang w:val="en-US" w:eastAsia="zh-CN"/>
                    </w:rPr>
                  </w:pPr>
                  <w:r>
                    <w:rPr>
                      <w:rFonts w:hint="eastAsia" w:cs="Times New Roman"/>
                      <w:bCs/>
                      <w:color w:val="auto"/>
                      <w:sz w:val="21"/>
                      <w:highlight w:val="none"/>
                      <w:lang w:val="en-US" w:eastAsia="zh-CN"/>
                    </w:rPr>
                    <w:t>软水制备浓水</w:t>
                  </w:r>
                </w:p>
              </w:tc>
              <w:tc>
                <w:tcPr>
                  <w:tcW w:w="1054" w:type="dxa"/>
                  <w:noWrap w:val="0"/>
                  <w:vAlign w:val="center"/>
                </w:tcPr>
                <w:p w14:paraId="595C5192">
                  <w:pPr>
                    <w:pStyle w:val="121"/>
                    <w:rPr>
                      <w:rFonts w:hint="default" w:cs="Times New Roman"/>
                      <w:bCs/>
                      <w:color w:val="auto"/>
                      <w:sz w:val="21"/>
                      <w:highlight w:val="none"/>
                      <w:lang w:val="en-US" w:eastAsia="zh-CN"/>
                    </w:rPr>
                  </w:pPr>
                  <w:r>
                    <w:rPr>
                      <w:rFonts w:hint="eastAsia" w:cs="Times New Roman"/>
                      <w:bCs/>
                      <w:color w:val="auto"/>
                      <w:sz w:val="21"/>
                      <w:highlight w:val="none"/>
                      <w:lang w:val="en-US" w:eastAsia="zh-CN"/>
                    </w:rPr>
                    <w:t>3.77</w:t>
                  </w:r>
                </w:p>
              </w:tc>
            </w:tr>
            <w:tr w14:paraId="53EB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dxa"/>
                  <w:noWrap w:val="0"/>
                  <w:vAlign w:val="center"/>
                </w:tcPr>
                <w:p w14:paraId="4255A39D">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81" w:type="dxa"/>
                  <w:noWrap w:val="0"/>
                  <w:vAlign w:val="center"/>
                </w:tcPr>
                <w:p w14:paraId="78ED0814">
                  <w:pPr>
                    <w:snapToGrid w:val="0"/>
                    <w:jc w:val="center"/>
                    <w:rPr>
                      <w:bCs/>
                      <w:color w:val="auto"/>
                      <w:szCs w:val="21"/>
                      <w:highlight w:val="none"/>
                    </w:rPr>
                  </w:pPr>
                  <w:r>
                    <w:rPr>
                      <w:rFonts w:hint="eastAsia"/>
                      <w:bCs/>
                      <w:color w:val="auto"/>
                      <w:szCs w:val="21"/>
                      <w:highlight w:val="none"/>
                      <w:lang w:val="en-US" w:eastAsia="zh-CN"/>
                    </w:rPr>
                    <w:t>/</w:t>
                  </w:r>
                </w:p>
              </w:tc>
              <w:tc>
                <w:tcPr>
                  <w:tcW w:w="995" w:type="dxa"/>
                  <w:noWrap w:val="0"/>
                  <w:vAlign w:val="center"/>
                </w:tcPr>
                <w:p w14:paraId="1B76BF4A">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497" w:type="dxa"/>
                  <w:noWrap w:val="0"/>
                  <w:vAlign w:val="center"/>
                </w:tcPr>
                <w:p w14:paraId="31E6D927">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21" w:type="dxa"/>
                  <w:noWrap w:val="0"/>
                  <w:vAlign w:val="center"/>
                </w:tcPr>
                <w:p w14:paraId="1B0B56D1">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070" w:type="dxa"/>
                  <w:noWrap w:val="0"/>
                  <w:vAlign w:val="center"/>
                </w:tcPr>
                <w:p w14:paraId="63F2B978">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573" w:type="dxa"/>
                  <w:shd w:val="clear" w:color="auto" w:fill="auto"/>
                  <w:noWrap w:val="0"/>
                  <w:vAlign w:val="center"/>
                </w:tcPr>
                <w:p w14:paraId="726AB569">
                  <w:pPr>
                    <w:pStyle w:val="121"/>
                    <w:ind w:firstLine="0" w:firstLineChars="0"/>
                    <w:rPr>
                      <w:rFonts w:hint="eastAsia"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5</w:t>
                  </w:r>
                </w:p>
              </w:tc>
              <w:tc>
                <w:tcPr>
                  <w:tcW w:w="1597" w:type="dxa"/>
                  <w:noWrap w:val="0"/>
                  <w:vAlign w:val="center"/>
                </w:tcPr>
                <w:p w14:paraId="508254CF">
                  <w:pPr>
                    <w:pStyle w:val="121"/>
                    <w:rPr>
                      <w:rFonts w:hint="default" w:cs="Times New Roman"/>
                      <w:bCs/>
                      <w:color w:val="auto"/>
                      <w:sz w:val="21"/>
                      <w:highlight w:val="none"/>
                      <w:lang w:val="en-US" w:eastAsia="zh-CN"/>
                    </w:rPr>
                  </w:pPr>
                  <w:r>
                    <w:rPr>
                      <w:rFonts w:hint="eastAsia" w:cs="Times New Roman"/>
                      <w:bCs/>
                      <w:color w:val="auto"/>
                      <w:sz w:val="21"/>
                      <w:highlight w:val="none"/>
                      <w:lang w:val="en-US" w:eastAsia="zh-CN"/>
                    </w:rPr>
                    <w:t>反冲洗损失</w:t>
                  </w:r>
                </w:p>
              </w:tc>
              <w:tc>
                <w:tcPr>
                  <w:tcW w:w="1054" w:type="dxa"/>
                  <w:noWrap w:val="0"/>
                  <w:vAlign w:val="center"/>
                </w:tcPr>
                <w:p w14:paraId="3842A97C">
                  <w:pPr>
                    <w:pStyle w:val="121"/>
                    <w:rPr>
                      <w:rFonts w:hint="default" w:cs="Times New Roman"/>
                      <w:bCs/>
                      <w:color w:val="auto"/>
                      <w:sz w:val="21"/>
                      <w:highlight w:val="none"/>
                      <w:lang w:val="en-US" w:eastAsia="zh-CN"/>
                    </w:rPr>
                  </w:pPr>
                  <w:r>
                    <w:rPr>
                      <w:rFonts w:hint="eastAsia" w:cs="Times New Roman"/>
                      <w:bCs/>
                      <w:color w:val="auto"/>
                      <w:sz w:val="21"/>
                      <w:highlight w:val="none"/>
                      <w:lang w:val="en-US" w:eastAsia="zh-CN"/>
                    </w:rPr>
                    <w:t>0.212</w:t>
                  </w:r>
                </w:p>
              </w:tc>
            </w:tr>
            <w:tr w14:paraId="3A0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dxa"/>
                  <w:noWrap w:val="0"/>
                  <w:vAlign w:val="center"/>
                </w:tcPr>
                <w:p w14:paraId="09D24F53">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81" w:type="dxa"/>
                  <w:noWrap w:val="0"/>
                  <w:vAlign w:val="center"/>
                </w:tcPr>
                <w:p w14:paraId="787CAB48">
                  <w:pPr>
                    <w:snapToGrid w:val="0"/>
                    <w:jc w:val="center"/>
                    <w:rPr>
                      <w:bCs/>
                      <w:color w:val="auto"/>
                      <w:szCs w:val="21"/>
                      <w:highlight w:val="none"/>
                    </w:rPr>
                  </w:pPr>
                  <w:r>
                    <w:rPr>
                      <w:rFonts w:hint="eastAsia"/>
                      <w:bCs/>
                      <w:color w:val="auto"/>
                      <w:szCs w:val="21"/>
                      <w:highlight w:val="none"/>
                      <w:lang w:val="en-US" w:eastAsia="zh-CN"/>
                    </w:rPr>
                    <w:t>/</w:t>
                  </w:r>
                </w:p>
              </w:tc>
              <w:tc>
                <w:tcPr>
                  <w:tcW w:w="995" w:type="dxa"/>
                  <w:noWrap w:val="0"/>
                  <w:vAlign w:val="center"/>
                </w:tcPr>
                <w:p w14:paraId="363C9363">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497" w:type="dxa"/>
                  <w:noWrap w:val="0"/>
                  <w:vAlign w:val="center"/>
                </w:tcPr>
                <w:p w14:paraId="37F1843F">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21" w:type="dxa"/>
                  <w:noWrap w:val="0"/>
                  <w:vAlign w:val="center"/>
                </w:tcPr>
                <w:p w14:paraId="4386BB8A">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070" w:type="dxa"/>
                  <w:noWrap w:val="0"/>
                  <w:vAlign w:val="center"/>
                </w:tcPr>
                <w:p w14:paraId="6FFF3F9D">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573" w:type="dxa"/>
                  <w:shd w:val="clear" w:color="auto" w:fill="auto"/>
                  <w:noWrap w:val="0"/>
                  <w:vAlign w:val="center"/>
                </w:tcPr>
                <w:p w14:paraId="74DAD39B">
                  <w:pPr>
                    <w:pStyle w:val="121"/>
                    <w:ind w:firstLine="0" w:firstLineChars="0"/>
                    <w:rPr>
                      <w:rFonts w:hint="eastAsia"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6</w:t>
                  </w:r>
                </w:p>
              </w:tc>
              <w:tc>
                <w:tcPr>
                  <w:tcW w:w="1597" w:type="dxa"/>
                  <w:noWrap w:val="0"/>
                  <w:vAlign w:val="center"/>
                </w:tcPr>
                <w:p w14:paraId="703414C3">
                  <w:pPr>
                    <w:pStyle w:val="121"/>
                    <w:rPr>
                      <w:rFonts w:hint="default" w:cs="Times New Roman"/>
                      <w:bCs/>
                      <w:color w:val="auto"/>
                      <w:sz w:val="21"/>
                      <w:highlight w:val="none"/>
                      <w:lang w:val="en-US" w:eastAsia="zh-CN"/>
                    </w:rPr>
                  </w:pPr>
                  <w:r>
                    <w:rPr>
                      <w:rFonts w:hint="eastAsia" w:cs="Times New Roman"/>
                      <w:bCs/>
                      <w:color w:val="auto"/>
                      <w:sz w:val="21"/>
                      <w:highlight w:val="none"/>
                      <w:lang w:val="en-US" w:eastAsia="zh-CN"/>
                    </w:rPr>
                    <w:t>反冲洗废水</w:t>
                  </w:r>
                </w:p>
              </w:tc>
              <w:tc>
                <w:tcPr>
                  <w:tcW w:w="1054" w:type="dxa"/>
                  <w:noWrap w:val="0"/>
                  <w:vAlign w:val="center"/>
                </w:tcPr>
                <w:p w14:paraId="1D5A646A">
                  <w:pPr>
                    <w:pStyle w:val="121"/>
                    <w:rPr>
                      <w:rFonts w:hint="default" w:cs="Times New Roman"/>
                      <w:bCs/>
                      <w:color w:val="auto"/>
                      <w:sz w:val="21"/>
                      <w:highlight w:val="none"/>
                      <w:lang w:val="en-US" w:eastAsia="zh-CN"/>
                    </w:rPr>
                  </w:pPr>
                  <w:r>
                    <w:rPr>
                      <w:rFonts w:hint="eastAsia" w:cs="Times New Roman"/>
                      <w:bCs/>
                      <w:color w:val="auto"/>
                      <w:sz w:val="21"/>
                      <w:highlight w:val="none"/>
                      <w:lang w:val="en-US" w:eastAsia="zh-CN"/>
                    </w:rPr>
                    <w:t>0.848</w:t>
                  </w:r>
                </w:p>
              </w:tc>
            </w:tr>
            <w:tr w14:paraId="76B2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dxa"/>
                  <w:noWrap w:val="0"/>
                  <w:vAlign w:val="center"/>
                </w:tcPr>
                <w:p w14:paraId="509AD116">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281" w:type="dxa"/>
                  <w:noWrap w:val="0"/>
                  <w:vAlign w:val="center"/>
                </w:tcPr>
                <w:p w14:paraId="2C979F84">
                  <w:pPr>
                    <w:snapToGrid w:val="0"/>
                    <w:jc w:val="center"/>
                    <w:rPr>
                      <w:bCs/>
                      <w:color w:val="auto"/>
                      <w:szCs w:val="21"/>
                      <w:highlight w:val="none"/>
                    </w:rPr>
                  </w:pPr>
                  <w:r>
                    <w:rPr>
                      <w:rFonts w:hint="eastAsia"/>
                      <w:bCs/>
                      <w:color w:val="auto"/>
                      <w:szCs w:val="21"/>
                      <w:highlight w:val="none"/>
                      <w:lang w:val="en-US" w:eastAsia="zh-CN"/>
                    </w:rPr>
                    <w:t>/</w:t>
                  </w:r>
                </w:p>
              </w:tc>
              <w:tc>
                <w:tcPr>
                  <w:tcW w:w="995" w:type="dxa"/>
                  <w:noWrap w:val="0"/>
                  <w:vAlign w:val="center"/>
                </w:tcPr>
                <w:p w14:paraId="6F7E25DE">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497" w:type="dxa"/>
                  <w:shd w:val="clear" w:color="auto" w:fill="auto"/>
                  <w:noWrap w:val="0"/>
                  <w:vAlign w:val="center"/>
                </w:tcPr>
                <w:p w14:paraId="56319311">
                  <w:pPr>
                    <w:ind w:firstLine="0" w:firstLineChars="0"/>
                    <w:jc w:val="center"/>
                    <w:rPr>
                      <w:rFonts w:hint="eastAsia" w:ascii="Times New Roman" w:hAnsi="Times New Roman" w:eastAsia="宋体" w:cs="Times New Roman"/>
                      <w:bCs/>
                      <w:color w:val="auto"/>
                      <w:spacing w:val="8"/>
                      <w:kern w:val="0"/>
                      <w:sz w:val="21"/>
                      <w:szCs w:val="21"/>
                      <w:highlight w:val="none"/>
                      <w:lang w:val="en-US" w:eastAsia="zh-CN" w:bidi="ar-SA"/>
                    </w:rPr>
                  </w:pPr>
                  <w:r>
                    <w:rPr>
                      <w:rFonts w:hint="eastAsia"/>
                      <w:bCs/>
                      <w:color w:val="auto"/>
                      <w:szCs w:val="21"/>
                      <w:highlight w:val="none"/>
                      <w:lang w:val="en-US" w:eastAsia="zh-CN"/>
                    </w:rPr>
                    <w:t>/</w:t>
                  </w:r>
                </w:p>
              </w:tc>
              <w:tc>
                <w:tcPr>
                  <w:tcW w:w="1221" w:type="dxa"/>
                  <w:noWrap w:val="0"/>
                  <w:vAlign w:val="center"/>
                </w:tcPr>
                <w:p w14:paraId="129707AE">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1070" w:type="dxa"/>
                  <w:noWrap w:val="0"/>
                  <w:vAlign w:val="center"/>
                </w:tcPr>
                <w:p w14:paraId="001979CB">
                  <w:pPr>
                    <w:jc w:val="center"/>
                    <w:rPr>
                      <w:rFonts w:eastAsia="宋体" w:cs="Times New Roman"/>
                      <w:bCs/>
                      <w:color w:val="auto"/>
                      <w:sz w:val="21"/>
                      <w:highlight w:val="none"/>
                    </w:rPr>
                  </w:pPr>
                  <w:r>
                    <w:rPr>
                      <w:rFonts w:hint="eastAsia"/>
                      <w:bCs/>
                      <w:color w:val="auto"/>
                      <w:szCs w:val="21"/>
                      <w:highlight w:val="none"/>
                      <w:lang w:val="en-US" w:eastAsia="zh-CN"/>
                    </w:rPr>
                    <w:t>/</w:t>
                  </w:r>
                </w:p>
              </w:tc>
              <w:tc>
                <w:tcPr>
                  <w:tcW w:w="573" w:type="dxa"/>
                  <w:shd w:val="clear" w:color="auto" w:fill="auto"/>
                  <w:noWrap w:val="0"/>
                  <w:vAlign w:val="center"/>
                </w:tcPr>
                <w:p w14:paraId="496E6E29">
                  <w:pPr>
                    <w:pStyle w:val="121"/>
                    <w:ind w:firstLine="0" w:firstLineChars="0"/>
                    <w:rPr>
                      <w:rFonts w:hint="default" w:ascii="Times New Roman" w:hAnsi="Times New Roman" w:eastAsia="宋体" w:cs="Times New Roman"/>
                      <w:bCs/>
                      <w:color w:val="auto"/>
                      <w:spacing w:val="8"/>
                      <w:kern w:val="0"/>
                      <w:sz w:val="21"/>
                      <w:szCs w:val="21"/>
                      <w:highlight w:val="none"/>
                      <w:lang w:val="en-US" w:eastAsia="zh-CN" w:bidi="ar-SA"/>
                    </w:rPr>
                  </w:pPr>
                  <w:r>
                    <w:rPr>
                      <w:rFonts w:hint="eastAsia" w:cs="Times New Roman"/>
                      <w:bCs/>
                      <w:color w:val="auto"/>
                      <w:spacing w:val="8"/>
                      <w:kern w:val="0"/>
                      <w:sz w:val="21"/>
                      <w:szCs w:val="21"/>
                      <w:highlight w:val="none"/>
                      <w:lang w:val="en-US" w:eastAsia="zh-CN" w:bidi="ar-SA"/>
                    </w:rPr>
                    <w:t>7</w:t>
                  </w:r>
                </w:p>
              </w:tc>
              <w:tc>
                <w:tcPr>
                  <w:tcW w:w="1597" w:type="dxa"/>
                  <w:noWrap w:val="0"/>
                  <w:vAlign w:val="center"/>
                </w:tcPr>
                <w:p w14:paraId="08DE8CE6">
                  <w:pPr>
                    <w:pStyle w:val="121"/>
                    <w:rPr>
                      <w:rFonts w:hint="default" w:eastAsia="宋体" w:cs="Times New Roman"/>
                      <w:bCs/>
                      <w:color w:val="auto"/>
                      <w:sz w:val="21"/>
                      <w:highlight w:val="none"/>
                      <w:lang w:val="en-US" w:eastAsia="zh-CN"/>
                    </w:rPr>
                  </w:pPr>
                  <w:r>
                    <w:rPr>
                      <w:rFonts w:hint="eastAsia" w:cs="Times New Roman"/>
                      <w:bCs/>
                      <w:color w:val="auto"/>
                      <w:sz w:val="21"/>
                      <w:highlight w:val="none"/>
                      <w:lang w:val="en-US" w:eastAsia="zh-CN"/>
                    </w:rPr>
                    <w:t>产品损失</w:t>
                  </w:r>
                </w:p>
              </w:tc>
              <w:tc>
                <w:tcPr>
                  <w:tcW w:w="1054" w:type="dxa"/>
                  <w:noWrap w:val="0"/>
                  <w:vAlign w:val="center"/>
                </w:tcPr>
                <w:p w14:paraId="743F6B6B">
                  <w:pPr>
                    <w:pStyle w:val="121"/>
                    <w:rPr>
                      <w:rFonts w:hint="eastAsia" w:eastAsia="宋体" w:cs="Times New Roman"/>
                      <w:bCs/>
                      <w:color w:val="auto"/>
                      <w:sz w:val="21"/>
                      <w:highlight w:val="none"/>
                      <w:lang w:val="en-US" w:eastAsia="zh-CN"/>
                    </w:rPr>
                  </w:pPr>
                  <w:r>
                    <w:rPr>
                      <w:rFonts w:hint="eastAsia" w:cs="Times New Roman"/>
                      <w:bCs/>
                      <w:color w:val="auto"/>
                      <w:sz w:val="21"/>
                      <w:highlight w:val="none"/>
                      <w:lang w:val="en-US" w:eastAsia="zh-CN"/>
                    </w:rPr>
                    <w:t>7</w:t>
                  </w:r>
                </w:p>
              </w:tc>
            </w:tr>
            <w:tr w14:paraId="7332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43" w:type="dxa"/>
                  <w:gridSpan w:val="2"/>
                  <w:noWrap w:val="0"/>
                  <w:vAlign w:val="center"/>
                </w:tcPr>
                <w:p w14:paraId="317673B0">
                  <w:pPr>
                    <w:snapToGrid w:val="0"/>
                    <w:jc w:val="center"/>
                    <w:rPr>
                      <w:bCs/>
                      <w:color w:val="auto"/>
                      <w:szCs w:val="21"/>
                      <w:highlight w:val="none"/>
                    </w:rPr>
                  </w:pPr>
                  <w:r>
                    <w:rPr>
                      <w:rFonts w:hint="eastAsia" w:cs="Times New Roman"/>
                      <w:bCs/>
                      <w:color w:val="auto"/>
                      <w:sz w:val="21"/>
                      <w:highlight w:val="none"/>
                      <w:lang w:val="en-US" w:eastAsia="zh-CN"/>
                    </w:rPr>
                    <w:t>合计</w:t>
                  </w:r>
                </w:p>
              </w:tc>
              <w:tc>
                <w:tcPr>
                  <w:tcW w:w="995" w:type="dxa"/>
                  <w:noWrap w:val="0"/>
                  <w:vAlign w:val="center"/>
                </w:tcPr>
                <w:p w14:paraId="2F9B7117">
                  <w:pPr>
                    <w:pStyle w:val="121"/>
                    <w:rPr>
                      <w:rFonts w:hint="default" w:eastAsia="宋体" w:cs="Times New Roman"/>
                      <w:bCs/>
                      <w:color w:val="auto"/>
                      <w:sz w:val="21"/>
                      <w:highlight w:val="none"/>
                      <w:lang w:val="en-US"/>
                    </w:rPr>
                  </w:pPr>
                  <w:r>
                    <w:rPr>
                      <w:rFonts w:hint="eastAsia" w:cs="Times New Roman"/>
                      <w:bCs/>
                      <w:color w:val="auto"/>
                      <w:sz w:val="21"/>
                      <w:highlight w:val="none"/>
                      <w:lang w:val="en-US" w:eastAsia="zh-CN"/>
                    </w:rPr>
                    <w:t>41.19</w:t>
                  </w:r>
                </w:p>
              </w:tc>
              <w:tc>
                <w:tcPr>
                  <w:tcW w:w="6012" w:type="dxa"/>
                  <w:gridSpan w:val="6"/>
                  <w:noWrap w:val="0"/>
                  <w:vAlign w:val="center"/>
                </w:tcPr>
                <w:p w14:paraId="28FD9A2A">
                  <w:pPr>
                    <w:pStyle w:val="121"/>
                    <w:rPr>
                      <w:rFonts w:eastAsia="宋体" w:cs="Times New Roman"/>
                      <w:bCs/>
                      <w:color w:val="auto"/>
                      <w:sz w:val="21"/>
                      <w:highlight w:val="none"/>
                    </w:rPr>
                  </w:pPr>
                  <w:r>
                    <w:rPr>
                      <w:rFonts w:hint="eastAsia" w:cs="Times New Roman"/>
                      <w:bCs/>
                      <w:color w:val="auto"/>
                      <w:sz w:val="21"/>
                      <w:highlight w:val="none"/>
                      <w:lang w:val="en-US" w:eastAsia="zh-CN"/>
                    </w:rPr>
                    <w:t>41.19</w:t>
                  </w:r>
                </w:p>
              </w:tc>
            </w:tr>
          </w:tbl>
          <w:p w14:paraId="4E06E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drawing>
                <wp:inline distT="0" distB="0" distL="114300" distR="114300">
                  <wp:extent cx="5366385" cy="4368800"/>
                  <wp:effectExtent l="12700" t="12700" r="31115" b="19050"/>
                  <wp:docPr id="14" name="ECB019B1-382A-4266-B25C-5B523AA43C14-1" descr="C:/Users/yangxi/AppData/Local/Temp/wps.hzNAO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C:/Users/yangxi/AppData/Local/Temp/wps.hzNAONwps"/>
                          <pic:cNvPicPr>
                            <a:picLocks noChangeAspect="1"/>
                          </pic:cNvPicPr>
                        </pic:nvPicPr>
                        <pic:blipFill>
                          <a:blip r:embed="rId7"/>
                          <a:srcRect l="2192" t="4268" r="2512" b="4006"/>
                          <a:stretch>
                            <a:fillRect/>
                          </a:stretch>
                        </pic:blipFill>
                        <pic:spPr>
                          <a:xfrm>
                            <a:off x="0" y="0"/>
                            <a:ext cx="5366385" cy="4368800"/>
                          </a:xfrm>
                          <a:prstGeom prst="rect">
                            <a:avLst/>
                          </a:prstGeom>
                          <a:ln w="12700">
                            <a:solidFill>
                              <a:schemeClr val="tx1"/>
                            </a:solidFill>
                          </a:ln>
                        </pic:spPr>
                      </pic:pic>
                    </a:graphicData>
                  </a:graphic>
                </wp:inline>
              </w:drawing>
            </w:r>
          </w:p>
          <w:p w14:paraId="1457A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kern w:val="0"/>
                <w:sz w:val="24"/>
                <w:highlight w:val="none"/>
                <w:lang w:eastAsia="zh-CN"/>
              </w:rPr>
            </w:pPr>
            <w:r>
              <w:rPr>
                <w:rFonts w:hint="eastAsia"/>
                <w:b/>
                <w:bCs/>
                <w:color w:val="auto"/>
                <w:sz w:val="21"/>
                <w:szCs w:val="21"/>
                <w:highlight w:val="none"/>
                <w:lang w:val="en-US" w:eastAsia="zh-CN"/>
              </w:rPr>
              <w:t xml:space="preserve">图2-2  </w:t>
            </w:r>
            <w:r>
              <w:rPr>
                <w:rFonts w:eastAsia="宋体"/>
                <w:b/>
                <w:bCs/>
                <w:color w:val="auto"/>
                <w:sz w:val="21"/>
                <w:szCs w:val="21"/>
                <w:highlight w:val="none"/>
              </w:rPr>
              <w:t xml:space="preserve"> 项目水平衡</w:t>
            </w:r>
            <w:r>
              <w:rPr>
                <w:rFonts w:hint="eastAsia"/>
                <w:b/>
                <w:bCs/>
                <w:color w:val="auto"/>
                <w:sz w:val="21"/>
                <w:szCs w:val="21"/>
                <w:highlight w:val="none"/>
                <w:lang w:val="en-US" w:eastAsia="zh-CN"/>
              </w:rPr>
              <w:t>图</w:t>
            </w:r>
            <w:r>
              <w:rPr>
                <w:rFonts w:eastAsia="宋体"/>
                <w:b/>
                <w:bCs/>
                <w:color w:val="auto"/>
                <w:sz w:val="21"/>
                <w:szCs w:val="21"/>
                <w:highlight w:val="none"/>
              </w:rPr>
              <w:t xml:space="preserve">    单位：m</w:t>
            </w:r>
            <w:r>
              <w:rPr>
                <w:rFonts w:eastAsia="宋体"/>
                <w:b/>
                <w:bCs/>
                <w:color w:val="auto"/>
                <w:sz w:val="21"/>
                <w:szCs w:val="21"/>
                <w:highlight w:val="none"/>
                <w:vertAlign w:val="superscript"/>
              </w:rPr>
              <w:t>3</w:t>
            </w:r>
            <w:r>
              <w:rPr>
                <w:rFonts w:eastAsia="宋体"/>
                <w:b/>
                <w:bCs/>
                <w:color w:val="auto"/>
                <w:sz w:val="21"/>
                <w:szCs w:val="21"/>
                <w:highlight w:val="none"/>
              </w:rPr>
              <w:t>/d</w:t>
            </w:r>
          </w:p>
          <w:p w14:paraId="64C9B56A">
            <w:pPr>
              <w:widowControl/>
              <w:spacing w:line="360" w:lineRule="auto"/>
              <w:jc w:val="left"/>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lang w:val="en-US" w:eastAsia="zh-CN"/>
              </w:rPr>
              <w:t>4</w:t>
            </w:r>
            <w:r>
              <w:rPr>
                <w:rFonts w:hint="default" w:ascii="Times New Roman" w:hAnsi="Times New Roman" w:eastAsia="宋体" w:cs="Times New Roman"/>
                <w:b/>
                <w:bCs/>
                <w:color w:val="auto"/>
                <w:sz w:val="24"/>
                <w:szCs w:val="22"/>
                <w:highlight w:val="none"/>
              </w:rPr>
              <w:t>.</w:t>
            </w: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rPr>
              <w:t>供电</w:t>
            </w:r>
          </w:p>
          <w:p w14:paraId="0F32680D">
            <w:pPr>
              <w:widowControl/>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项目电源由</w:t>
            </w:r>
            <w:r>
              <w:rPr>
                <w:rFonts w:hint="eastAsia" w:cs="Times New Roman"/>
                <w:color w:val="auto"/>
                <w:kern w:val="0"/>
                <w:sz w:val="24"/>
                <w:highlight w:val="none"/>
                <w:lang w:val="en-US" w:eastAsia="zh-CN"/>
              </w:rPr>
              <w:t>市政</w:t>
            </w:r>
            <w:r>
              <w:rPr>
                <w:rFonts w:hint="default" w:ascii="Times New Roman" w:hAnsi="Times New Roman" w:eastAsia="宋体" w:cs="Times New Roman"/>
                <w:color w:val="auto"/>
                <w:kern w:val="0"/>
                <w:sz w:val="24"/>
                <w:highlight w:val="none"/>
                <w:lang w:val="en-US" w:eastAsia="zh-CN"/>
              </w:rPr>
              <w:t>电网</w:t>
            </w:r>
            <w:r>
              <w:rPr>
                <w:rFonts w:hint="default" w:ascii="Times New Roman" w:hAnsi="Times New Roman" w:eastAsia="宋体" w:cs="Times New Roman"/>
                <w:color w:val="auto"/>
                <w:kern w:val="0"/>
                <w:sz w:val="24"/>
                <w:highlight w:val="none"/>
              </w:rPr>
              <w:t>的</w:t>
            </w:r>
            <w:r>
              <w:rPr>
                <w:rFonts w:hint="default" w:ascii="Times New Roman" w:hAnsi="Times New Roman" w:cs="Times New Roman"/>
                <w:color w:val="auto"/>
                <w:kern w:val="0"/>
                <w:sz w:val="24"/>
                <w:highlight w:val="none"/>
                <w:lang w:val="en-US" w:eastAsia="zh-CN"/>
              </w:rPr>
              <w:t>10kv</w:t>
            </w:r>
            <w:r>
              <w:rPr>
                <w:rFonts w:hint="default" w:ascii="Times New Roman" w:hAnsi="Times New Roman" w:eastAsia="宋体" w:cs="Times New Roman"/>
                <w:color w:val="auto"/>
                <w:kern w:val="0"/>
                <w:sz w:val="24"/>
                <w:highlight w:val="none"/>
              </w:rPr>
              <w:t>线路引至</w:t>
            </w:r>
            <w:r>
              <w:rPr>
                <w:rFonts w:hint="default" w:ascii="Times New Roman" w:hAnsi="Times New Roman" w:cs="Times New Roman"/>
                <w:color w:val="auto"/>
                <w:kern w:val="0"/>
                <w:sz w:val="24"/>
                <w:highlight w:val="none"/>
                <w:lang w:val="en-US" w:eastAsia="zh-CN"/>
              </w:rPr>
              <w:t>工厂变压器，变压后</w:t>
            </w:r>
            <w:r>
              <w:rPr>
                <w:rFonts w:hint="default" w:ascii="Times New Roman" w:hAnsi="Times New Roman" w:eastAsia="宋体" w:cs="Times New Roman"/>
                <w:color w:val="auto"/>
                <w:kern w:val="0"/>
                <w:sz w:val="24"/>
                <w:highlight w:val="none"/>
              </w:rPr>
              <w:t>电压等级为：380/220V，可满足本项目的用电需求。</w:t>
            </w:r>
          </w:p>
          <w:p w14:paraId="0E367718">
            <w:pPr>
              <w:pStyle w:val="10"/>
              <w:spacing w:line="360" w:lineRule="auto"/>
              <w:rPr>
                <w:rFonts w:hint="default" w:ascii="Times New Roman" w:hAnsi="Times New Roman" w:eastAsia="宋体" w:cs="Times New Roman"/>
                <w:b/>
                <w:bCs/>
                <w:color w:val="auto"/>
                <w:sz w:val="24"/>
                <w:szCs w:val="22"/>
                <w:highlight w:val="none"/>
              </w:rPr>
            </w:pPr>
            <w:r>
              <w:rPr>
                <w:rFonts w:hint="default" w:ascii="Times New Roman" w:hAnsi="Times New Roman" w:cs="Times New Roman"/>
                <w:b/>
                <w:bCs/>
                <w:color w:val="auto"/>
                <w:sz w:val="24"/>
                <w:szCs w:val="22"/>
                <w:highlight w:val="none"/>
                <w:lang w:val="en-US" w:eastAsia="zh-CN"/>
              </w:rPr>
              <w:t>4</w:t>
            </w:r>
            <w:r>
              <w:rPr>
                <w:rFonts w:hint="default" w:ascii="Times New Roman" w:hAnsi="Times New Roman" w:eastAsia="宋体" w:cs="Times New Roman"/>
                <w:b/>
                <w:bCs/>
                <w:color w:val="auto"/>
                <w:sz w:val="24"/>
                <w:szCs w:val="22"/>
                <w:highlight w:val="none"/>
              </w:rPr>
              <w:t>.</w:t>
            </w:r>
            <w:r>
              <w:rPr>
                <w:rFonts w:hint="eastAsia" w:ascii="Times New Roman" w:hAnsi="Times New Roman" w:cs="Times New Roman"/>
                <w:b/>
                <w:bCs/>
                <w:color w:val="auto"/>
                <w:sz w:val="24"/>
                <w:szCs w:val="22"/>
                <w:highlight w:val="none"/>
                <w:lang w:val="en-US" w:eastAsia="zh-CN"/>
              </w:rPr>
              <w:t>3</w:t>
            </w:r>
            <w:r>
              <w:rPr>
                <w:rFonts w:hint="default" w:ascii="Times New Roman" w:hAnsi="Times New Roman" w:eastAsia="宋体" w:cs="Times New Roman"/>
                <w:b/>
                <w:bCs/>
                <w:color w:val="auto"/>
                <w:sz w:val="24"/>
                <w:szCs w:val="22"/>
                <w:highlight w:val="none"/>
              </w:rPr>
              <w:t>供暖</w:t>
            </w:r>
          </w:p>
          <w:p w14:paraId="20E41AC0">
            <w:pPr>
              <w:widowControl/>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生产车间冬季无需供暖</w:t>
            </w:r>
            <w:r>
              <w:rPr>
                <w:rFonts w:hint="eastAsia" w:cs="Times New Roman"/>
                <w:color w:val="auto"/>
                <w:kern w:val="0"/>
                <w:sz w:val="24"/>
                <w:highlight w:val="none"/>
                <w:lang w:val="en-US" w:eastAsia="zh-CN"/>
              </w:rPr>
              <w:t>，生活供暖采用电采暖</w:t>
            </w:r>
            <w:r>
              <w:rPr>
                <w:rFonts w:hint="default" w:ascii="Times New Roman" w:hAnsi="Times New Roman" w:eastAsia="宋体" w:cs="Times New Roman"/>
                <w:color w:val="auto"/>
                <w:kern w:val="0"/>
                <w:sz w:val="24"/>
                <w:highlight w:val="none"/>
              </w:rPr>
              <w:t>。</w:t>
            </w:r>
          </w:p>
          <w:p w14:paraId="7E3D7884">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.劳动定员及工作制</w:t>
            </w:r>
          </w:p>
          <w:p w14:paraId="54705425">
            <w:pPr>
              <w:pStyle w:val="1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本项目建成后劳动定员</w:t>
            </w:r>
            <w:r>
              <w:rPr>
                <w:rFonts w:hint="default" w:ascii="Times New Roman" w:hAnsi="Times New Roman" w:cs="Times New Roman"/>
                <w:color w:val="auto"/>
                <w:sz w:val="24"/>
                <w:highlight w:val="none"/>
                <w:lang w:val="en-US" w:eastAsia="zh-CN"/>
              </w:rPr>
              <w:t>25</w:t>
            </w:r>
            <w:r>
              <w:rPr>
                <w:rFonts w:hint="default" w:ascii="Times New Roman" w:hAnsi="Times New Roman" w:eastAsia="宋体" w:cs="Times New Roman"/>
                <w:color w:val="auto"/>
                <w:sz w:val="24"/>
                <w:highlight w:val="none"/>
              </w:rPr>
              <w:t>人，</w:t>
            </w:r>
            <w:r>
              <w:rPr>
                <w:rFonts w:hint="default" w:ascii="Times New Roman" w:hAnsi="Times New Roman" w:eastAsia="宋体" w:cs="Times New Roman"/>
                <w:color w:val="auto"/>
                <w:sz w:val="24"/>
                <w:highlight w:val="none"/>
                <w:lang w:val="en-US" w:eastAsia="zh-CN"/>
              </w:rPr>
              <w:t>实行1班制，</w:t>
            </w:r>
            <w:r>
              <w:rPr>
                <w:rFonts w:hint="default" w:ascii="Times New Roman" w:hAnsi="Times New Roman" w:eastAsia="宋体" w:cs="Times New Roman"/>
                <w:color w:val="auto"/>
                <w:sz w:val="24"/>
                <w:highlight w:val="none"/>
              </w:rPr>
              <w:t>每</w:t>
            </w:r>
            <w:r>
              <w:rPr>
                <w:rFonts w:hint="default" w:ascii="Times New Roman" w:hAnsi="Times New Roman" w:eastAsia="宋体" w:cs="Times New Roman"/>
                <w:color w:val="auto"/>
                <w:sz w:val="24"/>
                <w:highlight w:val="none"/>
                <w:lang w:val="en-US" w:eastAsia="zh-CN"/>
              </w:rPr>
              <w:t>班8</w:t>
            </w:r>
            <w:r>
              <w:rPr>
                <w:rFonts w:hint="default" w:ascii="Times New Roman" w:hAnsi="Times New Roman" w:eastAsia="宋体" w:cs="Times New Roman"/>
                <w:color w:val="auto"/>
                <w:sz w:val="24"/>
                <w:highlight w:val="none"/>
              </w:rPr>
              <w:t>小时，年工作日为</w:t>
            </w:r>
            <w:r>
              <w:rPr>
                <w:rFonts w:hint="default" w:ascii="Times New Roman" w:hAnsi="Times New Roman" w:eastAsia="宋体" w:cs="Times New Roman"/>
                <w:color w:val="auto"/>
                <w:sz w:val="24"/>
                <w:highlight w:val="none"/>
                <w:lang w:val="en-US" w:eastAsia="zh-CN"/>
              </w:rPr>
              <w:t>330</w:t>
            </w:r>
            <w:r>
              <w:rPr>
                <w:rFonts w:hint="default" w:ascii="Times New Roman" w:hAnsi="Times New Roman" w:eastAsia="宋体" w:cs="Times New Roman"/>
                <w:color w:val="auto"/>
                <w:sz w:val="24"/>
                <w:highlight w:val="none"/>
              </w:rPr>
              <w:t>天</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年工作时长2640h</w:t>
            </w:r>
            <w:r>
              <w:rPr>
                <w:rFonts w:hint="default" w:ascii="Times New Roman" w:hAnsi="Times New Roman" w:eastAsia="宋体" w:cs="Times New Roman"/>
                <w:color w:val="auto"/>
                <w:sz w:val="24"/>
                <w:highlight w:val="none"/>
              </w:rPr>
              <w:t>。</w:t>
            </w:r>
          </w:p>
          <w:p w14:paraId="70A670C4">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6</w:t>
            </w:r>
            <w:r>
              <w:rPr>
                <w:rFonts w:hint="default" w:ascii="Times New Roman" w:hAnsi="Times New Roman" w:eastAsia="宋体" w:cs="Times New Roman"/>
                <w:b/>
                <w:color w:val="auto"/>
                <w:sz w:val="24"/>
                <w:highlight w:val="none"/>
              </w:rPr>
              <w:t>.项目总平面布置</w:t>
            </w:r>
          </w:p>
          <w:p w14:paraId="03DBE96F">
            <w:pPr>
              <w:pStyle w:val="10"/>
              <w:spacing w:line="360" w:lineRule="auto"/>
              <w:ind w:firstLine="48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主出入口位于项目西侧规划路，厂区西北侧为办公生活区，项目所在地常年主导风向为东北风，办公生活区位于侧风向。3栋生产车间位于厂区东北角、西南侧，储罐区位于厂区东南角。</w:t>
            </w:r>
            <w:r>
              <w:rPr>
                <w:rFonts w:hint="eastAsia" w:ascii="Times New Roman" w:hAnsi="Times New Roman" w:cs="Times New Roman"/>
                <w:color w:val="auto"/>
                <w:sz w:val="24"/>
                <w:highlight w:val="none"/>
                <w:lang w:val="en-US" w:eastAsia="zh-CN"/>
              </w:rPr>
              <w:t>详见图2-3</w:t>
            </w:r>
          </w:p>
        </w:tc>
      </w:tr>
      <w:tr w14:paraId="33F49F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36" w:hRule="atLeast"/>
          <w:jc w:val="center"/>
        </w:trPr>
        <w:tc>
          <w:tcPr>
            <w:tcW w:w="485" w:type="dxa"/>
            <w:noWrap w:val="0"/>
            <w:vAlign w:val="center"/>
          </w:tcPr>
          <w:p w14:paraId="7AA81FD2">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工艺</w:t>
            </w:r>
          </w:p>
          <w:p w14:paraId="2CBA5623">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流程</w:t>
            </w:r>
          </w:p>
          <w:p w14:paraId="7F915492">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和产</w:t>
            </w:r>
          </w:p>
          <w:p w14:paraId="62D56A60">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排污</w:t>
            </w:r>
          </w:p>
          <w:p w14:paraId="62293028">
            <w:pPr>
              <w:spacing w:line="360" w:lineRule="auto"/>
              <w:jc w:val="center"/>
              <w:rPr>
                <w:rFonts w:hint="default" w:ascii="Times New Roman" w:hAnsi="Times New Roman" w:cs="Times New Roman"/>
                <w:color w:val="auto"/>
                <w:spacing w:val="-1"/>
                <w:szCs w:val="21"/>
                <w:highlight w:val="none"/>
              </w:rPr>
            </w:pPr>
            <w:r>
              <w:rPr>
                <w:rFonts w:hint="default" w:ascii="Times New Roman" w:hAnsi="Times New Roman" w:cs="Times New Roman"/>
                <w:color w:val="auto"/>
                <w:spacing w:val="-1"/>
                <w:sz w:val="24"/>
                <w:highlight w:val="none"/>
              </w:rPr>
              <w:t>环节</w:t>
            </w:r>
          </w:p>
        </w:tc>
        <w:tc>
          <w:tcPr>
            <w:tcW w:w="8936" w:type="dxa"/>
            <w:noWrap w:val="0"/>
            <w:vAlign w:val="top"/>
          </w:tcPr>
          <w:p w14:paraId="7827BCEC">
            <w:pPr>
              <w:spacing w:line="360" w:lineRule="auto"/>
              <w:jc w:val="both"/>
              <w:rPr>
                <w:rFonts w:hint="default" w:ascii="Times New Roman" w:hAnsi="Times New Roman" w:cs="Times New Roman"/>
                <w:b/>
                <w:color w:val="auto"/>
                <w:sz w:val="24"/>
                <w:highlight w:val="none"/>
              </w:rPr>
            </w:pPr>
            <w:r>
              <w:rPr>
                <w:rFonts w:hint="default" w:ascii="Times New Roman" w:hAnsi="Times New Roman" w:cs="Times New Roman"/>
                <w:b/>
                <w:bCs/>
                <w:color w:val="auto"/>
                <w:sz w:val="24"/>
                <w:highlight w:val="none"/>
              </w:rPr>
              <w:t>1.施工期</w:t>
            </w:r>
            <w:r>
              <w:rPr>
                <w:rFonts w:hint="default" w:ascii="Times New Roman" w:hAnsi="Times New Roman" w:cs="Times New Roman"/>
                <w:b/>
                <w:color w:val="auto"/>
                <w:sz w:val="24"/>
                <w:highlight w:val="none"/>
              </w:rPr>
              <w:t>工艺流程及产污位置</w:t>
            </w:r>
          </w:p>
          <w:p w14:paraId="1D828A1C">
            <w:pPr>
              <w:pStyle w:val="26"/>
              <w:keepNext w:val="0"/>
              <w:keepLines w:val="0"/>
              <w:pageBreakBefore w:val="0"/>
              <w:widowControl w:val="0"/>
              <w:kinsoku/>
              <w:wordWrap/>
              <w:overflowPunct/>
              <w:autoSpaceDE/>
              <w:autoSpaceDN/>
              <w:bidi w:val="0"/>
              <w:adjustRightInd/>
              <w:snapToGrid/>
              <w:spacing w:after="0"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本项目施工期主要包括基础开挖、主体工程、设备安装等。工艺流程及产排污环节见图2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p>
          <w:p w14:paraId="2D3CA254">
            <w:pPr>
              <w:pStyle w:val="26"/>
              <w:keepNext w:val="0"/>
              <w:keepLines w:val="0"/>
              <w:pageBreakBefore w:val="0"/>
              <w:widowControl w:val="0"/>
              <w:numPr>
                <w:ilvl w:val="0"/>
                <w:numId w:val="0"/>
              </w:numPr>
              <w:tabs>
                <w:tab w:val="left" w:pos="902"/>
              </w:tabs>
              <w:kinsoku/>
              <w:wordWrap/>
              <w:overflowPunct/>
              <w:autoSpaceDE/>
              <w:autoSpaceDN/>
              <w:bidi w:val="0"/>
              <w:adjustRightInd/>
              <w:snapToGrid/>
              <w:spacing w:after="0" w:line="360" w:lineRule="auto"/>
              <w:rPr>
                <w:rFonts w:hint="default" w:ascii="Times New Roman" w:hAnsi="Times New Roman" w:cs="Times New Roman"/>
                <w:b/>
                <w:bCs w:val="0"/>
                <w:color w:val="auto"/>
                <w:sz w:val="24"/>
                <w:highlight w:val="none"/>
                <w:lang w:val="en-US" w:eastAsia="zh-CN"/>
              </w:rPr>
            </w:pPr>
            <w:r>
              <w:rPr>
                <w:rFonts w:hint="default" w:ascii="Times New Roman" w:hAnsi="Times New Roman" w:cs="Times New Roman"/>
                <w:b/>
                <w:bCs w:val="0"/>
                <w:color w:val="auto"/>
                <w:sz w:val="24"/>
                <w:highlight w:val="none"/>
                <w:lang w:val="en-US" w:eastAsia="zh-CN"/>
              </w:rPr>
              <w:drawing>
                <wp:anchor distT="0" distB="0" distL="114300" distR="114300" simplePos="0" relativeHeight="251660288" behindDoc="1" locked="0" layoutInCell="1" allowOverlap="1">
                  <wp:simplePos x="0" y="0"/>
                  <wp:positionH relativeFrom="column">
                    <wp:posOffset>103505</wp:posOffset>
                  </wp:positionH>
                  <wp:positionV relativeFrom="paragraph">
                    <wp:posOffset>78105</wp:posOffset>
                  </wp:positionV>
                  <wp:extent cx="5024120" cy="696595"/>
                  <wp:effectExtent l="0" t="0" r="5080" b="7620"/>
                  <wp:wrapNone/>
                  <wp:docPr id="1"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wps"/>
                          <pic:cNvPicPr>
                            <a:picLocks noChangeAspect="1"/>
                          </pic:cNvPicPr>
                        </pic:nvPicPr>
                        <pic:blipFill>
                          <a:blip r:embed="rId8"/>
                          <a:srcRect l="4556" t="26740" r="3175" b="12170"/>
                          <a:stretch>
                            <a:fillRect/>
                          </a:stretch>
                        </pic:blipFill>
                        <pic:spPr>
                          <a:xfrm>
                            <a:off x="0" y="0"/>
                            <a:ext cx="5024120" cy="696595"/>
                          </a:xfrm>
                          <a:prstGeom prst="rect">
                            <a:avLst/>
                          </a:prstGeom>
                          <a:noFill/>
                          <a:ln>
                            <a:noFill/>
                          </a:ln>
                        </pic:spPr>
                      </pic:pic>
                    </a:graphicData>
                  </a:graphic>
                </wp:anchor>
              </w:drawing>
            </w:r>
            <w:r>
              <w:rPr>
                <w:rFonts w:hint="default" w:ascii="Times New Roman" w:hAnsi="Times New Roman" w:cs="Times New Roman"/>
                <w:b/>
                <w:bCs w:val="0"/>
                <w:color w:val="auto"/>
                <w:sz w:val="24"/>
                <w:highlight w:val="none"/>
                <w:lang w:val="en-US" w:eastAsia="zh-CN"/>
              </w:rPr>
              <w:tab/>
            </w:r>
          </w:p>
          <w:p w14:paraId="7B447EAD">
            <w:pPr>
              <w:pStyle w:val="26"/>
              <w:keepNext w:val="0"/>
              <w:keepLines w:val="0"/>
              <w:pageBreakBefore w:val="0"/>
              <w:widowControl w:val="0"/>
              <w:numPr>
                <w:ilvl w:val="0"/>
                <w:numId w:val="0"/>
              </w:numPr>
              <w:kinsoku/>
              <w:wordWrap/>
              <w:overflowPunct/>
              <w:autoSpaceDE/>
              <w:autoSpaceDN/>
              <w:bidi w:val="0"/>
              <w:adjustRightInd/>
              <w:snapToGrid/>
              <w:spacing w:after="0" w:line="360" w:lineRule="auto"/>
              <w:rPr>
                <w:rFonts w:hint="default" w:ascii="Times New Roman" w:hAnsi="Times New Roman" w:cs="Times New Roman"/>
                <w:b/>
                <w:bCs w:val="0"/>
                <w:color w:val="auto"/>
                <w:sz w:val="24"/>
                <w:highlight w:val="none"/>
                <w:lang w:val="en-US" w:eastAsia="zh-CN"/>
              </w:rPr>
            </w:pPr>
          </w:p>
          <w:p w14:paraId="5872843D">
            <w:pPr>
              <w:pStyle w:val="26"/>
              <w:keepNext w:val="0"/>
              <w:keepLines w:val="0"/>
              <w:pageBreakBefore w:val="0"/>
              <w:widowControl w:val="0"/>
              <w:numPr>
                <w:ilvl w:val="0"/>
                <w:numId w:val="0"/>
              </w:numPr>
              <w:kinsoku/>
              <w:wordWrap/>
              <w:overflowPunct/>
              <w:autoSpaceDE/>
              <w:autoSpaceDN/>
              <w:bidi w:val="0"/>
              <w:adjustRightInd/>
              <w:snapToGrid/>
              <w:spacing w:after="0" w:line="360" w:lineRule="auto"/>
              <w:rPr>
                <w:rFonts w:hint="default" w:ascii="Times New Roman" w:hAnsi="Times New Roman" w:cs="Times New Roman"/>
                <w:b/>
                <w:bCs w:val="0"/>
                <w:color w:val="auto"/>
                <w:sz w:val="24"/>
                <w:highlight w:val="none"/>
                <w:lang w:val="en-US" w:eastAsia="zh-CN"/>
              </w:rPr>
            </w:pPr>
          </w:p>
          <w:p w14:paraId="293E93FB">
            <w:pPr>
              <w:pStyle w:val="26"/>
              <w:keepNext w:val="0"/>
              <w:keepLines w:val="0"/>
              <w:pageBreakBefore w:val="0"/>
              <w:widowControl w:val="0"/>
              <w:kinsoku/>
              <w:wordWrap/>
              <w:overflowPunct/>
              <w:topLinePunct w:val="0"/>
              <w:autoSpaceDE/>
              <w:autoSpaceDN/>
              <w:bidi w:val="0"/>
              <w:adjustRightInd/>
              <w:snapToGrid/>
              <w:spacing w:after="0" w:line="360" w:lineRule="auto"/>
              <w:ind w:firstLine="360" w:firstLineChars="20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G废气；W废水；N噪声；S固废</w:t>
            </w:r>
          </w:p>
          <w:p w14:paraId="744038FD">
            <w:pPr>
              <w:pStyle w:val="26"/>
              <w:keepNext w:val="0"/>
              <w:keepLines w:val="0"/>
              <w:pageBreakBefore w:val="0"/>
              <w:widowControl w:val="0"/>
              <w:kinsoku/>
              <w:wordWrap/>
              <w:overflowPunct/>
              <w:topLinePunct w:val="0"/>
              <w:autoSpaceDE/>
              <w:autoSpaceDN/>
              <w:bidi w:val="0"/>
              <w:adjustRightInd/>
              <w:snapToGrid/>
              <w:spacing w:after="0" w:line="360" w:lineRule="auto"/>
              <w:ind w:firstLine="48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w:t>
            </w:r>
            <w:r>
              <w:rPr>
                <w:rFonts w:hint="eastAsia"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 xml:space="preserve"> 施工期</w:t>
            </w:r>
            <w:r>
              <w:rPr>
                <w:rFonts w:hint="default" w:ascii="Times New Roman" w:hAnsi="Times New Roman" w:eastAsia="宋体" w:cs="Times New Roman"/>
                <w:b/>
                <w:bCs/>
                <w:color w:val="auto"/>
                <w:sz w:val="21"/>
                <w:szCs w:val="21"/>
                <w:highlight w:val="none"/>
                <w:lang w:val="en-US" w:eastAsia="zh-CN"/>
              </w:rPr>
              <w:t>工艺</w:t>
            </w:r>
            <w:r>
              <w:rPr>
                <w:rFonts w:hint="default" w:ascii="Times New Roman" w:hAnsi="Times New Roman" w:cs="Times New Roman"/>
                <w:b/>
                <w:bCs/>
                <w:color w:val="auto"/>
                <w:sz w:val="21"/>
                <w:szCs w:val="21"/>
                <w:highlight w:val="none"/>
                <w:lang w:val="en-US" w:eastAsia="zh-CN"/>
              </w:rPr>
              <w:t>流程图及产排污环节图</w:t>
            </w:r>
          </w:p>
          <w:p w14:paraId="14D385A2">
            <w:pPr>
              <w:numPr>
                <w:ilvl w:val="0"/>
                <w:numId w:val="0"/>
              </w:numPr>
              <w:spacing w:line="360" w:lineRule="auto"/>
              <w:jc w:val="both"/>
              <w:rPr>
                <w:rFonts w:hint="default" w:ascii="Times New Roman" w:hAnsi="Times New Roman" w:cs="Times New Roman"/>
                <w:b/>
                <w:color w:val="auto"/>
                <w:sz w:val="24"/>
                <w:highlight w:val="none"/>
                <w:lang w:val="en-US" w:eastAsia="zh-CN"/>
              </w:rPr>
            </w:pP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运营期</w:t>
            </w:r>
            <w:r>
              <w:rPr>
                <w:rFonts w:hint="default" w:ascii="Times New Roman" w:hAnsi="Times New Roman" w:cs="Times New Roman"/>
                <w:b/>
                <w:color w:val="auto"/>
                <w:sz w:val="24"/>
                <w:highlight w:val="none"/>
              </w:rPr>
              <w:t>工艺流程及产污</w:t>
            </w:r>
            <w:r>
              <w:rPr>
                <w:rFonts w:hint="default" w:ascii="Times New Roman" w:hAnsi="Times New Roman" w:cs="Times New Roman"/>
                <w:b/>
                <w:color w:val="auto"/>
                <w:sz w:val="24"/>
                <w:highlight w:val="none"/>
                <w:lang w:val="en-US" w:eastAsia="zh-CN"/>
              </w:rPr>
              <w:t>环节</w:t>
            </w:r>
          </w:p>
          <w:p w14:paraId="79E3E66E">
            <w:pPr>
              <w:pStyle w:val="8"/>
              <w:snapToGrid/>
              <w:spacing w:before="0" w:after="0" w:line="480" w:lineRule="exact"/>
              <w:ind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2.1工艺流程及产污环节分析</w:t>
            </w:r>
          </w:p>
          <w:p w14:paraId="11775675">
            <w:pPr>
              <w:pStyle w:val="8"/>
              <w:snapToGrid/>
              <w:spacing w:before="0" w:after="0" w:line="480" w:lineRule="exact"/>
              <w:ind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2.1.1</w:t>
            </w:r>
            <w:r>
              <w:rPr>
                <w:rFonts w:hint="default" w:ascii="Times New Roman" w:hAnsi="Times New Roman" w:eastAsia="宋体" w:cs="Times New Roman"/>
                <w:b/>
                <w:bCs/>
                <w:color w:val="auto"/>
                <w:sz w:val="24"/>
                <w:szCs w:val="24"/>
                <w:highlight w:val="none"/>
                <w:lang w:val="en-US" w:eastAsia="zh-CN"/>
              </w:rPr>
              <w:t>液体肥工艺</w:t>
            </w:r>
            <w:r>
              <w:rPr>
                <w:rFonts w:hint="eastAsia" w:ascii="Times New Roman" w:hAnsi="Times New Roman" w:eastAsia="宋体" w:cs="Times New Roman"/>
                <w:b/>
                <w:bCs/>
                <w:color w:val="auto"/>
                <w:sz w:val="24"/>
                <w:szCs w:val="24"/>
                <w:highlight w:val="none"/>
                <w:lang w:val="en-US" w:eastAsia="zh-CN"/>
              </w:rPr>
              <w:t>流程及产排污环节分析</w:t>
            </w:r>
          </w:p>
          <w:p w14:paraId="3BBDFC35">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（1）接种</w:t>
            </w:r>
          </w:p>
          <w:p w14:paraId="05B16F96">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菌种培养</w:t>
            </w:r>
          </w:p>
          <w:p w14:paraId="28D417F5">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商品购入的菌种在实验室环境下培育，培育过程中需投入少量水、营养基（牛肉膏、蛋白胨、淀粉等）及无机盐。</w:t>
            </w:r>
          </w:p>
          <w:p w14:paraId="0778E21B">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种子罐培养</w:t>
            </w:r>
          </w:p>
          <w:p w14:paraId="7B5D54AC">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完成菌种培养的菌液进入种子罐，在种子罐中进一步扩大培养，扩培过程中需投入一定量量水、营养基及无机盐。</w:t>
            </w:r>
          </w:p>
          <w:p w14:paraId="05EC4A22">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）发酵</w:t>
            </w:r>
          </w:p>
          <w:p w14:paraId="050324CA">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完成扩培的菌液进入发酵罐中进行生产发酵，生产发酵过程中需投入一定量量水、营养基及无机盐。得到富含丰富肥力的菌液。</w:t>
            </w:r>
          </w:p>
          <w:p w14:paraId="7F2558E4">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）灭菌</w:t>
            </w:r>
          </w:p>
          <w:p w14:paraId="1425A888">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发酵得的菌液作为产品前需进行灭菌，菌液进入灭菌装置，在高温蒸汽间接加热的情况下，得到灭菌菌液。</w:t>
            </w:r>
          </w:p>
          <w:p w14:paraId="79FE5624">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以上工序污染源主要是发酵过程产生的发酵废气P1。</w:t>
            </w:r>
          </w:p>
          <w:p w14:paraId="23F9D197">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）混合、沉降</w:t>
            </w:r>
          </w:p>
          <w:p w14:paraId="5A84B364">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灭菌菌液与已灭菌的核苷酸、氨基酸</w:t>
            </w:r>
            <w:r>
              <w:rPr>
                <w:rFonts w:hint="eastAsia" w:eastAsia="宋体" w:cs="Times New Roman"/>
                <w:color w:val="auto"/>
                <w:sz w:val="24"/>
                <w:szCs w:val="24"/>
                <w:highlight w:val="none"/>
                <w:lang w:val="en-US" w:eastAsia="zh-CN"/>
              </w:rPr>
              <w:t>原料</w:t>
            </w:r>
            <w:r>
              <w:rPr>
                <w:rFonts w:hint="default" w:ascii="Times New Roman" w:hAnsi="Times New Roman" w:eastAsia="宋体" w:cs="Times New Roman"/>
                <w:color w:val="auto"/>
                <w:sz w:val="24"/>
                <w:szCs w:val="24"/>
                <w:highlight w:val="none"/>
                <w:lang w:val="en-US" w:eastAsia="zh-CN"/>
              </w:rPr>
              <w:t>液混合，经过静置沉降后，分离的上清液即为液体肥产品。原料储罐沉降的沉降渣作为颗粒废原料综合利用。</w:t>
            </w:r>
          </w:p>
          <w:p w14:paraId="0D1E4977">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核苷酸、氨基酸</w:t>
            </w:r>
            <w:r>
              <w:rPr>
                <w:rFonts w:hint="eastAsia" w:eastAsia="宋体" w:cs="Times New Roman"/>
                <w:color w:val="auto"/>
                <w:sz w:val="24"/>
                <w:szCs w:val="24"/>
                <w:highlight w:val="none"/>
                <w:lang w:val="en-US" w:eastAsia="zh-CN"/>
              </w:rPr>
              <w:t>原料</w:t>
            </w:r>
            <w:r>
              <w:rPr>
                <w:rFonts w:hint="default" w:ascii="Times New Roman" w:hAnsi="Times New Roman" w:eastAsia="宋体" w:cs="Times New Roman"/>
                <w:color w:val="auto"/>
                <w:sz w:val="24"/>
                <w:szCs w:val="24"/>
                <w:highlight w:val="none"/>
                <w:lang w:val="en-US" w:eastAsia="zh-CN"/>
              </w:rPr>
              <w:t>液</w:t>
            </w:r>
            <w:r>
              <w:rPr>
                <w:rFonts w:hint="eastAsia" w:eastAsia="宋体" w:cs="Times New Roman"/>
                <w:color w:val="auto"/>
                <w:sz w:val="24"/>
                <w:szCs w:val="24"/>
                <w:highlight w:val="none"/>
                <w:lang w:val="en-US" w:eastAsia="zh-CN"/>
              </w:rPr>
              <w:t>储存过程产生的呼吸废气以无组织形式排放（P2）。</w:t>
            </w:r>
          </w:p>
          <w:p w14:paraId="21D41D52">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）生产热源</w:t>
            </w:r>
          </w:p>
          <w:p w14:paraId="22D4EA83">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项目生活、生产热源为1台8t/h生物质锅炉，锅炉产生的蒸汽以间接供热的方式给各个供热环节加热</w:t>
            </w:r>
            <w:r>
              <w:rPr>
                <w:rFonts w:hint="eastAsia" w:ascii="Times New Roman" w:hAnsi="Times New Roman" w:eastAsia="宋体" w:cs="Times New Roman"/>
                <w:color w:val="auto"/>
                <w:sz w:val="24"/>
                <w:szCs w:val="24"/>
                <w:highlight w:val="none"/>
                <w:lang w:val="en-US" w:eastAsia="zh-CN"/>
              </w:rPr>
              <w:t>，其中：液体肥生产过程主要用于灭菌工序，颗粒肥生产过程主要用于混合烘干工序</w:t>
            </w:r>
            <w:r>
              <w:rPr>
                <w:rFonts w:hint="default" w:ascii="Times New Roman" w:hAnsi="Times New Roman" w:eastAsia="宋体" w:cs="Times New Roman"/>
                <w:color w:val="auto"/>
                <w:sz w:val="24"/>
                <w:szCs w:val="24"/>
                <w:highlight w:val="none"/>
                <w:lang w:val="en-US" w:eastAsia="zh-CN"/>
              </w:rPr>
              <w:t>。</w:t>
            </w:r>
          </w:p>
          <w:p w14:paraId="41CA9AD9">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此工序污染源主要是生物质锅炉产生废气，污染物主要是颗粒物、SO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、NO</w:t>
            </w:r>
            <w:r>
              <w:rPr>
                <w:rFonts w:hint="eastAsia" w:ascii="Times New Roman" w:hAnsi="Times New Roman" w:eastAsia="宋体" w:cs="Times New Roman"/>
                <w:color w:val="auto"/>
                <w:sz w:val="24"/>
                <w:szCs w:val="24"/>
                <w:highlight w:val="none"/>
                <w:vertAlign w:val="subscript"/>
                <w:lang w:val="en-US" w:eastAsia="zh-CN"/>
              </w:rPr>
              <w:t>X</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锅炉烟气经过SNCR、布袋除尘器处理后排放</w:t>
            </w:r>
            <w:r>
              <w:rPr>
                <w:rFonts w:hint="eastAsia" w:eastAsia="宋体" w:cs="Times New Roman"/>
                <w:color w:val="auto"/>
                <w:sz w:val="24"/>
                <w:szCs w:val="24"/>
                <w:highlight w:val="none"/>
                <w:lang w:val="en-US" w:eastAsia="zh-CN"/>
              </w:rPr>
              <w:t>（排气筒DA001）</w:t>
            </w:r>
            <w:r>
              <w:rPr>
                <w:rFonts w:hint="default" w:ascii="Times New Roman" w:hAnsi="Times New Roman" w:eastAsia="宋体" w:cs="Times New Roman"/>
                <w:color w:val="auto"/>
                <w:sz w:val="24"/>
                <w:szCs w:val="24"/>
                <w:highlight w:val="none"/>
                <w:lang w:val="en-US" w:eastAsia="zh-CN"/>
              </w:rPr>
              <w:t>。锅炉产生的炉渣主要成分为草木灰，可作为颗粒废原料综合利用。</w:t>
            </w:r>
          </w:p>
          <w:p w14:paraId="799ACCC2">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）废气处理</w:t>
            </w:r>
          </w:p>
          <w:p w14:paraId="104B66D9">
            <w:pPr>
              <w:pStyle w:val="8"/>
              <w:snapToGrid/>
              <w:spacing w:before="0" w:after="0" w:line="480" w:lineRule="exact"/>
              <w:ind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严格控制项目原料发酵过程，原料本身</w:t>
            </w:r>
            <w:r>
              <w:rPr>
                <w:rFonts w:hint="eastAsia"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lang w:val="en-US" w:eastAsia="zh-CN"/>
              </w:rPr>
              <w:t>H值不高于5.5，正常生产条件下无恶臭气体生成，产生过程中产生的废气以二氧化碳和水蒸气为主，</w:t>
            </w:r>
            <w:r>
              <w:rPr>
                <w:rFonts w:hint="eastAsia" w:eastAsia="宋体" w:cs="Times New Roman"/>
                <w:color w:val="auto"/>
                <w:sz w:val="24"/>
                <w:szCs w:val="24"/>
                <w:highlight w:val="none"/>
                <w:lang w:val="en-US" w:eastAsia="zh-CN"/>
              </w:rPr>
              <w:t>项目发酵过程采用封闭措施，产生的恶臭以无组织形式排放（P1）</w:t>
            </w:r>
            <w:r>
              <w:rPr>
                <w:rFonts w:hint="default" w:ascii="Times New Roman" w:hAnsi="Times New Roman" w:eastAsia="宋体" w:cs="Times New Roman"/>
                <w:color w:val="auto"/>
                <w:sz w:val="24"/>
                <w:szCs w:val="24"/>
                <w:highlight w:val="none"/>
                <w:lang w:val="en-US" w:eastAsia="zh-CN"/>
              </w:rPr>
              <w:t>。</w:t>
            </w:r>
          </w:p>
          <w:p w14:paraId="18D2971F">
            <w:pPr>
              <w:pStyle w:val="8"/>
              <w:snapToGrid/>
              <w:spacing w:before="0" w:after="0" w:line="480" w:lineRule="exact"/>
              <w:ind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本项目运营期工艺流程及产污节点图见下图。</w:t>
            </w:r>
          </w:p>
          <w:p w14:paraId="08A66C2F">
            <w:pPr>
              <w:pStyle w:val="8"/>
              <w:snapToGrid/>
              <w:spacing w:before="0" w:after="0" w:line="240" w:lineRule="auto"/>
              <w:ind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5526405" cy="4876800"/>
                  <wp:effectExtent l="9525" t="9525" r="26670" b="9525"/>
                  <wp:docPr id="11" name="图片 4" descr="工艺流程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工艺流程图_01"/>
                          <pic:cNvPicPr>
                            <a:picLocks noChangeAspect="1"/>
                          </pic:cNvPicPr>
                        </pic:nvPicPr>
                        <pic:blipFill>
                          <a:blip r:embed="rId9"/>
                          <a:stretch>
                            <a:fillRect/>
                          </a:stretch>
                        </pic:blipFill>
                        <pic:spPr>
                          <a:xfrm>
                            <a:off x="0" y="0"/>
                            <a:ext cx="5526405" cy="4876800"/>
                          </a:xfrm>
                          <a:prstGeom prst="rect">
                            <a:avLst/>
                          </a:prstGeom>
                          <a:noFill/>
                          <a:ln>
                            <a:solidFill>
                              <a:schemeClr val="tx1"/>
                            </a:solidFill>
                          </a:ln>
                        </pic:spPr>
                      </pic:pic>
                    </a:graphicData>
                  </a:graphic>
                </wp:inline>
              </w:drawing>
            </w:r>
          </w:p>
          <w:p w14:paraId="58B5B0D8">
            <w:pPr>
              <w:pStyle w:val="8"/>
              <w:snapToGrid/>
              <w:spacing w:before="0" w:after="0" w:line="240" w:lineRule="auto"/>
              <w:ind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w:t>
            </w:r>
            <w:r>
              <w:rPr>
                <w:rFonts w:hint="eastAsia" w:eastAsia="宋体" w:cs="Times New Roman"/>
                <w:b/>
                <w:bCs/>
                <w:color w:val="auto"/>
                <w:sz w:val="21"/>
                <w:szCs w:val="21"/>
                <w:highlight w:val="none"/>
                <w:lang w:val="en-US" w:eastAsia="zh-CN"/>
              </w:rPr>
              <w:t>2-5</w:t>
            </w:r>
            <w:r>
              <w:rPr>
                <w:rFonts w:hint="default" w:ascii="Times New Roman" w:hAnsi="Times New Roman" w:eastAsia="宋体" w:cs="Times New Roman"/>
                <w:b/>
                <w:bCs/>
                <w:color w:val="auto"/>
                <w:sz w:val="21"/>
                <w:szCs w:val="21"/>
                <w:highlight w:val="none"/>
                <w:lang w:val="en-US" w:eastAsia="zh-CN"/>
              </w:rPr>
              <w:t xml:space="preserve"> 生产工艺流程及产污环节图（液体肥）（5T/批，20批）</w:t>
            </w:r>
          </w:p>
          <w:p w14:paraId="481CF30F">
            <w:pPr>
              <w:pStyle w:val="8"/>
              <w:numPr>
                <w:ilvl w:val="0"/>
                <w:numId w:val="0"/>
              </w:numPr>
              <w:snapToGrid/>
              <w:spacing w:before="0" w:after="0" w:line="480" w:lineRule="exact"/>
              <w:ind w:right="0" w:rightChars="0" w:firstLine="482" w:firstLineChars="20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2.1.2</w:t>
            </w:r>
            <w:r>
              <w:rPr>
                <w:rFonts w:hint="default" w:ascii="Times New Roman" w:hAnsi="Times New Roman" w:eastAsia="宋体" w:cs="Times New Roman"/>
                <w:b/>
                <w:bCs/>
                <w:color w:val="auto"/>
                <w:sz w:val="24"/>
                <w:szCs w:val="24"/>
                <w:highlight w:val="none"/>
                <w:lang w:val="en-US" w:eastAsia="zh-CN"/>
              </w:rPr>
              <w:t>饲料添加剂工艺</w:t>
            </w:r>
            <w:r>
              <w:rPr>
                <w:rFonts w:hint="eastAsia" w:ascii="Times New Roman" w:hAnsi="Times New Roman" w:eastAsia="宋体" w:cs="Times New Roman"/>
                <w:b/>
                <w:bCs/>
                <w:color w:val="auto"/>
                <w:sz w:val="24"/>
                <w:szCs w:val="24"/>
                <w:highlight w:val="none"/>
                <w:lang w:val="en-US" w:eastAsia="zh-CN"/>
              </w:rPr>
              <w:t>流程及产排污环节分析</w:t>
            </w:r>
          </w:p>
          <w:p w14:paraId="727BA872">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（1）备料</w:t>
            </w:r>
          </w:p>
          <w:p w14:paraId="54738A14">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项目商品购入玉米芯，</w:t>
            </w:r>
            <w:r>
              <w:rPr>
                <w:rFonts w:hint="eastAsia" w:ascii="Times New Roman" w:hAnsi="Times New Roman" w:eastAsia="宋体" w:cs="Times New Roman"/>
                <w:color w:val="auto"/>
                <w:sz w:val="24"/>
                <w:szCs w:val="24"/>
                <w:highlight w:val="none"/>
                <w:lang w:val="en-US" w:eastAsia="zh-CN"/>
              </w:rPr>
              <w:t>在生产车间内暂存。</w:t>
            </w:r>
          </w:p>
          <w:p w14:paraId="27A39A7C">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此工序污染源主要是玉米芯堆存过程产生的少量粉尘。</w:t>
            </w:r>
          </w:p>
          <w:p w14:paraId="3E110407">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（2）投料</w:t>
            </w:r>
          </w:p>
          <w:p w14:paraId="2C45D993">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玉米芯经传送带输送至投料口，进入后续破碎环节。</w:t>
            </w:r>
          </w:p>
          <w:p w14:paraId="5D426F9D">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此工序污染源主要是投料过程产生的粉尘以及机械设备噪声。投料口处设集气罩进行收集，经布袋除尘器处理后由1根15m排气筒（DA002）排放。</w:t>
            </w:r>
          </w:p>
          <w:p w14:paraId="15ABD1B6">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（3）封闭破碎、粗粉、细粉</w:t>
            </w:r>
          </w:p>
          <w:p w14:paraId="234094BB">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玉米芯依次经过破块机（封闭设备）、粗粉碎机、微粉碎机，进行破碎→粗粉→细粉。</w:t>
            </w:r>
          </w:p>
          <w:p w14:paraId="2FA43BF0">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此工序污染源主要是破碎机机械设备噪声以及破碎过程产生的粉尘废气。粗粉、细粉过程中粉尘废气经</w:t>
            </w:r>
            <w:r>
              <w:rPr>
                <w:rFonts w:hint="eastAsia" w:eastAsia="宋体" w:cs="Times New Roman"/>
                <w:color w:val="auto"/>
                <w:sz w:val="24"/>
                <w:szCs w:val="24"/>
                <w:highlight w:val="none"/>
                <w:lang w:val="en-US" w:eastAsia="zh-CN"/>
              </w:rPr>
              <w:t>集气罩+布袋除尘器+15m高排气筒（DA003、DA004）排放。</w:t>
            </w:r>
          </w:p>
          <w:p w14:paraId="2266355D">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（4）筛分</w:t>
            </w:r>
          </w:p>
          <w:p w14:paraId="3FF62F69">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利用不同孔径的筛网，将破碎、粉碎后的玉米芯物料按粒度分级。</w:t>
            </w:r>
          </w:p>
          <w:p w14:paraId="753E1A2E">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此工序筛分设备为密闭设备，主要污染源为筛分设备噪声及</w:t>
            </w:r>
            <w:r>
              <w:rPr>
                <w:rFonts w:hint="default" w:ascii="Times New Roman" w:hAnsi="Times New Roman" w:eastAsia="宋体" w:cs="Times New Roman"/>
                <w:color w:val="auto"/>
                <w:sz w:val="24"/>
                <w:szCs w:val="24"/>
                <w:highlight w:val="none"/>
                <w:lang w:val="en-US" w:eastAsia="zh-CN"/>
              </w:rPr>
              <w:t>剔除不合格的粗颗粒，过粗的物料返回前序破碎/粉碎环节重新加工。</w:t>
            </w:r>
          </w:p>
          <w:p w14:paraId="085CC7C3">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（5）包装</w:t>
            </w:r>
          </w:p>
          <w:p w14:paraId="2B6424C9">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经过筛分后的玉米芯粉经灌装机定量罐装至塑料编织袋进行包装。</w:t>
            </w:r>
          </w:p>
          <w:p w14:paraId="0B6F4F37">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此过程主要是机械设备噪声及包装过程产生的粉尘废气，灌装口出设置集气罩进行收集，经布袋除尘器处理后由1根15m排气筒（DA005）排放。</w:t>
            </w:r>
          </w:p>
          <w:p w14:paraId="01B68A20">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（6）产品堆存</w:t>
            </w:r>
          </w:p>
          <w:p w14:paraId="7C7C1A83">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包装后的玉米芯粉即饲料添加剂产品，在生产车间内进行暂存。</w:t>
            </w:r>
          </w:p>
          <w:p w14:paraId="694A321C">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此工序污染源主要是玉米芯堆存过程产生极少量的粉尘。</w:t>
            </w:r>
          </w:p>
          <w:p w14:paraId="092EEBA1">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饲料添加剂工艺流程及产排污环节见图2-6。</w:t>
            </w:r>
          </w:p>
          <w:p w14:paraId="7B347C4E">
            <w:pPr>
              <w:pStyle w:val="8"/>
              <w:numPr>
                <w:ilvl w:val="0"/>
                <w:numId w:val="0"/>
              </w:numPr>
              <w:snapToGrid/>
              <w:spacing w:before="0" w:after="0" w:line="480" w:lineRule="exact"/>
              <w:ind w:right="0" w:rightChars="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2.1.3</w:t>
            </w:r>
            <w:r>
              <w:rPr>
                <w:rFonts w:hint="default" w:ascii="Times New Roman" w:hAnsi="Times New Roman" w:eastAsia="宋体" w:cs="Times New Roman"/>
                <w:b/>
                <w:bCs/>
                <w:color w:val="auto"/>
                <w:sz w:val="24"/>
                <w:szCs w:val="24"/>
                <w:highlight w:val="none"/>
                <w:lang w:val="en-US" w:eastAsia="zh-CN"/>
              </w:rPr>
              <w:t>颗粒肥工艺</w:t>
            </w:r>
            <w:r>
              <w:rPr>
                <w:rFonts w:hint="eastAsia" w:ascii="Times New Roman" w:hAnsi="Times New Roman" w:eastAsia="宋体" w:cs="Times New Roman"/>
                <w:b/>
                <w:bCs/>
                <w:color w:val="auto"/>
                <w:sz w:val="24"/>
                <w:szCs w:val="24"/>
                <w:highlight w:val="none"/>
                <w:lang w:val="en-US" w:eastAsia="zh-CN"/>
              </w:rPr>
              <w:t>流程及产排污环节分析</w:t>
            </w:r>
          </w:p>
          <w:p w14:paraId="02C28FFD">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（1）投料</w:t>
            </w:r>
          </w:p>
          <w:p w14:paraId="2E67C78F">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项目生产的玉米芯粉与液体肥生产线产生的炉渣、沉降渣进行混合，</w:t>
            </w:r>
            <w:r>
              <w:rPr>
                <w:rFonts w:hint="eastAsia" w:eastAsia="宋体" w:cs="Times New Roman"/>
                <w:color w:val="auto"/>
                <w:sz w:val="24"/>
                <w:szCs w:val="24"/>
                <w:highlight w:val="none"/>
                <w:lang w:val="en-US" w:eastAsia="zh-CN"/>
              </w:rPr>
              <w:t>混合前玉米芯粉投料过程产生投料粉尘，投料粉尘设置集气罩+布袋除尘器+15m高排气筒排放（DA006）。</w:t>
            </w:r>
          </w:p>
          <w:p w14:paraId="2400819E">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）混合烘干</w:t>
            </w:r>
            <w:r>
              <w:rPr>
                <w:rFonts w:hint="eastAsia" w:ascii="Times New Roman" w:hAnsi="Times New Roman" w:eastAsia="宋体" w:cs="Times New Roman"/>
                <w:color w:val="auto"/>
                <w:sz w:val="24"/>
                <w:szCs w:val="24"/>
                <w:highlight w:val="none"/>
                <w:lang w:val="en-US" w:eastAsia="zh-CN"/>
              </w:rPr>
              <w:t>、冷却干燥</w:t>
            </w:r>
          </w:p>
          <w:p w14:paraId="662CF596">
            <w:pPr>
              <w:pStyle w:val="8"/>
              <w:numPr>
                <w:ilvl w:val="0"/>
                <w:numId w:val="0"/>
              </w:numPr>
              <w:snapToGrid/>
              <w:spacing w:before="0" w:after="0" w:line="480" w:lineRule="exact"/>
              <w:ind w:right="0" w:rightChars="0" w:firstLine="480" w:firstLineChars="200"/>
              <w:jc w:val="both"/>
              <w:rPr>
                <w:rFonts w:hint="eastAsia"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混合后进入烘干装置，在蒸汽间接加热的情况完成粉料脱水。</w:t>
            </w:r>
            <w:r>
              <w:rPr>
                <w:rFonts w:hint="eastAsia" w:eastAsia="宋体" w:cs="Times New Roman"/>
                <w:color w:val="auto"/>
                <w:sz w:val="24"/>
                <w:szCs w:val="24"/>
                <w:highlight w:val="none"/>
                <w:lang w:val="en-US" w:eastAsia="zh-CN"/>
              </w:rPr>
              <w:t>完成烘干后物料通过冷风进行冷却，并进入下一环节。</w:t>
            </w:r>
          </w:p>
          <w:p w14:paraId="1492428E">
            <w:pPr>
              <w:pStyle w:val="8"/>
              <w:numPr>
                <w:ilvl w:val="0"/>
                <w:numId w:val="0"/>
              </w:numPr>
              <w:snapToGrid/>
              <w:spacing w:before="0" w:after="0" w:line="480" w:lineRule="exact"/>
              <w:ind w:right="0" w:rightChars="0" w:firstLine="480" w:firstLineChars="200"/>
              <w:jc w:val="both"/>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烘干、风冷均在密闭环境下进行，无无组织排放，含尘废气经收集后分别经旋风除尘器处理后经15m高排气筒排放（排气筒设置编号分别为DA007、DA008）。</w:t>
            </w:r>
          </w:p>
          <w:p w14:paraId="407090C8">
            <w:pPr>
              <w:pStyle w:val="8"/>
              <w:numPr>
                <w:ilvl w:val="0"/>
                <w:numId w:val="0"/>
              </w:numPr>
              <w:snapToGrid/>
              <w:spacing w:before="0" w:after="0" w:line="480" w:lineRule="exact"/>
              <w:ind w:right="0" w:rightChars="0" w:firstLine="480" w:firstLineChars="200"/>
              <w:jc w:val="both"/>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（3）破碎</w:t>
            </w:r>
          </w:p>
          <w:p w14:paraId="4BD9173A">
            <w:pPr>
              <w:pStyle w:val="8"/>
              <w:numPr>
                <w:ilvl w:val="0"/>
                <w:numId w:val="0"/>
              </w:numPr>
              <w:snapToGrid/>
              <w:spacing w:before="0" w:after="0" w:line="480" w:lineRule="exact"/>
              <w:ind w:right="0" w:rightChars="0" w:firstLine="480" w:firstLineChars="200"/>
              <w:jc w:val="both"/>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完成烘干后的物料存在接团，经破碎机破碎后得到肥料粉末，可直接以粉末肥料销售，也可进一步进入造粒环节。</w:t>
            </w:r>
          </w:p>
          <w:p w14:paraId="3AD17EC5">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该破碎过程设置集气罩+布袋除尘器+15m高排气筒排放（DA009）。</w:t>
            </w:r>
          </w:p>
          <w:p w14:paraId="5C493387">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（4）复配</w:t>
            </w:r>
            <w:r>
              <w:rPr>
                <w:rFonts w:hint="eastAsia" w:ascii="Times New Roman" w:hAnsi="Times New Roman" w:eastAsia="宋体" w:cs="Times New Roman"/>
                <w:color w:val="auto"/>
                <w:sz w:val="24"/>
                <w:szCs w:val="24"/>
                <w:highlight w:val="none"/>
                <w:lang w:val="en-US" w:eastAsia="zh-CN"/>
              </w:rPr>
              <w:t>（投料、破碎、复配混合）</w:t>
            </w:r>
          </w:p>
          <w:p w14:paraId="42C12074">
            <w:pPr>
              <w:pStyle w:val="8"/>
              <w:numPr>
                <w:ilvl w:val="0"/>
                <w:numId w:val="0"/>
              </w:numPr>
              <w:snapToGrid/>
              <w:spacing w:before="0" w:after="0" w:line="480" w:lineRule="exact"/>
              <w:ind w:right="0" w:rightChars="0" w:firstLine="480" w:firstLineChars="200"/>
              <w:jc w:val="both"/>
              <w:rPr>
                <w:rFonts w:hint="eastAsia"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为进一步提高颗粒肥肥力，在颗粒肥造粒前按比例配入一定量含N、P、K的无机盐</w:t>
            </w:r>
            <w:r>
              <w:rPr>
                <w:rFonts w:hint="eastAsia" w:eastAsia="宋体" w:cs="Times New Roman"/>
                <w:color w:val="auto"/>
                <w:sz w:val="24"/>
                <w:szCs w:val="24"/>
                <w:highlight w:val="none"/>
                <w:lang w:val="en-US" w:eastAsia="zh-CN"/>
              </w:rPr>
              <w:t>和有机辅料（废糖渣、有机废料），其中先进行有机辅料的复配，再进行无机盐的复配。有机辅料与上游产生的粉末肥料进行投料、破碎，该破碎过程同时起到有机辅料破碎和混合的作用。</w:t>
            </w:r>
          </w:p>
          <w:p w14:paraId="2F03E4A1">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投料、破碎过程分别集气罩+布袋除尘器+15m高排气筒排放（DA010、DA011）。完成有机辅料肥料粉末的复配，继续进行无机盐与肥料的混合，混合过程采用混料机。混料过程产生的粉尘设置集气罩+布袋除尘器+15m高排气筒排放（DA012）。</w:t>
            </w:r>
          </w:p>
          <w:p w14:paraId="0C06DE8B">
            <w:pPr>
              <w:pStyle w:val="8"/>
              <w:numPr>
                <w:ilvl w:val="0"/>
                <w:numId w:val="0"/>
              </w:numPr>
              <w:snapToGrid/>
              <w:spacing w:before="0" w:after="0" w:line="480" w:lineRule="exact"/>
              <w:ind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（5）造粒</w:t>
            </w:r>
            <w:r>
              <w:rPr>
                <w:rFonts w:hint="eastAsia" w:eastAsia="宋体" w:cs="Times New Roman"/>
                <w:color w:val="auto"/>
                <w:sz w:val="24"/>
                <w:szCs w:val="24"/>
                <w:highlight w:val="none"/>
                <w:lang w:val="en-US" w:eastAsia="zh-CN"/>
              </w:rPr>
              <w:t>及包装</w:t>
            </w:r>
          </w:p>
          <w:p w14:paraId="35EBE39F">
            <w:pPr>
              <w:pStyle w:val="8"/>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完成复配的肥料粉末进入造粒机，在造粒机增湿、高温、挤压的作用下，肥料粉末形成结构稳定的肥料颗粒，即为颗粒肥产品。</w:t>
            </w:r>
            <w:r>
              <w:rPr>
                <w:rFonts w:hint="eastAsia" w:eastAsia="宋体" w:cs="Times New Roman"/>
                <w:color w:val="auto"/>
                <w:sz w:val="24"/>
                <w:szCs w:val="24"/>
                <w:highlight w:val="none"/>
                <w:lang w:val="en-US" w:eastAsia="zh-CN"/>
              </w:rPr>
              <w:t>项目造粒机废密闭装置不考虑其产生的粉尘，完成造粒的颗粒仍有高温，经风冷冷却后，经包装系统包装，即得颗粒物产品。风冷过程为密闭过程，无无组织排放，风冷粉尘经旋风除尘器处理后经15m高排气筒排放（DA013）。包装过程产生的粉尘设置集气罩+布袋除尘器+15m高排气筒排放（DA014）。</w:t>
            </w:r>
          </w:p>
          <w:p w14:paraId="3EFBC913">
            <w:pPr>
              <w:pStyle w:val="8"/>
              <w:snapToGrid/>
              <w:spacing w:before="0" w:after="0" w:line="240" w:lineRule="auto"/>
              <w:ind w:right="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5535930" cy="8232140"/>
                  <wp:effectExtent l="12700" t="12700" r="13970" b="22860"/>
                  <wp:docPr id="12" name="图片 12" descr="工艺流程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艺流程图_02"/>
                          <pic:cNvPicPr>
                            <a:picLocks noChangeAspect="1"/>
                          </pic:cNvPicPr>
                        </pic:nvPicPr>
                        <pic:blipFill>
                          <a:blip r:embed="rId10"/>
                          <a:stretch>
                            <a:fillRect/>
                          </a:stretch>
                        </pic:blipFill>
                        <pic:spPr>
                          <a:xfrm>
                            <a:off x="0" y="0"/>
                            <a:ext cx="5535930" cy="8232140"/>
                          </a:xfrm>
                          <a:prstGeom prst="rect">
                            <a:avLst/>
                          </a:prstGeom>
                          <a:ln w="12700" cmpd="sng">
                            <a:solidFill>
                              <a:schemeClr val="tx1"/>
                            </a:solidFill>
                            <a:prstDash val="solid"/>
                          </a:ln>
                        </pic:spPr>
                      </pic:pic>
                    </a:graphicData>
                  </a:graphic>
                </wp:inline>
              </w:drawing>
            </w:r>
          </w:p>
          <w:p w14:paraId="77190E56">
            <w:pPr>
              <w:pStyle w:val="8"/>
              <w:snapToGrid/>
              <w:spacing w:before="0" w:after="0" w:line="240" w:lineRule="auto"/>
              <w:ind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图</w:t>
            </w:r>
            <w:r>
              <w:rPr>
                <w:rFonts w:hint="eastAsia" w:eastAsia="宋体" w:cs="Times New Roman"/>
                <w:b/>
                <w:bCs/>
                <w:color w:val="auto"/>
                <w:sz w:val="21"/>
                <w:szCs w:val="21"/>
                <w:highlight w:val="none"/>
                <w:lang w:val="en-US" w:eastAsia="zh-CN"/>
              </w:rPr>
              <w:t>2-6</w:t>
            </w:r>
            <w:r>
              <w:rPr>
                <w:rFonts w:hint="default" w:ascii="Times New Roman" w:hAnsi="Times New Roman" w:eastAsia="宋体" w:cs="Times New Roman"/>
                <w:b/>
                <w:bCs/>
                <w:color w:val="auto"/>
                <w:sz w:val="21"/>
                <w:szCs w:val="21"/>
                <w:highlight w:val="none"/>
                <w:lang w:val="en-US" w:eastAsia="zh-CN"/>
              </w:rPr>
              <w:t xml:space="preserve"> 生产工艺流程及产污环节图（饲料添加剂及颗粒肥）</w:t>
            </w:r>
          </w:p>
          <w:p w14:paraId="320411FB">
            <w:pPr>
              <w:spacing w:line="480" w:lineRule="exact"/>
              <w:jc w:val="both"/>
              <w:rPr>
                <w:rFonts w:hint="default" w:ascii="Times New Roman" w:hAnsi="Times New Roman" w:cs="Times New Roman"/>
                <w:bCs/>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 xml:space="preserve"> 产污节点分析</w:t>
            </w:r>
          </w:p>
          <w:p w14:paraId="1BAD3A9F">
            <w:pPr>
              <w:pStyle w:val="8"/>
              <w:snapToGrid/>
              <w:spacing w:before="0" w:after="0" w:line="480" w:lineRule="exact"/>
              <w:ind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（一）施工期工程污染分析</w:t>
            </w:r>
          </w:p>
          <w:p w14:paraId="1B8EE248">
            <w:pPr>
              <w:pStyle w:val="8"/>
              <w:snapToGrid/>
              <w:spacing w:before="0" w:after="0" w:line="480" w:lineRule="exact"/>
              <w:ind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（1）废水：</w:t>
            </w:r>
            <w:r>
              <w:rPr>
                <w:rFonts w:hint="eastAsia" w:ascii="Times New Roman" w:hAnsi="Times New Roman" w:eastAsia="宋体" w:cs="Times New Roman"/>
                <w:color w:val="auto"/>
                <w:kern w:val="2"/>
                <w:sz w:val="24"/>
                <w:szCs w:val="24"/>
                <w:highlight w:val="none"/>
                <w:lang w:val="en-US" w:eastAsia="zh-CN" w:bidi="ar-SA"/>
              </w:rPr>
              <w:t>主要为施工废水及施工期生活污水</w:t>
            </w:r>
            <w:r>
              <w:rPr>
                <w:rFonts w:hint="default" w:ascii="Times New Roman" w:hAnsi="Times New Roman" w:eastAsia="宋体" w:cs="Times New Roman"/>
                <w:color w:val="auto"/>
                <w:kern w:val="2"/>
                <w:sz w:val="24"/>
                <w:szCs w:val="24"/>
                <w:highlight w:val="none"/>
                <w:lang w:val="en-US" w:eastAsia="zh-CN" w:bidi="ar-SA"/>
              </w:rPr>
              <w:t>。</w:t>
            </w:r>
          </w:p>
          <w:p w14:paraId="29901232">
            <w:pPr>
              <w:pStyle w:val="8"/>
              <w:snapToGrid/>
              <w:spacing w:before="0" w:after="0" w:line="480" w:lineRule="exact"/>
              <w:ind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（2）噪声：设备安装机械、运输车辆的噪声，其噪声值约为70-80dB（A）。</w:t>
            </w:r>
          </w:p>
          <w:p w14:paraId="5E49319B">
            <w:pPr>
              <w:pStyle w:val="8"/>
              <w:snapToGrid/>
              <w:spacing w:before="0" w:after="0" w:line="480" w:lineRule="exact"/>
              <w:ind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）固体废物：施工期固废主要为施工人员的生活垃圾、</w:t>
            </w:r>
            <w:r>
              <w:rPr>
                <w:rFonts w:hint="eastAsia" w:ascii="Times New Roman" w:hAnsi="Times New Roman" w:eastAsia="宋体" w:cs="Times New Roman"/>
                <w:color w:val="auto"/>
                <w:kern w:val="2"/>
                <w:sz w:val="24"/>
                <w:szCs w:val="24"/>
                <w:highlight w:val="none"/>
                <w:lang w:val="en-US" w:eastAsia="zh-CN" w:bidi="ar-SA"/>
              </w:rPr>
              <w:t>建筑垃圾、</w:t>
            </w:r>
            <w:r>
              <w:rPr>
                <w:rFonts w:hint="default" w:ascii="Times New Roman" w:hAnsi="Times New Roman" w:eastAsia="宋体" w:cs="Times New Roman"/>
                <w:color w:val="auto"/>
                <w:kern w:val="2"/>
                <w:sz w:val="24"/>
                <w:szCs w:val="24"/>
                <w:highlight w:val="none"/>
                <w:lang w:val="en-US" w:eastAsia="zh-CN" w:bidi="ar-SA"/>
              </w:rPr>
              <w:t>设备安装产生的包装废物。</w:t>
            </w:r>
          </w:p>
          <w:p w14:paraId="6AEC64F2">
            <w:pPr>
              <w:pStyle w:val="8"/>
              <w:snapToGrid/>
              <w:spacing w:before="0" w:after="0" w:line="480" w:lineRule="exact"/>
              <w:ind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（二）运营期污染工序</w:t>
            </w:r>
          </w:p>
          <w:p w14:paraId="7566E0C5">
            <w:pPr>
              <w:spacing w:line="480" w:lineRule="exact"/>
              <w:ind w:firstLine="480" w:firstLineChars="200"/>
              <w:jc w:val="both"/>
              <w:rPr>
                <w:rFonts w:hint="default" w:ascii="Times New Roman" w:hAnsi="Times New Roman" w:cs="Times New Roman"/>
                <w:color w:val="auto"/>
                <w:sz w:val="24"/>
                <w:highlight w:val="none"/>
              </w:rPr>
            </w:pPr>
            <w:r>
              <w:rPr>
                <w:rFonts w:hint="default" w:ascii="Times New Roman" w:hAnsi="Times New Roman" w:eastAsia="宋体" w:cs="Times New Roman"/>
                <w:color w:val="auto"/>
                <w:kern w:val="2"/>
                <w:sz w:val="24"/>
                <w:szCs w:val="24"/>
                <w:highlight w:val="none"/>
                <w:lang w:val="en-US" w:eastAsia="zh-CN" w:bidi="ar-SA"/>
              </w:rPr>
              <w:t>（1）废气：运营期废气主要来源于</w:t>
            </w:r>
            <w:r>
              <w:rPr>
                <w:rFonts w:hint="eastAsia" w:cs="Times New Roman"/>
                <w:color w:val="auto"/>
                <w:kern w:val="2"/>
                <w:sz w:val="24"/>
                <w:szCs w:val="24"/>
                <w:highlight w:val="none"/>
                <w:lang w:val="en-US" w:eastAsia="zh-CN" w:bidi="ar-SA"/>
              </w:rPr>
              <w:t>生物质锅炉烟气、肥料加工粉尘、发酵恶臭</w:t>
            </w:r>
            <w:r>
              <w:rPr>
                <w:rFonts w:hint="default" w:ascii="Times New Roman" w:hAnsi="Times New Roman" w:cs="Times New Roman"/>
                <w:color w:val="auto"/>
                <w:sz w:val="24"/>
                <w:highlight w:val="none"/>
              </w:rPr>
              <w:t>。</w:t>
            </w:r>
          </w:p>
          <w:p w14:paraId="3BBB210B">
            <w:pPr>
              <w:spacing w:line="480" w:lineRule="exact"/>
              <w:ind w:firstLine="480" w:firstLineChars="200"/>
              <w:jc w:val="both"/>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（2）废水：</w:t>
            </w:r>
            <w:r>
              <w:rPr>
                <w:rFonts w:hint="eastAsia" w:cs="Times New Roman"/>
                <w:bCs/>
                <w:color w:val="auto"/>
                <w:sz w:val="24"/>
                <w:highlight w:val="none"/>
                <w:lang w:val="en-US" w:eastAsia="zh-CN"/>
              </w:rPr>
              <w:t>根据项目特点，</w:t>
            </w:r>
            <w:r>
              <w:rPr>
                <w:rFonts w:hint="default" w:ascii="Times New Roman" w:hAnsi="Times New Roman" w:cs="Times New Roman"/>
                <w:bCs/>
                <w:color w:val="auto"/>
                <w:sz w:val="24"/>
                <w:highlight w:val="none"/>
                <w:lang w:val="en-US" w:eastAsia="zh-CN"/>
              </w:rPr>
              <w:t>运营期</w:t>
            </w:r>
            <w:r>
              <w:rPr>
                <w:rFonts w:hint="eastAsia" w:cs="Times New Roman"/>
                <w:bCs/>
                <w:color w:val="auto"/>
                <w:sz w:val="24"/>
                <w:highlight w:val="none"/>
                <w:lang w:val="en-US" w:eastAsia="zh-CN"/>
              </w:rPr>
              <w:t>无生产废水产生</w:t>
            </w:r>
            <w:r>
              <w:rPr>
                <w:rFonts w:hint="eastAsia" w:ascii="Times New Roman" w:hAnsi="Times New Roman" w:eastAsia="宋体" w:cs="Times New Roman"/>
                <w:snapToGrid w:val="0"/>
                <w:color w:val="auto"/>
                <w:kern w:val="0"/>
                <w:sz w:val="24"/>
                <w:szCs w:val="22"/>
                <w:highlight w:val="none"/>
                <w:lang w:val="en-US" w:eastAsia="zh-CN"/>
              </w:rPr>
              <w:t>。</w:t>
            </w:r>
            <w:r>
              <w:rPr>
                <w:rFonts w:hint="default" w:ascii="Times New Roman" w:hAnsi="Times New Roman" w:cs="Times New Roman"/>
                <w:bCs/>
                <w:color w:val="auto"/>
                <w:sz w:val="24"/>
                <w:highlight w:val="none"/>
                <w:lang w:val="en-US" w:eastAsia="zh-CN"/>
              </w:rPr>
              <w:t>员工</w:t>
            </w:r>
            <w:r>
              <w:rPr>
                <w:rFonts w:hint="default" w:ascii="Times New Roman" w:hAnsi="Times New Roman" w:cs="Times New Roman"/>
                <w:bCs/>
                <w:color w:val="auto"/>
                <w:sz w:val="24"/>
                <w:highlight w:val="none"/>
              </w:rPr>
              <w:t>产生的生活污水</w:t>
            </w:r>
            <w:r>
              <w:rPr>
                <w:rFonts w:hint="default" w:ascii="Times New Roman" w:hAnsi="Times New Roman" w:cs="Times New Roman"/>
                <w:bCs/>
                <w:color w:val="auto"/>
                <w:sz w:val="24"/>
                <w:highlight w:val="none"/>
                <w:lang w:val="en-US" w:eastAsia="zh-CN"/>
              </w:rPr>
              <w:t>排入</w:t>
            </w:r>
            <w:r>
              <w:rPr>
                <w:rFonts w:hint="eastAsia" w:cs="Times New Roman"/>
                <w:bCs/>
                <w:color w:val="auto"/>
                <w:sz w:val="24"/>
                <w:highlight w:val="none"/>
                <w:lang w:val="en-US" w:eastAsia="zh-CN"/>
              </w:rPr>
              <w:t>市政</w:t>
            </w:r>
            <w:r>
              <w:rPr>
                <w:rFonts w:hint="default" w:ascii="Times New Roman" w:hAnsi="Times New Roman" w:cs="Times New Roman"/>
                <w:bCs/>
                <w:color w:val="auto"/>
                <w:sz w:val="24"/>
                <w:highlight w:val="none"/>
                <w:lang w:val="en-US" w:eastAsia="zh-CN"/>
              </w:rPr>
              <w:t>污水管网</w:t>
            </w:r>
            <w:r>
              <w:rPr>
                <w:rFonts w:hint="default" w:ascii="Times New Roman" w:hAnsi="Times New Roman" w:cs="Times New Roman"/>
                <w:bCs/>
                <w:color w:val="auto"/>
                <w:sz w:val="24"/>
                <w:highlight w:val="none"/>
              </w:rPr>
              <w:t>。</w:t>
            </w:r>
          </w:p>
          <w:p w14:paraId="4C29CC39">
            <w:pPr>
              <w:spacing w:line="480" w:lineRule="exact"/>
              <w:ind w:firstLine="480" w:firstLineChars="200"/>
              <w:jc w:val="both"/>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（3）噪声：主要为</w:t>
            </w:r>
            <w:r>
              <w:rPr>
                <w:rFonts w:hint="default" w:ascii="Times New Roman" w:hAnsi="Times New Roman" w:cs="Times New Roman"/>
                <w:bCs/>
                <w:color w:val="auto"/>
                <w:sz w:val="24"/>
                <w:highlight w:val="none"/>
                <w:lang w:val="en-US" w:eastAsia="zh-CN"/>
              </w:rPr>
              <w:t>设备运行噪声</w:t>
            </w:r>
            <w:r>
              <w:rPr>
                <w:rFonts w:hint="default" w:ascii="Times New Roman" w:hAnsi="Times New Roman" w:cs="Times New Roman"/>
                <w:bCs/>
                <w:color w:val="auto"/>
                <w:sz w:val="24"/>
                <w:highlight w:val="none"/>
              </w:rPr>
              <w:t>。</w:t>
            </w:r>
          </w:p>
          <w:p w14:paraId="1283CB7C">
            <w:pPr>
              <w:spacing w:line="480" w:lineRule="exact"/>
              <w:ind w:firstLine="480" w:firstLineChars="200"/>
              <w:jc w:val="both"/>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（4）固体废物：主要是</w:t>
            </w:r>
            <w:r>
              <w:rPr>
                <w:rFonts w:hint="default" w:ascii="Times New Roman" w:hAnsi="Times New Roman" w:cs="Times New Roman"/>
                <w:bCs/>
                <w:color w:val="auto"/>
                <w:sz w:val="24"/>
                <w:highlight w:val="none"/>
                <w:lang w:val="en-US" w:eastAsia="zh-CN"/>
              </w:rPr>
              <w:t>员工</w:t>
            </w:r>
            <w:r>
              <w:rPr>
                <w:rFonts w:hint="default" w:ascii="Times New Roman" w:hAnsi="Times New Roman" w:cs="Times New Roman"/>
                <w:bCs/>
                <w:color w:val="auto"/>
                <w:sz w:val="24"/>
                <w:highlight w:val="none"/>
              </w:rPr>
              <w:t>的生活垃圾；</w:t>
            </w:r>
            <w:r>
              <w:rPr>
                <w:rFonts w:hint="default" w:ascii="Times New Roman" w:hAnsi="Times New Roman" w:cs="Times New Roman"/>
                <w:bCs/>
                <w:color w:val="auto"/>
                <w:sz w:val="24"/>
                <w:highlight w:val="none"/>
                <w:lang w:val="en-US" w:eastAsia="zh-CN"/>
              </w:rPr>
              <w:t>设备运行维护产生的废机油</w:t>
            </w:r>
            <w:r>
              <w:rPr>
                <w:rFonts w:hint="eastAsia" w:ascii="Times New Roman" w:hAnsi="Times New Roman" w:cs="Times New Roman"/>
                <w:bCs/>
                <w:color w:val="auto"/>
                <w:sz w:val="24"/>
                <w:highlight w:val="none"/>
                <w:lang w:val="en-US" w:eastAsia="zh-CN"/>
              </w:rPr>
              <w:t>；除尘器收集尘</w:t>
            </w:r>
            <w:r>
              <w:rPr>
                <w:rFonts w:hint="default" w:ascii="Times New Roman" w:hAnsi="Times New Roman" w:cs="Times New Roman"/>
                <w:bCs/>
                <w:color w:val="auto"/>
                <w:sz w:val="24"/>
                <w:highlight w:val="none"/>
              </w:rPr>
              <w:t>。</w:t>
            </w:r>
          </w:p>
          <w:p w14:paraId="413B6339">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本项目产污情况见表2-</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rPr>
              <w:t>。</w:t>
            </w:r>
          </w:p>
          <w:p w14:paraId="35AF9C10">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项目产污情况一览表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695"/>
              <w:gridCol w:w="1138"/>
              <w:gridCol w:w="1534"/>
              <w:gridCol w:w="1892"/>
              <w:gridCol w:w="2964"/>
            </w:tblGrid>
            <w:tr w14:paraId="0E43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noWrap w:val="0"/>
                  <w:vAlign w:val="center"/>
                </w:tcPr>
                <w:p w14:paraId="39D8639F">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类别</w:t>
                  </w:r>
                </w:p>
              </w:tc>
              <w:tc>
                <w:tcPr>
                  <w:tcW w:w="397" w:type="pct"/>
                  <w:noWrap w:val="0"/>
                  <w:vAlign w:val="center"/>
                </w:tcPr>
                <w:p w14:paraId="51F901AF">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650" w:type="pct"/>
                  <w:noWrap w:val="0"/>
                  <w:vAlign w:val="center"/>
                </w:tcPr>
                <w:p w14:paraId="45668259">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产污工序</w:t>
                  </w:r>
                </w:p>
              </w:tc>
              <w:tc>
                <w:tcPr>
                  <w:tcW w:w="876" w:type="pct"/>
                  <w:noWrap w:val="0"/>
                  <w:vAlign w:val="center"/>
                </w:tcPr>
                <w:p w14:paraId="04FE2A9E">
                  <w:pPr>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val="en-US" w:eastAsia="zh-CN"/>
                    </w:rPr>
                    <w:t>污染源</w:t>
                  </w:r>
                </w:p>
              </w:tc>
              <w:tc>
                <w:tcPr>
                  <w:tcW w:w="1080" w:type="pct"/>
                  <w:noWrap w:val="0"/>
                  <w:vAlign w:val="center"/>
                </w:tcPr>
                <w:p w14:paraId="010BA981">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主要污染因子</w:t>
                  </w:r>
                </w:p>
              </w:tc>
              <w:tc>
                <w:tcPr>
                  <w:tcW w:w="1692" w:type="pct"/>
                  <w:noWrap w:val="0"/>
                  <w:vAlign w:val="center"/>
                </w:tcPr>
                <w:p w14:paraId="046D22F6">
                  <w:pPr>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w:t>
                  </w:r>
                </w:p>
              </w:tc>
            </w:tr>
            <w:tr w14:paraId="200C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restart"/>
                  <w:noWrap w:val="0"/>
                  <w:vAlign w:val="center"/>
                </w:tcPr>
                <w:p w14:paraId="4B89482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97" w:type="pct"/>
                  <w:noWrap w:val="0"/>
                  <w:vAlign w:val="center"/>
                </w:tcPr>
                <w:p w14:paraId="2B90F49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650" w:type="pct"/>
                  <w:noWrap w:val="0"/>
                  <w:vAlign w:val="center"/>
                </w:tcPr>
                <w:p w14:paraId="454FE932">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运输</w:t>
                  </w:r>
                </w:p>
              </w:tc>
              <w:tc>
                <w:tcPr>
                  <w:tcW w:w="876" w:type="pct"/>
                  <w:noWrap w:val="0"/>
                  <w:vAlign w:val="center"/>
                </w:tcPr>
                <w:p w14:paraId="5A276F10">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扬尘、车辆尾气</w:t>
                  </w:r>
                </w:p>
              </w:tc>
              <w:tc>
                <w:tcPr>
                  <w:tcW w:w="1080" w:type="pct"/>
                  <w:noWrap w:val="0"/>
                  <w:vAlign w:val="center"/>
                </w:tcPr>
                <w:p w14:paraId="555B82F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颗粒物、CO、HC</w:t>
                  </w:r>
                </w:p>
              </w:tc>
              <w:tc>
                <w:tcPr>
                  <w:tcW w:w="1692" w:type="pct"/>
                  <w:vMerge w:val="restart"/>
                  <w:noWrap w:val="0"/>
                  <w:vAlign w:val="center"/>
                </w:tcPr>
                <w:p w14:paraId="1F12558D">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影响短暂，随施工期结束而终止</w:t>
                  </w:r>
                </w:p>
              </w:tc>
            </w:tr>
            <w:tr w14:paraId="0F3A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65C1D1F7">
                  <w:pPr>
                    <w:jc w:val="center"/>
                    <w:rPr>
                      <w:rFonts w:hint="default" w:ascii="Times New Roman" w:hAnsi="Times New Roman" w:cs="Times New Roman"/>
                      <w:color w:val="auto"/>
                      <w:sz w:val="21"/>
                      <w:szCs w:val="21"/>
                      <w:highlight w:val="none"/>
                    </w:rPr>
                  </w:pPr>
                </w:p>
              </w:tc>
              <w:tc>
                <w:tcPr>
                  <w:tcW w:w="397" w:type="pct"/>
                  <w:noWrap w:val="0"/>
                  <w:vAlign w:val="center"/>
                </w:tcPr>
                <w:p w14:paraId="1B2DAC7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650" w:type="pct"/>
                  <w:noWrap w:val="0"/>
                  <w:vAlign w:val="center"/>
                </w:tcPr>
                <w:p w14:paraId="098C1C8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施工人员</w:t>
                  </w:r>
                </w:p>
              </w:tc>
              <w:tc>
                <w:tcPr>
                  <w:tcW w:w="876" w:type="pct"/>
                  <w:noWrap w:val="0"/>
                  <w:vAlign w:val="center"/>
                </w:tcPr>
                <w:p w14:paraId="04BAAF5D">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生活污水</w:t>
                  </w:r>
                </w:p>
              </w:tc>
              <w:tc>
                <w:tcPr>
                  <w:tcW w:w="1080" w:type="pct"/>
                  <w:noWrap w:val="0"/>
                  <w:vAlign w:val="center"/>
                </w:tcPr>
                <w:p w14:paraId="7A7B834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eastAsia="zh-CN"/>
                    </w:rPr>
                    <w:t>COD</w:t>
                  </w: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w:t>
                  </w:r>
                  <w:r>
                    <w:rPr>
                      <w:rFonts w:hint="default" w:ascii="Times New Roman" w:hAnsi="Times New Roman" w:cs="Times New Roman"/>
                      <w:b/>
                      <w:bCs/>
                      <w:color w:val="auto"/>
                      <w:sz w:val="21"/>
                      <w:szCs w:val="21"/>
                      <w:highlight w:val="none"/>
                    </w:rPr>
                    <w:t>SS</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-N、动植物油</w:t>
                  </w:r>
                </w:p>
              </w:tc>
              <w:tc>
                <w:tcPr>
                  <w:tcW w:w="1692" w:type="pct"/>
                  <w:vMerge w:val="continue"/>
                  <w:noWrap w:val="0"/>
                  <w:vAlign w:val="center"/>
                </w:tcPr>
                <w:p w14:paraId="788D191E">
                  <w:pPr>
                    <w:jc w:val="center"/>
                    <w:rPr>
                      <w:rFonts w:hint="eastAsia" w:ascii="Times New Roman" w:hAnsi="Times New Roman" w:cs="Times New Roman"/>
                      <w:color w:val="auto"/>
                      <w:sz w:val="21"/>
                      <w:szCs w:val="21"/>
                      <w:highlight w:val="none"/>
                      <w:lang w:eastAsia="zh-CN"/>
                    </w:rPr>
                  </w:pPr>
                </w:p>
              </w:tc>
            </w:tr>
            <w:tr w14:paraId="7D64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5FB56E3E">
                  <w:pPr>
                    <w:jc w:val="center"/>
                    <w:rPr>
                      <w:rFonts w:hint="default" w:ascii="Times New Roman" w:hAnsi="Times New Roman" w:cs="Times New Roman"/>
                      <w:color w:val="auto"/>
                      <w:sz w:val="21"/>
                      <w:szCs w:val="21"/>
                      <w:highlight w:val="none"/>
                    </w:rPr>
                  </w:pPr>
                </w:p>
              </w:tc>
              <w:tc>
                <w:tcPr>
                  <w:tcW w:w="397" w:type="pct"/>
                  <w:vMerge w:val="restart"/>
                  <w:noWrap w:val="0"/>
                  <w:vAlign w:val="center"/>
                </w:tcPr>
                <w:p w14:paraId="55A5489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固废</w:t>
                  </w:r>
                </w:p>
              </w:tc>
              <w:tc>
                <w:tcPr>
                  <w:tcW w:w="650" w:type="pct"/>
                  <w:noWrap w:val="0"/>
                  <w:vAlign w:val="center"/>
                </w:tcPr>
                <w:p w14:paraId="7A3EB3BC">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员工生活</w:t>
                  </w:r>
                </w:p>
              </w:tc>
              <w:tc>
                <w:tcPr>
                  <w:tcW w:w="876" w:type="pct"/>
                  <w:noWrap w:val="0"/>
                  <w:vAlign w:val="center"/>
                </w:tcPr>
                <w:p w14:paraId="4B7751FE">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生活垃圾</w:t>
                  </w:r>
                </w:p>
              </w:tc>
              <w:tc>
                <w:tcPr>
                  <w:tcW w:w="1080" w:type="pct"/>
                  <w:noWrap w:val="0"/>
                  <w:vAlign w:val="center"/>
                </w:tcPr>
                <w:p w14:paraId="28554B7C">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果皮、纸屑</w:t>
                  </w:r>
                </w:p>
              </w:tc>
              <w:tc>
                <w:tcPr>
                  <w:tcW w:w="1692" w:type="pct"/>
                  <w:vMerge w:val="continue"/>
                  <w:noWrap w:val="0"/>
                  <w:vAlign w:val="center"/>
                </w:tcPr>
                <w:p w14:paraId="45BCE5CC">
                  <w:pPr>
                    <w:jc w:val="center"/>
                    <w:rPr>
                      <w:rFonts w:hint="default" w:ascii="Times New Roman" w:hAnsi="Times New Roman" w:cs="Times New Roman"/>
                      <w:color w:val="auto"/>
                      <w:sz w:val="21"/>
                      <w:szCs w:val="21"/>
                      <w:highlight w:val="none"/>
                    </w:rPr>
                  </w:pPr>
                </w:p>
              </w:tc>
            </w:tr>
            <w:tr w14:paraId="4859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2228FFF1">
                  <w:pPr>
                    <w:jc w:val="center"/>
                    <w:rPr>
                      <w:rFonts w:hint="default" w:ascii="Times New Roman" w:hAnsi="Times New Roman" w:cs="Times New Roman"/>
                      <w:color w:val="auto"/>
                      <w:sz w:val="21"/>
                      <w:szCs w:val="21"/>
                      <w:highlight w:val="none"/>
                    </w:rPr>
                  </w:pPr>
                </w:p>
              </w:tc>
              <w:tc>
                <w:tcPr>
                  <w:tcW w:w="397" w:type="pct"/>
                  <w:vMerge w:val="continue"/>
                  <w:noWrap w:val="0"/>
                  <w:vAlign w:val="center"/>
                </w:tcPr>
                <w:p w14:paraId="1699C416">
                  <w:pPr>
                    <w:jc w:val="center"/>
                    <w:rPr>
                      <w:rFonts w:hint="default" w:ascii="Times New Roman" w:hAnsi="Times New Roman" w:cs="Times New Roman"/>
                      <w:color w:val="auto"/>
                      <w:sz w:val="21"/>
                      <w:szCs w:val="21"/>
                      <w:highlight w:val="none"/>
                    </w:rPr>
                  </w:pPr>
                </w:p>
              </w:tc>
              <w:tc>
                <w:tcPr>
                  <w:tcW w:w="650" w:type="pct"/>
                  <w:noWrap w:val="0"/>
                  <w:vAlign w:val="center"/>
                </w:tcPr>
                <w:p w14:paraId="53065C3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设备</w:t>
                  </w:r>
                  <w:r>
                    <w:rPr>
                      <w:rFonts w:hint="default" w:ascii="Times New Roman" w:hAnsi="Times New Roman" w:cs="Times New Roman"/>
                      <w:color w:val="auto"/>
                      <w:sz w:val="21"/>
                      <w:szCs w:val="21"/>
                      <w:highlight w:val="none"/>
                      <w:lang w:val="en-US" w:eastAsia="zh-CN"/>
                    </w:rPr>
                    <w:t>安装</w:t>
                  </w:r>
                </w:p>
              </w:tc>
              <w:tc>
                <w:tcPr>
                  <w:tcW w:w="876" w:type="pct"/>
                  <w:noWrap w:val="0"/>
                  <w:vAlign w:val="center"/>
                </w:tcPr>
                <w:p w14:paraId="6D2A873C">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一般固废</w:t>
                  </w:r>
                </w:p>
              </w:tc>
              <w:tc>
                <w:tcPr>
                  <w:tcW w:w="1080" w:type="pct"/>
                  <w:noWrap w:val="0"/>
                  <w:vAlign w:val="center"/>
                </w:tcPr>
                <w:p w14:paraId="2E4DA1D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包装垃圾</w:t>
                  </w:r>
                </w:p>
              </w:tc>
              <w:tc>
                <w:tcPr>
                  <w:tcW w:w="1692" w:type="pct"/>
                  <w:vMerge w:val="continue"/>
                  <w:noWrap w:val="0"/>
                  <w:vAlign w:val="center"/>
                </w:tcPr>
                <w:p w14:paraId="4EBCD96A">
                  <w:pPr>
                    <w:jc w:val="center"/>
                    <w:rPr>
                      <w:rFonts w:hint="default" w:ascii="Times New Roman" w:hAnsi="Times New Roman" w:cs="Times New Roman"/>
                      <w:color w:val="auto"/>
                      <w:sz w:val="21"/>
                      <w:szCs w:val="21"/>
                      <w:highlight w:val="none"/>
                      <w:lang w:val="en-US" w:eastAsia="zh-CN"/>
                    </w:rPr>
                  </w:pPr>
                </w:p>
              </w:tc>
            </w:tr>
            <w:tr w14:paraId="0C32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77E73876">
                  <w:pPr>
                    <w:jc w:val="center"/>
                    <w:rPr>
                      <w:rFonts w:hint="default" w:ascii="Times New Roman" w:hAnsi="Times New Roman" w:cs="Times New Roman"/>
                      <w:color w:val="auto"/>
                      <w:sz w:val="21"/>
                      <w:szCs w:val="21"/>
                      <w:highlight w:val="none"/>
                    </w:rPr>
                  </w:pPr>
                </w:p>
              </w:tc>
              <w:tc>
                <w:tcPr>
                  <w:tcW w:w="397" w:type="pct"/>
                  <w:noWrap w:val="0"/>
                  <w:vAlign w:val="center"/>
                </w:tcPr>
                <w:p w14:paraId="018173F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650" w:type="pct"/>
                  <w:noWrap w:val="0"/>
                  <w:vAlign w:val="center"/>
                </w:tcPr>
                <w:p w14:paraId="5EACF9D8">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设备安装</w:t>
                  </w:r>
                </w:p>
              </w:tc>
              <w:tc>
                <w:tcPr>
                  <w:tcW w:w="1956" w:type="pct"/>
                  <w:gridSpan w:val="2"/>
                  <w:noWrap w:val="0"/>
                  <w:vAlign w:val="center"/>
                </w:tcPr>
                <w:p w14:paraId="6ABBA19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1692" w:type="pct"/>
                  <w:vMerge w:val="continue"/>
                  <w:noWrap w:val="0"/>
                  <w:vAlign w:val="center"/>
                </w:tcPr>
                <w:p w14:paraId="077D9382">
                  <w:pPr>
                    <w:jc w:val="center"/>
                    <w:rPr>
                      <w:rFonts w:hint="default" w:ascii="Times New Roman" w:hAnsi="Times New Roman" w:cs="Times New Roman"/>
                      <w:color w:val="auto"/>
                      <w:sz w:val="21"/>
                      <w:szCs w:val="21"/>
                      <w:highlight w:val="none"/>
                      <w:lang w:val="en-US" w:eastAsia="zh-CN"/>
                    </w:rPr>
                  </w:pPr>
                </w:p>
              </w:tc>
            </w:tr>
            <w:tr w14:paraId="3EEA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restart"/>
                  <w:noWrap w:val="0"/>
                  <w:vAlign w:val="center"/>
                </w:tcPr>
                <w:p w14:paraId="49F6144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运营期</w:t>
                  </w:r>
                </w:p>
              </w:tc>
              <w:tc>
                <w:tcPr>
                  <w:tcW w:w="397" w:type="pct"/>
                  <w:vMerge w:val="restart"/>
                  <w:noWrap w:val="0"/>
                  <w:vAlign w:val="center"/>
                </w:tcPr>
                <w:p w14:paraId="3D09978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650" w:type="pct"/>
                  <w:vMerge w:val="restart"/>
                  <w:noWrap w:val="0"/>
                  <w:vAlign w:val="center"/>
                </w:tcPr>
                <w:p w14:paraId="09DDBD18">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生产车间</w:t>
                  </w:r>
                </w:p>
              </w:tc>
              <w:tc>
                <w:tcPr>
                  <w:tcW w:w="876" w:type="pct"/>
                  <w:noWrap w:val="0"/>
                  <w:vAlign w:val="center"/>
                </w:tcPr>
                <w:p w14:paraId="46E2813B">
                  <w:pPr>
                    <w:ind w:left="-108" w:leftChars="0" w:right="-102" w:rightChars="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锅炉烟气</w:t>
                  </w:r>
                </w:p>
              </w:tc>
              <w:tc>
                <w:tcPr>
                  <w:tcW w:w="1080" w:type="pct"/>
                  <w:noWrap w:val="0"/>
                  <w:vAlign w:val="center"/>
                </w:tcPr>
                <w:p w14:paraId="5C1EAD14">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二氧化硫、氮氧化物、颗粒物</w:t>
                  </w:r>
                </w:p>
              </w:tc>
              <w:tc>
                <w:tcPr>
                  <w:tcW w:w="1692" w:type="pct"/>
                  <w:noWrap w:val="0"/>
                  <w:vAlign w:val="center"/>
                </w:tcPr>
                <w:p w14:paraId="594F5E52">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DA001，8t/h生物质锅炉</w:t>
                  </w:r>
                </w:p>
              </w:tc>
            </w:tr>
            <w:tr w14:paraId="1139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4417D25E">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2DB363AF">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7B39DD5C">
                  <w:pPr>
                    <w:ind w:left="-108" w:leftChars="0" w:right="-102" w:rightChars="0"/>
                    <w:jc w:val="center"/>
                    <w:rPr>
                      <w:rFonts w:hint="eastAsia" w:ascii="Times New Roman" w:hAnsi="Times New Roman" w:cs="Times New Roman"/>
                      <w:color w:val="auto"/>
                      <w:kern w:val="2"/>
                      <w:sz w:val="21"/>
                      <w:szCs w:val="21"/>
                      <w:highlight w:val="none"/>
                      <w:lang w:val="en-US" w:eastAsia="zh-CN" w:bidi="ar-SA"/>
                    </w:rPr>
                  </w:pPr>
                </w:p>
              </w:tc>
              <w:tc>
                <w:tcPr>
                  <w:tcW w:w="876" w:type="pct"/>
                  <w:noWrap w:val="0"/>
                  <w:vAlign w:val="center"/>
                </w:tcPr>
                <w:p w14:paraId="7043EB69">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玉米芯投料粉尘</w:t>
                  </w:r>
                </w:p>
              </w:tc>
              <w:tc>
                <w:tcPr>
                  <w:tcW w:w="1080" w:type="pct"/>
                  <w:noWrap w:val="0"/>
                  <w:vAlign w:val="center"/>
                </w:tcPr>
                <w:p w14:paraId="579C3A30">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5E910A66">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DA002，集气罩+布袋除尘器</w:t>
                  </w:r>
                </w:p>
              </w:tc>
            </w:tr>
            <w:tr w14:paraId="251D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3EE48F25">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6FD03A9D">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72AF4F63">
                  <w:pPr>
                    <w:ind w:left="-108" w:leftChars="0" w:right="-102" w:rightChars="0"/>
                    <w:jc w:val="center"/>
                    <w:rPr>
                      <w:rFonts w:hint="eastAsia" w:ascii="Times New Roman" w:hAnsi="Times New Roman" w:cs="Times New Roman"/>
                      <w:color w:val="auto"/>
                      <w:kern w:val="2"/>
                      <w:sz w:val="21"/>
                      <w:szCs w:val="21"/>
                      <w:highlight w:val="none"/>
                      <w:lang w:val="en-US" w:eastAsia="zh-CN" w:bidi="ar-SA"/>
                    </w:rPr>
                  </w:pPr>
                </w:p>
              </w:tc>
              <w:tc>
                <w:tcPr>
                  <w:tcW w:w="876" w:type="pct"/>
                  <w:noWrap w:val="0"/>
                  <w:vAlign w:val="center"/>
                </w:tcPr>
                <w:p w14:paraId="06048A84">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玉米芯粗粉粉尘</w:t>
                  </w:r>
                </w:p>
              </w:tc>
              <w:tc>
                <w:tcPr>
                  <w:tcW w:w="1080" w:type="pct"/>
                  <w:noWrap w:val="0"/>
                  <w:vAlign w:val="center"/>
                </w:tcPr>
                <w:p w14:paraId="4A190DD9">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046C1B34">
                  <w:pPr>
                    <w:jc w:val="center"/>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DA003，集气罩+布袋除尘器</w:t>
                  </w:r>
                </w:p>
              </w:tc>
            </w:tr>
            <w:tr w14:paraId="3E05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5225E388">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0F2D0CAB">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18039AA5">
                  <w:pPr>
                    <w:ind w:left="-108" w:leftChars="0" w:right="-102" w:rightChars="0"/>
                    <w:jc w:val="center"/>
                    <w:rPr>
                      <w:rFonts w:hint="eastAsia" w:ascii="Times New Roman" w:hAnsi="Times New Roman" w:cs="Times New Roman"/>
                      <w:color w:val="auto"/>
                      <w:kern w:val="2"/>
                      <w:sz w:val="21"/>
                      <w:szCs w:val="21"/>
                      <w:highlight w:val="none"/>
                      <w:lang w:val="en-US" w:eastAsia="zh-CN" w:bidi="ar-SA"/>
                    </w:rPr>
                  </w:pPr>
                </w:p>
              </w:tc>
              <w:tc>
                <w:tcPr>
                  <w:tcW w:w="876" w:type="pct"/>
                  <w:noWrap w:val="0"/>
                  <w:vAlign w:val="center"/>
                </w:tcPr>
                <w:p w14:paraId="3F8D9CDC">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玉米芯细粉粉尘</w:t>
                  </w:r>
                </w:p>
              </w:tc>
              <w:tc>
                <w:tcPr>
                  <w:tcW w:w="1080" w:type="pct"/>
                  <w:noWrap w:val="0"/>
                  <w:vAlign w:val="center"/>
                </w:tcPr>
                <w:p w14:paraId="17B139BA">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668145B8">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DA004，集气罩+布袋除尘器</w:t>
                  </w:r>
                </w:p>
              </w:tc>
            </w:tr>
            <w:tr w14:paraId="35EA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2EDF694B">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08E236DA">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3628623F">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047F9AC9">
                  <w:pPr>
                    <w:ind w:left="-108" w:leftChars="0" w:right="-102" w:rightChars="0"/>
                    <w:jc w:val="center"/>
                    <w:rPr>
                      <w:rFonts w:hint="default" w:ascii="Times New Roman" w:hAnsi="Times New Roman" w:cs="Times New Roman"/>
                      <w:color w:val="auto"/>
                      <w:spacing w:val="-11"/>
                      <w:kern w:val="0"/>
                      <w:sz w:val="21"/>
                      <w:szCs w:val="21"/>
                      <w:highlight w:val="none"/>
                    </w:rPr>
                  </w:pPr>
                  <w:r>
                    <w:rPr>
                      <w:rFonts w:hint="eastAsia" w:cs="Times New Roman"/>
                      <w:color w:val="auto"/>
                      <w:spacing w:val="-11"/>
                      <w:kern w:val="2"/>
                      <w:sz w:val="21"/>
                      <w:szCs w:val="21"/>
                      <w:highlight w:val="none"/>
                      <w:lang w:val="en-US" w:eastAsia="zh-CN" w:bidi="ar-SA"/>
                    </w:rPr>
                    <w:t>玉米芯粉包装粉尘</w:t>
                  </w:r>
                </w:p>
              </w:tc>
              <w:tc>
                <w:tcPr>
                  <w:tcW w:w="1080" w:type="pct"/>
                  <w:noWrap w:val="0"/>
                  <w:vAlign w:val="center"/>
                </w:tcPr>
                <w:p w14:paraId="6C7C990B">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35D903E7">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DA005，集气罩+布袋除尘器</w:t>
                  </w:r>
                </w:p>
              </w:tc>
            </w:tr>
            <w:tr w14:paraId="683F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44011CEA">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68412BDA">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73305EE9">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177484A6">
                  <w:pPr>
                    <w:ind w:left="-108" w:leftChars="0" w:right="-102" w:rightChars="0"/>
                    <w:jc w:val="center"/>
                    <w:rPr>
                      <w:rFonts w:hint="default" w:ascii="Times New Roman" w:hAnsi="Times New Roman" w:cs="Times New Roman"/>
                      <w:color w:val="auto"/>
                      <w:spacing w:val="-11"/>
                      <w:kern w:val="0"/>
                      <w:sz w:val="21"/>
                      <w:szCs w:val="21"/>
                      <w:highlight w:val="none"/>
                    </w:rPr>
                  </w:pPr>
                  <w:r>
                    <w:rPr>
                      <w:rFonts w:hint="eastAsia" w:cs="Times New Roman"/>
                      <w:color w:val="auto"/>
                      <w:spacing w:val="-11"/>
                      <w:kern w:val="2"/>
                      <w:sz w:val="21"/>
                      <w:szCs w:val="21"/>
                      <w:highlight w:val="none"/>
                      <w:lang w:val="en-US" w:eastAsia="zh-CN" w:bidi="ar-SA"/>
                    </w:rPr>
                    <w:t>玉米芯粉投料粉尘</w:t>
                  </w:r>
                </w:p>
              </w:tc>
              <w:tc>
                <w:tcPr>
                  <w:tcW w:w="1080" w:type="pct"/>
                  <w:noWrap w:val="0"/>
                  <w:vAlign w:val="center"/>
                </w:tcPr>
                <w:p w14:paraId="490589A5">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1B39CA5C">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DA006，集气罩+布袋除尘器</w:t>
                  </w:r>
                </w:p>
              </w:tc>
            </w:tr>
            <w:tr w14:paraId="76AE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4131ABD6">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4C4D0649">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2E49F5F4">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25F72766">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粉料烘干粉尘</w:t>
                  </w:r>
                </w:p>
              </w:tc>
              <w:tc>
                <w:tcPr>
                  <w:tcW w:w="1080" w:type="pct"/>
                  <w:noWrap w:val="0"/>
                  <w:vAlign w:val="center"/>
                </w:tcPr>
                <w:p w14:paraId="14EEA3F4">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68D25BED">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DA007，封闭+旋风除尘器</w:t>
                  </w:r>
                </w:p>
              </w:tc>
            </w:tr>
            <w:tr w14:paraId="6B52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2CF492C3">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5AE9468B">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530F651E">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58977C55">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粉料风冷粉尘</w:t>
                  </w:r>
                </w:p>
              </w:tc>
              <w:tc>
                <w:tcPr>
                  <w:tcW w:w="1080" w:type="pct"/>
                  <w:noWrap w:val="0"/>
                  <w:vAlign w:val="center"/>
                </w:tcPr>
                <w:p w14:paraId="1EA5DBFB">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1C7091AD">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DA008，封闭+旋风除尘器</w:t>
                  </w:r>
                </w:p>
              </w:tc>
            </w:tr>
            <w:tr w14:paraId="037B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48485402">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675932A4">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135258C4">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3057AA1C">
                  <w:pPr>
                    <w:ind w:left="-108" w:leftChars="0" w:right="-102" w:rightChars="0"/>
                    <w:jc w:val="center"/>
                    <w:rPr>
                      <w:rFonts w:hint="default" w:ascii="Times New Roman" w:hAnsi="Times New Roman" w:cs="Times New Roman"/>
                      <w:color w:val="auto"/>
                      <w:kern w:val="0"/>
                      <w:sz w:val="21"/>
                      <w:szCs w:val="21"/>
                      <w:highlight w:val="none"/>
                      <w:lang w:val="en-US"/>
                    </w:rPr>
                  </w:pPr>
                  <w:r>
                    <w:rPr>
                      <w:rFonts w:hint="eastAsia" w:cs="Times New Roman"/>
                      <w:color w:val="auto"/>
                      <w:kern w:val="0"/>
                      <w:sz w:val="21"/>
                      <w:szCs w:val="21"/>
                      <w:highlight w:val="none"/>
                      <w:lang w:val="en-US" w:eastAsia="zh-CN"/>
                    </w:rPr>
                    <w:t>粉料破碎粉尘</w:t>
                  </w:r>
                </w:p>
              </w:tc>
              <w:tc>
                <w:tcPr>
                  <w:tcW w:w="1080" w:type="pct"/>
                  <w:noWrap w:val="0"/>
                  <w:vAlign w:val="center"/>
                </w:tcPr>
                <w:p w14:paraId="4A2AE74B">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5B62E466">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DA009，集气罩+布袋除尘器</w:t>
                  </w:r>
                </w:p>
              </w:tc>
            </w:tr>
            <w:tr w14:paraId="0985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7B624037">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72AE57BF">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259317BF">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1896339E">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辅料投料粉尘</w:t>
                  </w:r>
                </w:p>
              </w:tc>
              <w:tc>
                <w:tcPr>
                  <w:tcW w:w="1080" w:type="pct"/>
                  <w:noWrap w:val="0"/>
                  <w:vAlign w:val="center"/>
                </w:tcPr>
                <w:p w14:paraId="273146B7">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608280A1">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DA0010，集气罩+布袋除尘器</w:t>
                  </w:r>
                </w:p>
              </w:tc>
            </w:tr>
            <w:tr w14:paraId="0213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1E29868A">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6EBE84DC">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1BFA596A">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26D73253">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辅料破碎粉尘</w:t>
                  </w:r>
                </w:p>
              </w:tc>
              <w:tc>
                <w:tcPr>
                  <w:tcW w:w="1080" w:type="pct"/>
                  <w:noWrap w:val="0"/>
                  <w:vAlign w:val="center"/>
                </w:tcPr>
                <w:p w14:paraId="3D6A3922">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16D3585C">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DA0011，集气罩+布袋除尘器</w:t>
                  </w:r>
                </w:p>
              </w:tc>
            </w:tr>
            <w:tr w14:paraId="6AD7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6E21B5B5">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5E8C7B1F">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696BAB58">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4AE16C3F">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复配粉尘</w:t>
                  </w:r>
                </w:p>
              </w:tc>
              <w:tc>
                <w:tcPr>
                  <w:tcW w:w="1080" w:type="pct"/>
                  <w:noWrap w:val="0"/>
                  <w:vAlign w:val="center"/>
                </w:tcPr>
                <w:p w14:paraId="557C0EEB">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66758329">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DA0012，集气罩+布袋除尘器</w:t>
                  </w:r>
                </w:p>
              </w:tc>
            </w:tr>
            <w:tr w14:paraId="5F47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7BB13DB9">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40E792E9">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73EDEB14">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1B5A1EAD">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颗粒肥风冷粉尘</w:t>
                  </w:r>
                </w:p>
              </w:tc>
              <w:tc>
                <w:tcPr>
                  <w:tcW w:w="1080" w:type="pct"/>
                  <w:noWrap w:val="0"/>
                  <w:vAlign w:val="center"/>
                </w:tcPr>
                <w:p w14:paraId="182A2389">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678DED39">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DA0013，封闭+旋风除尘器</w:t>
                  </w:r>
                </w:p>
              </w:tc>
            </w:tr>
            <w:tr w14:paraId="4EFB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7BF2FA0B">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1A7E448A">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403646DD">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627E7CC2">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颗粒肥包装粉尘</w:t>
                  </w:r>
                </w:p>
              </w:tc>
              <w:tc>
                <w:tcPr>
                  <w:tcW w:w="1080" w:type="pct"/>
                  <w:noWrap w:val="0"/>
                  <w:vAlign w:val="center"/>
                </w:tcPr>
                <w:p w14:paraId="769F85F0">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17B41FAE">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DA0014，集气罩+布袋除尘器</w:t>
                  </w:r>
                </w:p>
              </w:tc>
            </w:tr>
            <w:tr w14:paraId="1AD7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004E5D9C">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759C45D0">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77114C72">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08DADDC1">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发酵废气</w:t>
                  </w:r>
                </w:p>
              </w:tc>
              <w:tc>
                <w:tcPr>
                  <w:tcW w:w="1080" w:type="pct"/>
                  <w:noWrap w:val="0"/>
                  <w:vAlign w:val="center"/>
                </w:tcPr>
                <w:p w14:paraId="7908119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硫化氢、氨</w:t>
                  </w:r>
                </w:p>
              </w:tc>
              <w:tc>
                <w:tcPr>
                  <w:tcW w:w="1692" w:type="pct"/>
                  <w:noWrap w:val="0"/>
                  <w:vAlign w:val="center"/>
                </w:tcPr>
                <w:p w14:paraId="01EA0F69">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P1，封闭管理，无组织</w:t>
                  </w:r>
                </w:p>
              </w:tc>
            </w:tr>
            <w:tr w14:paraId="1E4E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63C91DFD">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4A56E167">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5DD5A359">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4EF4EB0B">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储罐呼吸废气</w:t>
                  </w:r>
                </w:p>
              </w:tc>
              <w:tc>
                <w:tcPr>
                  <w:tcW w:w="1080" w:type="pct"/>
                  <w:noWrap w:val="0"/>
                  <w:vAlign w:val="center"/>
                </w:tcPr>
                <w:p w14:paraId="31A1A6CD">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硫化氢、氨</w:t>
                  </w:r>
                </w:p>
              </w:tc>
              <w:tc>
                <w:tcPr>
                  <w:tcW w:w="1692" w:type="pct"/>
                  <w:noWrap w:val="0"/>
                  <w:vAlign w:val="center"/>
                </w:tcPr>
                <w:p w14:paraId="2C1F7CDB">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P2，储罐呼吸，无组织</w:t>
                  </w:r>
                </w:p>
              </w:tc>
            </w:tr>
            <w:tr w14:paraId="6BCB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2894867D">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66F5D1BC">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17D06728">
                  <w:pPr>
                    <w:ind w:left="-108" w:leftChars="0" w:right="-102" w:rightChars="0"/>
                    <w:jc w:val="center"/>
                    <w:rPr>
                      <w:rFonts w:hint="default" w:ascii="Times New Roman" w:hAnsi="Times New Roman" w:cs="Times New Roman"/>
                      <w:color w:val="auto"/>
                      <w:kern w:val="2"/>
                      <w:sz w:val="21"/>
                      <w:szCs w:val="21"/>
                      <w:highlight w:val="none"/>
                      <w:lang w:val="en-US" w:eastAsia="zh-CN" w:bidi="ar-SA"/>
                    </w:rPr>
                  </w:pPr>
                </w:p>
              </w:tc>
              <w:tc>
                <w:tcPr>
                  <w:tcW w:w="876" w:type="pct"/>
                  <w:noWrap w:val="0"/>
                  <w:vAlign w:val="center"/>
                </w:tcPr>
                <w:p w14:paraId="136D9BA4">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玉米芯原料堆场粉尘</w:t>
                  </w:r>
                </w:p>
              </w:tc>
              <w:tc>
                <w:tcPr>
                  <w:tcW w:w="1080" w:type="pct"/>
                  <w:noWrap w:val="0"/>
                  <w:vAlign w:val="center"/>
                </w:tcPr>
                <w:p w14:paraId="1178A0D6">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54D00EDC">
                  <w:pPr>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P3，堆场，无组织</w:t>
                  </w:r>
                </w:p>
              </w:tc>
            </w:tr>
            <w:tr w14:paraId="33E7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01" w:type="pct"/>
                  <w:vMerge w:val="continue"/>
                  <w:noWrap w:val="0"/>
                  <w:vAlign w:val="center"/>
                </w:tcPr>
                <w:p w14:paraId="39347018">
                  <w:pPr>
                    <w:jc w:val="center"/>
                    <w:rPr>
                      <w:rFonts w:hint="default" w:ascii="Times New Roman" w:hAnsi="Times New Roman" w:cs="Times New Roman"/>
                      <w:color w:val="auto"/>
                      <w:sz w:val="21"/>
                      <w:szCs w:val="21"/>
                      <w:highlight w:val="none"/>
                      <w:lang w:val="en-US" w:eastAsia="zh-CN"/>
                    </w:rPr>
                  </w:pPr>
                </w:p>
              </w:tc>
              <w:tc>
                <w:tcPr>
                  <w:tcW w:w="397" w:type="pct"/>
                  <w:vMerge w:val="continue"/>
                  <w:noWrap w:val="0"/>
                  <w:vAlign w:val="center"/>
                </w:tcPr>
                <w:p w14:paraId="04D30213">
                  <w:pPr>
                    <w:jc w:val="center"/>
                    <w:rPr>
                      <w:rFonts w:hint="default" w:ascii="Times New Roman" w:hAnsi="Times New Roman" w:cs="Times New Roman"/>
                      <w:color w:val="auto"/>
                      <w:sz w:val="21"/>
                      <w:szCs w:val="21"/>
                      <w:highlight w:val="none"/>
                    </w:rPr>
                  </w:pPr>
                </w:p>
              </w:tc>
              <w:tc>
                <w:tcPr>
                  <w:tcW w:w="650" w:type="pct"/>
                  <w:vMerge w:val="continue"/>
                  <w:noWrap w:val="0"/>
                  <w:vAlign w:val="center"/>
                </w:tcPr>
                <w:p w14:paraId="41511F2C">
                  <w:pPr>
                    <w:ind w:left="-108" w:leftChars="0" w:right="-102" w:rightChars="0"/>
                    <w:jc w:val="center"/>
                    <w:rPr>
                      <w:rFonts w:hint="eastAsia" w:ascii="Times New Roman" w:hAnsi="Times New Roman" w:cs="Times New Roman"/>
                      <w:color w:val="auto"/>
                      <w:kern w:val="2"/>
                      <w:sz w:val="21"/>
                      <w:szCs w:val="21"/>
                      <w:highlight w:val="none"/>
                      <w:lang w:val="en-US" w:eastAsia="zh-CN" w:bidi="ar-SA"/>
                    </w:rPr>
                  </w:pPr>
                </w:p>
              </w:tc>
              <w:tc>
                <w:tcPr>
                  <w:tcW w:w="876" w:type="pct"/>
                  <w:noWrap w:val="0"/>
                  <w:vAlign w:val="center"/>
                </w:tcPr>
                <w:p w14:paraId="660F3E56">
                  <w:pPr>
                    <w:ind w:left="-108" w:leftChars="0" w:right="-102"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玉米芯粉产品堆场粉尘</w:t>
                  </w:r>
                </w:p>
              </w:tc>
              <w:tc>
                <w:tcPr>
                  <w:tcW w:w="1080" w:type="pct"/>
                  <w:noWrap w:val="0"/>
                  <w:vAlign w:val="center"/>
                </w:tcPr>
                <w:p w14:paraId="383911C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颗粒物</w:t>
                  </w:r>
                </w:p>
              </w:tc>
              <w:tc>
                <w:tcPr>
                  <w:tcW w:w="1692" w:type="pct"/>
                  <w:noWrap w:val="0"/>
                  <w:vAlign w:val="center"/>
                </w:tcPr>
                <w:p w14:paraId="5FF0C441">
                  <w:pPr>
                    <w:jc w:val="center"/>
                    <w:rPr>
                      <w:rFonts w:hint="eastAsia" w:ascii="Times New Roman" w:hAnsi="Times New Roman" w:cs="Times New Roman"/>
                      <w:color w:val="auto"/>
                      <w:sz w:val="21"/>
                      <w:szCs w:val="21"/>
                      <w:highlight w:val="none"/>
                      <w:lang w:val="en-US" w:eastAsia="zh-CN"/>
                    </w:rPr>
                  </w:pPr>
                  <w:r>
                    <w:rPr>
                      <w:rFonts w:hint="eastAsia" w:cs="Times New Roman"/>
                      <w:color w:val="auto"/>
                      <w:kern w:val="0"/>
                      <w:sz w:val="21"/>
                      <w:szCs w:val="21"/>
                      <w:highlight w:val="none"/>
                      <w:lang w:val="en-US" w:eastAsia="zh-CN"/>
                    </w:rPr>
                    <w:t>P4，堆场，无组织</w:t>
                  </w:r>
                </w:p>
              </w:tc>
            </w:tr>
            <w:tr w14:paraId="3BF1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noWrap w:val="0"/>
                  <w:vAlign w:val="center"/>
                </w:tcPr>
                <w:p w14:paraId="1E5316A6">
                  <w:pPr>
                    <w:jc w:val="center"/>
                    <w:rPr>
                      <w:rFonts w:hint="default" w:ascii="Times New Roman" w:hAnsi="Times New Roman" w:cs="Times New Roman"/>
                      <w:color w:val="auto"/>
                      <w:sz w:val="21"/>
                      <w:szCs w:val="21"/>
                      <w:highlight w:val="none"/>
                    </w:rPr>
                  </w:pPr>
                </w:p>
              </w:tc>
              <w:tc>
                <w:tcPr>
                  <w:tcW w:w="397" w:type="pct"/>
                  <w:noWrap w:val="0"/>
                  <w:vAlign w:val="center"/>
                </w:tcPr>
                <w:p w14:paraId="3A7645F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650" w:type="pct"/>
                  <w:noWrap w:val="0"/>
                  <w:vAlign w:val="center"/>
                </w:tcPr>
                <w:p w14:paraId="198C72B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员工生活</w:t>
                  </w:r>
                </w:p>
              </w:tc>
              <w:tc>
                <w:tcPr>
                  <w:tcW w:w="876" w:type="pct"/>
                  <w:noWrap w:val="0"/>
                  <w:vAlign w:val="center"/>
                </w:tcPr>
                <w:p w14:paraId="483F95F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1080" w:type="pct"/>
                  <w:noWrap w:val="0"/>
                  <w:vAlign w:val="center"/>
                </w:tcPr>
                <w:p w14:paraId="0D4B59A5">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COD</w:t>
                  </w: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b/>
                      <w:bCs/>
                      <w:color w:val="auto"/>
                      <w:sz w:val="21"/>
                      <w:szCs w:val="21"/>
                      <w:highlight w:val="none"/>
                    </w:rPr>
                    <w:t>SS</w:t>
                  </w:r>
                  <w:r>
                    <w:rPr>
                      <w:rFonts w:hint="default" w:ascii="Times New Roman" w:hAnsi="Times New Roman" w:cs="Times New Roman"/>
                      <w:color w:val="auto"/>
                      <w:sz w:val="21"/>
                      <w:szCs w:val="21"/>
                      <w:highlight w:val="none"/>
                    </w:rPr>
                    <w:t>、动植物油</w:t>
                  </w:r>
                </w:p>
              </w:tc>
              <w:tc>
                <w:tcPr>
                  <w:tcW w:w="1692" w:type="pct"/>
                  <w:noWrap w:val="0"/>
                  <w:vAlign w:val="center"/>
                </w:tcPr>
                <w:p w14:paraId="1FA6A634">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污水管网</w:t>
                  </w:r>
                </w:p>
              </w:tc>
            </w:tr>
            <w:tr w14:paraId="02C2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noWrap w:val="0"/>
                  <w:vAlign w:val="center"/>
                </w:tcPr>
                <w:p w14:paraId="0B6ED954">
                  <w:pPr>
                    <w:jc w:val="center"/>
                    <w:rPr>
                      <w:rFonts w:hint="default" w:ascii="Times New Roman" w:hAnsi="Times New Roman" w:cs="Times New Roman"/>
                      <w:color w:val="auto"/>
                      <w:sz w:val="21"/>
                      <w:szCs w:val="21"/>
                      <w:highlight w:val="none"/>
                    </w:rPr>
                  </w:pPr>
                </w:p>
              </w:tc>
              <w:tc>
                <w:tcPr>
                  <w:tcW w:w="397" w:type="pct"/>
                  <w:vMerge w:val="restart"/>
                  <w:noWrap w:val="0"/>
                  <w:vAlign w:val="center"/>
                </w:tcPr>
                <w:p w14:paraId="6055444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650" w:type="pct"/>
                  <w:noWrap w:val="0"/>
                  <w:vAlign w:val="center"/>
                </w:tcPr>
                <w:p w14:paraId="1ACC3D0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员工生活</w:t>
                  </w:r>
                </w:p>
              </w:tc>
              <w:tc>
                <w:tcPr>
                  <w:tcW w:w="876" w:type="pct"/>
                  <w:noWrap w:val="0"/>
                  <w:vAlign w:val="center"/>
                </w:tcPr>
                <w:p w14:paraId="0EAC59AF">
                  <w:pPr>
                    <w:ind w:left="-108" w:right="-10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1080" w:type="pct"/>
                  <w:noWrap w:val="0"/>
                  <w:vAlign w:val="center"/>
                </w:tcPr>
                <w:p w14:paraId="5CA35C9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生活垃圾</w:t>
                  </w:r>
                </w:p>
              </w:tc>
              <w:tc>
                <w:tcPr>
                  <w:tcW w:w="1692" w:type="pct"/>
                  <w:noWrap w:val="0"/>
                  <w:vAlign w:val="center"/>
                </w:tcPr>
                <w:p w14:paraId="11109F19">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由环卫处理</w:t>
                  </w:r>
                </w:p>
              </w:tc>
            </w:tr>
            <w:tr w14:paraId="6643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01" w:type="pct"/>
                  <w:vMerge w:val="continue"/>
                  <w:noWrap w:val="0"/>
                  <w:vAlign w:val="center"/>
                </w:tcPr>
                <w:p w14:paraId="1D8D6030">
                  <w:pPr>
                    <w:jc w:val="center"/>
                    <w:rPr>
                      <w:rFonts w:hint="default" w:ascii="Times New Roman" w:hAnsi="Times New Roman" w:cs="Times New Roman"/>
                      <w:color w:val="auto"/>
                      <w:sz w:val="21"/>
                      <w:szCs w:val="21"/>
                      <w:highlight w:val="none"/>
                    </w:rPr>
                  </w:pPr>
                </w:p>
              </w:tc>
              <w:tc>
                <w:tcPr>
                  <w:tcW w:w="397" w:type="pct"/>
                  <w:vMerge w:val="continue"/>
                  <w:noWrap w:val="0"/>
                  <w:vAlign w:val="center"/>
                </w:tcPr>
                <w:p w14:paraId="78C0C073">
                  <w:pPr>
                    <w:jc w:val="center"/>
                    <w:rPr>
                      <w:rFonts w:hint="default" w:ascii="Times New Roman" w:hAnsi="Times New Roman" w:cs="Times New Roman"/>
                      <w:color w:val="auto"/>
                      <w:sz w:val="21"/>
                      <w:szCs w:val="21"/>
                      <w:highlight w:val="none"/>
                    </w:rPr>
                  </w:pPr>
                </w:p>
              </w:tc>
              <w:tc>
                <w:tcPr>
                  <w:tcW w:w="650" w:type="pct"/>
                  <w:noWrap w:val="0"/>
                  <w:vAlign w:val="center"/>
                </w:tcPr>
                <w:p w14:paraId="50D6BB91">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锅炉房</w:t>
                  </w:r>
                </w:p>
              </w:tc>
              <w:tc>
                <w:tcPr>
                  <w:tcW w:w="876" w:type="pct"/>
                  <w:noWrap w:val="0"/>
                  <w:vAlign w:val="center"/>
                </w:tcPr>
                <w:p w14:paraId="2158B026">
                  <w:pPr>
                    <w:ind w:left="-108" w:right="-102"/>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生物质炉灰</w:t>
                  </w:r>
                </w:p>
              </w:tc>
              <w:tc>
                <w:tcPr>
                  <w:tcW w:w="1080" w:type="pct"/>
                  <w:noWrap w:val="0"/>
                  <w:vAlign w:val="center"/>
                </w:tcPr>
                <w:p w14:paraId="4725A70E">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生物质炉灰</w:t>
                  </w:r>
                </w:p>
              </w:tc>
              <w:tc>
                <w:tcPr>
                  <w:tcW w:w="1692" w:type="pct"/>
                  <w:noWrap w:val="0"/>
                  <w:vAlign w:val="center"/>
                </w:tcPr>
                <w:p w14:paraId="4FA7A059">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作为原料回用</w:t>
                  </w:r>
                </w:p>
              </w:tc>
            </w:tr>
            <w:tr w14:paraId="3F2D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noWrap w:val="0"/>
                  <w:vAlign w:val="center"/>
                </w:tcPr>
                <w:p w14:paraId="25BC2F0C">
                  <w:pPr>
                    <w:jc w:val="center"/>
                    <w:rPr>
                      <w:rFonts w:hint="default" w:ascii="Times New Roman" w:hAnsi="Times New Roman" w:cs="Times New Roman"/>
                      <w:color w:val="auto"/>
                      <w:sz w:val="21"/>
                      <w:szCs w:val="21"/>
                      <w:highlight w:val="none"/>
                    </w:rPr>
                  </w:pPr>
                </w:p>
              </w:tc>
              <w:tc>
                <w:tcPr>
                  <w:tcW w:w="397" w:type="pct"/>
                  <w:vMerge w:val="continue"/>
                  <w:noWrap w:val="0"/>
                  <w:vAlign w:val="center"/>
                </w:tcPr>
                <w:p w14:paraId="0935A352">
                  <w:pPr>
                    <w:jc w:val="center"/>
                    <w:rPr>
                      <w:rFonts w:hint="default" w:ascii="Times New Roman" w:hAnsi="Times New Roman" w:cs="Times New Roman"/>
                      <w:color w:val="auto"/>
                      <w:sz w:val="21"/>
                      <w:szCs w:val="21"/>
                      <w:highlight w:val="none"/>
                    </w:rPr>
                  </w:pPr>
                </w:p>
              </w:tc>
              <w:tc>
                <w:tcPr>
                  <w:tcW w:w="650" w:type="pct"/>
                  <w:noWrap w:val="0"/>
                  <w:vAlign w:val="center"/>
                </w:tcPr>
                <w:p w14:paraId="68FA4703">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2"/>
                      <w:sz w:val="21"/>
                      <w:szCs w:val="21"/>
                      <w:highlight w:val="none"/>
                      <w:lang w:val="en-US" w:eastAsia="zh-CN" w:bidi="ar-SA"/>
                    </w:rPr>
                    <w:t>生产车间</w:t>
                  </w:r>
                </w:p>
              </w:tc>
              <w:tc>
                <w:tcPr>
                  <w:tcW w:w="876" w:type="pct"/>
                  <w:noWrap w:val="0"/>
                  <w:vAlign w:val="center"/>
                </w:tcPr>
                <w:p w14:paraId="6ADAE894">
                  <w:pPr>
                    <w:ind w:left="-108" w:right="-102"/>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储罐沉渣</w:t>
                  </w:r>
                </w:p>
              </w:tc>
              <w:tc>
                <w:tcPr>
                  <w:tcW w:w="1080" w:type="pct"/>
                  <w:noWrap w:val="0"/>
                  <w:vAlign w:val="center"/>
                </w:tcPr>
                <w:p w14:paraId="362AB0CB">
                  <w:pPr>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储罐沉渣</w:t>
                  </w:r>
                </w:p>
              </w:tc>
              <w:tc>
                <w:tcPr>
                  <w:tcW w:w="1692" w:type="pct"/>
                  <w:noWrap w:val="0"/>
                  <w:vAlign w:val="center"/>
                </w:tcPr>
                <w:p w14:paraId="2B2C843B">
                  <w:pPr>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作为原料回用</w:t>
                  </w:r>
                </w:p>
              </w:tc>
            </w:tr>
            <w:tr w14:paraId="6C58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noWrap w:val="0"/>
                  <w:vAlign w:val="center"/>
                </w:tcPr>
                <w:p w14:paraId="662C41F0">
                  <w:pPr>
                    <w:jc w:val="center"/>
                    <w:rPr>
                      <w:rFonts w:hint="default" w:ascii="Times New Roman" w:hAnsi="Times New Roman" w:cs="Times New Roman"/>
                      <w:color w:val="auto"/>
                      <w:sz w:val="21"/>
                      <w:szCs w:val="21"/>
                      <w:highlight w:val="none"/>
                    </w:rPr>
                  </w:pPr>
                </w:p>
              </w:tc>
              <w:tc>
                <w:tcPr>
                  <w:tcW w:w="397" w:type="pct"/>
                  <w:vMerge w:val="continue"/>
                  <w:noWrap w:val="0"/>
                  <w:vAlign w:val="center"/>
                </w:tcPr>
                <w:p w14:paraId="5A61BE24">
                  <w:pPr>
                    <w:jc w:val="center"/>
                    <w:rPr>
                      <w:rFonts w:hint="default" w:ascii="Times New Roman" w:hAnsi="Times New Roman" w:cs="Times New Roman"/>
                      <w:color w:val="auto"/>
                      <w:sz w:val="21"/>
                      <w:szCs w:val="21"/>
                      <w:highlight w:val="none"/>
                    </w:rPr>
                  </w:pPr>
                </w:p>
              </w:tc>
              <w:tc>
                <w:tcPr>
                  <w:tcW w:w="650" w:type="pct"/>
                  <w:shd w:val="clear" w:color="auto" w:fill="auto"/>
                  <w:noWrap w:val="0"/>
                  <w:vAlign w:val="center"/>
                </w:tcPr>
                <w:p w14:paraId="59A69AB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布袋除尘器</w:t>
                  </w:r>
                </w:p>
              </w:tc>
              <w:tc>
                <w:tcPr>
                  <w:tcW w:w="876" w:type="pct"/>
                  <w:shd w:val="clear" w:color="auto" w:fill="auto"/>
                  <w:noWrap w:val="0"/>
                  <w:vAlign w:val="center"/>
                </w:tcPr>
                <w:p w14:paraId="690C4E22">
                  <w:pPr>
                    <w:ind w:left="-108" w:leftChars="0" w:right="-102"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除尘器收集尘</w:t>
                  </w:r>
                </w:p>
              </w:tc>
              <w:tc>
                <w:tcPr>
                  <w:tcW w:w="1080" w:type="pct"/>
                  <w:shd w:val="clear" w:color="auto" w:fill="auto"/>
                  <w:noWrap w:val="0"/>
                  <w:vAlign w:val="center"/>
                </w:tcPr>
                <w:p w14:paraId="6E85E0ED">
                  <w:pPr>
                    <w:ind w:left="-108" w:leftChars="0" w:right="-102"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除尘器收集尘</w:t>
                  </w:r>
                </w:p>
              </w:tc>
              <w:tc>
                <w:tcPr>
                  <w:tcW w:w="1692" w:type="pct"/>
                  <w:shd w:val="clear" w:color="auto" w:fill="auto"/>
                  <w:noWrap w:val="0"/>
                  <w:vAlign w:val="center"/>
                </w:tcPr>
                <w:p w14:paraId="0B218E00">
                  <w:pPr>
                    <w:ind w:left="-108" w:leftChars="0" w:right="-102"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储罐沉渣</w:t>
                  </w:r>
                </w:p>
              </w:tc>
            </w:tr>
            <w:tr w14:paraId="508B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noWrap w:val="0"/>
                  <w:vAlign w:val="center"/>
                </w:tcPr>
                <w:p w14:paraId="4FF3023E">
                  <w:pPr>
                    <w:jc w:val="center"/>
                    <w:rPr>
                      <w:rFonts w:hint="default" w:ascii="Times New Roman" w:hAnsi="Times New Roman" w:cs="Times New Roman"/>
                      <w:color w:val="auto"/>
                      <w:sz w:val="21"/>
                      <w:szCs w:val="21"/>
                      <w:highlight w:val="none"/>
                    </w:rPr>
                  </w:pPr>
                </w:p>
              </w:tc>
              <w:tc>
                <w:tcPr>
                  <w:tcW w:w="397" w:type="pct"/>
                  <w:vMerge w:val="continue"/>
                  <w:noWrap w:val="0"/>
                  <w:vAlign w:val="center"/>
                </w:tcPr>
                <w:p w14:paraId="29451698">
                  <w:pPr>
                    <w:jc w:val="center"/>
                    <w:rPr>
                      <w:rFonts w:hint="default" w:ascii="Times New Roman" w:hAnsi="Times New Roman" w:cs="Times New Roman"/>
                      <w:color w:val="auto"/>
                      <w:sz w:val="21"/>
                      <w:szCs w:val="21"/>
                      <w:highlight w:val="none"/>
                    </w:rPr>
                  </w:pPr>
                </w:p>
              </w:tc>
              <w:tc>
                <w:tcPr>
                  <w:tcW w:w="650" w:type="pct"/>
                  <w:shd w:val="clear" w:color="auto" w:fill="auto"/>
                  <w:noWrap w:val="0"/>
                  <w:vAlign w:val="center"/>
                </w:tcPr>
                <w:p w14:paraId="6E2F047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设备维护</w:t>
                  </w:r>
                </w:p>
              </w:tc>
              <w:tc>
                <w:tcPr>
                  <w:tcW w:w="876" w:type="pct"/>
                  <w:shd w:val="clear" w:color="auto" w:fill="auto"/>
                  <w:noWrap w:val="0"/>
                  <w:vAlign w:val="center"/>
                </w:tcPr>
                <w:p w14:paraId="4CD4A710">
                  <w:pPr>
                    <w:ind w:left="-108" w:leftChars="0" w:right="-102"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危险废物</w:t>
                  </w:r>
                </w:p>
              </w:tc>
              <w:tc>
                <w:tcPr>
                  <w:tcW w:w="1080" w:type="pct"/>
                  <w:shd w:val="clear" w:color="auto" w:fill="auto"/>
                  <w:noWrap w:val="0"/>
                  <w:vAlign w:val="center"/>
                </w:tcPr>
                <w:p w14:paraId="19FB4603">
                  <w:pPr>
                    <w:ind w:left="-108" w:leftChars="0" w:right="-102"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废机油</w:t>
                  </w:r>
                </w:p>
              </w:tc>
              <w:tc>
                <w:tcPr>
                  <w:tcW w:w="1692" w:type="pct"/>
                  <w:shd w:val="clear" w:color="auto" w:fill="auto"/>
                  <w:noWrap w:val="0"/>
                  <w:vAlign w:val="center"/>
                </w:tcPr>
                <w:p w14:paraId="34E5831E">
                  <w:pPr>
                    <w:ind w:left="-108" w:leftChars="0" w:right="-102"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交有资质单位处置</w:t>
                  </w:r>
                </w:p>
              </w:tc>
            </w:tr>
            <w:tr w14:paraId="48DD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noWrap w:val="0"/>
                  <w:vAlign w:val="center"/>
                </w:tcPr>
                <w:p w14:paraId="1819A6D7">
                  <w:pPr>
                    <w:jc w:val="center"/>
                    <w:rPr>
                      <w:rFonts w:hint="default" w:ascii="Times New Roman" w:hAnsi="Times New Roman" w:cs="Times New Roman"/>
                      <w:color w:val="auto"/>
                      <w:sz w:val="21"/>
                      <w:szCs w:val="21"/>
                      <w:highlight w:val="none"/>
                    </w:rPr>
                  </w:pPr>
                </w:p>
              </w:tc>
              <w:tc>
                <w:tcPr>
                  <w:tcW w:w="397" w:type="pct"/>
                  <w:noWrap w:val="0"/>
                  <w:vAlign w:val="center"/>
                </w:tcPr>
                <w:p w14:paraId="147D384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650" w:type="pct"/>
                  <w:noWrap w:val="0"/>
                  <w:vAlign w:val="center"/>
                </w:tcPr>
                <w:p w14:paraId="213E5F1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设备运行</w:t>
                  </w:r>
                </w:p>
              </w:tc>
              <w:tc>
                <w:tcPr>
                  <w:tcW w:w="1956" w:type="pct"/>
                  <w:gridSpan w:val="2"/>
                  <w:noWrap w:val="0"/>
                  <w:vAlign w:val="center"/>
                </w:tcPr>
                <w:p w14:paraId="70A2584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1692" w:type="pct"/>
                  <w:noWrap w:val="0"/>
                  <w:vAlign w:val="center"/>
                </w:tcPr>
                <w:p w14:paraId="0E465A0C">
                  <w:pPr>
                    <w:jc w:val="center"/>
                    <w:rPr>
                      <w:rFonts w:hint="default" w:ascii="Times New Roman" w:hAnsi="Times New Roman" w:cs="Times New Roman"/>
                      <w:color w:val="auto"/>
                      <w:sz w:val="21"/>
                      <w:szCs w:val="21"/>
                      <w:highlight w:val="none"/>
                      <w:lang w:val="en-US" w:eastAsia="zh-CN"/>
                    </w:rPr>
                  </w:pPr>
                </w:p>
              </w:tc>
            </w:tr>
          </w:tbl>
          <w:p w14:paraId="5767331E">
            <w:pPr>
              <w:spacing w:line="360" w:lineRule="auto"/>
              <w:ind w:firstLine="504" w:firstLineChars="200"/>
              <w:jc w:val="both"/>
              <w:rPr>
                <w:rFonts w:hint="default" w:ascii="Times New Roman" w:hAnsi="Times New Roman" w:cs="Times New Roman"/>
                <w:color w:val="auto"/>
                <w:spacing w:val="6"/>
                <w:sz w:val="24"/>
                <w:highlight w:val="none"/>
              </w:rPr>
            </w:pPr>
          </w:p>
        </w:tc>
      </w:tr>
      <w:tr w14:paraId="2F4380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485" w:type="dxa"/>
            <w:noWrap w:val="0"/>
            <w:vAlign w:val="center"/>
          </w:tcPr>
          <w:p w14:paraId="79B238C1">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与项</w:t>
            </w:r>
          </w:p>
          <w:p w14:paraId="335A5858">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目有</w:t>
            </w:r>
          </w:p>
          <w:p w14:paraId="56A7F09E">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关的</w:t>
            </w:r>
          </w:p>
          <w:p w14:paraId="3BB933AA">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原有</w:t>
            </w:r>
          </w:p>
          <w:p w14:paraId="5FAFA0C7">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环境</w:t>
            </w:r>
          </w:p>
          <w:p w14:paraId="2E99BFCD">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污染</w:t>
            </w:r>
          </w:p>
          <w:p w14:paraId="43CD022D">
            <w:pPr>
              <w:spacing w:line="360" w:lineRule="auto"/>
              <w:jc w:val="center"/>
              <w:rPr>
                <w:rFonts w:hint="default" w:ascii="Times New Roman" w:hAnsi="Times New Roman" w:cs="Times New Roman"/>
                <w:color w:val="auto"/>
                <w:spacing w:val="-1"/>
                <w:szCs w:val="21"/>
                <w:highlight w:val="none"/>
              </w:rPr>
            </w:pPr>
            <w:r>
              <w:rPr>
                <w:rFonts w:hint="default" w:ascii="Times New Roman" w:hAnsi="Times New Roman" w:cs="Times New Roman"/>
                <w:color w:val="auto"/>
                <w:spacing w:val="-1"/>
                <w:sz w:val="24"/>
                <w:highlight w:val="none"/>
              </w:rPr>
              <w:t>问题</w:t>
            </w:r>
          </w:p>
        </w:tc>
        <w:tc>
          <w:tcPr>
            <w:tcW w:w="8936" w:type="dxa"/>
            <w:noWrap w:val="0"/>
            <w:vAlign w:val="center"/>
          </w:tcPr>
          <w:p w14:paraId="138975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cs="Times New Roman"/>
                <w:color w:val="auto"/>
                <w:sz w:val="24"/>
                <w:szCs w:val="32"/>
                <w:highlight w:val="none"/>
              </w:rPr>
              <w:t>本项目为新建项目，项目选址为工业园规划地块，无原有环境问题和污染情况。</w:t>
            </w:r>
          </w:p>
        </w:tc>
      </w:tr>
    </w:tbl>
    <w:p w14:paraId="7F8D3CE9">
      <w:pPr>
        <w:spacing w:line="360" w:lineRule="auto"/>
        <w:jc w:val="center"/>
        <w:rPr>
          <w:rFonts w:hint="default" w:ascii="Times New Roman" w:hAnsi="Times New Roman" w:eastAsia="黑体" w:cs="Times New Roman"/>
          <w:b/>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ED0F908">
      <w:pPr>
        <w:pStyle w:val="28"/>
        <w:widowControl/>
        <w:ind w:left="0" w:right="0"/>
        <w:jc w:val="center"/>
        <w:outlineLvl w:val="0"/>
        <w:rPr>
          <w:rStyle w:val="44"/>
          <w:rFonts w:hint="default" w:ascii="Times New Roman" w:hAnsi="Times New Roman" w:eastAsia="黑体" w:cs="Times New Roman"/>
          <w:color w:val="auto"/>
          <w:sz w:val="30"/>
          <w:szCs w:val="30"/>
          <w:highlight w:val="none"/>
          <w:lang w:bidi="ar-SA"/>
        </w:rPr>
      </w:pPr>
      <w:r>
        <w:rPr>
          <w:rStyle w:val="44"/>
          <w:rFonts w:hint="default" w:ascii="Times New Roman" w:hAnsi="Times New Roman" w:eastAsia="黑体" w:cs="Times New Roman"/>
          <w:color w:val="auto"/>
          <w:sz w:val="30"/>
          <w:szCs w:val="30"/>
          <w:highlight w:val="none"/>
          <w:lang w:bidi="ar-SA"/>
        </w:rPr>
        <w:t>三、区域环境质量现状、环境保护目标及评价标准</w:t>
      </w:r>
    </w:p>
    <w:tbl>
      <w:tblPr>
        <w:tblStyle w:val="33"/>
        <w:tblW w:w="935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5"/>
        <w:gridCol w:w="8509"/>
      </w:tblGrid>
      <w:tr w14:paraId="6823F1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845" w:type="dxa"/>
            <w:noWrap w:val="0"/>
            <w:vAlign w:val="center"/>
          </w:tcPr>
          <w:p w14:paraId="2FEFD4F3">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区域</w:t>
            </w:r>
          </w:p>
          <w:p w14:paraId="6B9C850E">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环境</w:t>
            </w:r>
          </w:p>
          <w:p w14:paraId="0689004C">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质量</w:t>
            </w:r>
          </w:p>
          <w:p w14:paraId="3065DE2A">
            <w:pPr>
              <w:spacing w:line="360" w:lineRule="auto"/>
              <w:jc w:val="center"/>
              <w:rPr>
                <w:rFonts w:hint="default" w:ascii="Times New Roman" w:hAnsi="Times New Roman" w:eastAsia="宋体" w:cs="Times New Roman"/>
                <w:color w:val="auto"/>
                <w:spacing w:val="-1"/>
                <w:szCs w:val="21"/>
                <w:highlight w:val="none"/>
              </w:rPr>
            </w:pPr>
            <w:r>
              <w:rPr>
                <w:rFonts w:hint="default" w:ascii="Times New Roman" w:hAnsi="Times New Roman" w:eastAsia="宋体" w:cs="Times New Roman"/>
                <w:color w:val="auto"/>
                <w:spacing w:val="-1"/>
                <w:sz w:val="24"/>
                <w:highlight w:val="none"/>
              </w:rPr>
              <w:t>现状</w:t>
            </w:r>
          </w:p>
        </w:tc>
        <w:tc>
          <w:tcPr>
            <w:tcW w:w="8509" w:type="dxa"/>
            <w:noWrap w:val="0"/>
            <w:vAlign w:val="center"/>
          </w:tcPr>
          <w:p w14:paraId="013F44EF">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环境空气</w:t>
            </w:r>
          </w:p>
          <w:p w14:paraId="05200A1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（1）数据来源</w:t>
            </w:r>
          </w:p>
          <w:p w14:paraId="28FDC4B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大气环境》（H.J2.2—2018）对环境质量现状数据的要求，评价范围内没有环境空气质量监测网数据或公开发布的环境空气质量现状数据的，可选择符合HJ664规定并且与评价范围地理位置临近，地形、气候条件相近的环境空气质量城市点或区域点监测数据。本次采用2023年度霍城县环境质量监测数据（引用数据位于项目区东北侧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km，与项目建设点属于同一区域，其数据具有代表性），作为本项目环境空气现状评价基本污染物SO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、CO、O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的数据来源，说明目前项目区的环境质量情况。</w:t>
            </w:r>
          </w:p>
          <w:p w14:paraId="0758EEB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（2）评价标准</w:t>
            </w:r>
          </w:p>
          <w:p w14:paraId="17FDB92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本次评价基本污染物执行《环境空气质量标准》（GB3095-2012）及修改单中的二级标准。</w:t>
            </w:r>
          </w:p>
          <w:p w14:paraId="1ACDABC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（3）评价方法</w:t>
            </w:r>
          </w:p>
          <w:p w14:paraId="100B82A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评价方法采用占标率法进行，公式为：</w:t>
            </w:r>
          </w:p>
          <w:p w14:paraId="7FD5B09D">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Pi=（Ci/Coi）×100%</w:t>
            </w:r>
          </w:p>
          <w:p w14:paraId="00D080A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式中：Pi—第i个污染物的最大地面质量浓度占标率，%；</w:t>
            </w:r>
          </w:p>
          <w:p w14:paraId="0CA30788">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Ci—第i个污染物的浓度，mg/m3；</w:t>
            </w:r>
          </w:p>
          <w:p w14:paraId="21F56DF8">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Coi—第i个污染物的环境空气质量浓度标准，mg/m3。</w:t>
            </w:r>
          </w:p>
          <w:p w14:paraId="6ADD962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（4）监测及评价结果</w:t>
            </w:r>
          </w:p>
          <w:p w14:paraId="6F4524B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区域2023年空气质量达标区判定结果详见下表。</w:t>
            </w:r>
          </w:p>
          <w:p w14:paraId="3BE2C79E">
            <w:pPr>
              <w:spacing w:line="240" w:lineRule="auto"/>
              <w:ind w:firstLine="422" w:firstLineChars="200"/>
              <w:jc w:val="center"/>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3-1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大气环境质量及评价结果一览表</w:t>
            </w:r>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13"/>
              <w:gridCol w:w="1391"/>
              <w:gridCol w:w="1295"/>
              <w:gridCol w:w="966"/>
              <w:gridCol w:w="828"/>
            </w:tblGrid>
            <w:tr w14:paraId="1A04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tcBorders>
                    <w:tl2br w:val="nil"/>
                    <w:tr2bl w:val="nil"/>
                  </w:tcBorders>
                  <w:noWrap w:val="0"/>
                  <w:vAlign w:val="center"/>
                </w:tcPr>
                <w:p w14:paraId="783CA6E8">
                  <w:pPr>
                    <w:widowControl w:val="0"/>
                    <w:spacing w:line="240" w:lineRule="auto"/>
                    <w:jc w:val="center"/>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评价</w:t>
                  </w:r>
                </w:p>
                <w:p w14:paraId="6EC132AD">
                  <w:pPr>
                    <w:widowControl w:val="0"/>
                    <w:spacing w:line="240" w:lineRule="auto"/>
                    <w:jc w:val="center"/>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因子</w:t>
                  </w:r>
                </w:p>
              </w:tc>
              <w:tc>
                <w:tcPr>
                  <w:tcW w:w="1820" w:type="pct"/>
                  <w:vMerge w:val="restart"/>
                  <w:tcBorders>
                    <w:tl2br w:val="nil"/>
                    <w:tr2bl w:val="nil"/>
                  </w:tcBorders>
                  <w:noWrap w:val="0"/>
                  <w:vAlign w:val="center"/>
                </w:tcPr>
                <w:p w14:paraId="29653DF8">
                  <w:pPr>
                    <w:widowControl w:val="0"/>
                    <w:spacing w:line="240" w:lineRule="auto"/>
                    <w:jc w:val="center"/>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年评价指标</w:t>
                  </w:r>
                </w:p>
              </w:tc>
              <w:tc>
                <w:tcPr>
                  <w:tcW w:w="840" w:type="pct"/>
                  <w:tcBorders>
                    <w:tl2br w:val="nil"/>
                    <w:tr2bl w:val="nil"/>
                  </w:tcBorders>
                  <w:noWrap w:val="0"/>
                  <w:vAlign w:val="center"/>
                </w:tcPr>
                <w:p w14:paraId="44519C7A">
                  <w:pPr>
                    <w:widowControl w:val="0"/>
                    <w:spacing w:line="240" w:lineRule="auto"/>
                    <w:jc w:val="center"/>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现状浓度</w:t>
                  </w:r>
                </w:p>
              </w:tc>
              <w:tc>
                <w:tcPr>
                  <w:tcW w:w="782" w:type="pct"/>
                  <w:tcBorders>
                    <w:tl2br w:val="nil"/>
                    <w:tr2bl w:val="nil"/>
                  </w:tcBorders>
                  <w:noWrap w:val="0"/>
                  <w:vAlign w:val="center"/>
                </w:tcPr>
                <w:p w14:paraId="40FB2DAB">
                  <w:pPr>
                    <w:widowControl w:val="0"/>
                    <w:spacing w:line="240" w:lineRule="auto"/>
                    <w:jc w:val="center"/>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标准限值</w:t>
                  </w:r>
                </w:p>
              </w:tc>
              <w:tc>
                <w:tcPr>
                  <w:tcW w:w="583" w:type="pct"/>
                  <w:vMerge w:val="restart"/>
                  <w:tcBorders>
                    <w:tl2br w:val="nil"/>
                    <w:tr2bl w:val="nil"/>
                  </w:tcBorders>
                  <w:noWrap w:val="0"/>
                  <w:vAlign w:val="center"/>
                </w:tcPr>
                <w:p w14:paraId="3682290E">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占标率%</w:t>
                  </w:r>
                </w:p>
              </w:tc>
              <w:tc>
                <w:tcPr>
                  <w:tcW w:w="500" w:type="pct"/>
                  <w:vMerge w:val="restart"/>
                  <w:tcBorders>
                    <w:tl2br w:val="nil"/>
                    <w:tr2bl w:val="nil"/>
                  </w:tcBorders>
                  <w:noWrap w:val="0"/>
                  <w:vAlign w:val="center"/>
                </w:tcPr>
                <w:p w14:paraId="14B13F91">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达标情况</w:t>
                  </w:r>
                </w:p>
              </w:tc>
            </w:tr>
            <w:tr w14:paraId="5AD5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tcBorders>
                    <w:tl2br w:val="nil"/>
                    <w:tr2bl w:val="nil"/>
                  </w:tcBorders>
                  <w:noWrap w:val="0"/>
                  <w:vAlign w:val="center"/>
                </w:tcPr>
                <w:p w14:paraId="2D036080">
                  <w:pPr>
                    <w:widowControl w:val="0"/>
                    <w:spacing w:line="240" w:lineRule="auto"/>
                    <w:jc w:val="center"/>
                    <w:rPr>
                      <w:rFonts w:hint="default" w:ascii="Times New Roman" w:hAnsi="Times New Roman" w:eastAsia="宋体" w:cs="Times New Roman"/>
                      <w:color w:val="auto"/>
                      <w:kern w:val="2"/>
                      <w:sz w:val="21"/>
                      <w:szCs w:val="24"/>
                      <w:highlight w:val="none"/>
                      <w:lang w:val="en-US" w:eastAsia="zh-CN"/>
                    </w:rPr>
                  </w:pPr>
                </w:p>
              </w:tc>
              <w:tc>
                <w:tcPr>
                  <w:tcW w:w="1820" w:type="pct"/>
                  <w:vMerge w:val="continue"/>
                  <w:tcBorders>
                    <w:tl2br w:val="nil"/>
                    <w:tr2bl w:val="nil"/>
                  </w:tcBorders>
                  <w:noWrap w:val="0"/>
                  <w:vAlign w:val="center"/>
                </w:tcPr>
                <w:p w14:paraId="23BBF6D1">
                  <w:pPr>
                    <w:widowControl w:val="0"/>
                    <w:spacing w:line="240" w:lineRule="auto"/>
                    <w:jc w:val="center"/>
                    <w:rPr>
                      <w:rFonts w:hint="default" w:ascii="Times New Roman" w:hAnsi="Times New Roman" w:eastAsia="宋体" w:cs="Times New Roman"/>
                      <w:color w:val="auto"/>
                      <w:kern w:val="2"/>
                      <w:sz w:val="21"/>
                      <w:szCs w:val="24"/>
                      <w:highlight w:val="none"/>
                      <w:lang w:val="en-US" w:eastAsia="zh-CN"/>
                    </w:rPr>
                  </w:pPr>
                </w:p>
              </w:tc>
              <w:tc>
                <w:tcPr>
                  <w:tcW w:w="840" w:type="pct"/>
                  <w:tcBorders>
                    <w:tl2br w:val="nil"/>
                    <w:tr2bl w:val="nil"/>
                  </w:tcBorders>
                  <w:noWrap w:val="0"/>
                  <w:vAlign w:val="center"/>
                </w:tcPr>
                <w:p w14:paraId="5E3DED1B">
                  <w:pPr>
                    <w:widowControl w:val="0"/>
                    <w:spacing w:line="240" w:lineRule="auto"/>
                    <w:jc w:val="center"/>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（μg/m</w:t>
                  </w:r>
                  <w:r>
                    <w:rPr>
                      <w:rFonts w:hint="default" w:ascii="Times New Roman" w:hAnsi="Times New Roman" w:eastAsia="宋体" w:cs="Times New Roman"/>
                      <w:color w:val="auto"/>
                      <w:kern w:val="2"/>
                      <w:sz w:val="21"/>
                      <w:szCs w:val="24"/>
                      <w:highlight w:val="none"/>
                      <w:vertAlign w:val="superscript"/>
                      <w:lang w:val="en-US" w:eastAsia="zh-CN"/>
                    </w:rPr>
                    <w:t>3</w:t>
                  </w:r>
                  <w:r>
                    <w:rPr>
                      <w:rFonts w:hint="default" w:ascii="Times New Roman" w:hAnsi="Times New Roman" w:eastAsia="宋体" w:cs="Times New Roman"/>
                      <w:color w:val="auto"/>
                      <w:kern w:val="2"/>
                      <w:sz w:val="21"/>
                      <w:szCs w:val="24"/>
                      <w:highlight w:val="none"/>
                      <w:lang w:val="en-US" w:eastAsia="zh-CN"/>
                    </w:rPr>
                    <w:t>）</w:t>
                  </w:r>
                </w:p>
              </w:tc>
              <w:tc>
                <w:tcPr>
                  <w:tcW w:w="782" w:type="pct"/>
                  <w:tcBorders>
                    <w:tl2br w:val="nil"/>
                    <w:tr2bl w:val="nil"/>
                  </w:tcBorders>
                  <w:noWrap w:val="0"/>
                  <w:vAlign w:val="center"/>
                </w:tcPr>
                <w:p w14:paraId="29853CEC">
                  <w:pPr>
                    <w:widowControl w:val="0"/>
                    <w:spacing w:line="240" w:lineRule="auto"/>
                    <w:jc w:val="center"/>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eastAsia="zh-CN"/>
                    </w:rPr>
                    <w:t>（μg/m</w:t>
                  </w:r>
                  <w:r>
                    <w:rPr>
                      <w:rFonts w:hint="default" w:ascii="Times New Roman" w:hAnsi="Times New Roman" w:eastAsia="宋体" w:cs="Times New Roman"/>
                      <w:color w:val="auto"/>
                      <w:kern w:val="2"/>
                      <w:sz w:val="21"/>
                      <w:szCs w:val="24"/>
                      <w:highlight w:val="none"/>
                      <w:vertAlign w:val="superscript"/>
                      <w:lang w:val="en-US" w:eastAsia="zh-CN"/>
                    </w:rPr>
                    <w:t>3</w:t>
                  </w:r>
                  <w:r>
                    <w:rPr>
                      <w:rFonts w:hint="default" w:ascii="Times New Roman" w:hAnsi="Times New Roman" w:eastAsia="宋体" w:cs="Times New Roman"/>
                      <w:color w:val="auto"/>
                      <w:kern w:val="2"/>
                      <w:sz w:val="21"/>
                      <w:szCs w:val="24"/>
                      <w:highlight w:val="none"/>
                      <w:lang w:val="en-US" w:eastAsia="zh-CN"/>
                    </w:rPr>
                    <w:t>）</w:t>
                  </w:r>
                </w:p>
              </w:tc>
              <w:tc>
                <w:tcPr>
                  <w:tcW w:w="583" w:type="pct"/>
                  <w:vMerge w:val="continue"/>
                  <w:tcBorders>
                    <w:tl2br w:val="nil"/>
                    <w:tr2bl w:val="nil"/>
                  </w:tcBorders>
                  <w:noWrap w:val="0"/>
                  <w:vAlign w:val="center"/>
                </w:tcPr>
                <w:p w14:paraId="62858B9F">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p>
              </w:tc>
              <w:tc>
                <w:tcPr>
                  <w:tcW w:w="500" w:type="pct"/>
                  <w:vMerge w:val="continue"/>
                  <w:tcBorders>
                    <w:tl2br w:val="nil"/>
                    <w:tr2bl w:val="nil"/>
                  </w:tcBorders>
                  <w:noWrap w:val="0"/>
                  <w:vAlign w:val="center"/>
                </w:tcPr>
                <w:p w14:paraId="3FBF0514">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p>
              </w:tc>
            </w:tr>
            <w:tr w14:paraId="7E15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noWrap w:val="0"/>
                  <w:vAlign w:val="center"/>
                </w:tcPr>
                <w:p w14:paraId="335A668C">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SO</w:t>
                  </w:r>
                  <w:r>
                    <w:rPr>
                      <w:rFonts w:hint="default" w:ascii="Times New Roman" w:hAnsi="Times New Roman" w:eastAsia="宋体" w:cs="Times New Roman"/>
                      <w:color w:val="auto"/>
                      <w:kern w:val="2"/>
                      <w:sz w:val="21"/>
                      <w:szCs w:val="24"/>
                      <w:highlight w:val="none"/>
                      <w:vertAlign w:val="subscript"/>
                      <w:lang w:val="en-US"/>
                    </w:rPr>
                    <w:t>2</w:t>
                  </w:r>
                </w:p>
              </w:tc>
              <w:tc>
                <w:tcPr>
                  <w:tcW w:w="1820" w:type="pct"/>
                  <w:tcBorders>
                    <w:tl2br w:val="nil"/>
                    <w:tr2bl w:val="nil"/>
                  </w:tcBorders>
                  <w:noWrap w:val="0"/>
                  <w:vAlign w:val="center"/>
                </w:tcPr>
                <w:p w14:paraId="5C634BF3">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年平均</w:t>
                  </w:r>
                </w:p>
              </w:tc>
              <w:tc>
                <w:tcPr>
                  <w:tcW w:w="840" w:type="pct"/>
                  <w:tcBorders>
                    <w:tl2br w:val="nil"/>
                    <w:tr2bl w:val="nil"/>
                  </w:tcBorders>
                  <w:noWrap w:val="0"/>
                  <w:vAlign w:val="center"/>
                </w:tcPr>
                <w:p w14:paraId="43555C3E">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9.6</w:t>
                  </w:r>
                </w:p>
              </w:tc>
              <w:tc>
                <w:tcPr>
                  <w:tcW w:w="782" w:type="pct"/>
                  <w:tcBorders>
                    <w:tl2br w:val="nil"/>
                    <w:tr2bl w:val="nil"/>
                  </w:tcBorders>
                  <w:noWrap w:val="0"/>
                  <w:vAlign w:val="center"/>
                </w:tcPr>
                <w:p w14:paraId="5CC27903">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60</w:t>
                  </w:r>
                </w:p>
              </w:tc>
              <w:tc>
                <w:tcPr>
                  <w:tcW w:w="583" w:type="pct"/>
                  <w:tcBorders>
                    <w:tl2br w:val="nil"/>
                    <w:tr2bl w:val="nil"/>
                  </w:tcBorders>
                  <w:noWrap w:val="0"/>
                  <w:vAlign w:val="center"/>
                </w:tcPr>
                <w:p w14:paraId="2723E452">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16</w:t>
                  </w:r>
                </w:p>
              </w:tc>
              <w:tc>
                <w:tcPr>
                  <w:tcW w:w="500" w:type="pct"/>
                  <w:tcBorders>
                    <w:tl2br w:val="nil"/>
                    <w:tr2bl w:val="nil"/>
                  </w:tcBorders>
                  <w:noWrap w:val="0"/>
                  <w:vAlign w:val="center"/>
                </w:tcPr>
                <w:p w14:paraId="28EA4748">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达标</w:t>
                  </w:r>
                </w:p>
              </w:tc>
            </w:tr>
            <w:tr w14:paraId="54E4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noWrap w:val="0"/>
                  <w:vAlign w:val="center"/>
                </w:tcPr>
                <w:p w14:paraId="785F9678">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NO</w:t>
                  </w:r>
                  <w:r>
                    <w:rPr>
                      <w:rFonts w:hint="default" w:ascii="Times New Roman" w:hAnsi="Times New Roman" w:eastAsia="宋体" w:cs="Times New Roman"/>
                      <w:color w:val="auto"/>
                      <w:kern w:val="2"/>
                      <w:sz w:val="21"/>
                      <w:szCs w:val="24"/>
                      <w:highlight w:val="none"/>
                      <w:vertAlign w:val="subscript"/>
                      <w:lang w:val="en-US"/>
                    </w:rPr>
                    <w:t>2</w:t>
                  </w:r>
                </w:p>
              </w:tc>
              <w:tc>
                <w:tcPr>
                  <w:tcW w:w="1820" w:type="pct"/>
                  <w:tcBorders>
                    <w:tl2br w:val="nil"/>
                    <w:tr2bl w:val="nil"/>
                  </w:tcBorders>
                  <w:noWrap w:val="0"/>
                  <w:vAlign w:val="center"/>
                </w:tcPr>
                <w:p w14:paraId="63AA0A37">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年平均</w:t>
                  </w:r>
                </w:p>
              </w:tc>
              <w:tc>
                <w:tcPr>
                  <w:tcW w:w="840" w:type="pct"/>
                  <w:tcBorders>
                    <w:tl2br w:val="nil"/>
                    <w:tr2bl w:val="nil"/>
                  </w:tcBorders>
                  <w:noWrap w:val="0"/>
                  <w:vAlign w:val="center"/>
                </w:tcPr>
                <w:p w14:paraId="4F673682">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15</w:t>
                  </w:r>
                </w:p>
              </w:tc>
              <w:tc>
                <w:tcPr>
                  <w:tcW w:w="782" w:type="pct"/>
                  <w:tcBorders>
                    <w:tl2br w:val="nil"/>
                    <w:tr2bl w:val="nil"/>
                  </w:tcBorders>
                  <w:noWrap w:val="0"/>
                  <w:vAlign w:val="center"/>
                </w:tcPr>
                <w:p w14:paraId="0A3643E2">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40</w:t>
                  </w:r>
                </w:p>
              </w:tc>
              <w:tc>
                <w:tcPr>
                  <w:tcW w:w="583" w:type="pct"/>
                  <w:tcBorders>
                    <w:tl2br w:val="nil"/>
                    <w:tr2bl w:val="nil"/>
                  </w:tcBorders>
                  <w:noWrap w:val="0"/>
                  <w:vAlign w:val="center"/>
                </w:tcPr>
                <w:p w14:paraId="07E555EF">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37.5</w:t>
                  </w:r>
                </w:p>
              </w:tc>
              <w:tc>
                <w:tcPr>
                  <w:tcW w:w="500" w:type="pct"/>
                  <w:tcBorders>
                    <w:tl2br w:val="nil"/>
                    <w:tr2bl w:val="nil"/>
                  </w:tcBorders>
                  <w:noWrap w:val="0"/>
                  <w:vAlign w:val="center"/>
                </w:tcPr>
                <w:p w14:paraId="065E7AF5">
                  <w:pPr>
                    <w:autoSpaceDE/>
                    <w:autoSpaceDN/>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达标</w:t>
                  </w:r>
                </w:p>
              </w:tc>
            </w:tr>
            <w:tr w14:paraId="42A6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noWrap w:val="0"/>
                  <w:vAlign w:val="center"/>
                </w:tcPr>
                <w:p w14:paraId="164F35CC">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CO</w:t>
                  </w:r>
                </w:p>
              </w:tc>
              <w:tc>
                <w:tcPr>
                  <w:tcW w:w="1820" w:type="pct"/>
                  <w:tcBorders>
                    <w:tl2br w:val="nil"/>
                    <w:tr2bl w:val="nil"/>
                  </w:tcBorders>
                  <w:noWrap w:val="0"/>
                  <w:vAlign w:val="center"/>
                </w:tcPr>
                <w:p w14:paraId="3BEAC170">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eastAsia" w:ascii="Times New Roman" w:hAnsi="Times New Roman" w:eastAsia="宋体" w:cs="Times New Roman"/>
                      <w:color w:val="auto"/>
                      <w:kern w:val="2"/>
                      <w:sz w:val="21"/>
                      <w:szCs w:val="24"/>
                      <w:highlight w:val="none"/>
                      <w:lang w:val="en-US" w:eastAsia="zh-CN"/>
                    </w:rPr>
                    <w:t>24h的</w:t>
                  </w:r>
                  <w:r>
                    <w:rPr>
                      <w:rFonts w:hint="default" w:ascii="Times New Roman" w:hAnsi="Times New Roman" w:eastAsia="宋体" w:cs="Times New Roman"/>
                      <w:color w:val="auto"/>
                      <w:kern w:val="2"/>
                      <w:sz w:val="21"/>
                      <w:szCs w:val="24"/>
                      <w:highlight w:val="none"/>
                      <w:lang w:val="en-US"/>
                    </w:rPr>
                    <w:t>第95百分位数</w:t>
                  </w:r>
                </w:p>
              </w:tc>
              <w:tc>
                <w:tcPr>
                  <w:tcW w:w="840" w:type="pct"/>
                  <w:tcBorders>
                    <w:tl2br w:val="nil"/>
                    <w:tr2bl w:val="nil"/>
                  </w:tcBorders>
                  <w:noWrap w:val="0"/>
                  <w:vAlign w:val="center"/>
                </w:tcPr>
                <w:p w14:paraId="7EB15D6B">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700</w:t>
                  </w:r>
                </w:p>
              </w:tc>
              <w:tc>
                <w:tcPr>
                  <w:tcW w:w="782" w:type="pct"/>
                  <w:tcBorders>
                    <w:tl2br w:val="nil"/>
                    <w:tr2bl w:val="nil"/>
                  </w:tcBorders>
                  <w:noWrap w:val="0"/>
                  <w:vAlign w:val="center"/>
                </w:tcPr>
                <w:p w14:paraId="194823F2">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4000</w:t>
                  </w:r>
                </w:p>
              </w:tc>
              <w:tc>
                <w:tcPr>
                  <w:tcW w:w="583" w:type="pct"/>
                  <w:tcBorders>
                    <w:tl2br w:val="nil"/>
                    <w:tr2bl w:val="nil"/>
                  </w:tcBorders>
                  <w:noWrap w:val="0"/>
                  <w:vAlign w:val="center"/>
                </w:tcPr>
                <w:p w14:paraId="0463C150">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17.5</w:t>
                  </w:r>
                </w:p>
              </w:tc>
              <w:tc>
                <w:tcPr>
                  <w:tcW w:w="500" w:type="pct"/>
                  <w:tcBorders>
                    <w:tl2br w:val="nil"/>
                    <w:tr2bl w:val="nil"/>
                  </w:tcBorders>
                  <w:noWrap w:val="0"/>
                  <w:vAlign w:val="center"/>
                </w:tcPr>
                <w:p w14:paraId="2A184222">
                  <w:pPr>
                    <w:autoSpaceDE/>
                    <w:autoSpaceDN/>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达标</w:t>
                  </w:r>
                </w:p>
              </w:tc>
            </w:tr>
            <w:tr w14:paraId="7EE8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noWrap w:val="0"/>
                  <w:vAlign w:val="center"/>
                </w:tcPr>
                <w:p w14:paraId="5BD9EB61">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宋体" w:cs="Times New Roman"/>
                      <w:color w:val="auto"/>
                      <w:kern w:val="2"/>
                      <w:sz w:val="21"/>
                      <w:szCs w:val="24"/>
                      <w:highlight w:val="none"/>
                      <w:lang w:val="en-US"/>
                    </w:rPr>
                    <w:t>O</w:t>
                  </w:r>
                  <w:r>
                    <w:rPr>
                      <w:rFonts w:hint="default" w:ascii="Times New Roman" w:hAnsi="Times New Roman" w:eastAsia="宋体" w:cs="Times New Roman"/>
                      <w:color w:val="auto"/>
                      <w:kern w:val="2"/>
                      <w:sz w:val="21"/>
                      <w:szCs w:val="24"/>
                      <w:highlight w:val="none"/>
                      <w:vertAlign w:val="subscript"/>
                      <w:lang w:val="en-US"/>
                    </w:rPr>
                    <w:t>3</w:t>
                  </w:r>
                  <w:r>
                    <w:rPr>
                      <w:rFonts w:hint="eastAsia" w:ascii="Times New Roman" w:hAnsi="Times New Roman" w:eastAsia="宋体" w:cs="Times New Roman"/>
                      <w:color w:val="auto"/>
                      <w:kern w:val="2"/>
                      <w:sz w:val="21"/>
                      <w:szCs w:val="24"/>
                      <w:highlight w:val="none"/>
                      <w:vertAlign w:val="subscript"/>
                      <w:lang w:val="en-US" w:eastAsia="zh-CN"/>
                    </w:rPr>
                    <w:t>-8h</w:t>
                  </w:r>
                </w:p>
              </w:tc>
              <w:tc>
                <w:tcPr>
                  <w:tcW w:w="1820" w:type="pct"/>
                  <w:tcBorders>
                    <w:tl2br w:val="nil"/>
                    <w:tr2bl w:val="nil"/>
                  </w:tcBorders>
                  <w:noWrap w:val="0"/>
                  <w:vAlign w:val="center"/>
                </w:tcPr>
                <w:p w14:paraId="1C010799">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最大8h</w:t>
                  </w:r>
                  <w:r>
                    <w:rPr>
                      <w:rFonts w:hint="default" w:ascii="Times New Roman" w:hAnsi="Times New Roman" w:eastAsia="宋体" w:cs="Times New Roman"/>
                      <w:color w:val="auto"/>
                      <w:kern w:val="2"/>
                      <w:sz w:val="21"/>
                      <w:szCs w:val="24"/>
                      <w:highlight w:val="none"/>
                      <w:lang w:val="en-US"/>
                    </w:rPr>
                    <w:t>平均</w:t>
                  </w:r>
                  <w:r>
                    <w:rPr>
                      <w:rFonts w:hint="eastAsia" w:ascii="Times New Roman" w:hAnsi="Times New Roman" w:eastAsia="宋体" w:cs="Times New Roman"/>
                      <w:color w:val="auto"/>
                      <w:kern w:val="2"/>
                      <w:sz w:val="21"/>
                      <w:szCs w:val="24"/>
                      <w:highlight w:val="none"/>
                      <w:lang w:val="en-US" w:eastAsia="zh-CN"/>
                    </w:rPr>
                    <w:t>值的</w:t>
                  </w:r>
                  <w:r>
                    <w:rPr>
                      <w:rFonts w:hint="default" w:ascii="Times New Roman" w:hAnsi="Times New Roman" w:eastAsia="宋体" w:cs="Times New Roman"/>
                      <w:color w:val="auto"/>
                      <w:kern w:val="2"/>
                      <w:sz w:val="21"/>
                      <w:szCs w:val="24"/>
                      <w:highlight w:val="none"/>
                      <w:lang w:val="en-US"/>
                    </w:rPr>
                    <w:t>第90百分位数</w:t>
                  </w:r>
                </w:p>
              </w:tc>
              <w:tc>
                <w:tcPr>
                  <w:tcW w:w="840" w:type="pct"/>
                  <w:tcBorders>
                    <w:tl2br w:val="nil"/>
                    <w:tr2bl w:val="nil"/>
                  </w:tcBorders>
                  <w:noWrap w:val="0"/>
                  <w:vAlign w:val="center"/>
                </w:tcPr>
                <w:p w14:paraId="54B77956">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90</w:t>
                  </w:r>
                </w:p>
              </w:tc>
              <w:tc>
                <w:tcPr>
                  <w:tcW w:w="782" w:type="pct"/>
                  <w:tcBorders>
                    <w:tl2br w:val="nil"/>
                    <w:tr2bl w:val="nil"/>
                  </w:tcBorders>
                  <w:noWrap w:val="0"/>
                  <w:vAlign w:val="center"/>
                </w:tcPr>
                <w:p w14:paraId="50CCB24B">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160</w:t>
                  </w:r>
                </w:p>
              </w:tc>
              <w:tc>
                <w:tcPr>
                  <w:tcW w:w="583" w:type="pct"/>
                  <w:tcBorders>
                    <w:tl2br w:val="nil"/>
                    <w:tr2bl w:val="nil"/>
                  </w:tcBorders>
                  <w:noWrap w:val="0"/>
                  <w:vAlign w:val="center"/>
                </w:tcPr>
                <w:p w14:paraId="76B75649">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56.25</w:t>
                  </w:r>
                </w:p>
              </w:tc>
              <w:tc>
                <w:tcPr>
                  <w:tcW w:w="500" w:type="pct"/>
                  <w:tcBorders>
                    <w:tl2br w:val="nil"/>
                    <w:tr2bl w:val="nil"/>
                  </w:tcBorders>
                  <w:noWrap w:val="0"/>
                  <w:vAlign w:val="center"/>
                </w:tcPr>
                <w:p w14:paraId="198C751D">
                  <w:pPr>
                    <w:autoSpaceDE/>
                    <w:autoSpaceDN/>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达标</w:t>
                  </w:r>
                </w:p>
              </w:tc>
            </w:tr>
            <w:tr w14:paraId="3772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noWrap w:val="0"/>
                  <w:vAlign w:val="center"/>
                </w:tcPr>
                <w:p w14:paraId="3099F452">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PM</w:t>
                  </w:r>
                  <w:r>
                    <w:rPr>
                      <w:rFonts w:hint="default" w:ascii="Times New Roman" w:hAnsi="Times New Roman" w:eastAsia="宋体" w:cs="Times New Roman"/>
                      <w:color w:val="auto"/>
                      <w:kern w:val="2"/>
                      <w:sz w:val="21"/>
                      <w:szCs w:val="24"/>
                      <w:highlight w:val="none"/>
                      <w:vertAlign w:val="subscript"/>
                      <w:lang w:val="en-US"/>
                    </w:rPr>
                    <w:t>2.5</w:t>
                  </w:r>
                </w:p>
              </w:tc>
              <w:tc>
                <w:tcPr>
                  <w:tcW w:w="1820" w:type="pct"/>
                  <w:tcBorders>
                    <w:tl2br w:val="nil"/>
                    <w:tr2bl w:val="nil"/>
                  </w:tcBorders>
                  <w:noWrap w:val="0"/>
                  <w:vAlign w:val="center"/>
                </w:tcPr>
                <w:p w14:paraId="38EF4F94">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年平均</w:t>
                  </w:r>
                </w:p>
              </w:tc>
              <w:tc>
                <w:tcPr>
                  <w:tcW w:w="840" w:type="pct"/>
                  <w:tcBorders>
                    <w:tl2br w:val="nil"/>
                    <w:tr2bl w:val="nil"/>
                  </w:tcBorders>
                  <w:noWrap w:val="0"/>
                  <w:vAlign w:val="center"/>
                </w:tcPr>
                <w:p w14:paraId="202AE0BA">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20</w:t>
                  </w:r>
                </w:p>
              </w:tc>
              <w:tc>
                <w:tcPr>
                  <w:tcW w:w="782" w:type="pct"/>
                  <w:tcBorders>
                    <w:tl2br w:val="nil"/>
                    <w:tr2bl w:val="nil"/>
                  </w:tcBorders>
                  <w:noWrap w:val="0"/>
                  <w:vAlign w:val="center"/>
                </w:tcPr>
                <w:p w14:paraId="344FD1BC">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35</w:t>
                  </w:r>
                </w:p>
              </w:tc>
              <w:tc>
                <w:tcPr>
                  <w:tcW w:w="583" w:type="pct"/>
                  <w:tcBorders>
                    <w:tl2br w:val="nil"/>
                    <w:tr2bl w:val="nil"/>
                  </w:tcBorders>
                  <w:noWrap w:val="0"/>
                  <w:vAlign w:val="center"/>
                </w:tcPr>
                <w:p w14:paraId="103C4873">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57.14</w:t>
                  </w:r>
                </w:p>
              </w:tc>
              <w:tc>
                <w:tcPr>
                  <w:tcW w:w="500" w:type="pct"/>
                  <w:tcBorders>
                    <w:tl2br w:val="nil"/>
                    <w:tr2bl w:val="nil"/>
                  </w:tcBorders>
                  <w:noWrap w:val="0"/>
                  <w:vAlign w:val="center"/>
                </w:tcPr>
                <w:p w14:paraId="3023CE22">
                  <w:pPr>
                    <w:autoSpaceDE/>
                    <w:autoSpaceDN/>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达标</w:t>
                  </w:r>
                </w:p>
              </w:tc>
            </w:tr>
            <w:tr w14:paraId="6C68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noWrap w:val="0"/>
                  <w:vAlign w:val="center"/>
                </w:tcPr>
                <w:p w14:paraId="09D07112">
                  <w:pPr>
                    <w:autoSpaceDE/>
                    <w:autoSpaceDN/>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PM</w:t>
                  </w:r>
                  <w:r>
                    <w:rPr>
                      <w:rFonts w:hint="default" w:ascii="Times New Roman" w:hAnsi="Times New Roman" w:eastAsia="宋体" w:cs="Times New Roman"/>
                      <w:color w:val="auto"/>
                      <w:kern w:val="2"/>
                      <w:sz w:val="21"/>
                      <w:szCs w:val="24"/>
                      <w:highlight w:val="none"/>
                      <w:vertAlign w:val="subscript"/>
                      <w:lang w:val="en-US"/>
                    </w:rPr>
                    <w:t>10</w:t>
                  </w:r>
                </w:p>
              </w:tc>
              <w:tc>
                <w:tcPr>
                  <w:tcW w:w="1820" w:type="pct"/>
                  <w:tcBorders>
                    <w:tl2br w:val="nil"/>
                    <w:tr2bl w:val="nil"/>
                  </w:tcBorders>
                  <w:noWrap w:val="0"/>
                  <w:vAlign w:val="center"/>
                </w:tcPr>
                <w:p w14:paraId="067EFA09">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年平均</w:t>
                  </w:r>
                </w:p>
              </w:tc>
              <w:tc>
                <w:tcPr>
                  <w:tcW w:w="840" w:type="pct"/>
                  <w:tcBorders>
                    <w:tl2br w:val="nil"/>
                    <w:tr2bl w:val="nil"/>
                  </w:tcBorders>
                  <w:noWrap w:val="0"/>
                  <w:vAlign w:val="center"/>
                </w:tcPr>
                <w:p w14:paraId="374FAA35">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48</w:t>
                  </w:r>
                </w:p>
              </w:tc>
              <w:tc>
                <w:tcPr>
                  <w:tcW w:w="782" w:type="pct"/>
                  <w:tcBorders>
                    <w:tl2br w:val="nil"/>
                    <w:tr2bl w:val="nil"/>
                  </w:tcBorders>
                  <w:noWrap w:val="0"/>
                  <w:vAlign w:val="center"/>
                </w:tcPr>
                <w:p w14:paraId="562C86C4">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70</w:t>
                  </w:r>
                </w:p>
              </w:tc>
              <w:tc>
                <w:tcPr>
                  <w:tcW w:w="583" w:type="pct"/>
                  <w:tcBorders>
                    <w:tl2br w:val="nil"/>
                    <w:tr2bl w:val="nil"/>
                  </w:tcBorders>
                  <w:noWrap w:val="0"/>
                  <w:vAlign w:val="center"/>
                </w:tcPr>
                <w:p w14:paraId="076D2C74">
                  <w:pPr>
                    <w:autoSpaceDE w:val="0"/>
                    <w:autoSpaceDN w:val="0"/>
                    <w:adjustRightInd w:val="0"/>
                    <w:spacing w:before="0" w:after="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rPr>
                  </w:pPr>
                  <w:r>
                    <w:rPr>
                      <w:rFonts w:hint="eastAsia" w:cs="Times New Roman"/>
                      <w:color w:val="auto"/>
                      <w:kern w:val="2"/>
                      <w:sz w:val="21"/>
                      <w:szCs w:val="24"/>
                      <w:highlight w:val="none"/>
                      <w:lang w:val="en-US" w:eastAsia="zh-CN"/>
                    </w:rPr>
                    <w:t>68.57</w:t>
                  </w:r>
                </w:p>
              </w:tc>
              <w:tc>
                <w:tcPr>
                  <w:tcW w:w="500" w:type="pct"/>
                  <w:tcBorders>
                    <w:tl2br w:val="nil"/>
                    <w:tr2bl w:val="nil"/>
                  </w:tcBorders>
                  <w:noWrap w:val="0"/>
                  <w:vAlign w:val="center"/>
                </w:tcPr>
                <w:p w14:paraId="5B0CD018">
                  <w:pPr>
                    <w:autoSpaceDE/>
                    <w:autoSpaceDN/>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rPr>
                  </w:pPr>
                  <w:r>
                    <w:rPr>
                      <w:rFonts w:hint="default" w:ascii="Times New Roman" w:hAnsi="Times New Roman" w:eastAsia="宋体" w:cs="Times New Roman"/>
                      <w:color w:val="auto"/>
                      <w:kern w:val="2"/>
                      <w:sz w:val="21"/>
                      <w:szCs w:val="24"/>
                      <w:highlight w:val="none"/>
                      <w:lang w:val="en-US"/>
                    </w:rPr>
                    <w:t>达标</w:t>
                  </w:r>
                </w:p>
              </w:tc>
            </w:tr>
          </w:tbl>
          <w:p w14:paraId="666488C2">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val="en-US" w:eastAsia="zh-CN"/>
              </w:rPr>
              <w:t>项目所</w:t>
            </w:r>
            <w:r>
              <w:rPr>
                <w:rFonts w:hint="default" w:ascii="Times New Roman" w:hAnsi="Times New Roman" w:eastAsia="宋体" w:cs="Times New Roman"/>
                <w:color w:val="auto"/>
                <w:kern w:val="2"/>
                <w:sz w:val="24"/>
                <w:szCs w:val="20"/>
                <w:highlight w:val="none"/>
                <w:lang w:val="en-US" w:eastAsia="zh-CN" w:bidi="ar-SA"/>
              </w:rPr>
              <w:t>在区域SO</w:t>
            </w:r>
            <w:r>
              <w:rPr>
                <w:rFonts w:hint="default" w:ascii="Times New Roman" w:hAnsi="Times New Roman" w:eastAsia="宋体" w:cs="Times New Roman"/>
                <w:color w:val="auto"/>
                <w:kern w:val="2"/>
                <w:sz w:val="24"/>
                <w:szCs w:val="20"/>
                <w:highlight w:val="none"/>
                <w:vertAlign w:val="subscript"/>
                <w:lang w:val="en-US" w:eastAsia="zh-CN" w:bidi="ar-SA"/>
              </w:rPr>
              <w:t>2</w:t>
            </w:r>
            <w:r>
              <w:rPr>
                <w:rFonts w:hint="default" w:ascii="Times New Roman" w:hAnsi="Times New Roman" w:eastAsia="宋体" w:cs="Times New Roman"/>
                <w:color w:val="auto"/>
                <w:kern w:val="2"/>
                <w:sz w:val="24"/>
                <w:szCs w:val="20"/>
                <w:highlight w:val="none"/>
                <w:lang w:val="en-US" w:eastAsia="zh-CN" w:bidi="ar-SA"/>
              </w:rPr>
              <w:t>、NO</w:t>
            </w:r>
            <w:r>
              <w:rPr>
                <w:rFonts w:hint="default" w:ascii="Times New Roman" w:hAnsi="Times New Roman" w:eastAsia="宋体" w:cs="Times New Roman"/>
                <w:color w:val="auto"/>
                <w:kern w:val="2"/>
                <w:sz w:val="24"/>
                <w:szCs w:val="20"/>
                <w:highlight w:val="none"/>
                <w:vertAlign w:val="subscript"/>
                <w:lang w:val="en-US" w:eastAsia="zh-CN" w:bidi="ar-SA"/>
              </w:rPr>
              <w:t>2</w:t>
            </w:r>
            <w:r>
              <w:rPr>
                <w:rFonts w:hint="default" w:ascii="Times New Roman" w:hAnsi="Times New Roman" w:eastAsia="宋体" w:cs="Times New Roman"/>
                <w:color w:val="auto"/>
                <w:kern w:val="2"/>
                <w:sz w:val="24"/>
                <w:szCs w:val="20"/>
                <w:highlight w:val="none"/>
                <w:lang w:val="en-US" w:eastAsia="zh-CN" w:bidi="ar-SA"/>
              </w:rPr>
              <w:t>、PM</w:t>
            </w:r>
            <w:r>
              <w:rPr>
                <w:rFonts w:hint="default" w:ascii="Times New Roman" w:hAnsi="Times New Roman" w:eastAsia="宋体" w:cs="Times New Roman"/>
                <w:color w:val="auto"/>
                <w:kern w:val="2"/>
                <w:sz w:val="24"/>
                <w:szCs w:val="20"/>
                <w:highlight w:val="none"/>
                <w:vertAlign w:val="subscript"/>
                <w:lang w:val="en-US" w:eastAsia="zh-CN" w:bidi="ar-SA"/>
              </w:rPr>
              <w:t>2.5</w:t>
            </w:r>
            <w:r>
              <w:rPr>
                <w:rFonts w:hint="default" w:ascii="Times New Roman" w:hAnsi="Times New Roman" w:eastAsia="宋体" w:cs="Times New Roman"/>
                <w:color w:val="auto"/>
                <w:kern w:val="2"/>
                <w:sz w:val="24"/>
                <w:szCs w:val="20"/>
                <w:highlight w:val="none"/>
                <w:lang w:val="en-US" w:eastAsia="zh-CN" w:bidi="ar-SA"/>
              </w:rPr>
              <w:t>、PM</w:t>
            </w:r>
            <w:r>
              <w:rPr>
                <w:rFonts w:hint="eastAsia" w:ascii="Times New Roman" w:hAnsi="Times New Roman" w:eastAsia="宋体" w:cs="Times New Roman"/>
                <w:color w:val="auto"/>
                <w:kern w:val="2"/>
                <w:sz w:val="24"/>
                <w:szCs w:val="20"/>
                <w:highlight w:val="none"/>
                <w:vertAlign w:val="subscript"/>
                <w:lang w:val="en-US" w:eastAsia="zh-CN" w:bidi="ar-SA"/>
              </w:rPr>
              <w:t>10</w:t>
            </w:r>
            <w:r>
              <w:rPr>
                <w:rFonts w:hint="eastAsia" w:ascii="Times New Roman" w:hAnsi="Times New Roman" w:eastAsia="宋体" w:cs="Times New Roman"/>
                <w:color w:val="auto"/>
                <w:kern w:val="2"/>
                <w:sz w:val="24"/>
                <w:szCs w:val="20"/>
                <w:highlight w:val="none"/>
                <w:lang w:val="en-US" w:eastAsia="zh-CN" w:bidi="ar-SA"/>
              </w:rPr>
              <w:t>年平均浓度和</w:t>
            </w:r>
            <w:r>
              <w:rPr>
                <w:rFonts w:hint="default" w:ascii="Times New Roman" w:hAnsi="Times New Roman" w:eastAsia="宋体" w:cs="Times New Roman"/>
                <w:color w:val="auto"/>
                <w:kern w:val="2"/>
                <w:sz w:val="24"/>
                <w:szCs w:val="20"/>
                <w:highlight w:val="none"/>
                <w:lang w:val="en-US" w:eastAsia="zh-CN" w:bidi="ar-SA"/>
              </w:rPr>
              <w:t>百分位日平均浓度</w:t>
            </w: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CO百分位日平均浓度及O</w:t>
            </w:r>
            <w:r>
              <w:rPr>
                <w:rFonts w:hint="default" w:ascii="Times New Roman" w:hAnsi="Times New Roman" w:eastAsia="宋体" w:cs="Times New Roman"/>
                <w:color w:val="auto"/>
                <w:kern w:val="2"/>
                <w:sz w:val="24"/>
                <w:szCs w:val="20"/>
                <w:highlight w:val="none"/>
                <w:vertAlign w:val="subscript"/>
                <w:lang w:val="en-US" w:eastAsia="zh-CN" w:bidi="ar-SA"/>
              </w:rPr>
              <w:t>3</w:t>
            </w:r>
            <w:r>
              <w:rPr>
                <w:rFonts w:hint="default" w:ascii="Times New Roman" w:hAnsi="Times New Roman" w:eastAsia="宋体" w:cs="Times New Roman"/>
                <w:color w:val="auto"/>
                <w:kern w:val="2"/>
                <w:sz w:val="24"/>
                <w:szCs w:val="20"/>
                <w:highlight w:val="none"/>
                <w:lang w:val="en-US" w:eastAsia="zh-CN" w:bidi="ar-SA"/>
              </w:rPr>
              <w:t>百分位</w:t>
            </w:r>
            <w:r>
              <w:rPr>
                <w:rFonts w:hint="eastAsia" w:ascii="Times New Roman" w:hAnsi="Times New Roman" w:eastAsia="宋体" w:cs="Times New Roman"/>
                <w:color w:val="auto"/>
                <w:kern w:val="2"/>
                <w:sz w:val="24"/>
                <w:szCs w:val="20"/>
                <w:highlight w:val="none"/>
                <w:lang w:val="en-US" w:eastAsia="zh-CN" w:bidi="ar-SA"/>
              </w:rPr>
              <w:t>最大8h</w:t>
            </w:r>
            <w:r>
              <w:rPr>
                <w:rFonts w:hint="default" w:ascii="Times New Roman" w:hAnsi="Times New Roman" w:eastAsia="宋体" w:cs="Times New Roman"/>
                <w:color w:val="auto"/>
                <w:kern w:val="2"/>
                <w:sz w:val="24"/>
                <w:szCs w:val="20"/>
                <w:highlight w:val="none"/>
                <w:lang w:val="en-US" w:eastAsia="zh-CN" w:bidi="ar-SA"/>
              </w:rPr>
              <w:t>平均浓度均满足《环境空气质量标准》（GB3095-2012）及其修改单中的二级标准要求</w:t>
            </w: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因此区域为大气环境质量达标区</w:t>
            </w:r>
            <w:r>
              <w:rPr>
                <w:rFonts w:hint="eastAsia" w:ascii="Times New Roman" w:hAnsi="Times New Roman" w:eastAsia="宋体" w:cs="Times New Roman"/>
                <w:color w:val="auto"/>
                <w:sz w:val="24"/>
                <w:szCs w:val="24"/>
                <w:highlight w:val="none"/>
                <w:lang w:val="en-US" w:eastAsia="zh-CN"/>
              </w:rPr>
              <w:t>。</w:t>
            </w:r>
          </w:p>
          <w:p w14:paraId="57A792B9">
            <w:pPr>
              <w:topLinePunct/>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1.5特征因子监测</w:t>
            </w:r>
          </w:p>
          <w:p w14:paraId="796EF7A3">
            <w:pPr>
              <w:topLinePunct/>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rFonts w:hint="eastAsia"/>
                <w:color w:val="auto"/>
                <w:sz w:val="24"/>
                <w:highlight w:val="none"/>
                <w:lang w:val="en-US" w:eastAsia="zh-CN"/>
              </w:rPr>
              <w:t>总悬浮颗粒物、氨、硫化氢、臭气浓度</w:t>
            </w:r>
          </w:p>
          <w:p w14:paraId="43F7BEEF">
            <w:pPr>
              <w:topLinePunct/>
              <w:spacing w:line="360" w:lineRule="auto"/>
              <w:ind w:firstLine="480" w:firstLineChars="200"/>
              <w:rPr>
                <w:color w:val="auto"/>
                <w:sz w:val="24"/>
                <w:highlight w:val="none"/>
              </w:rPr>
            </w:pPr>
            <w:r>
              <w:rPr>
                <w:color w:val="auto"/>
                <w:sz w:val="24"/>
                <w:highlight w:val="none"/>
              </w:rPr>
              <w:t>为了解评价区域内</w:t>
            </w:r>
            <w:r>
              <w:rPr>
                <w:rFonts w:hint="eastAsia"/>
                <w:color w:val="auto"/>
                <w:sz w:val="24"/>
                <w:highlight w:val="none"/>
                <w:lang w:val="en-US" w:eastAsia="zh-CN"/>
              </w:rPr>
              <w:t>总悬浮颗粒物、氨、硫化氢、臭气浓度</w:t>
            </w:r>
            <w:r>
              <w:rPr>
                <w:rFonts w:hint="eastAsia"/>
                <w:color w:val="auto"/>
                <w:sz w:val="24"/>
                <w:highlight w:val="none"/>
              </w:rPr>
              <w:t>的</w:t>
            </w:r>
            <w:r>
              <w:rPr>
                <w:color w:val="auto"/>
                <w:sz w:val="24"/>
                <w:highlight w:val="none"/>
              </w:rPr>
              <w:t>环境质量现状，</w:t>
            </w:r>
            <w:r>
              <w:rPr>
                <w:rFonts w:hint="eastAsia"/>
                <w:color w:val="auto"/>
                <w:sz w:val="24"/>
                <w:highlight w:val="none"/>
                <w:lang w:val="en-US" w:eastAsia="zh-CN"/>
              </w:rPr>
              <w:t>本项目委托新疆普京检测有限公司于</w:t>
            </w:r>
            <w:r>
              <w:rPr>
                <w:rFonts w:hint="eastAsia"/>
                <w:color w:val="auto"/>
                <w:sz w:val="24"/>
                <w:highlight w:val="none"/>
              </w:rPr>
              <w:t>202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4</w:t>
            </w:r>
            <w:r>
              <w:rPr>
                <w:rFonts w:hint="eastAsia"/>
                <w:color w:val="auto"/>
                <w:sz w:val="24"/>
                <w:highlight w:val="none"/>
              </w:rPr>
              <w:t>月2</w:t>
            </w:r>
            <w:r>
              <w:rPr>
                <w:rFonts w:hint="eastAsia"/>
                <w:color w:val="auto"/>
                <w:sz w:val="24"/>
                <w:highlight w:val="none"/>
                <w:lang w:val="en-US" w:eastAsia="zh-CN"/>
              </w:rPr>
              <w:t>1</w:t>
            </w:r>
            <w:r>
              <w:rPr>
                <w:rFonts w:hint="eastAsia"/>
                <w:color w:val="auto"/>
                <w:sz w:val="24"/>
                <w:highlight w:val="none"/>
              </w:rPr>
              <w:t>日-</w:t>
            </w:r>
            <w:r>
              <w:rPr>
                <w:rFonts w:hint="eastAsia"/>
                <w:color w:val="auto"/>
                <w:sz w:val="24"/>
                <w:highlight w:val="none"/>
                <w:lang w:val="en-US" w:eastAsia="zh-CN"/>
              </w:rPr>
              <w:t>4</w:t>
            </w:r>
            <w:r>
              <w:rPr>
                <w:rFonts w:hint="eastAsia"/>
                <w:color w:val="auto"/>
                <w:sz w:val="24"/>
                <w:highlight w:val="none"/>
              </w:rPr>
              <w:t>月2</w:t>
            </w:r>
            <w:r>
              <w:rPr>
                <w:rFonts w:hint="eastAsia"/>
                <w:color w:val="auto"/>
                <w:sz w:val="24"/>
                <w:highlight w:val="none"/>
                <w:lang w:val="en-US" w:eastAsia="zh-CN"/>
              </w:rPr>
              <w:t>3</w:t>
            </w:r>
            <w:r>
              <w:rPr>
                <w:rFonts w:hint="eastAsia"/>
                <w:color w:val="auto"/>
                <w:sz w:val="24"/>
                <w:highlight w:val="none"/>
              </w:rPr>
              <w:t>日</w:t>
            </w:r>
            <w:r>
              <w:rPr>
                <w:rFonts w:hint="eastAsia"/>
                <w:color w:val="auto"/>
                <w:sz w:val="24"/>
                <w:highlight w:val="none"/>
                <w:lang w:val="en-US" w:eastAsia="zh-CN"/>
              </w:rPr>
              <w:t>在项目区内设置1个监测点进行现场监测</w:t>
            </w:r>
            <w:r>
              <w:rPr>
                <w:rFonts w:hint="eastAsia"/>
                <w:color w:val="auto"/>
                <w:sz w:val="24"/>
                <w:highlight w:val="none"/>
                <w:lang w:eastAsia="zh-CN"/>
              </w:rPr>
              <w:t>。</w:t>
            </w:r>
            <w:r>
              <w:rPr>
                <w:rFonts w:hint="eastAsia"/>
                <w:color w:val="auto"/>
                <w:sz w:val="24"/>
                <w:highlight w:val="none"/>
              </w:rPr>
              <w:t>具体监测统计结果见表</w:t>
            </w:r>
            <w:r>
              <w:rPr>
                <w:rFonts w:hint="eastAsia"/>
                <w:color w:val="auto"/>
                <w:sz w:val="24"/>
                <w:highlight w:val="none"/>
                <w:lang w:val="en-US" w:eastAsia="zh-CN"/>
              </w:rPr>
              <w:t>3-2</w:t>
            </w:r>
            <w:r>
              <w:rPr>
                <w:color w:val="auto"/>
                <w:sz w:val="24"/>
                <w:highlight w:val="none"/>
              </w:rPr>
              <w:t>。</w:t>
            </w:r>
          </w:p>
          <w:p w14:paraId="569335C0">
            <w:pPr>
              <w:ind w:firstLine="422" w:firstLineChars="200"/>
              <w:jc w:val="center"/>
              <w:rPr>
                <w:b/>
                <w:bCs/>
                <w:color w:val="auto"/>
                <w:szCs w:val="21"/>
                <w:highlight w:val="none"/>
              </w:rPr>
            </w:pPr>
            <w:r>
              <w:rPr>
                <w:b/>
                <w:bCs/>
                <w:color w:val="auto"/>
                <w:szCs w:val="21"/>
                <w:highlight w:val="none"/>
              </w:rPr>
              <w:t>表</w:t>
            </w:r>
            <w:r>
              <w:rPr>
                <w:rFonts w:hint="eastAsia"/>
                <w:b/>
                <w:bCs/>
                <w:color w:val="auto"/>
                <w:szCs w:val="21"/>
                <w:highlight w:val="none"/>
                <w:lang w:val="en-US" w:eastAsia="zh-CN"/>
              </w:rPr>
              <w:t>3-2</w:t>
            </w:r>
            <w:r>
              <w:rPr>
                <w:b/>
                <w:bCs/>
                <w:color w:val="auto"/>
                <w:szCs w:val="21"/>
                <w:highlight w:val="none"/>
              </w:rPr>
              <w:t xml:space="preserve">      非甲烷总烃环境质量小时值监测结果           单位：mg/m</w:t>
            </w:r>
            <w:r>
              <w:rPr>
                <w:b/>
                <w:bCs/>
                <w:color w:val="auto"/>
                <w:szCs w:val="21"/>
                <w:highlight w:val="none"/>
                <w:vertAlign w:val="superscript"/>
              </w:rPr>
              <w:t>3</w:t>
            </w:r>
          </w:p>
          <w:tbl>
            <w:tblPr>
              <w:tblStyle w:val="33"/>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650"/>
              <w:gridCol w:w="1301"/>
              <w:gridCol w:w="1425"/>
              <w:gridCol w:w="2224"/>
            </w:tblGrid>
            <w:tr w14:paraId="5D39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4" w:type="pct"/>
                  <w:vMerge w:val="restart"/>
                  <w:noWrap w:val="0"/>
                  <w:vAlign w:val="center"/>
                </w:tcPr>
                <w:p w14:paraId="2026A9E2">
                  <w:pPr>
                    <w:spacing w:line="240" w:lineRule="auto"/>
                    <w:jc w:val="center"/>
                    <w:rPr>
                      <w:b/>
                      <w:color w:val="auto"/>
                      <w:szCs w:val="21"/>
                      <w:highlight w:val="none"/>
                    </w:rPr>
                  </w:pPr>
                  <w:r>
                    <w:rPr>
                      <w:b/>
                      <w:color w:val="auto"/>
                      <w:szCs w:val="21"/>
                      <w:highlight w:val="none"/>
                    </w:rPr>
                    <w:t>监测地点</w:t>
                  </w:r>
                </w:p>
              </w:tc>
              <w:tc>
                <w:tcPr>
                  <w:tcW w:w="3975" w:type="pct"/>
                  <w:gridSpan w:val="4"/>
                  <w:noWrap w:val="0"/>
                  <w:vAlign w:val="center"/>
                </w:tcPr>
                <w:p w14:paraId="55380A71">
                  <w:pPr>
                    <w:spacing w:line="240" w:lineRule="auto"/>
                    <w:jc w:val="center"/>
                    <w:rPr>
                      <w:b/>
                      <w:color w:val="auto"/>
                      <w:szCs w:val="21"/>
                      <w:highlight w:val="none"/>
                    </w:rPr>
                  </w:pPr>
                  <w:r>
                    <w:rPr>
                      <w:b/>
                      <w:color w:val="auto"/>
                      <w:szCs w:val="21"/>
                      <w:highlight w:val="none"/>
                    </w:rPr>
                    <w:t>监测结果</w:t>
                  </w:r>
                </w:p>
              </w:tc>
            </w:tr>
            <w:tr w14:paraId="11F0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4" w:type="pct"/>
                  <w:vMerge w:val="continue"/>
                  <w:noWrap w:val="0"/>
                  <w:vAlign w:val="center"/>
                </w:tcPr>
                <w:p w14:paraId="76AD95EE">
                  <w:pPr>
                    <w:spacing w:line="240" w:lineRule="auto"/>
                    <w:jc w:val="center"/>
                    <w:rPr>
                      <w:color w:val="auto"/>
                      <w:highlight w:val="none"/>
                    </w:rPr>
                  </w:pPr>
                </w:p>
              </w:tc>
              <w:tc>
                <w:tcPr>
                  <w:tcW w:w="993" w:type="pct"/>
                  <w:noWrap w:val="0"/>
                  <w:vAlign w:val="center"/>
                </w:tcPr>
                <w:p w14:paraId="018FC75F">
                  <w:pPr>
                    <w:spacing w:line="240" w:lineRule="auto"/>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val="en-US" w:eastAsia="zh-CN"/>
                    </w:rPr>
                    <w:t>总悬浮颗粒物</w:t>
                  </w:r>
                </w:p>
              </w:tc>
              <w:tc>
                <w:tcPr>
                  <w:tcW w:w="783" w:type="pct"/>
                  <w:noWrap w:val="0"/>
                  <w:vAlign w:val="center"/>
                </w:tcPr>
                <w:p w14:paraId="1012411B">
                  <w:pPr>
                    <w:spacing w:line="240" w:lineRule="auto"/>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val="en-US" w:eastAsia="zh-CN"/>
                    </w:rPr>
                    <w:t>氨</w:t>
                  </w:r>
                </w:p>
              </w:tc>
              <w:tc>
                <w:tcPr>
                  <w:tcW w:w="858" w:type="pct"/>
                  <w:noWrap w:val="0"/>
                  <w:vAlign w:val="center"/>
                </w:tcPr>
                <w:p w14:paraId="69540FB9">
                  <w:pPr>
                    <w:spacing w:line="240" w:lineRule="auto"/>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val="en-US" w:eastAsia="zh-CN"/>
                    </w:rPr>
                    <w:t>硫化氢</w:t>
                  </w:r>
                </w:p>
              </w:tc>
              <w:tc>
                <w:tcPr>
                  <w:tcW w:w="1339" w:type="pct"/>
                  <w:noWrap w:val="0"/>
                  <w:vAlign w:val="center"/>
                </w:tcPr>
                <w:p w14:paraId="19BBE9E8">
                  <w:pPr>
                    <w:spacing w:line="240" w:lineRule="auto"/>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val="en-US" w:eastAsia="zh-CN"/>
                    </w:rPr>
                    <w:t>臭气浓度（无量纲）</w:t>
                  </w:r>
                </w:p>
              </w:tc>
            </w:tr>
            <w:tr w14:paraId="0586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24" w:type="pct"/>
                  <w:noWrap w:val="0"/>
                  <w:vAlign w:val="center"/>
                </w:tcPr>
                <w:p w14:paraId="73E4EBCA">
                  <w:pPr>
                    <w:spacing w:line="240" w:lineRule="auto"/>
                    <w:jc w:val="center"/>
                    <w:rPr>
                      <w:rFonts w:hint="default"/>
                      <w:color w:val="auto"/>
                      <w:szCs w:val="21"/>
                      <w:highlight w:val="none"/>
                      <w:lang w:val="en-US"/>
                    </w:rPr>
                  </w:pPr>
                  <w:r>
                    <w:rPr>
                      <w:rFonts w:hint="eastAsia"/>
                      <w:color w:val="auto"/>
                      <w:szCs w:val="21"/>
                      <w:highlight w:val="none"/>
                      <w:lang w:val="en-US" w:eastAsia="zh-CN"/>
                    </w:rPr>
                    <w:t>厂区内西侧</w:t>
                  </w:r>
                </w:p>
              </w:tc>
              <w:tc>
                <w:tcPr>
                  <w:tcW w:w="993" w:type="pct"/>
                  <w:noWrap w:val="0"/>
                  <w:vAlign w:val="center"/>
                </w:tcPr>
                <w:p w14:paraId="4215EB8E">
                  <w:pPr>
                    <w:spacing w:line="240" w:lineRule="auto"/>
                    <w:jc w:val="center"/>
                    <w:rPr>
                      <w:rFonts w:hint="default" w:eastAsia="宋体"/>
                      <w:color w:val="auto"/>
                      <w:szCs w:val="21"/>
                      <w:highlight w:val="none"/>
                      <w:lang w:val="en-US" w:eastAsia="zh-CN"/>
                    </w:rPr>
                  </w:pPr>
                  <w:r>
                    <w:rPr>
                      <w:rFonts w:hint="eastAsia" w:cs="Times New Roman"/>
                      <w:bCs/>
                      <w:color w:val="auto"/>
                      <w:kern w:val="2"/>
                      <w:sz w:val="21"/>
                      <w:szCs w:val="21"/>
                      <w:highlight w:val="none"/>
                      <w:lang w:val="en-US" w:eastAsia="zh-CN" w:bidi="ar-SA"/>
                    </w:rPr>
                    <w:t>0.373-0.513</w:t>
                  </w:r>
                </w:p>
              </w:tc>
              <w:tc>
                <w:tcPr>
                  <w:tcW w:w="783" w:type="pct"/>
                  <w:noWrap w:val="0"/>
                  <w:vAlign w:val="center"/>
                </w:tcPr>
                <w:p w14:paraId="0E7CBA1F">
                  <w:pPr>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0.02-0.03</w:t>
                  </w:r>
                </w:p>
              </w:tc>
              <w:tc>
                <w:tcPr>
                  <w:tcW w:w="858" w:type="pct"/>
                  <w:noWrap w:val="0"/>
                  <w:vAlign w:val="center"/>
                </w:tcPr>
                <w:p w14:paraId="4CB7532E">
                  <w:pPr>
                    <w:spacing w:line="240" w:lineRule="auto"/>
                    <w:jc w:val="center"/>
                    <w:rPr>
                      <w:rFonts w:hint="eastAsia"/>
                      <w:color w:val="auto"/>
                      <w:szCs w:val="21"/>
                      <w:highlight w:val="none"/>
                    </w:rPr>
                  </w:pPr>
                  <w:r>
                    <w:rPr>
                      <w:rFonts w:hint="default" w:ascii="Times New Roman" w:hAnsi="Times New Roman" w:cs="Times New Roman"/>
                      <w:bCs/>
                      <w:color w:val="auto"/>
                      <w:kern w:val="2"/>
                      <w:sz w:val="21"/>
                      <w:szCs w:val="21"/>
                      <w:highlight w:val="none"/>
                      <w:lang w:val="en-US" w:eastAsia="zh-CN" w:bidi="ar-SA"/>
                    </w:rPr>
                    <w:t>0.2×10</w:t>
                  </w:r>
                  <w:r>
                    <w:rPr>
                      <w:rFonts w:hint="default" w:ascii="Times New Roman" w:hAnsi="Times New Roman" w:cs="Times New Roman"/>
                      <w:bCs/>
                      <w:color w:val="auto"/>
                      <w:kern w:val="2"/>
                      <w:sz w:val="21"/>
                      <w:szCs w:val="21"/>
                      <w:highlight w:val="none"/>
                      <w:vertAlign w:val="superscript"/>
                      <w:lang w:val="en-US" w:eastAsia="zh-CN" w:bidi="ar-SA"/>
                    </w:rPr>
                    <w:t>-3</w:t>
                  </w:r>
                  <w:r>
                    <w:rPr>
                      <w:rFonts w:hint="default" w:ascii="Times New Roman" w:hAnsi="Times New Roman" w:cs="Times New Roman"/>
                      <w:bCs/>
                      <w:color w:val="auto"/>
                      <w:kern w:val="2"/>
                      <w:sz w:val="21"/>
                      <w:szCs w:val="21"/>
                      <w:highlight w:val="none"/>
                      <w:lang w:val="en-US" w:eastAsia="zh-CN" w:bidi="ar-SA"/>
                    </w:rPr>
                    <w:t>L</w:t>
                  </w:r>
                </w:p>
              </w:tc>
              <w:tc>
                <w:tcPr>
                  <w:tcW w:w="1339" w:type="pct"/>
                  <w:noWrap w:val="0"/>
                  <w:vAlign w:val="center"/>
                </w:tcPr>
                <w:p w14:paraId="5914B087">
                  <w:pPr>
                    <w:spacing w:line="240" w:lineRule="auto"/>
                    <w:jc w:val="center"/>
                    <w:rPr>
                      <w:rFonts w:hint="eastAsia"/>
                      <w:color w:val="auto"/>
                      <w:szCs w:val="21"/>
                      <w:highlight w:val="none"/>
                    </w:rPr>
                  </w:pPr>
                  <w:r>
                    <w:rPr>
                      <w:rFonts w:hint="default" w:ascii="Times New Roman" w:hAnsi="Times New Roman" w:cs="Times New Roman"/>
                      <w:bCs/>
                      <w:color w:val="auto"/>
                      <w:kern w:val="2"/>
                      <w:sz w:val="21"/>
                      <w:szCs w:val="21"/>
                      <w:highlight w:val="none"/>
                      <w:lang w:val="en-US" w:eastAsia="zh-CN" w:bidi="ar-SA"/>
                    </w:rPr>
                    <w:t>＜10</w:t>
                  </w:r>
                </w:p>
              </w:tc>
            </w:tr>
            <w:tr w14:paraId="5B8D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24" w:type="pct"/>
                  <w:noWrap w:val="0"/>
                  <w:vAlign w:val="center"/>
                </w:tcPr>
                <w:p w14:paraId="7FDED8C9">
                  <w:pPr>
                    <w:spacing w:line="240" w:lineRule="auto"/>
                    <w:jc w:val="center"/>
                    <w:rPr>
                      <w:color w:val="auto"/>
                      <w:szCs w:val="21"/>
                      <w:highlight w:val="none"/>
                    </w:rPr>
                  </w:pPr>
                  <w:r>
                    <w:rPr>
                      <w:color w:val="auto"/>
                      <w:sz w:val="24"/>
                      <w:highlight w:val="none"/>
                      <w:lang w:bidi="ar"/>
                    </w:rPr>
                    <w:t>S</w:t>
                  </w:r>
                  <w:r>
                    <w:rPr>
                      <w:color w:val="auto"/>
                      <w:sz w:val="24"/>
                      <w:highlight w:val="none"/>
                      <w:vertAlign w:val="subscript"/>
                      <w:lang w:bidi="ar"/>
                    </w:rPr>
                    <w:t>i,j</w:t>
                  </w:r>
                </w:p>
              </w:tc>
              <w:tc>
                <w:tcPr>
                  <w:tcW w:w="993" w:type="pct"/>
                  <w:noWrap w:val="0"/>
                  <w:vAlign w:val="center"/>
                </w:tcPr>
                <w:p w14:paraId="45AF1D62">
                  <w:pPr>
                    <w:spacing w:line="240" w:lineRule="auto"/>
                    <w:jc w:val="center"/>
                    <w:rPr>
                      <w:rFonts w:hint="default" w:eastAsia="宋体"/>
                      <w:color w:val="auto"/>
                      <w:szCs w:val="21"/>
                      <w:highlight w:val="none"/>
                      <w:lang w:val="en-US" w:eastAsia="zh-CN"/>
                    </w:rPr>
                  </w:pPr>
                  <w:r>
                    <w:rPr>
                      <w:rFonts w:hint="eastAsia" w:eastAsia="宋体"/>
                      <w:color w:val="auto"/>
                      <w:szCs w:val="21"/>
                      <w:highlight w:val="none"/>
                      <w:lang w:val="en-US" w:eastAsia="zh-CN"/>
                    </w:rPr>
                    <w:t>0.001-0.002</w:t>
                  </w:r>
                </w:p>
              </w:tc>
              <w:tc>
                <w:tcPr>
                  <w:tcW w:w="783" w:type="pct"/>
                  <w:noWrap w:val="0"/>
                  <w:vAlign w:val="center"/>
                </w:tcPr>
                <w:p w14:paraId="25BA0CFB">
                  <w:pPr>
                    <w:spacing w:line="240" w:lineRule="auto"/>
                    <w:jc w:val="center"/>
                    <w:rPr>
                      <w:rFonts w:hint="default"/>
                      <w:color w:val="auto"/>
                      <w:szCs w:val="21"/>
                      <w:highlight w:val="none"/>
                      <w:lang w:val="en-US" w:eastAsia="zh-CN"/>
                    </w:rPr>
                  </w:pPr>
                  <w:r>
                    <w:rPr>
                      <w:rFonts w:hint="eastAsia"/>
                      <w:color w:val="auto"/>
                      <w:szCs w:val="21"/>
                      <w:highlight w:val="none"/>
                      <w:lang w:val="en-US" w:eastAsia="zh-CN"/>
                    </w:rPr>
                    <w:t>0.10-0.15</w:t>
                  </w:r>
                </w:p>
              </w:tc>
              <w:tc>
                <w:tcPr>
                  <w:tcW w:w="858" w:type="pct"/>
                  <w:noWrap w:val="0"/>
                  <w:vAlign w:val="center"/>
                </w:tcPr>
                <w:p w14:paraId="14FE09E1">
                  <w:pPr>
                    <w:spacing w:line="240" w:lineRule="auto"/>
                    <w:jc w:val="center"/>
                    <w:rPr>
                      <w:rFonts w:hint="default"/>
                      <w:color w:val="auto"/>
                      <w:szCs w:val="21"/>
                      <w:highlight w:val="none"/>
                      <w:lang w:val="en-US" w:eastAsia="zh-CN"/>
                    </w:rPr>
                  </w:pPr>
                  <w:r>
                    <w:rPr>
                      <w:rFonts w:hint="eastAsia"/>
                      <w:color w:val="auto"/>
                      <w:szCs w:val="21"/>
                      <w:highlight w:val="none"/>
                      <w:lang w:val="en-US" w:eastAsia="zh-CN"/>
                    </w:rPr>
                    <w:t>0.02</w:t>
                  </w:r>
                </w:p>
              </w:tc>
              <w:tc>
                <w:tcPr>
                  <w:tcW w:w="1339" w:type="pct"/>
                  <w:noWrap w:val="0"/>
                  <w:vAlign w:val="center"/>
                </w:tcPr>
                <w:p w14:paraId="691D5FDD">
                  <w:pPr>
                    <w:spacing w:line="240" w:lineRule="auto"/>
                    <w:jc w:val="center"/>
                    <w:rPr>
                      <w:rFonts w:hint="default"/>
                      <w:color w:val="auto"/>
                      <w:szCs w:val="21"/>
                      <w:highlight w:val="none"/>
                      <w:lang w:val="en-US" w:eastAsia="zh-CN"/>
                    </w:rPr>
                  </w:pPr>
                  <w:r>
                    <w:rPr>
                      <w:rFonts w:hint="eastAsia"/>
                      <w:color w:val="auto"/>
                      <w:szCs w:val="21"/>
                      <w:highlight w:val="none"/>
                      <w:lang w:val="en-US" w:eastAsia="zh-CN"/>
                    </w:rPr>
                    <w:t>/</w:t>
                  </w:r>
                </w:p>
              </w:tc>
            </w:tr>
            <w:tr w14:paraId="5718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24" w:type="pct"/>
                  <w:noWrap w:val="0"/>
                  <w:vAlign w:val="center"/>
                </w:tcPr>
                <w:p w14:paraId="67F7D8A8">
                  <w:pPr>
                    <w:spacing w:line="240" w:lineRule="auto"/>
                    <w:jc w:val="center"/>
                    <w:rPr>
                      <w:color w:val="auto"/>
                      <w:szCs w:val="21"/>
                      <w:highlight w:val="none"/>
                    </w:rPr>
                  </w:pPr>
                  <w:r>
                    <w:rPr>
                      <w:rFonts w:hint="eastAsia"/>
                      <w:snapToGrid w:val="0"/>
                      <w:color w:val="auto"/>
                      <w:szCs w:val="21"/>
                      <w:highlight w:val="none"/>
                      <w:lang w:val="en-US" w:eastAsia="zh-CN"/>
                    </w:rPr>
                    <w:t>标准</w:t>
                  </w:r>
                  <w:r>
                    <w:rPr>
                      <w:snapToGrid w:val="0"/>
                      <w:color w:val="auto"/>
                      <w:szCs w:val="21"/>
                      <w:highlight w:val="none"/>
                    </w:rPr>
                    <w:t>限值</w:t>
                  </w:r>
                </w:p>
              </w:tc>
              <w:tc>
                <w:tcPr>
                  <w:tcW w:w="993" w:type="pct"/>
                  <w:noWrap w:val="0"/>
                  <w:vAlign w:val="center"/>
                </w:tcPr>
                <w:p w14:paraId="1BED632B">
                  <w:pPr>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300</w:t>
                  </w:r>
                </w:p>
              </w:tc>
              <w:tc>
                <w:tcPr>
                  <w:tcW w:w="783" w:type="pct"/>
                  <w:noWrap w:val="0"/>
                  <w:vAlign w:val="center"/>
                </w:tcPr>
                <w:p w14:paraId="4F184E15">
                  <w:pPr>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0.20</w:t>
                  </w:r>
                </w:p>
              </w:tc>
              <w:tc>
                <w:tcPr>
                  <w:tcW w:w="858" w:type="pct"/>
                  <w:noWrap w:val="0"/>
                  <w:vAlign w:val="center"/>
                </w:tcPr>
                <w:p w14:paraId="2B63FCB3">
                  <w:pPr>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0.01</w:t>
                  </w:r>
                </w:p>
              </w:tc>
              <w:tc>
                <w:tcPr>
                  <w:tcW w:w="1339" w:type="pct"/>
                  <w:noWrap w:val="0"/>
                  <w:vAlign w:val="center"/>
                </w:tcPr>
                <w:p w14:paraId="3E72BCAC">
                  <w:pPr>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6F54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24" w:type="pct"/>
                  <w:noWrap w:val="0"/>
                  <w:vAlign w:val="center"/>
                </w:tcPr>
                <w:p w14:paraId="705D27DD">
                  <w:pPr>
                    <w:spacing w:line="240" w:lineRule="auto"/>
                    <w:jc w:val="center"/>
                    <w:rPr>
                      <w:color w:val="auto"/>
                      <w:szCs w:val="21"/>
                      <w:highlight w:val="none"/>
                    </w:rPr>
                  </w:pPr>
                  <w:r>
                    <w:rPr>
                      <w:color w:val="auto"/>
                      <w:szCs w:val="21"/>
                      <w:highlight w:val="none"/>
                    </w:rPr>
                    <w:t>超标情况</w:t>
                  </w:r>
                </w:p>
              </w:tc>
              <w:tc>
                <w:tcPr>
                  <w:tcW w:w="993" w:type="pct"/>
                  <w:noWrap w:val="0"/>
                  <w:vAlign w:val="center"/>
                </w:tcPr>
                <w:p w14:paraId="4EF9E334">
                  <w:pPr>
                    <w:spacing w:line="240" w:lineRule="auto"/>
                    <w:jc w:val="center"/>
                    <w:rPr>
                      <w:color w:val="auto"/>
                      <w:szCs w:val="21"/>
                      <w:highlight w:val="none"/>
                    </w:rPr>
                  </w:pPr>
                  <w:r>
                    <w:rPr>
                      <w:color w:val="auto"/>
                      <w:szCs w:val="21"/>
                      <w:highlight w:val="none"/>
                    </w:rPr>
                    <w:t>达标</w:t>
                  </w:r>
                </w:p>
              </w:tc>
              <w:tc>
                <w:tcPr>
                  <w:tcW w:w="783" w:type="pct"/>
                  <w:noWrap w:val="0"/>
                  <w:vAlign w:val="center"/>
                </w:tcPr>
                <w:p w14:paraId="7E6FC2C7">
                  <w:pPr>
                    <w:spacing w:line="240" w:lineRule="auto"/>
                    <w:jc w:val="center"/>
                    <w:rPr>
                      <w:color w:val="auto"/>
                      <w:szCs w:val="21"/>
                      <w:highlight w:val="none"/>
                    </w:rPr>
                  </w:pPr>
                  <w:r>
                    <w:rPr>
                      <w:color w:val="auto"/>
                      <w:szCs w:val="21"/>
                      <w:highlight w:val="none"/>
                    </w:rPr>
                    <w:t>达标</w:t>
                  </w:r>
                </w:p>
              </w:tc>
              <w:tc>
                <w:tcPr>
                  <w:tcW w:w="858" w:type="pct"/>
                  <w:noWrap w:val="0"/>
                  <w:vAlign w:val="center"/>
                </w:tcPr>
                <w:p w14:paraId="65EE7712">
                  <w:pPr>
                    <w:spacing w:line="240" w:lineRule="auto"/>
                    <w:jc w:val="center"/>
                    <w:rPr>
                      <w:color w:val="auto"/>
                      <w:szCs w:val="21"/>
                      <w:highlight w:val="none"/>
                    </w:rPr>
                  </w:pPr>
                  <w:r>
                    <w:rPr>
                      <w:color w:val="auto"/>
                      <w:szCs w:val="21"/>
                      <w:highlight w:val="none"/>
                    </w:rPr>
                    <w:t>达标</w:t>
                  </w:r>
                </w:p>
              </w:tc>
              <w:tc>
                <w:tcPr>
                  <w:tcW w:w="1339" w:type="pct"/>
                  <w:noWrap w:val="0"/>
                  <w:vAlign w:val="center"/>
                </w:tcPr>
                <w:p w14:paraId="3EF36852">
                  <w:pPr>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bl>
          <w:p w14:paraId="0B2BAEFD">
            <w:pPr>
              <w:autoSpaceDE w:val="0"/>
              <w:autoSpaceDN w:val="0"/>
              <w:adjustRightInd w:val="0"/>
              <w:snapToGrid w:val="0"/>
              <w:spacing w:line="360" w:lineRule="auto"/>
              <w:ind w:firstLine="480"/>
              <w:rPr>
                <w:color w:val="auto"/>
                <w:sz w:val="24"/>
                <w:highlight w:val="none"/>
                <w:lang w:bidi="ar"/>
              </w:rPr>
            </w:pPr>
            <w:r>
              <w:rPr>
                <w:color w:val="auto"/>
                <w:sz w:val="24"/>
                <w:highlight w:val="none"/>
              </w:rPr>
              <w:t>由上表可知，评价区域大气环境中</w:t>
            </w:r>
            <w:r>
              <w:rPr>
                <w:rFonts w:hint="eastAsia"/>
                <w:color w:val="auto"/>
                <w:sz w:val="24"/>
                <w:highlight w:val="none"/>
                <w:lang w:val="en-US" w:eastAsia="zh-CN"/>
              </w:rPr>
              <w:t>总悬浮颗粒物、氨、硫化氢、臭气浓度</w:t>
            </w:r>
            <w:r>
              <w:rPr>
                <w:color w:val="auto"/>
                <w:sz w:val="24"/>
                <w:highlight w:val="none"/>
              </w:rPr>
              <w:t>符</w:t>
            </w:r>
            <w:r>
              <w:rPr>
                <w:color w:val="auto"/>
                <w:sz w:val="24"/>
                <w:szCs w:val="24"/>
                <w:highlight w:val="none"/>
              </w:rPr>
              <w:t>合</w:t>
            </w:r>
            <w:r>
              <w:rPr>
                <w:rFonts w:hint="default" w:ascii="Times New Roman" w:hAnsi="Times New Roman" w:eastAsia="宋体" w:cs="Times New Roman"/>
                <w:color w:val="auto"/>
                <w:kern w:val="0"/>
                <w:sz w:val="24"/>
                <w:szCs w:val="24"/>
                <w:highlight w:val="none"/>
              </w:rPr>
              <w:t>《环境影响评价技术导则 大气环境》</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HJ2.2-2018</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附录D</w:t>
            </w:r>
            <w:r>
              <w:rPr>
                <w:color w:val="auto"/>
                <w:sz w:val="24"/>
                <w:szCs w:val="24"/>
                <w:highlight w:val="none"/>
              </w:rPr>
              <w:t>中</w:t>
            </w:r>
            <w:r>
              <w:rPr>
                <w:color w:val="auto"/>
                <w:sz w:val="24"/>
                <w:highlight w:val="none"/>
              </w:rPr>
              <w:t>环境空气浓度限值</w:t>
            </w:r>
            <w:r>
              <w:rPr>
                <w:rFonts w:hint="eastAsia"/>
                <w:color w:val="auto"/>
                <w:sz w:val="24"/>
                <w:highlight w:val="none"/>
              </w:rPr>
              <w:t>，</w:t>
            </w:r>
            <w:r>
              <w:rPr>
                <w:color w:val="auto"/>
                <w:kern w:val="0"/>
                <w:sz w:val="24"/>
                <w:highlight w:val="none"/>
              </w:rPr>
              <w:t>区域大气环境质量良好，能达到环境质量标准的要求。</w:t>
            </w:r>
          </w:p>
          <w:p w14:paraId="4F327E0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b/>
                <w:bCs/>
                <w:color w:val="auto"/>
                <w:sz w:val="24"/>
                <w:highlight w:val="none"/>
              </w:rPr>
            </w:pPr>
            <w:r>
              <w:rPr>
                <w:b/>
                <w:bCs/>
                <w:color w:val="auto"/>
                <w:sz w:val="24"/>
                <w:highlight w:val="none"/>
              </w:rPr>
              <w:t>2、地表水环境质量</w:t>
            </w:r>
          </w:p>
          <w:p w14:paraId="60E077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rPr>
              <w:t>根据《环境影响评价技术导则 地表水环境》（HJ2.3-2018），本项目运营期生活污水</w:t>
            </w:r>
            <w:r>
              <w:rPr>
                <w:rFonts w:hint="eastAsia"/>
                <w:color w:val="auto"/>
                <w:sz w:val="24"/>
                <w:highlight w:val="none"/>
                <w:lang w:val="en-US" w:eastAsia="zh-CN"/>
              </w:rPr>
              <w:t>经市政下水管网</w:t>
            </w:r>
            <w:r>
              <w:rPr>
                <w:rFonts w:hint="eastAsia"/>
                <w:color w:val="auto"/>
                <w:sz w:val="24"/>
                <w:highlight w:val="none"/>
              </w:rPr>
              <w:t>排入</w:t>
            </w:r>
            <w:r>
              <w:rPr>
                <w:rFonts w:hint="eastAsia"/>
                <w:color w:val="auto"/>
                <w:sz w:val="24"/>
                <w:highlight w:val="none"/>
                <w:lang w:val="en-US" w:eastAsia="zh-CN"/>
              </w:rPr>
              <w:t>污水处理厂</w:t>
            </w:r>
            <w:r>
              <w:rPr>
                <w:rFonts w:hint="eastAsia"/>
                <w:color w:val="auto"/>
                <w:sz w:val="24"/>
                <w:highlight w:val="none"/>
              </w:rPr>
              <w:t>，评价等级为三级B，且本项目不与地表水直接接触，不开展区域污染源调查，故本次评价不对地表水环境影响进行定量评价。</w:t>
            </w:r>
          </w:p>
          <w:p w14:paraId="0277FE4A">
            <w:pPr>
              <w:adjustRightInd w:val="0"/>
              <w:snapToGrid w:val="0"/>
              <w:spacing w:line="360" w:lineRule="auto"/>
              <w:ind w:firstLine="482" w:firstLineChars="200"/>
              <w:jc w:val="left"/>
              <w:rPr>
                <w:b/>
                <w:bCs/>
                <w:color w:val="auto"/>
                <w:sz w:val="24"/>
                <w:highlight w:val="none"/>
              </w:rPr>
            </w:pPr>
            <w:r>
              <w:rPr>
                <w:b/>
                <w:bCs/>
                <w:color w:val="auto"/>
                <w:sz w:val="24"/>
                <w:highlight w:val="none"/>
              </w:rPr>
              <w:t>3、</w:t>
            </w:r>
            <w:r>
              <w:rPr>
                <w:rFonts w:hint="eastAsia"/>
                <w:b/>
                <w:bCs/>
                <w:color w:val="auto"/>
                <w:sz w:val="24"/>
                <w:highlight w:val="none"/>
                <w:lang w:val="en-US" w:eastAsia="zh-CN"/>
              </w:rPr>
              <w:t>声</w:t>
            </w:r>
            <w:r>
              <w:rPr>
                <w:b/>
                <w:bCs/>
                <w:color w:val="auto"/>
                <w:sz w:val="24"/>
                <w:highlight w:val="none"/>
              </w:rPr>
              <w:t>环境质量现状</w:t>
            </w:r>
          </w:p>
          <w:p w14:paraId="37EA454E">
            <w:pPr>
              <w:autoSpaceDE w:val="0"/>
              <w:autoSpaceDN w:val="0"/>
              <w:adjustRightInd w:val="0"/>
              <w:snapToGrid w:val="0"/>
              <w:spacing w:line="360" w:lineRule="auto"/>
              <w:ind w:firstLine="480"/>
              <w:rPr>
                <w:color w:val="auto"/>
                <w:sz w:val="24"/>
                <w:highlight w:val="none"/>
              </w:rPr>
            </w:pPr>
            <w:r>
              <w:rPr>
                <w:rFonts w:hint="eastAsia"/>
                <w:color w:val="auto"/>
                <w:sz w:val="24"/>
                <w:highlight w:val="none"/>
              </w:rPr>
              <w:t>依据《建设项目环境影响报告表编制技术指南（污染影响类）（试行）》：“厂界外周边50米范围内存在声环境保护目标的建设项目，应监测保护目标声环境质量现状并评价达标情况。”本项目厂界周边50米范围内不存在声环境保护目标，因此不进行声环境质量现状评价。</w:t>
            </w:r>
          </w:p>
          <w:p w14:paraId="621A6B45">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lang w:val="en-US" w:eastAsia="zh-CN"/>
              </w:rPr>
              <w:t>生态环境</w:t>
            </w:r>
            <w:r>
              <w:rPr>
                <w:b/>
                <w:bCs/>
                <w:color w:val="auto"/>
                <w:sz w:val="24"/>
                <w:highlight w:val="none"/>
              </w:rPr>
              <w:t>质量现状</w:t>
            </w:r>
          </w:p>
          <w:p w14:paraId="47BC3590">
            <w:pPr>
              <w:autoSpaceDE w:val="0"/>
              <w:autoSpaceDN w:val="0"/>
              <w:adjustRightInd w:val="0"/>
              <w:snapToGrid w:val="0"/>
              <w:spacing w:line="360" w:lineRule="auto"/>
              <w:ind w:firstLine="480"/>
              <w:rPr>
                <w:color w:val="auto"/>
                <w:sz w:val="24"/>
                <w:highlight w:val="none"/>
              </w:rPr>
            </w:pPr>
            <w:r>
              <w:rPr>
                <w:rFonts w:hint="eastAsia"/>
                <w:color w:val="auto"/>
                <w:sz w:val="24"/>
                <w:highlight w:val="none"/>
              </w:rPr>
              <w:t>本项目所在区域内由于人类频繁活动，生态系统以人工生态系统为主。经调查，本项目评价范围内不涉及任何级别的自然保护区、风景名胜区、森林公园、地质公园等生态敏感区，未发现重点保护植物和名木古树</w:t>
            </w:r>
            <w:r>
              <w:rPr>
                <w:rFonts w:hint="default" w:ascii="Times New Roman" w:hAnsi="Times New Roman" w:eastAsia="宋体" w:cs="Times New Roman"/>
                <w:color w:val="auto"/>
                <w:kern w:val="0"/>
                <w:sz w:val="24"/>
                <w:szCs w:val="24"/>
                <w:highlight w:val="none"/>
                <w:lang w:val="en-US" w:eastAsia="zh-CN" w:bidi="ar"/>
              </w:rPr>
              <w:t>。</w:t>
            </w:r>
          </w:p>
          <w:p w14:paraId="773CC1AA">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lang w:val="en-US" w:eastAsia="zh-CN"/>
              </w:rPr>
              <w:t>地下水、土壤环境</w:t>
            </w:r>
          </w:p>
          <w:p w14:paraId="51C2E784">
            <w:pPr>
              <w:autoSpaceDE w:val="0"/>
              <w:autoSpaceDN w:val="0"/>
              <w:adjustRightInd w:val="0"/>
              <w:snapToGrid w:val="0"/>
              <w:spacing w:line="360" w:lineRule="auto"/>
              <w:ind w:firstLine="480"/>
              <w:rPr>
                <w:rFonts w:hint="default" w:ascii="Times New Roman" w:hAnsi="Times New Roman" w:eastAsia="宋体" w:cs="Times New Roman"/>
                <w:color w:val="auto"/>
                <w:spacing w:val="6"/>
                <w:sz w:val="24"/>
                <w:highlight w:val="none"/>
                <w:lang w:eastAsia="zh-CN"/>
              </w:rPr>
            </w:pPr>
            <w:r>
              <w:rPr>
                <w:rFonts w:hint="eastAsia"/>
                <w:color w:val="auto"/>
                <w:sz w:val="24"/>
                <w:highlight w:val="none"/>
              </w:rPr>
              <w:t>本项目主要从事有机肥生产，主要工艺为搅拌、发酵、粉碎、筛分等，生产过程中可能造成影响的污染源主要是发酵区。本项目对生产车间地面进行硬化、防渗处理，按照防渗标准要求进行合理设计，建立防渗设施的检漏系统后，无污染土壤、地下水环境的途径，另外项目所在区域不涉及集中式饮用水源和其他特殊地下水资源保护区，无需开展土壤、地下水专项评价。因此不开展区域地下水、土壤环境质量现状调查。</w:t>
            </w:r>
          </w:p>
        </w:tc>
      </w:tr>
      <w:tr w14:paraId="2B3600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845" w:type="dxa"/>
            <w:noWrap w:val="0"/>
            <w:vAlign w:val="center"/>
          </w:tcPr>
          <w:p w14:paraId="66EA3497">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环境</w:t>
            </w:r>
          </w:p>
          <w:p w14:paraId="28EDC222">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保护</w:t>
            </w:r>
          </w:p>
          <w:p w14:paraId="1879BAE0">
            <w:pPr>
              <w:spacing w:line="360" w:lineRule="auto"/>
              <w:jc w:val="center"/>
              <w:rPr>
                <w:rFonts w:hint="default" w:ascii="Times New Roman" w:hAnsi="Times New Roman" w:eastAsia="宋体" w:cs="Times New Roman"/>
                <w:color w:val="auto"/>
                <w:spacing w:val="-1"/>
                <w:szCs w:val="21"/>
                <w:highlight w:val="none"/>
              </w:rPr>
            </w:pPr>
            <w:r>
              <w:rPr>
                <w:rFonts w:hint="default" w:ascii="Times New Roman" w:hAnsi="Times New Roman" w:eastAsia="宋体" w:cs="Times New Roman"/>
                <w:color w:val="auto"/>
                <w:spacing w:val="-1"/>
                <w:sz w:val="24"/>
                <w:highlight w:val="none"/>
              </w:rPr>
              <w:t>目标</w:t>
            </w:r>
          </w:p>
        </w:tc>
        <w:tc>
          <w:tcPr>
            <w:tcW w:w="8509" w:type="dxa"/>
            <w:noWrap w:val="0"/>
            <w:vAlign w:val="center"/>
          </w:tcPr>
          <w:p w14:paraId="09C3A52F">
            <w:pPr>
              <w:keepNext w:val="0"/>
              <w:keepLines w:val="0"/>
              <w:pageBreakBefore w:val="0"/>
              <w:widowControl w:val="0"/>
              <w:tabs>
                <w:tab w:val="left" w:pos="666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本项目环境保护目标如下：</w:t>
            </w:r>
          </w:p>
          <w:p w14:paraId="1ECC9C0B">
            <w:pPr>
              <w:keepNext w:val="0"/>
              <w:keepLines w:val="0"/>
              <w:pageBreakBefore w:val="0"/>
              <w:widowControl w:val="0"/>
              <w:tabs>
                <w:tab w:val="left" w:pos="666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（1）空气环境保护目标：</w:t>
            </w:r>
            <w:r>
              <w:rPr>
                <w:rFonts w:hint="default" w:ascii="Times New Roman" w:hAnsi="Times New Roman" w:cs="Times New Roman"/>
                <w:color w:val="auto"/>
                <w:sz w:val="24"/>
                <w:highlight w:val="none"/>
              </w:rPr>
              <w:t>本项目厂界外500m范围内无自然保护区、风景名胜区、文化区等</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无环境保护目标</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项目周围</w:t>
            </w:r>
            <w:r>
              <w:rPr>
                <w:rFonts w:hint="default" w:ascii="Times New Roman" w:hAnsi="Times New Roman" w:eastAsia="宋体" w:cs="Times New Roman"/>
                <w:color w:val="auto"/>
                <w:sz w:val="24"/>
                <w:highlight w:val="none"/>
              </w:rPr>
              <w:t>环境空气质量达到《环境空气质量标准》（GB 3095-2012）中的二级标准。保证区域环境空气质量控制在目前的级别，使其环境空气质量不因本项目的建设而下降。</w:t>
            </w:r>
          </w:p>
          <w:p w14:paraId="69BCB11A">
            <w:pPr>
              <w:keepNext w:val="0"/>
              <w:keepLines w:val="0"/>
              <w:pageBreakBefore w:val="0"/>
              <w:widowControl w:val="0"/>
              <w:tabs>
                <w:tab w:val="left" w:pos="666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水环境保护目标：根据项目主要的污染物特征和该区域的自然环境条件分析，保证不因项目运营而污染项目区域地下水环境。确保地下水控制在《地下水质量标准》（GB/T14848-2017）中的Ⅲ类标准。本项目厂界外500米范围内无地下水集中式饮用水水源和热水、矿泉水、温泉等特殊地下水资源。</w:t>
            </w:r>
          </w:p>
          <w:p w14:paraId="53C69A84">
            <w:pPr>
              <w:pStyle w:val="31"/>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（3）声环境保护目标：</w:t>
            </w:r>
            <w:r>
              <w:rPr>
                <w:rFonts w:hint="default" w:ascii="Times New Roman" w:hAnsi="Times New Roman" w:cs="Times New Roman"/>
                <w:color w:val="auto"/>
                <w:sz w:val="24"/>
                <w:highlight w:val="none"/>
                <w:lang w:val="en-US" w:eastAsia="zh-CN"/>
              </w:rPr>
              <w:t>本项目</w:t>
            </w:r>
            <w:r>
              <w:rPr>
                <w:rFonts w:hint="default" w:ascii="Times New Roman" w:hAnsi="Times New Roman" w:eastAsia="宋体" w:cs="Times New Roman"/>
                <w:bCs/>
                <w:color w:val="auto"/>
                <w:sz w:val="24"/>
                <w:szCs w:val="24"/>
                <w:highlight w:val="none"/>
                <w:lang w:val="en-US" w:eastAsia="zh-CN"/>
              </w:rPr>
              <w:t>周围50m无声环境保护目标</w:t>
            </w:r>
            <w:r>
              <w:rPr>
                <w:rFonts w:hint="default" w:ascii="Times New Roman" w:hAnsi="Times New Roman" w:cs="Times New Roman"/>
                <w:color w:val="auto"/>
                <w:sz w:val="24"/>
                <w:highlight w:val="none"/>
                <w:lang w:val="en-US" w:eastAsia="zh-CN"/>
              </w:rPr>
              <w:t>。经过隔声减震，</w:t>
            </w:r>
            <w:r>
              <w:rPr>
                <w:rFonts w:hint="default" w:ascii="Times New Roman" w:hAnsi="Times New Roman" w:eastAsia="宋体" w:cs="Times New Roman"/>
                <w:color w:val="auto"/>
                <w:sz w:val="24"/>
                <w:highlight w:val="none"/>
              </w:rPr>
              <w:t>保证不因项目建设造成区域声环境污染，满足《声环境质量标准》(GB3096-2008</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中的</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rPr>
              <w:t>类区标准。</w:t>
            </w:r>
          </w:p>
          <w:p w14:paraId="14B935E3">
            <w:pPr>
              <w:pStyle w:val="31"/>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jc w:val="left"/>
              <w:textAlignment w:val="auto"/>
              <w:rPr>
                <w:rFonts w:hint="eastAsia" w:ascii="Times New Roman" w:hAnsi="Times New Roman" w:eastAsia="宋体" w:cs="Times New Roman"/>
                <w:color w:val="auto"/>
                <w:spacing w:val="6"/>
                <w:sz w:val="24"/>
                <w:highlight w:val="none"/>
                <w:lang w:eastAsia="zh-CN"/>
              </w:rPr>
            </w:pPr>
            <w:r>
              <w:rPr>
                <w:rFonts w:hint="default" w:ascii="Times New Roman" w:hAnsi="Times New Roman" w:eastAsia="宋体" w:cs="Times New Roman"/>
                <w:color w:val="auto"/>
                <w:sz w:val="24"/>
                <w:highlight w:val="none"/>
              </w:rPr>
              <w:t>（4）</w:t>
            </w:r>
            <w:r>
              <w:rPr>
                <w:rFonts w:hint="eastAsia" w:ascii="Times New Roman" w:hAnsi="Times New Roman" w:eastAsia="宋体" w:cs="Times New Roman"/>
                <w:color w:val="auto"/>
                <w:sz w:val="24"/>
                <w:highlight w:val="none"/>
                <w:lang w:val="en-US" w:eastAsia="zh-CN"/>
              </w:rPr>
              <w:t>生态环境保护目标：</w:t>
            </w:r>
            <w:r>
              <w:rPr>
                <w:rFonts w:hint="eastAsia" w:ascii="Times New Roman" w:hAnsi="Times New Roman" w:eastAsia="宋体" w:cs="Times New Roman"/>
                <w:b w:val="0"/>
                <w:bCs w:val="0"/>
                <w:color w:val="auto"/>
                <w:kern w:val="2"/>
                <w:sz w:val="24"/>
                <w:szCs w:val="24"/>
                <w:highlight w:val="none"/>
              </w:rPr>
              <w:t>本项目为</w:t>
            </w:r>
            <w:r>
              <w:rPr>
                <w:rFonts w:hint="eastAsia" w:ascii="Times New Roman" w:hAnsi="Times New Roman" w:eastAsia="宋体" w:cs="Times New Roman"/>
                <w:b w:val="0"/>
                <w:bCs w:val="0"/>
                <w:color w:val="auto"/>
                <w:kern w:val="2"/>
                <w:sz w:val="24"/>
                <w:szCs w:val="24"/>
                <w:highlight w:val="none"/>
                <w:lang w:val="en-US" w:eastAsia="zh-CN"/>
              </w:rPr>
              <w:t>工业</w:t>
            </w:r>
            <w:r>
              <w:rPr>
                <w:rFonts w:hint="eastAsia" w:ascii="Times New Roman" w:hAnsi="Times New Roman" w:eastAsia="宋体" w:cs="Times New Roman"/>
                <w:b w:val="0"/>
                <w:bCs w:val="0"/>
                <w:color w:val="auto"/>
                <w:kern w:val="2"/>
                <w:sz w:val="24"/>
                <w:szCs w:val="24"/>
                <w:highlight w:val="none"/>
              </w:rPr>
              <w:t>用地，不涉及生态环境保护目标</w:t>
            </w:r>
            <w:r>
              <w:rPr>
                <w:rFonts w:hint="eastAsia" w:ascii="Times New Roman" w:hAnsi="Times New Roman" w:eastAsia="宋体" w:cs="Times New Roman"/>
                <w:b w:val="0"/>
                <w:bCs w:val="0"/>
                <w:color w:val="auto"/>
                <w:kern w:val="2"/>
                <w:sz w:val="24"/>
                <w:szCs w:val="24"/>
                <w:highlight w:val="none"/>
                <w:lang w:eastAsia="zh-CN"/>
              </w:rPr>
              <w:t>。</w:t>
            </w:r>
          </w:p>
        </w:tc>
      </w:tr>
      <w:tr w14:paraId="30B5C0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845" w:type="dxa"/>
            <w:noWrap w:val="0"/>
            <w:vAlign w:val="center"/>
          </w:tcPr>
          <w:p w14:paraId="188E69C3">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污染</w:t>
            </w:r>
          </w:p>
          <w:p w14:paraId="4A10B001">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物排</w:t>
            </w:r>
          </w:p>
          <w:p w14:paraId="0E826616">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放控</w:t>
            </w:r>
          </w:p>
          <w:p w14:paraId="411861FE">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制标</w:t>
            </w:r>
          </w:p>
          <w:p w14:paraId="2A82E39A">
            <w:pPr>
              <w:spacing w:line="360" w:lineRule="auto"/>
              <w:jc w:val="center"/>
              <w:rPr>
                <w:rFonts w:hint="default" w:ascii="Times New Roman" w:hAnsi="Times New Roman" w:eastAsia="宋体" w:cs="Times New Roman"/>
                <w:color w:val="auto"/>
                <w:spacing w:val="-1"/>
                <w:szCs w:val="21"/>
                <w:highlight w:val="none"/>
              </w:rPr>
            </w:pPr>
            <w:r>
              <w:rPr>
                <w:rFonts w:hint="default" w:ascii="Times New Roman" w:hAnsi="Times New Roman" w:eastAsia="宋体" w:cs="Times New Roman"/>
                <w:color w:val="auto"/>
                <w:spacing w:val="-1"/>
                <w:sz w:val="24"/>
                <w:highlight w:val="none"/>
              </w:rPr>
              <w:t>准</w:t>
            </w:r>
          </w:p>
        </w:tc>
        <w:tc>
          <w:tcPr>
            <w:tcW w:w="8509" w:type="dxa"/>
            <w:noWrap w:val="0"/>
            <w:vAlign w:val="center"/>
          </w:tcPr>
          <w:p w14:paraId="6DAEACC3">
            <w:pPr>
              <w:pStyle w:val="104"/>
              <w:adjustRightInd/>
              <w:spacing w:before="0"/>
              <w:ind w:firstLine="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Cs w:val="21"/>
                <w:highlight w:val="none"/>
              </w:rPr>
              <w:t>1</w:t>
            </w:r>
            <w:r>
              <w:rPr>
                <w:rFonts w:hint="default" w:ascii="Times New Roman" w:hAnsi="Times New Roman" w:eastAsia="宋体" w:cs="Times New Roman"/>
                <w:b/>
                <w:color w:val="auto"/>
                <w:sz w:val="24"/>
                <w:highlight w:val="none"/>
              </w:rPr>
              <w:t>.废气排放标准</w:t>
            </w:r>
          </w:p>
          <w:p w14:paraId="60A416F0">
            <w:pPr>
              <w:pStyle w:val="6"/>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color w:val="auto"/>
                <w:kern w:val="0"/>
                <w:sz w:val="24"/>
                <w:szCs w:val="24"/>
                <w:highlight w:val="none"/>
              </w:rPr>
              <w:t>本项目废气污染物主要为</w:t>
            </w:r>
            <w:r>
              <w:rPr>
                <w:rFonts w:hint="eastAsia"/>
                <w:color w:val="auto"/>
                <w:kern w:val="0"/>
                <w:sz w:val="24"/>
                <w:szCs w:val="24"/>
                <w:highlight w:val="none"/>
              </w:rPr>
              <w:t>颗粒物和</w:t>
            </w:r>
            <w:r>
              <w:rPr>
                <w:color w:val="auto"/>
                <w:sz w:val="24"/>
                <w:szCs w:val="24"/>
                <w:highlight w:val="none"/>
              </w:rPr>
              <w:t>NH</w:t>
            </w:r>
            <w:r>
              <w:rPr>
                <w:color w:val="auto"/>
                <w:sz w:val="24"/>
                <w:szCs w:val="24"/>
                <w:highlight w:val="none"/>
                <w:vertAlign w:val="subscript"/>
              </w:rPr>
              <w:t>3</w:t>
            </w:r>
            <w:r>
              <w:rPr>
                <w:rFonts w:hint="eastAsia"/>
                <w:color w:val="auto"/>
                <w:sz w:val="24"/>
                <w:szCs w:val="24"/>
                <w:highlight w:val="none"/>
              </w:rPr>
              <w:t>、硫化氢</w:t>
            </w:r>
            <w:r>
              <w:rPr>
                <w:color w:val="auto"/>
                <w:kern w:val="0"/>
                <w:sz w:val="24"/>
                <w:szCs w:val="24"/>
                <w:highlight w:val="none"/>
              </w:rPr>
              <w:t>，</w:t>
            </w:r>
            <w:r>
              <w:rPr>
                <w:color w:val="auto"/>
                <w:sz w:val="24"/>
                <w:szCs w:val="24"/>
                <w:highlight w:val="none"/>
              </w:rPr>
              <w:t>废气排放浓度执行《恶臭污染物排放标准》（GB14554-93）中的恶臭污染物厂界标准值及二级排放标准，粉尘执行《大气污染物综合排放标准》（GB16297-1996）表2中颗粒物有组织排放限值</w:t>
            </w:r>
            <w:r>
              <w:rPr>
                <w:color w:val="auto"/>
                <w:kern w:val="0"/>
                <w:sz w:val="24"/>
                <w:szCs w:val="24"/>
                <w:highlight w:val="none"/>
              </w:rPr>
              <w:t>。</w:t>
            </w:r>
            <w:r>
              <w:rPr>
                <w:rFonts w:hint="eastAsia"/>
                <w:color w:val="auto"/>
                <w:sz w:val="24"/>
                <w:szCs w:val="24"/>
                <w:highlight w:val="none"/>
                <w:lang w:val="en-US" w:eastAsia="zh-CN"/>
              </w:rPr>
              <w:t>生物质锅炉执行《锅炉大气污染物排放标准》（GB13271-2014）表2燃气锅炉排放标准。</w:t>
            </w:r>
          </w:p>
          <w:p w14:paraId="69147215">
            <w:pPr>
              <w:snapToGrid w:val="0"/>
              <w:ind w:firstLine="422"/>
              <w:jc w:val="center"/>
              <w:rPr>
                <w:b/>
                <w:snapToGrid w:val="0"/>
                <w:color w:val="auto"/>
                <w:kern w:val="0"/>
                <w:szCs w:val="21"/>
                <w:highlight w:val="none"/>
              </w:rPr>
            </w:pPr>
            <w:r>
              <w:rPr>
                <w:b/>
                <w:snapToGrid w:val="0"/>
                <w:color w:val="auto"/>
                <w:kern w:val="0"/>
                <w:szCs w:val="21"/>
                <w:highlight w:val="none"/>
              </w:rPr>
              <w:t>表</w:t>
            </w:r>
            <w:r>
              <w:rPr>
                <w:rFonts w:hint="eastAsia"/>
                <w:b/>
                <w:snapToGrid w:val="0"/>
                <w:color w:val="auto"/>
                <w:kern w:val="0"/>
                <w:szCs w:val="21"/>
                <w:highlight w:val="none"/>
              </w:rPr>
              <w:t>3-5</w:t>
            </w:r>
            <w:r>
              <w:rPr>
                <w:b/>
                <w:snapToGrid w:val="0"/>
                <w:color w:val="auto"/>
                <w:kern w:val="0"/>
                <w:szCs w:val="21"/>
                <w:highlight w:val="none"/>
              </w:rPr>
              <w:t>恶臭污染物排放标准值（GB14554-1993）</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784"/>
              <w:gridCol w:w="1784"/>
              <w:gridCol w:w="1786"/>
              <w:gridCol w:w="1786"/>
            </w:tblGrid>
            <w:tr w14:paraId="545E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88" w:type="pct"/>
                  <w:vMerge w:val="restart"/>
                  <w:noWrap w:val="0"/>
                  <w:vAlign w:val="center"/>
                </w:tcPr>
                <w:p w14:paraId="432DFB80">
                  <w:pPr>
                    <w:snapToGrid w:val="0"/>
                    <w:ind w:left="0" w:leftChars="0" w:right="0" w:rightChars="0" w:firstLine="0" w:firstLineChars="0"/>
                    <w:jc w:val="center"/>
                    <w:rPr>
                      <w:snapToGrid w:val="0"/>
                      <w:color w:val="auto"/>
                      <w:kern w:val="0"/>
                      <w:szCs w:val="21"/>
                      <w:highlight w:val="none"/>
                    </w:rPr>
                  </w:pPr>
                  <w:r>
                    <w:rPr>
                      <w:snapToGrid w:val="0"/>
                      <w:color w:val="auto"/>
                      <w:kern w:val="0"/>
                      <w:szCs w:val="21"/>
                      <w:highlight w:val="none"/>
                    </w:rPr>
                    <w:t>序号</w:t>
                  </w:r>
                </w:p>
              </w:tc>
              <w:tc>
                <w:tcPr>
                  <w:tcW w:w="1077" w:type="pct"/>
                  <w:vMerge w:val="restart"/>
                  <w:noWrap w:val="0"/>
                  <w:vAlign w:val="center"/>
                </w:tcPr>
                <w:p w14:paraId="4D000796">
                  <w:pPr>
                    <w:snapToGrid w:val="0"/>
                    <w:ind w:left="0" w:leftChars="0" w:right="0" w:rightChars="0" w:firstLine="0" w:firstLineChars="0"/>
                    <w:jc w:val="center"/>
                    <w:rPr>
                      <w:snapToGrid w:val="0"/>
                      <w:color w:val="auto"/>
                      <w:kern w:val="0"/>
                      <w:szCs w:val="21"/>
                      <w:highlight w:val="none"/>
                    </w:rPr>
                  </w:pPr>
                  <w:r>
                    <w:rPr>
                      <w:snapToGrid w:val="0"/>
                      <w:color w:val="auto"/>
                      <w:kern w:val="0"/>
                      <w:szCs w:val="21"/>
                      <w:highlight w:val="none"/>
                    </w:rPr>
                    <w:t>控制项目</w:t>
                  </w:r>
                </w:p>
              </w:tc>
              <w:tc>
                <w:tcPr>
                  <w:tcW w:w="2155" w:type="pct"/>
                  <w:gridSpan w:val="2"/>
                  <w:noWrap w:val="0"/>
                  <w:vAlign w:val="center"/>
                </w:tcPr>
                <w:p w14:paraId="6E533D4A">
                  <w:pPr>
                    <w:snapToGrid w:val="0"/>
                    <w:ind w:left="0" w:leftChars="0" w:right="0" w:rightChars="0" w:firstLine="0" w:firstLineChars="0"/>
                    <w:jc w:val="center"/>
                    <w:rPr>
                      <w:snapToGrid w:val="0"/>
                      <w:color w:val="auto"/>
                      <w:kern w:val="0"/>
                      <w:szCs w:val="21"/>
                      <w:highlight w:val="none"/>
                    </w:rPr>
                  </w:pPr>
                  <w:r>
                    <w:rPr>
                      <w:color w:val="auto"/>
                      <w:szCs w:val="21"/>
                      <w:highlight w:val="none"/>
                    </w:rPr>
                    <w:t>最高允许排放速率（kg/h）</w:t>
                  </w:r>
                </w:p>
              </w:tc>
              <w:tc>
                <w:tcPr>
                  <w:tcW w:w="1078" w:type="pct"/>
                  <w:vMerge w:val="restart"/>
                  <w:noWrap w:val="0"/>
                  <w:vAlign w:val="center"/>
                </w:tcPr>
                <w:p w14:paraId="0EE5BEAE">
                  <w:pPr>
                    <w:adjustRightInd w:val="0"/>
                    <w:snapToGrid w:val="0"/>
                    <w:ind w:left="0" w:leftChars="0" w:right="0" w:rightChars="0" w:firstLine="0" w:firstLineChars="0"/>
                    <w:jc w:val="center"/>
                    <w:rPr>
                      <w:snapToGrid w:val="0"/>
                      <w:color w:val="auto"/>
                      <w:kern w:val="0"/>
                      <w:szCs w:val="21"/>
                      <w:highlight w:val="none"/>
                    </w:rPr>
                  </w:pPr>
                  <w:r>
                    <w:rPr>
                      <w:color w:val="auto"/>
                      <w:szCs w:val="21"/>
                      <w:highlight w:val="none"/>
                    </w:rPr>
                    <w:t>无组织排放监控浓度限值mg/m</w:t>
                  </w:r>
                  <w:r>
                    <w:rPr>
                      <w:color w:val="auto"/>
                      <w:szCs w:val="21"/>
                      <w:highlight w:val="none"/>
                      <w:vertAlign w:val="superscript"/>
                    </w:rPr>
                    <w:t>3</w:t>
                  </w:r>
                </w:p>
              </w:tc>
            </w:tr>
            <w:tr w14:paraId="6914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88" w:type="pct"/>
                  <w:vMerge w:val="continue"/>
                  <w:noWrap w:val="0"/>
                  <w:vAlign w:val="center"/>
                </w:tcPr>
                <w:p w14:paraId="0A36F23D">
                  <w:pPr>
                    <w:snapToGrid w:val="0"/>
                    <w:ind w:left="0" w:leftChars="0" w:right="0" w:rightChars="0" w:firstLine="0" w:firstLineChars="0"/>
                    <w:jc w:val="center"/>
                    <w:rPr>
                      <w:snapToGrid w:val="0"/>
                      <w:color w:val="auto"/>
                      <w:kern w:val="0"/>
                      <w:szCs w:val="21"/>
                      <w:highlight w:val="none"/>
                    </w:rPr>
                  </w:pPr>
                </w:p>
              </w:tc>
              <w:tc>
                <w:tcPr>
                  <w:tcW w:w="1077" w:type="pct"/>
                  <w:vMerge w:val="continue"/>
                  <w:noWrap w:val="0"/>
                  <w:vAlign w:val="center"/>
                </w:tcPr>
                <w:p w14:paraId="585DBFBD">
                  <w:pPr>
                    <w:snapToGrid w:val="0"/>
                    <w:ind w:left="0" w:leftChars="0" w:right="0" w:rightChars="0" w:firstLine="0" w:firstLineChars="0"/>
                    <w:jc w:val="center"/>
                    <w:rPr>
                      <w:snapToGrid w:val="0"/>
                      <w:color w:val="auto"/>
                      <w:kern w:val="0"/>
                      <w:szCs w:val="21"/>
                      <w:highlight w:val="none"/>
                    </w:rPr>
                  </w:pPr>
                </w:p>
              </w:tc>
              <w:tc>
                <w:tcPr>
                  <w:tcW w:w="1077" w:type="pct"/>
                  <w:noWrap w:val="0"/>
                  <w:vAlign w:val="center"/>
                </w:tcPr>
                <w:p w14:paraId="4734C72D">
                  <w:pPr>
                    <w:snapToGrid w:val="0"/>
                    <w:ind w:left="0" w:leftChars="0" w:right="0" w:rightChars="0" w:firstLine="0" w:firstLineChars="0"/>
                    <w:jc w:val="center"/>
                    <w:rPr>
                      <w:snapToGrid w:val="0"/>
                      <w:color w:val="auto"/>
                      <w:kern w:val="0"/>
                      <w:szCs w:val="21"/>
                      <w:highlight w:val="none"/>
                    </w:rPr>
                  </w:pPr>
                  <w:r>
                    <w:rPr>
                      <w:snapToGrid w:val="0"/>
                      <w:color w:val="auto"/>
                      <w:kern w:val="0"/>
                      <w:szCs w:val="21"/>
                      <w:highlight w:val="none"/>
                    </w:rPr>
                    <w:t>排气筒高度，m</w:t>
                  </w:r>
                </w:p>
              </w:tc>
              <w:tc>
                <w:tcPr>
                  <w:tcW w:w="1078" w:type="pct"/>
                  <w:noWrap w:val="0"/>
                  <w:vAlign w:val="center"/>
                </w:tcPr>
                <w:p w14:paraId="2041BB5B">
                  <w:pPr>
                    <w:snapToGrid w:val="0"/>
                    <w:ind w:left="0" w:leftChars="0" w:right="0" w:rightChars="0" w:firstLine="0" w:firstLineChars="0"/>
                    <w:jc w:val="center"/>
                    <w:rPr>
                      <w:snapToGrid w:val="0"/>
                      <w:color w:val="auto"/>
                      <w:kern w:val="0"/>
                      <w:szCs w:val="21"/>
                      <w:highlight w:val="none"/>
                    </w:rPr>
                  </w:pPr>
                  <w:r>
                    <w:rPr>
                      <w:snapToGrid w:val="0"/>
                      <w:color w:val="auto"/>
                      <w:kern w:val="0"/>
                      <w:szCs w:val="21"/>
                      <w:highlight w:val="none"/>
                    </w:rPr>
                    <w:t>排放量，kg/h</w:t>
                  </w:r>
                </w:p>
              </w:tc>
              <w:tc>
                <w:tcPr>
                  <w:tcW w:w="1078" w:type="pct"/>
                  <w:vMerge w:val="continue"/>
                  <w:noWrap w:val="0"/>
                  <w:vAlign w:val="center"/>
                </w:tcPr>
                <w:p w14:paraId="0D745A1F">
                  <w:pPr>
                    <w:snapToGrid w:val="0"/>
                    <w:ind w:left="0" w:leftChars="0" w:right="0" w:rightChars="0" w:firstLine="0" w:firstLineChars="0"/>
                    <w:jc w:val="center"/>
                    <w:rPr>
                      <w:snapToGrid w:val="0"/>
                      <w:color w:val="auto"/>
                      <w:kern w:val="0"/>
                      <w:szCs w:val="21"/>
                      <w:highlight w:val="none"/>
                    </w:rPr>
                  </w:pPr>
                </w:p>
              </w:tc>
            </w:tr>
            <w:tr w14:paraId="1C90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pct"/>
                  <w:noWrap w:val="0"/>
                  <w:vAlign w:val="center"/>
                </w:tcPr>
                <w:p w14:paraId="79F17B01">
                  <w:pPr>
                    <w:snapToGrid w:val="0"/>
                    <w:ind w:left="0" w:leftChars="0" w:right="0" w:rightChars="0" w:firstLine="0" w:firstLineChars="0"/>
                    <w:jc w:val="center"/>
                    <w:rPr>
                      <w:rFonts w:hint="eastAsia"/>
                      <w:snapToGrid w:val="0"/>
                      <w:color w:val="auto"/>
                      <w:kern w:val="0"/>
                      <w:szCs w:val="21"/>
                      <w:highlight w:val="none"/>
                    </w:rPr>
                  </w:pPr>
                  <w:r>
                    <w:rPr>
                      <w:rFonts w:hint="eastAsia"/>
                      <w:snapToGrid w:val="0"/>
                      <w:color w:val="auto"/>
                      <w:kern w:val="0"/>
                      <w:szCs w:val="21"/>
                      <w:highlight w:val="none"/>
                    </w:rPr>
                    <w:t>1</w:t>
                  </w:r>
                </w:p>
              </w:tc>
              <w:tc>
                <w:tcPr>
                  <w:tcW w:w="1077" w:type="pct"/>
                  <w:noWrap w:val="0"/>
                  <w:vAlign w:val="center"/>
                </w:tcPr>
                <w:p w14:paraId="4FCEE5A0">
                  <w:pPr>
                    <w:snapToGrid w:val="0"/>
                    <w:ind w:left="0" w:leftChars="0" w:right="0" w:rightChars="0" w:firstLine="0" w:firstLineChars="0"/>
                    <w:jc w:val="center"/>
                    <w:rPr>
                      <w:rFonts w:hint="eastAsia"/>
                      <w:snapToGrid w:val="0"/>
                      <w:color w:val="auto"/>
                      <w:kern w:val="0"/>
                      <w:szCs w:val="21"/>
                      <w:highlight w:val="none"/>
                    </w:rPr>
                  </w:pPr>
                  <w:r>
                    <w:rPr>
                      <w:rFonts w:hint="eastAsia"/>
                      <w:snapToGrid w:val="0"/>
                      <w:color w:val="auto"/>
                      <w:kern w:val="0"/>
                      <w:szCs w:val="21"/>
                      <w:highlight w:val="none"/>
                    </w:rPr>
                    <w:t>氨</w:t>
                  </w:r>
                </w:p>
              </w:tc>
              <w:tc>
                <w:tcPr>
                  <w:tcW w:w="1077" w:type="pct"/>
                  <w:noWrap w:val="0"/>
                  <w:vAlign w:val="center"/>
                </w:tcPr>
                <w:p w14:paraId="3E7EEB69">
                  <w:pPr>
                    <w:snapToGrid w:val="0"/>
                    <w:ind w:left="0" w:leftChars="0" w:right="0" w:rightChars="0" w:firstLine="0" w:firstLineChars="0"/>
                    <w:jc w:val="center"/>
                    <w:rPr>
                      <w:snapToGrid w:val="0"/>
                      <w:color w:val="auto"/>
                      <w:kern w:val="0"/>
                      <w:szCs w:val="21"/>
                      <w:highlight w:val="none"/>
                    </w:rPr>
                  </w:pPr>
                  <w:r>
                    <w:rPr>
                      <w:rFonts w:hint="eastAsia"/>
                      <w:snapToGrid w:val="0"/>
                      <w:color w:val="auto"/>
                      <w:kern w:val="0"/>
                      <w:szCs w:val="21"/>
                      <w:highlight w:val="none"/>
                    </w:rPr>
                    <w:t>15</w:t>
                  </w:r>
                </w:p>
              </w:tc>
              <w:tc>
                <w:tcPr>
                  <w:tcW w:w="1078" w:type="pct"/>
                  <w:noWrap w:val="0"/>
                  <w:vAlign w:val="center"/>
                </w:tcPr>
                <w:p w14:paraId="120E9BBB">
                  <w:pPr>
                    <w:pStyle w:val="113"/>
                    <w:ind w:left="0" w:leftChars="0" w:right="0" w:rightChars="0" w:firstLine="0" w:firstLineChars="0"/>
                    <w:jc w:val="center"/>
                    <w:rPr>
                      <w:snapToGrid w:val="0"/>
                      <w:color w:val="auto"/>
                      <w:kern w:val="0"/>
                      <w:szCs w:val="21"/>
                      <w:highlight w:val="none"/>
                    </w:rPr>
                  </w:pPr>
                  <w:r>
                    <w:rPr>
                      <w:rFonts w:hint="eastAsia"/>
                      <w:color w:val="auto"/>
                      <w:szCs w:val="21"/>
                      <w:highlight w:val="none"/>
                    </w:rPr>
                    <w:t>4.9</w:t>
                  </w:r>
                </w:p>
              </w:tc>
              <w:tc>
                <w:tcPr>
                  <w:tcW w:w="1078" w:type="pct"/>
                  <w:noWrap w:val="0"/>
                  <w:vAlign w:val="center"/>
                </w:tcPr>
                <w:p w14:paraId="37B1221E">
                  <w:pPr>
                    <w:pStyle w:val="113"/>
                    <w:ind w:left="0" w:leftChars="0" w:right="0" w:rightChars="0" w:firstLine="0" w:firstLineChars="0"/>
                    <w:jc w:val="center"/>
                    <w:rPr>
                      <w:rFonts w:hint="eastAsia"/>
                      <w:color w:val="auto"/>
                      <w:szCs w:val="21"/>
                      <w:highlight w:val="none"/>
                    </w:rPr>
                  </w:pPr>
                  <w:r>
                    <w:rPr>
                      <w:color w:val="auto"/>
                      <w:szCs w:val="21"/>
                      <w:highlight w:val="none"/>
                    </w:rPr>
                    <w:t>1.5</w:t>
                  </w:r>
                </w:p>
              </w:tc>
            </w:tr>
            <w:tr w14:paraId="3898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pct"/>
                  <w:noWrap w:val="0"/>
                  <w:vAlign w:val="center"/>
                </w:tcPr>
                <w:p w14:paraId="61FB3683">
                  <w:pPr>
                    <w:snapToGrid w:val="0"/>
                    <w:ind w:left="0" w:leftChars="0" w:right="0" w:rightChars="0" w:firstLine="0" w:firstLineChars="0"/>
                    <w:jc w:val="center"/>
                    <w:rPr>
                      <w:rFonts w:hint="eastAsia"/>
                      <w:snapToGrid w:val="0"/>
                      <w:color w:val="auto"/>
                      <w:kern w:val="0"/>
                      <w:szCs w:val="21"/>
                      <w:highlight w:val="none"/>
                    </w:rPr>
                  </w:pPr>
                  <w:r>
                    <w:rPr>
                      <w:rFonts w:hint="eastAsia"/>
                      <w:snapToGrid w:val="0"/>
                      <w:color w:val="auto"/>
                      <w:kern w:val="0"/>
                      <w:szCs w:val="21"/>
                      <w:highlight w:val="none"/>
                    </w:rPr>
                    <w:t>2</w:t>
                  </w:r>
                </w:p>
              </w:tc>
              <w:tc>
                <w:tcPr>
                  <w:tcW w:w="1077" w:type="pct"/>
                  <w:noWrap w:val="0"/>
                  <w:vAlign w:val="center"/>
                </w:tcPr>
                <w:p w14:paraId="3E77421D">
                  <w:pPr>
                    <w:snapToGrid w:val="0"/>
                    <w:ind w:left="0" w:leftChars="0" w:right="0" w:rightChars="0" w:firstLine="0" w:firstLineChars="0"/>
                    <w:jc w:val="center"/>
                    <w:rPr>
                      <w:snapToGrid w:val="0"/>
                      <w:color w:val="auto"/>
                      <w:kern w:val="0"/>
                      <w:szCs w:val="21"/>
                      <w:highlight w:val="none"/>
                    </w:rPr>
                  </w:pPr>
                  <w:r>
                    <w:rPr>
                      <w:rFonts w:hint="eastAsia"/>
                      <w:color w:val="auto"/>
                      <w:szCs w:val="21"/>
                      <w:highlight w:val="none"/>
                    </w:rPr>
                    <w:t>硫化氢</w:t>
                  </w:r>
                </w:p>
              </w:tc>
              <w:tc>
                <w:tcPr>
                  <w:tcW w:w="1077" w:type="pct"/>
                  <w:noWrap w:val="0"/>
                  <w:vAlign w:val="center"/>
                </w:tcPr>
                <w:p w14:paraId="53875F61">
                  <w:pPr>
                    <w:snapToGrid w:val="0"/>
                    <w:ind w:left="0" w:leftChars="0" w:right="0" w:rightChars="0" w:firstLine="0" w:firstLineChars="0"/>
                    <w:jc w:val="center"/>
                    <w:rPr>
                      <w:snapToGrid w:val="0"/>
                      <w:color w:val="auto"/>
                      <w:kern w:val="0"/>
                      <w:szCs w:val="21"/>
                      <w:highlight w:val="none"/>
                    </w:rPr>
                  </w:pPr>
                  <w:r>
                    <w:rPr>
                      <w:rFonts w:hint="eastAsia"/>
                      <w:snapToGrid w:val="0"/>
                      <w:color w:val="auto"/>
                      <w:kern w:val="0"/>
                      <w:szCs w:val="21"/>
                      <w:highlight w:val="none"/>
                    </w:rPr>
                    <w:t>15</w:t>
                  </w:r>
                </w:p>
              </w:tc>
              <w:tc>
                <w:tcPr>
                  <w:tcW w:w="1078" w:type="pct"/>
                  <w:noWrap w:val="0"/>
                  <w:vAlign w:val="center"/>
                </w:tcPr>
                <w:p w14:paraId="4A9CF533">
                  <w:pPr>
                    <w:pStyle w:val="113"/>
                    <w:ind w:left="0" w:leftChars="0" w:right="0" w:rightChars="0" w:firstLine="0" w:firstLineChars="0"/>
                    <w:jc w:val="center"/>
                    <w:rPr>
                      <w:snapToGrid w:val="0"/>
                      <w:color w:val="auto"/>
                      <w:kern w:val="0"/>
                      <w:szCs w:val="21"/>
                      <w:highlight w:val="none"/>
                    </w:rPr>
                  </w:pPr>
                  <w:r>
                    <w:rPr>
                      <w:rFonts w:hint="eastAsia"/>
                      <w:color w:val="auto"/>
                      <w:szCs w:val="21"/>
                      <w:highlight w:val="none"/>
                    </w:rPr>
                    <w:t>0.33</w:t>
                  </w:r>
                </w:p>
              </w:tc>
              <w:tc>
                <w:tcPr>
                  <w:tcW w:w="1078" w:type="pct"/>
                  <w:noWrap w:val="0"/>
                  <w:vAlign w:val="center"/>
                </w:tcPr>
                <w:p w14:paraId="46AE6F59">
                  <w:pPr>
                    <w:pStyle w:val="113"/>
                    <w:ind w:left="0" w:leftChars="0" w:right="0" w:rightChars="0" w:firstLine="0" w:firstLineChars="0"/>
                    <w:jc w:val="center"/>
                    <w:rPr>
                      <w:rFonts w:hint="eastAsia"/>
                      <w:color w:val="auto"/>
                      <w:szCs w:val="21"/>
                      <w:highlight w:val="none"/>
                    </w:rPr>
                  </w:pPr>
                  <w:r>
                    <w:rPr>
                      <w:rFonts w:hint="eastAsia"/>
                      <w:color w:val="auto"/>
                      <w:szCs w:val="21"/>
                      <w:highlight w:val="none"/>
                    </w:rPr>
                    <w:t>0.1</w:t>
                  </w:r>
                </w:p>
              </w:tc>
            </w:tr>
            <w:tr w14:paraId="543E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pct"/>
                  <w:noWrap w:val="0"/>
                  <w:vAlign w:val="center"/>
                </w:tcPr>
                <w:p w14:paraId="0A8B9632">
                  <w:pPr>
                    <w:snapToGrid w:val="0"/>
                    <w:ind w:left="0" w:leftChars="0" w:right="0" w:rightChars="0" w:firstLine="0" w:firstLineChars="0"/>
                    <w:jc w:val="center"/>
                    <w:rPr>
                      <w:snapToGrid w:val="0"/>
                      <w:color w:val="auto"/>
                      <w:kern w:val="0"/>
                      <w:szCs w:val="21"/>
                      <w:highlight w:val="none"/>
                    </w:rPr>
                  </w:pPr>
                  <w:r>
                    <w:rPr>
                      <w:rFonts w:hint="eastAsia"/>
                      <w:snapToGrid w:val="0"/>
                      <w:color w:val="auto"/>
                      <w:kern w:val="0"/>
                      <w:szCs w:val="21"/>
                      <w:highlight w:val="none"/>
                    </w:rPr>
                    <w:t>3</w:t>
                  </w:r>
                </w:p>
              </w:tc>
              <w:tc>
                <w:tcPr>
                  <w:tcW w:w="1077" w:type="pct"/>
                  <w:noWrap w:val="0"/>
                  <w:vAlign w:val="center"/>
                </w:tcPr>
                <w:p w14:paraId="749A8CAB">
                  <w:pPr>
                    <w:adjustRightInd w:val="0"/>
                    <w:snapToGrid w:val="0"/>
                    <w:ind w:left="0" w:leftChars="0" w:right="0" w:rightChars="0" w:firstLine="0" w:firstLineChars="0"/>
                    <w:jc w:val="center"/>
                    <w:rPr>
                      <w:rFonts w:hint="eastAsia"/>
                      <w:color w:val="auto"/>
                      <w:szCs w:val="21"/>
                      <w:highlight w:val="none"/>
                    </w:rPr>
                  </w:pPr>
                  <w:r>
                    <w:rPr>
                      <w:rFonts w:hint="eastAsia"/>
                      <w:color w:val="auto"/>
                      <w:szCs w:val="21"/>
                      <w:highlight w:val="none"/>
                    </w:rPr>
                    <w:t>臭气浓度（无量纲）</w:t>
                  </w:r>
                </w:p>
              </w:tc>
              <w:tc>
                <w:tcPr>
                  <w:tcW w:w="1077" w:type="pct"/>
                  <w:noWrap w:val="0"/>
                  <w:vAlign w:val="center"/>
                </w:tcPr>
                <w:p w14:paraId="17B41638">
                  <w:pPr>
                    <w:snapToGrid w:val="0"/>
                    <w:ind w:left="0" w:leftChars="0" w:right="0" w:rightChars="0" w:firstLine="0" w:firstLineChars="0"/>
                    <w:jc w:val="center"/>
                    <w:rPr>
                      <w:snapToGrid w:val="0"/>
                      <w:color w:val="auto"/>
                      <w:kern w:val="0"/>
                      <w:szCs w:val="21"/>
                      <w:highlight w:val="none"/>
                    </w:rPr>
                  </w:pPr>
                  <w:r>
                    <w:rPr>
                      <w:rFonts w:hint="eastAsia"/>
                      <w:snapToGrid w:val="0"/>
                      <w:color w:val="auto"/>
                      <w:kern w:val="0"/>
                      <w:szCs w:val="21"/>
                      <w:highlight w:val="none"/>
                    </w:rPr>
                    <w:t>15</w:t>
                  </w:r>
                </w:p>
              </w:tc>
              <w:tc>
                <w:tcPr>
                  <w:tcW w:w="1078" w:type="pct"/>
                  <w:noWrap w:val="0"/>
                  <w:vAlign w:val="center"/>
                </w:tcPr>
                <w:p w14:paraId="501008EE">
                  <w:pPr>
                    <w:pStyle w:val="113"/>
                    <w:ind w:left="0" w:leftChars="0" w:right="0" w:rightChars="0" w:firstLine="0" w:firstLineChars="0"/>
                    <w:jc w:val="center"/>
                    <w:rPr>
                      <w:rFonts w:hint="eastAsia"/>
                      <w:color w:val="auto"/>
                      <w:szCs w:val="21"/>
                      <w:highlight w:val="none"/>
                    </w:rPr>
                  </w:pPr>
                  <w:r>
                    <w:rPr>
                      <w:rFonts w:hint="eastAsia"/>
                      <w:color w:val="auto"/>
                      <w:kern w:val="0"/>
                      <w:szCs w:val="21"/>
                      <w:highlight w:val="none"/>
                    </w:rPr>
                    <w:t>2000无量纲</w:t>
                  </w:r>
                </w:p>
              </w:tc>
              <w:tc>
                <w:tcPr>
                  <w:tcW w:w="1078" w:type="pct"/>
                  <w:noWrap w:val="0"/>
                  <w:vAlign w:val="center"/>
                </w:tcPr>
                <w:p w14:paraId="4E313C90">
                  <w:pPr>
                    <w:pStyle w:val="113"/>
                    <w:ind w:left="0" w:leftChars="0" w:right="0" w:rightChars="0" w:firstLine="0" w:firstLineChars="0"/>
                    <w:jc w:val="center"/>
                    <w:rPr>
                      <w:color w:val="auto"/>
                      <w:kern w:val="0"/>
                      <w:szCs w:val="21"/>
                      <w:highlight w:val="none"/>
                    </w:rPr>
                  </w:pPr>
                  <w:r>
                    <w:rPr>
                      <w:rFonts w:hint="eastAsia"/>
                      <w:color w:val="auto"/>
                      <w:kern w:val="0"/>
                      <w:szCs w:val="21"/>
                      <w:highlight w:val="none"/>
                    </w:rPr>
                    <w:t>20无量纲</w:t>
                  </w:r>
                </w:p>
              </w:tc>
            </w:tr>
          </w:tbl>
          <w:p w14:paraId="0989A1EB">
            <w:pPr>
              <w:snapToGrid w:val="0"/>
              <w:ind w:firstLine="422"/>
              <w:jc w:val="center"/>
              <w:rPr>
                <w:b/>
                <w:snapToGrid w:val="0"/>
                <w:color w:val="auto"/>
                <w:kern w:val="0"/>
                <w:szCs w:val="21"/>
                <w:highlight w:val="none"/>
              </w:rPr>
            </w:pPr>
            <w:r>
              <w:rPr>
                <w:b/>
                <w:snapToGrid w:val="0"/>
                <w:color w:val="auto"/>
                <w:kern w:val="0"/>
                <w:szCs w:val="21"/>
                <w:highlight w:val="none"/>
              </w:rPr>
              <w:t>表</w:t>
            </w:r>
            <w:r>
              <w:rPr>
                <w:rFonts w:hint="eastAsia"/>
                <w:b/>
                <w:snapToGrid w:val="0"/>
                <w:color w:val="auto"/>
                <w:kern w:val="0"/>
                <w:szCs w:val="21"/>
                <w:highlight w:val="none"/>
              </w:rPr>
              <w:t>3-6</w:t>
            </w:r>
            <w:r>
              <w:rPr>
                <w:b/>
                <w:snapToGrid w:val="0"/>
                <w:color w:val="auto"/>
                <w:kern w:val="0"/>
                <w:szCs w:val="21"/>
                <w:highlight w:val="none"/>
              </w:rPr>
              <w:t>大气污染物综合排放标准（GB16297-1996）</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495"/>
              <w:gridCol w:w="1950"/>
              <w:gridCol w:w="1398"/>
              <w:gridCol w:w="2421"/>
            </w:tblGrid>
            <w:tr w14:paraId="3917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13" w:type="pct"/>
                  <w:vMerge w:val="restart"/>
                  <w:noWrap w:val="0"/>
                  <w:vAlign w:val="center"/>
                </w:tcPr>
                <w:p w14:paraId="59EDBE9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污染物</w:t>
                  </w:r>
                </w:p>
              </w:tc>
              <w:tc>
                <w:tcPr>
                  <w:tcW w:w="902" w:type="pct"/>
                  <w:vMerge w:val="restart"/>
                  <w:noWrap w:val="0"/>
                  <w:vAlign w:val="center"/>
                </w:tcPr>
                <w:p w14:paraId="206D801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浓度mg/m</w:t>
                  </w:r>
                  <w:r>
                    <w:rPr>
                      <w:color w:val="auto"/>
                      <w:szCs w:val="21"/>
                      <w:highlight w:val="none"/>
                      <w:vertAlign w:val="superscript"/>
                    </w:rPr>
                    <w:t>3</w:t>
                  </w:r>
                </w:p>
              </w:tc>
              <w:tc>
                <w:tcPr>
                  <w:tcW w:w="2021" w:type="pct"/>
                  <w:gridSpan w:val="2"/>
                  <w:noWrap w:val="0"/>
                  <w:vAlign w:val="center"/>
                </w:tcPr>
                <w:p w14:paraId="542F7EA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最高允许排放速率（kg/h）</w:t>
                  </w:r>
                </w:p>
              </w:tc>
              <w:tc>
                <w:tcPr>
                  <w:tcW w:w="1461" w:type="pct"/>
                  <w:noWrap w:val="0"/>
                  <w:vAlign w:val="center"/>
                </w:tcPr>
                <w:p w14:paraId="1720DD0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无组织排放监控浓</w:t>
                  </w:r>
                </w:p>
                <w:p w14:paraId="724BE2F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度限值mg/m</w:t>
                  </w:r>
                  <w:r>
                    <w:rPr>
                      <w:color w:val="auto"/>
                      <w:szCs w:val="21"/>
                      <w:highlight w:val="none"/>
                      <w:vertAlign w:val="superscript"/>
                    </w:rPr>
                    <w:t>3</w:t>
                  </w:r>
                </w:p>
              </w:tc>
            </w:tr>
            <w:tr w14:paraId="2D3D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13" w:type="pct"/>
                  <w:vMerge w:val="continue"/>
                  <w:noWrap w:val="0"/>
                  <w:vAlign w:val="center"/>
                </w:tcPr>
                <w:p w14:paraId="2E87A98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p>
              </w:tc>
              <w:tc>
                <w:tcPr>
                  <w:tcW w:w="902" w:type="pct"/>
                  <w:vMerge w:val="continue"/>
                  <w:noWrap w:val="0"/>
                  <w:vAlign w:val="center"/>
                </w:tcPr>
                <w:p w14:paraId="58ECAF8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p>
              </w:tc>
              <w:tc>
                <w:tcPr>
                  <w:tcW w:w="1177" w:type="pct"/>
                  <w:noWrap w:val="0"/>
                  <w:vAlign w:val="center"/>
                </w:tcPr>
                <w:p w14:paraId="2603EEB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排气筒高度</w:t>
                  </w:r>
                </w:p>
              </w:tc>
              <w:tc>
                <w:tcPr>
                  <w:tcW w:w="844" w:type="pct"/>
                  <w:noWrap w:val="0"/>
                  <w:vAlign w:val="center"/>
                </w:tcPr>
                <w:p w14:paraId="18DE4A6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二级</w:t>
                  </w:r>
                </w:p>
              </w:tc>
              <w:tc>
                <w:tcPr>
                  <w:tcW w:w="1461" w:type="pct"/>
                  <w:noWrap w:val="0"/>
                  <w:vAlign w:val="center"/>
                </w:tcPr>
                <w:p w14:paraId="01434DE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周界外浓度最高点</w:t>
                  </w:r>
                </w:p>
              </w:tc>
            </w:tr>
            <w:tr w14:paraId="5945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13" w:type="pct"/>
                  <w:noWrap w:val="0"/>
                  <w:vAlign w:val="center"/>
                </w:tcPr>
                <w:p w14:paraId="216DFE3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颗粒物</w:t>
                  </w:r>
                </w:p>
              </w:tc>
              <w:tc>
                <w:tcPr>
                  <w:tcW w:w="902" w:type="pct"/>
                  <w:noWrap w:val="0"/>
                  <w:vAlign w:val="center"/>
                </w:tcPr>
                <w:p w14:paraId="04534DA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120</w:t>
                  </w:r>
                </w:p>
              </w:tc>
              <w:tc>
                <w:tcPr>
                  <w:tcW w:w="1177" w:type="pct"/>
                  <w:noWrap w:val="0"/>
                  <w:vAlign w:val="center"/>
                </w:tcPr>
                <w:p w14:paraId="28C016F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rFonts w:hint="eastAsia"/>
                      <w:color w:val="auto"/>
                      <w:szCs w:val="21"/>
                      <w:highlight w:val="none"/>
                    </w:rPr>
                    <w:t>15</w:t>
                  </w:r>
                </w:p>
              </w:tc>
              <w:tc>
                <w:tcPr>
                  <w:tcW w:w="844" w:type="pct"/>
                  <w:noWrap w:val="0"/>
                  <w:vAlign w:val="center"/>
                </w:tcPr>
                <w:p w14:paraId="274FDE1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3.5</w:t>
                  </w:r>
                </w:p>
              </w:tc>
              <w:tc>
                <w:tcPr>
                  <w:tcW w:w="1461" w:type="pct"/>
                  <w:noWrap w:val="0"/>
                  <w:vAlign w:val="center"/>
                </w:tcPr>
                <w:p w14:paraId="6DA1352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highlight w:val="none"/>
                    </w:rPr>
                  </w:pPr>
                  <w:r>
                    <w:rPr>
                      <w:color w:val="auto"/>
                      <w:szCs w:val="21"/>
                      <w:highlight w:val="none"/>
                    </w:rPr>
                    <w:t>1.0</w:t>
                  </w:r>
                </w:p>
              </w:tc>
            </w:tr>
          </w:tbl>
          <w:p w14:paraId="66513731">
            <w:pPr>
              <w:snapToGrid w:val="0"/>
              <w:ind w:firstLine="422"/>
              <w:jc w:val="center"/>
              <w:rPr>
                <w:rFonts w:eastAsia="黑体"/>
                <w:bCs/>
                <w:snapToGrid w:val="0"/>
                <w:color w:val="auto"/>
                <w:kern w:val="0"/>
                <w:sz w:val="24"/>
                <w:highlight w:val="none"/>
              </w:rPr>
            </w:pPr>
            <w:r>
              <w:rPr>
                <w:b/>
                <w:bCs/>
                <w:color w:val="auto"/>
                <w:szCs w:val="16"/>
                <w:highlight w:val="none"/>
              </w:rPr>
              <w:t>表3-</w:t>
            </w:r>
            <w:r>
              <w:rPr>
                <w:rFonts w:hint="eastAsia"/>
                <w:b/>
                <w:bCs/>
                <w:color w:val="auto"/>
                <w:szCs w:val="16"/>
                <w:highlight w:val="none"/>
                <w:lang w:val="en-US" w:eastAsia="zh-CN"/>
              </w:rPr>
              <w:t>7 《锅炉大气污染物排放标准》（GB13271-2014）</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1"/>
              <w:gridCol w:w="4899"/>
            </w:tblGrid>
            <w:tr w14:paraId="3CFF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41" w:type="pct"/>
                  <w:vMerge w:val="restart"/>
                  <w:noWrap w:val="0"/>
                  <w:vAlign w:val="center"/>
                </w:tcPr>
                <w:p w14:paraId="55C5FA22">
                  <w:pPr>
                    <w:adjustRightInd w:val="0"/>
                    <w:snapToGrid w:val="0"/>
                    <w:jc w:val="center"/>
                    <w:rPr>
                      <w:color w:val="auto"/>
                      <w:szCs w:val="21"/>
                      <w:highlight w:val="none"/>
                    </w:rPr>
                  </w:pPr>
                  <w:r>
                    <w:rPr>
                      <w:color w:val="auto"/>
                      <w:szCs w:val="21"/>
                      <w:highlight w:val="none"/>
                    </w:rPr>
                    <w:t>污染物</w:t>
                  </w:r>
                </w:p>
              </w:tc>
              <w:tc>
                <w:tcPr>
                  <w:tcW w:w="2958" w:type="pct"/>
                  <w:vMerge w:val="restart"/>
                  <w:noWrap w:val="0"/>
                  <w:vAlign w:val="center"/>
                </w:tcPr>
                <w:p w14:paraId="76EC6715">
                  <w:pPr>
                    <w:adjustRightInd w:val="0"/>
                    <w:snapToGrid w:val="0"/>
                    <w:ind w:firstLine="420"/>
                    <w:jc w:val="center"/>
                    <w:rPr>
                      <w:color w:val="auto"/>
                      <w:szCs w:val="21"/>
                      <w:highlight w:val="none"/>
                    </w:rPr>
                  </w:pPr>
                  <w:r>
                    <w:rPr>
                      <w:color w:val="auto"/>
                      <w:szCs w:val="21"/>
                      <w:highlight w:val="none"/>
                    </w:rPr>
                    <w:t>浓度mg/m</w:t>
                  </w:r>
                  <w:r>
                    <w:rPr>
                      <w:color w:val="auto"/>
                      <w:szCs w:val="21"/>
                      <w:highlight w:val="none"/>
                      <w:vertAlign w:val="superscript"/>
                    </w:rPr>
                    <w:t>3</w:t>
                  </w:r>
                </w:p>
              </w:tc>
            </w:tr>
            <w:tr w14:paraId="380E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41" w:type="pct"/>
                  <w:vMerge w:val="continue"/>
                  <w:noWrap w:val="0"/>
                  <w:vAlign w:val="center"/>
                </w:tcPr>
                <w:p w14:paraId="41762FA0">
                  <w:pPr>
                    <w:adjustRightInd w:val="0"/>
                    <w:snapToGrid w:val="0"/>
                    <w:ind w:firstLine="420"/>
                    <w:jc w:val="center"/>
                    <w:rPr>
                      <w:color w:val="auto"/>
                      <w:szCs w:val="21"/>
                      <w:highlight w:val="none"/>
                    </w:rPr>
                  </w:pPr>
                </w:p>
              </w:tc>
              <w:tc>
                <w:tcPr>
                  <w:tcW w:w="2958" w:type="pct"/>
                  <w:vMerge w:val="continue"/>
                  <w:noWrap w:val="0"/>
                  <w:vAlign w:val="center"/>
                </w:tcPr>
                <w:p w14:paraId="02B71D92">
                  <w:pPr>
                    <w:adjustRightInd w:val="0"/>
                    <w:snapToGrid w:val="0"/>
                    <w:ind w:firstLine="420"/>
                    <w:jc w:val="center"/>
                    <w:rPr>
                      <w:color w:val="auto"/>
                      <w:szCs w:val="21"/>
                      <w:highlight w:val="none"/>
                    </w:rPr>
                  </w:pPr>
                </w:p>
              </w:tc>
            </w:tr>
            <w:tr w14:paraId="0FF0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41" w:type="pct"/>
                  <w:noWrap w:val="0"/>
                  <w:vAlign w:val="center"/>
                </w:tcPr>
                <w:p w14:paraId="165C6210">
                  <w:pPr>
                    <w:adjustRightInd w:val="0"/>
                    <w:snapToGrid w:val="0"/>
                    <w:jc w:val="center"/>
                    <w:rPr>
                      <w:color w:val="auto"/>
                      <w:szCs w:val="21"/>
                      <w:highlight w:val="none"/>
                    </w:rPr>
                  </w:pPr>
                  <w:r>
                    <w:rPr>
                      <w:color w:val="auto"/>
                      <w:szCs w:val="21"/>
                      <w:highlight w:val="none"/>
                    </w:rPr>
                    <w:t>颗粒物</w:t>
                  </w:r>
                </w:p>
              </w:tc>
              <w:tc>
                <w:tcPr>
                  <w:tcW w:w="2958" w:type="pct"/>
                  <w:noWrap w:val="0"/>
                  <w:vAlign w:val="center"/>
                </w:tcPr>
                <w:p w14:paraId="6EB3D7FA">
                  <w:pPr>
                    <w:adjustRightInd w:val="0"/>
                    <w:snapToGrid w:val="0"/>
                    <w:jc w:val="center"/>
                    <w:rPr>
                      <w:rFonts w:hint="default"/>
                      <w:color w:val="auto"/>
                      <w:szCs w:val="21"/>
                      <w:highlight w:val="none"/>
                      <w:lang w:val="en-US"/>
                    </w:rPr>
                  </w:pPr>
                  <w:r>
                    <w:rPr>
                      <w:rFonts w:hint="eastAsia"/>
                      <w:color w:val="auto"/>
                      <w:szCs w:val="21"/>
                      <w:highlight w:val="none"/>
                      <w:lang w:val="en-US" w:eastAsia="zh-CN"/>
                    </w:rPr>
                    <w:t>20</w:t>
                  </w:r>
                </w:p>
              </w:tc>
            </w:tr>
            <w:tr w14:paraId="6F09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41" w:type="pct"/>
                  <w:noWrap w:val="0"/>
                  <w:vAlign w:val="center"/>
                </w:tcPr>
                <w:p w14:paraId="2CED40E6">
                  <w:pPr>
                    <w:adjustRightInd w:val="0"/>
                    <w:snapToGrid w:val="0"/>
                    <w:jc w:val="center"/>
                    <w:rPr>
                      <w:color w:val="auto"/>
                      <w:szCs w:val="21"/>
                      <w:highlight w:val="none"/>
                    </w:rPr>
                  </w:pPr>
                  <w:r>
                    <w:rPr>
                      <w:color w:val="auto"/>
                      <w:highlight w:val="none"/>
                    </w:rPr>
                    <w:t>二氧化硫</w:t>
                  </w:r>
                </w:p>
              </w:tc>
              <w:tc>
                <w:tcPr>
                  <w:tcW w:w="2958" w:type="pct"/>
                  <w:noWrap w:val="0"/>
                  <w:vAlign w:val="center"/>
                </w:tcPr>
                <w:p w14:paraId="65ACC889">
                  <w:pPr>
                    <w:adjustRightInd w:val="0"/>
                    <w:snapToGrid w:val="0"/>
                    <w:jc w:val="center"/>
                    <w:rPr>
                      <w:rFonts w:hint="default"/>
                      <w:color w:val="auto"/>
                      <w:szCs w:val="21"/>
                      <w:highlight w:val="none"/>
                      <w:lang w:val="en-US"/>
                    </w:rPr>
                  </w:pPr>
                  <w:r>
                    <w:rPr>
                      <w:rFonts w:hint="eastAsia"/>
                      <w:color w:val="auto"/>
                      <w:szCs w:val="21"/>
                      <w:highlight w:val="none"/>
                      <w:lang w:val="en-US" w:eastAsia="zh-CN"/>
                    </w:rPr>
                    <w:t>50</w:t>
                  </w:r>
                </w:p>
              </w:tc>
            </w:tr>
            <w:tr w14:paraId="27F9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41" w:type="pct"/>
                  <w:noWrap w:val="0"/>
                  <w:vAlign w:val="center"/>
                </w:tcPr>
                <w:p w14:paraId="1681352A">
                  <w:pPr>
                    <w:adjustRightInd w:val="0"/>
                    <w:snapToGrid w:val="0"/>
                    <w:jc w:val="center"/>
                    <w:rPr>
                      <w:color w:val="auto"/>
                      <w:szCs w:val="21"/>
                      <w:highlight w:val="none"/>
                    </w:rPr>
                  </w:pPr>
                  <w:r>
                    <w:rPr>
                      <w:color w:val="auto"/>
                      <w:highlight w:val="none"/>
                    </w:rPr>
                    <w:t>氮氧化物</w:t>
                  </w:r>
                </w:p>
              </w:tc>
              <w:tc>
                <w:tcPr>
                  <w:tcW w:w="2958" w:type="pct"/>
                  <w:noWrap w:val="0"/>
                  <w:vAlign w:val="center"/>
                </w:tcPr>
                <w:p w14:paraId="7E41DDE6">
                  <w:pPr>
                    <w:adjustRightInd w:val="0"/>
                    <w:snapToGrid w:val="0"/>
                    <w:jc w:val="center"/>
                    <w:rPr>
                      <w:rFonts w:hint="default"/>
                      <w:color w:val="auto"/>
                      <w:szCs w:val="21"/>
                      <w:highlight w:val="none"/>
                      <w:lang w:val="en-US"/>
                    </w:rPr>
                  </w:pPr>
                  <w:r>
                    <w:rPr>
                      <w:rFonts w:hint="eastAsia"/>
                      <w:color w:val="auto"/>
                      <w:szCs w:val="21"/>
                      <w:highlight w:val="none"/>
                      <w:lang w:val="en-US" w:eastAsia="zh-CN"/>
                    </w:rPr>
                    <w:t>200</w:t>
                  </w:r>
                </w:p>
              </w:tc>
            </w:tr>
            <w:tr w14:paraId="4688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2041" w:type="pct"/>
                  <w:noWrap w:val="0"/>
                  <w:vAlign w:val="center"/>
                </w:tcPr>
                <w:p w14:paraId="40B19D11">
                  <w:pPr>
                    <w:adjustRightInd w:val="0"/>
                    <w:snapToGrid w:val="0"/>
                    <w:jc w:val="center"/>
                    <w:rPr>
                      <w:color w:val="auto"/>
                      <w:highlight w:val="none"/>
                    </w:rPr>
                  </w:pPr>
                  <w:r>
                    <w:rPr>
                      <w:rFonts w:hint="eastAsia"/>
                      <w:color w:val="auto"/>
                      <w:highlight w:val="none"/>
                      <w:lang w:val="en-US" w:eastAsia="zh-CN"/>
                    </w:rPr>
                    <w:t>烟气黑度</w:t>
                  </w:r>
                </w:p>
              </w:tc>
              <w:tc>
                <w:tcPr>
                  <w:tcW w:w="2958" w:type="pct"/>
                  <w:noWrap w:val="0"/>
                  <w:vAlign w:val="center"/>
                </w:tcPr>
                <w:p w14:paraId="355999C0">
                  <w:pPr>
                    <w:adjustRightInd w:val="0"/>
                    <w:snapToGrid w:val="0"/>
                    <w:jc w:val="center"/>
                    <w:rPr>
                      <w:color w:val="auto"/>
                      <w:szCs w:val="21"/>
                      <w:highlight w:val="none"/>
                    </w:rPr>
                  </w:pPr>
                  <w:r>
                    <w:rPr>
                      <w:rFonts w:hint="eastAsia"/>
                      <w:color w:val="auto"/>
                      <w:szCs w:val="21"/>
                      <w:highlight w:val="none"/>
                      <w:lang w:val="en-US" w:eastAsia="zh-CN"/>
                    </w:rPr>
                    <w:t>≤1</w:t>
                  </w:r>
                </w:p>
              </w:tc>
            </w:tr>
          </w:tbl>
          <w:p w14:paraId="281E9143">
            <w:pPr>
              <w:pStyle w:val="104"/>
              <w:adjustRightInd/>
              <w:spacing w:before="0"/>
              <w:ind w:firstLine="0"/>
              <w:rPr>
                <w:rFonts w:hint="default" w:ascii="Times New Roman" w:hAnsi="Times New Roman" w:eastAsia="宋体" w:cs="Times New Roman"/>
                <w:b/>
                <w:color w:val="auto"/>
                <w:spacing w:val="22"/>
                <w:sz w:val="24"/>
                <w:highlight w:val="none"/>
              </w:rPr>
            </w:pPr>
            <w:r>
              <w:rPr>
                <w:rFonts w:hint="default" w:ascii="Times New Roman" w:hAnsi="Times New Roman" w:eastAsia="宋体" w:cs="Times New Roman"/>
                <w:b/>
                <w:color w:val="auto"/>
                <w:sz w:val="24"/>
                <w:highlight w:val="none"/>
              </w:rPr>
              <w:t>2.废水排放标准</w:t>
            </w:r>
            <w:r>
              <w:rPr>
                <w:rFonts w:hint="default" w:ascii="Times New Roman" w:hAnsi="Times New Roman" w:eastAsia="宋体" w:cs="Times New Roman"/>
                <w:b/>
                <w:color w:val="auto"/>
                <w:spacing w:val="22"/>
                <w:sz w:val="24"/>
                <w:highlight w:val="none"/>
              </w:rPr>
              <w:t>：</w:t>
            </w:r>
          </w:p>
          <w:p w14:paraId="489AD6C0">
            <w:pPr>
              <w:pStyle w:val="6"/>
              <w:spacing w:line="360" w:lineRule="auto"/>
              <w:ind w:firstLine="480" w:firstLineChars="200"/>
              <w:rPr>
                <w:rFonts w:hint="default" w:ascii="Times New Roman" w:hAnsi="Times New Roman" w:eastAsia="宋体" w:cs="Times New Roman"/>
                <w:color w:val="auto"/>
                <w:kern w:val="0"/>
                <w:sz w:val="24"/>
                <w:szCs w:val="24"/>
                <w:highlight w:val="none"/>
                <w:lang w:val="en-US"/>
              </w:rPr>
            </w:pPr>
            <w:r>
              <w:rPr>
                <w:rFonts w:hint="eastAsia" w:ascii="Times New Roman" w:hAnsi="Times New Roman" w:eastAsia="宋体" w:cs="Times New Roman"/>
                <w:color w:val="auto"/>
                <w:kern w:val="0"/>
                <w:sz w:val="24"/>
                <w:szCs w:val="24"/>
                <w:highlight w:val="none"/>
                <w:lang w:val="en-US" w:eastAsia="zh-CN"/>
              </w:rPr>
              <w:t>项目排放的生活废水pH值、COD、BOD、SS、动植物油排放</w:t>
            </w:r>
            <w:r>
              <w:rPr>
                <w:rFonts w:hint="default" w:ascii="Times New Roman" w:hAnsi="Times New Roman" w:eastAsia="宋体" w:cs="Times New Roman"/>
                <w:color w:val="auto"/>
                <w:kern w:val="0"/>
                <w:sz w:val="24"/>
                <w:szCs w:val="24"/>
                <w:highlight w:val="none"/>
              </w:rPr>
              <w:t>执行《污水综合排放标准》（GB8978-1996）中的三级标准</w:t>
            </w:r>
            <w:r>
              <w:rPr>
                <w:rFonts w:hint="default" w:ascii="Times New Roman" w:hAnsi="Times New Roman" w:eastAsia="宋体" w:cs="Times New Roman"/>
                <w:color w:val="auto"/>
                <w:sz w:val="24"/>
                <w:szCs w:val="24"/>
                <w:highlight w:val="none"/>
              </w:rPr>
              <w:t>。</w:t>
            </w:r>
          </w:p>
          <w:p w14:paraId="3A61DFD0">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表3-</w:t>
            </w:r>
            <w:r>
              <w:rPr>
                <w:rFonts w:hint="eastAsia"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污水排放标准    单位：mg/L（pH值</w:t>
            </w:r>
            <w:r>
              <w:rPr>
                <w:rFonts w:hint="eastAsia" w:ascii="Times New Roman" w:hAnsi="Times New Roman" w:eastAsia="宋体" w:cs="Times New Roman"/>
                <w:b/>
                <w:bCs/>
                <w:color w:val="auto"/>
                <w:sz w:val="21"/>
                <w:szCs w:val="21"/>
                <w:highlight w:val="none"/>
                <w:lang w:val="en-US" w:eastAsia="zh-CN"/>
              </w:rPr>
              <w:t>无量纲</w:t>
            </w:r>
            <w:r>
              <w:rPr>
                <w:rFonts w:hint="default" w:ascii="Times New Roman" w:hAnsi="Times New Roman" w:eastAsia="宋体" w:cs="Times New Roman"/>
                <w:b/>
                <w:bCs/>
                <w:color w:val="auto"/>
                <w:sz w:val="21"/>
                <w:szCs w:val="21"/>
                <w:highlight w:val="none"/>
                <w:lang w:val="en-US" w:eastAsia="zh-CN"/>
              </w:rPr>
              <w:t>）</w:t>
            </w:r>
          </w:p>
          <w:tbl>
            <w:tblPr>
              <w:tblStyle w:val="33"/>
              <w:tblW w:w="825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1373"/>
              <w:gridCol w:w="1156"/>
              <w:gridCol w:w="1348"/>
              <w:gridCol w:w="1253"/>
              <w:gridCol w:w="913"/>
              <w:gridCol w:w="1196"/>
              <w:gridCol w:w="1020"/>
            </w:tblGrid>
            <w:tr w14:paraId="07A80B3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1373" w:type="dxa"/>
                  <w:noWrap w:val="0"/>
                  <w:vAlign w:val="center"/>
                </w:tcPr>
                <w:p w14:paraId="11672F41">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156" w:type="dxa"/>
                  <w:noWrap w:val="0"/>
                  <w:vAlign w:val="center"/>
                </w:tcPr>
                <w:p w14:paraId="355B7D88">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pH值</w:t>
                  </w:r>
                </w:p>
              </w:tc>
              <w:tc>
                <w:tcPr>
                  <w:tcW w:w="1348" w:type="dxa"/>
                  <w:noWrap w:val="0"/>
                  <w:vAlign w:val="center"/>
                </w:tcPr>
                <w:p w14:paraId="3C9B4F29">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1253" w:type="dxa"/>
                  <w:noWrap w:val="0"/>
                  <w:vAlign w:val="center"/>
                </w:tcPr>
                <w:p w14:paraId="178F8645">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913" w:type="dxa"/>
                  <w:noWrap w:val="0"/>
                  <w:vAlign w:val="center"/>
                </w:tcPr>
                <w:p w14:paraId="55D185A2">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1196" w:type="dxa"/>
                  <w:noWrap w:val="0"/>
                  <w:vAlign w:val="center"/>
                </w:tcPr>
                <w:p w14:paraId="74B54717">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动植物油</w:t>
                  </w:r>
                </w:p>
              </w:tc>
              <w:tc>
                <w:tcPr>
                  <w:tcW w:w="1020" w:type="dxa"/>
                  <w:noWrap w:val="0"/>
                  <w:vAlign w:val="center"/>
                </w:tcPr>
                <w:p w14:paraId="3079D76B">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r>
            <w:tr w14:paraId="63909B5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1373" w:type="dxa"/>
                  <w:noWrap w:val="0"/>
                  <w:vAlign w:val="center"/>
                </w:tcPr>
                <w:p w14:paraId="2AAE6E35">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三级标准</w:t>
                  </w:r>
                </w:p>
              </w:tc>
              <w:tc>
                <w:tcPr>
                  <w:tcW w:w="1156" w:type="dxa"/>
                  <w:noWrap w:val="0"/>
                  <w:vAlign w:val="center"/>
                </w:tcPr>
                <w:p w14:paraId="262C861F">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6～9</w:t>
                  </w:r>
                </w:p>
              </w:tc>
              <w:tc>
                <w:tcPr>
                  <w:tcW w:w="1348" w:type="dxa"/>
                  <w:noWrap w:val="0"/>
                  <w:vAlign w:val="center"/>
                </w:tcPr>
                <w:p w14:paraId="04365DA5">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500</w:t>
                  </w:r>
                </w:p>
              </w:tc>
              <w:tc>
                <w:tcPr>
                  <w:tcW w:w="1253" w:type="dxa"/>
                  <w:noWrap w:val="0"/>
                  <w:vAlign w:val="center"/>
                </w:tcPr>
                <w:p w14:paraId="53501DF7">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300</w:t>
                  </w:r>
                </w:p>
              </w:tc>
              <w:tc>
                <w:tcPr>
                  <w:tcW w:w="913" w:type="dxa"/>
                  <w:noWrap w:val="0"/>
                  <w:vAlign w:val="center"/>
                </w:tcPr>
                <w:p w14:paraId="74EC50A1">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400</w:t>
                  </w:r>
                </w:p>
              </w:tc>
              <w:tc>
                <w:tcPr>
                  <w:tcW w:w="1196" w:type="dxa"/>
                  <w:noWrap w:val="0"/>
                  <w:vAlign w:val="center"/>
                </w:tcPr>
                <w:p w14:paraId="6D6E5F6F">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100</w:t>
                  </w:r>
                </w:p>
              </w:tc>
              <w:tc>
                <w:tcPr>
                  <w:tcW w:w="1020" w:type="dxa"/>
                  <w:noWrap w:val="0"/>
                  <w:vAlign w:val="center"/>
                </w:tcPr>
                <w:p w14:paraId="7C2923B5">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bl>
          <w:p w14:paraId="0A4130DF">
            <w:pPr>
              <w:pStyle w:val="104"/>
              <w:adjustRightInd/>
              <w:spacing w:before="0"/>
              <w:ind w:firstLine="0"/>
              <w:rPr>
                <w:rFonts w:hint="default" w:ascii="Times New Roman" w:hAnsi="Times New Roman" w:eastAsia="宋体" w:cs="Times New Roman"/>
                <w:b/>
                <w:color w:val="auto"/>
                <w:spacing w:val="22"/>
                <w:sz w:val="24"/>
                <w:highlight w:val="none"/>
              </w:rPr>
            </w:pPr>
            <w:r>
              <w:rPr>
                <w:rFonts w:hint="default" w:ascii="Times New Roman" w:hAnsi="Times New Roman" w:eastAsia="宋体" w:cs="Times New Roman"/>
                <w:b/>
                <w:color w:val="auto"/>
                <w:sz w:val="24"/>
                <w:highlight w:val="none"/>
              </w:rPr>
              <w:t>3.噪声排放标准</w:t>
            </w:r>
            <w:r>
              <w:rPr>
                <w:rFonts w:hint="default" w:ascii="Times New Roman" w:hAnsi="Times New Roman" w:eastAsia="宋体" w:cs="Times New Roman"/>
                <w:b/>
                <w:color w:val="auto"/>
                <w:spacing w:val="22"/>
                <w:sz w:val="24"/>
                <w:highlight w:val="none"/>
              </w:rPr>
              <w:t>：</w:t>
            </w:r>
          </w:p>
          <w:p w14:paraId="632FC0BF">
            <w:pPr>
              <w:keepNext w:val="0"/>
              <w:keepLines w:val="0"/>
              <w:widowControl/>
              <w:numPr>
                <w:ilvl w:val="0"/>
                <w:numId w:val="0"/>
              </w:numPr>
              <w:suppressLineNumbers w:val="0"/>
              <w:spacing w:line="360" w:lineRule="auto"/>
              <w:ind w:leftChars="0"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项目四周边界噪声执行《工业企业厂界环境噪声排放标准》（GB12348-2008）中</w:t>
            </w:r>
            <w:r>
              <w:rPr>
                <w:rFonts w:hint="eastAsia"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类</w:t>
            </w:r>
            <w:r>
              <w:rPr>
                <w:rFonts w:hint="default" w:ascii="Times New Roman" w:hAnsi="Times New Roman" w:eastAsia="宋体" w:cs="Times New Roman"/>
                <w:color w:val="auto"/>
                <w:kern w:val="0"/>
                <w:sz w:val="24"/>
                <w:szCs w:val="24"/>
                <w:highlight w:val="none"/>
                <w:lang w:val="en-US" w:eastAsia="zh-CN" w:bidi="ar-SA"/>
              </w:rPr>
              <w:t xml:space="preserve">标准。 </w:t>
            </w:r>
          </w:p>
          <w:p w14:paraId="749796E5">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工业企业厂界环境噪声排放标准      单位：dB（A）</w:t>
            </w:r>
          </w:p>
          <w:tbl>
            <w:tblPr>
              <w:tblStyle w:val="33"/>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1180"/>
              <w:gridCol w:w="888"/>
              <w:gridCol w:w="870"/>
              <w:gridCol w:w="735"/>
              <w:gridCol w:w="4547"/>
            </w:tblGrid>
            <w:tr w14:paraId="04E4E2C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81" w:hRule="atLeast"/>
                <w:jc w:val="center"/>
              </w:trPr>
              <w:tc>
                <w:tcPr>
                  <w:tcW w:w="1180" w:type="dxa"/>
                  <w:noWrap w:val="0"/>
                  <w:vAlign w:val="center"/>
                </w:tcPr>
                <w:p w14:paraId="55BE1521">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位置</w:t>
                  </w:r>
                </w:p>
              </w:tc>
              <w:tc>
                <w:tcPr>
                  <w:tcW w:w="888" w:type="dxa"/>
                  <w:noWrap w:val="0"/>
                  <w:vAlign w:val="center"/>
                </w:tcPr>
                <w:p w14:paraId="79E238CE">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功能区</w:t>
                  </w:r>
                </w:p>
              </w:tc>
              <w:tc>
                <w:tcPr>
                  <w:tcW w:w="870" w:type="dxa"/>
                  <w:noWrap w:val="0"/>
                  <w:vAlign w:val="center"/>
                </w:tcPr>
                <w:p w14:paraId="2E269944">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735" w:type="dxa"/>
                  <w:noWrap w:val="0"/>
                  <w:vAlign w:val="center"/>
                </w:tcPr>
                <w:p w14:paraId="72DF9787">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c>
                <w:tcPr>
                  <w:tcW w:w="4547" w:type="dxa"/>
                  <w:noWrap w:val="0"/>
                  <w:vAlign w:val="center"/>
                </w:tcPr>
                <w:p w14:paraId="3DE5EFA7">
                  <w:pPr>
                    <w:pStyle w:val="104"/>
                    <w:adjustRightInd/>
                    <w:spacing w:before="0"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标准来源</w:t>
                  </w:r>
                </w:p>
              </w:tc>
            </w:tr>
            <w:tr w14:paraId="42C610C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312" w:hRule="atLeast"/>
                <w:jc w:val="center"/>
              </w:trPr>
              <w:tc>
                <w:tcPr>
                  <w:tcW w:w="1180" w:type="dxa"/>
                  <w:noWrap w:val="0"/>
                  <w:vAlign w:val="center"/>
                </w:tcPr>
                <w:p w14:paraId="4D538682">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厂界四周</w:t>
                  </w:r>
                </w:p>
              </w:tc>
              <w:tc>
                <w:tcPr>
                  <w:tcW w:w="888" w:type="dxa"/>
                  <w:noWrap w:val="0"/>
                  <w:vAlign w:val="center"/>
                </w:tcPr>
                <w:p w14:paraId="74AB457E">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类</w:t>
                  </w:r>
                </w:p>
              </w:tc>
              <w:tc>
                <w:tcPr>
                  <w:tcW w:w="870" w:type="dxa"/>
                  <w:noWrap w:val="0"/>
                  <w:vAlign w:val="center"/>
                </w:tcPr>
                <w:p w14:paraId="2110A071">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r>
                    <w:rPr>
                      <w:rFonts w:hint="eastAsia" w:ascii="Times New Roman" w:hAnsi="Times New Roman" w:cs="Times New Roman"/>
                      <w:b w:val="0"/>
                      <w:bCs w:val="0"/>
                      <w:color w:val="auto"/>
                      <w:sz w:val="21"/>
                      <w:szCs w:val="21"/>
                      <w:highlight w:val="none"/>
                      <w:lang w:val="en-US" w:eastAsia="zh-CN"/>
                    </w:rPr>
                    <w:t>5</w:t>
                  </w:r>
                </w:p>
              </w:tc>
              <w:tc>
                <w:tcPr>
                  <w:tcW w:w="735" w:type="dxa"/>
                  <w:noWrap w:val="0"/>
                  <w:vAlign w:val="center"/>
                </w:tcPr>
                <w:p w14:paraId="2BD7C7A6">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r>
                    <w:rPr>
                      <w:rFonts w:hint="eastAsia" w:ascii="Times New Roman" w:hAnsi="Times New Roman" w:cs="Times New Roman"/>
                      <w:b w:val="0"/>
                      <w:bCs w:val="0"/>
                      <w:color w:val="auto"/>
                      <w:sz w:val="21"/>
                      <w:szCs w:val="21"/>
                      <w:highlight w:val="none"/>
                      <w:lang w:val="en-US" w:eastAsia="zh-CN"/>
                    </w:rPr>
                    <w:t>5</w:t>
                  </w:r>
                </w:p>
              </w:tc>
              <w:tc>
                <w:tcPr>
                  <w:tcW w:w="4547" w:type="dxa"/>
                  <w:noWrap w:val="0"/>
                  <w:vAlign w:val="center"/>
                </w:tcPr>
                <w:p w14:paraId="37CF67B8">
                  <w:pPr>
                    <w:pStyle w:val="104"/>
                    <w:adjustRightInd/>
                    <w:spacing w:before="0" w:line="240" w:lineRule="auto"/>
                    <w:ind w:firstLine="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《工业企业厂界环境噪声排放标准》（GB12348-2008）</w:t>
                  </w:r>
                </w:p>
              </w:tc>
            </w:tr>
          </w:tbl>
          <w:p w14:paraId="5634D51A">
            <w:pPr>
              <w:widowControl/>
              <w:spacing w:line="360" w:lineRule="auto"/>
              <w:jc w:val="left"/>
              <w:rPr>
                <w:rFonts w:hint="default" w:ascii="Times New Roman" w:hAnsi="Times New Roman" w:eastAsia="宋体" w:cs="Times New Roman"/>
                <w:b/>
                <w:color w:val="auto"/>
                <w:kern w:val="0"/>
                <w:sz w:val="24"/>
                <w:highlight w:val="none"/>
                <w:lang w:bidi="ar"/>
              </w:rPr>
            </w:pPr>
            <w:r>
              <w:rPr>
                <w:rFonts w:hint="default" w:ascii="Times New Roman" w:hAnsi="Times New Roman" w:eastAsia="宋体" w:cs="Times New Roman"/>
                <w:b/>
                <w:bCs/>
                <w:color w:val="auto"/>
                <w:kern w:val="0"/>
                <w:sz w:val="24"/>
                <w:highlight w:val="none"/>
              </w:rPr>
              <w:t>4.固体废物存储、处置标准</w:t>
            </w:r>
            <w:r>
              <w:rPr>
                <w:rFonts w:hint="default" w:ascii="Times New Roman" w:hAnsi="Times New Roman" w:eastAsia="宋体" w:cs="Times New Roman"/>
                <w:b/>
                <w:color w:val="auto"/>
                <w:kern w:val="0"/>
                <w:sz w:val="24"/>
                <w:highlight w:val="none"/>
                <w:lang w:bidi="ar"/>
              </w:rPr>
              <w:t xml:space="preserve"> </w:t>
            </w:r>
          </w:p>
          <w:p w14:paraId="56D52409">
            <w:pPr>
              <w:pStyle w:val="104"/>
              <w:keepNext w:val="0"/>
              <w:keepLines w:val="0"/>
              <w:pageBreakBefore w:val="0"/>
              <w:kinsoku/>
              <w:wordWrap/>
              <w:overflowPunct/>
              <w:topLinePunct w:val="0"/>
              <w:autoSpaceDE/>
              <w:autoSpaceDN/>
              <w:bidi w:val="0"/>
              <w:adjustRightInd/>
              <w:snapToGrid/>
              <w:spacing w:before="0" w:beforeLines="0"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《一般工业固体废物贮存和填埋污染控制标准》（GB18599-2020）；</w:t>
            </w:r>
          </w:p>
          <w:p w14:paraId="22D081E2">
            <w:pPr>
              <w:pStyle w:val="104"/>
              <w:keepNext w:val="0"/>
              <w:keepLines w:val="0"/>
              <w:pageBreakBefore w:val="0"/>
              <w:kinsoku/>
              <w:wordWrap/>
              <w:overflowPunct/>
              <w:topLinePunct w:val="0"/>
              <w:autoSpaceDE/>
              <w:autoSpaceDN/>
              <w:bidi w:val="0"/>
              <w:adjustRightInd/>
              <w:snapToGrid/>
              <w:spacing w:before="0" w:beforeLines="0" w:line="360" w:lineRule="auto"/>
              <w:ind w:firstLine="480" w:firstLineChars="200"/>
              <w:rPr>
                <w:rFonts w:hint="default" w:ascii="Times New Roman" w:hAnsi="Times New Roman" w:eastAsia="宋体" w:cs="Times New Roman"/>
                <w:color w:val="auto"/>
                <w:spacing w:val="6"/>
                <w:sz w:val="24"/>
                <w:highlight w:val="none"/>
                <w:lang w:eastAsia="zh-CN"/>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bCs w:val="0"/>
                <w:color w:val="auto"/>
                <w:kern w:val="2"/>
                <w:sz w:val="24"/>
                <w:szCs w:val="24"/>
                <w:highlight w:val="none"/>
                <w:lang w:val="en-US" w:eastAsia="zh-CN" w:bidi="ar-SA"/>
              </w:rPr>
              <w:t>危险</w:t>
            </w:r>
            <w:r>
              <w:rPr>
                <w:rFonts w:hint="default" w:ascii="Times New Roman" w:hAnsi="Times New Roman" w:eastAsia="宋体" w:cs="Times New Roman"/>
                <w:color w:val="auto"/>
                <w:sz w:val="24"/>
                <w:highlight w:val="none"/>
              </w:rPr>
              <w:t>废物贮存污染控制标准》（</w:t>
            </w:r>
            <w:r>
              <w:rPr>
                <w:rFonts w:hint="default" w:ascii="Times New Roman" w:hAnsi="Times New Roman" w:eastAsia="宋体" w:cs="Times New Roman"/>
                <w:color w:val="auto"/>
                <w:sz w:val="24"/>
                <w:highlight w:val="none"/>
                <w:lang w:eastAsia="zh-CN"/>
              </w:rPr>
              <w:t>GB18597-2023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p>
        </w:tc>
      </w:tr>
      <w:tr w14:paraId="6748CF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845" w:type="dxa"/>
            <w:noWrap w:val="0"/>
            <w:vAlign w:val="center"/>
          </w:tcPr>
          <w:p w14:paraId="573B21B5">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总量</w:t>
            </w:r>
          </w:p>
          <w:p w14:paraId="21CC6A0C">
            <w:pPr>
              <w:spacing w:line="360" w:lineRule="auto"/>
              <w:jc w:val="center"/>
              <w:rPr>
                <w:rFonts w:hint="default" w:ascii="Times New Roman" w:hAnsi="Times New Roman" w:eastAsia="宋体" w:cs="Times New Roman"/>
                <w:color w:val="auto"/>
                <w:spacing w:val="-1"/>
                <w:sz w:val="24"/>
                <w:highlight w:val="none"/>
              </w:rPr>
            </w:pPr>
            <w:r>
              <w:rPr>
                <w:rFonts w:hint="default" w:ascii="Times New Roman" w:hAnsi="Times New Roman" w:eastAsia="宋体" w:cs="Times New Roman"/>
                <w:color w:val="auto"/>
                <w:spacing w:val="-1"/>
                <w:sz w:val="24"/>
                <w:highlight w:val="none"/>
              </w:rPr>
              <w:t>控制</w:t>
            </w:r>
          </w:p>
          <w:p w14:paraId="2081265B">
            <w:pPr>
              <w:spacing w:line="360" w:lineRule="auto"/>
              <w:jc w:val="center"/>
              <w:rPr>
                <w:rFonts w:hint="default" w:ascii="Times New Roman" w:hAnsi="Times New Roman" w:eastAsia="宋体" w:cs="Times New Roman"/>
                <w:color w:val="auto"/>
                <w:spacing w:val="-1"/>
                <w:szCs w:val="21"/>
                <w:highlight w:val="none"/>
              </w:rPr>
            </w:pPr>
            <w:r>
              <w:rPr>
                <w:rFonts w:hint="default" w:ascii="Times New Roman" w:hAnsi="Times New Roman" w:eastAsia="宋体" w:cs="Times New Roman"/>
                <w:color w:val="auto"/>
                <w:spacing w:val="-1"/>
                <w:sz w:val="24"/>
                <w:highlight w:val="none"/>
              </w:rPr>
              <w:t>指标</w:t>
            </w:r>
          </w:p>
        </w:tc>
        <w:tc>
          <w:tcPr>
            <w:tcW w:w="8509" w:type="dxa"/>
            <w:noWrap w:val="0"/>
            <w:vAlign w:val="center"/>
          </w:tcPr>
          <w:p w14:paraId="00FA49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color w:val="auto"/>
                <w:sz w:val="24"/>
                <w:szCs w:val="22"/>
                <w:highlight w:val="none"/>
              </w:rPr>
              <w:t>根据国家对污染物排放实行总量控制的有关规定及本项目特点，本项目涉及的总量控制因子</w:t>
            </w:r>
            <w:r>
              <w:rPr>
                <w:rFonts w:hint="eastAsia"/>
                <w:color w:val="auto"/>
                <w:sz w:val="24"/>
                <w:szCs w:val="22"/>
                <w:highlight w:val="none"/>
                <w:lang w:val="en-US" w:eastAsia="zh-CN"/>
              </w:rPr>
              <w:t>为</w:t>
            </w:r>
            <w:r>
              <w:rPr>
                <w:rFonts w:hint="default" w:ascii="Times New Roman" w:hAnsi="Times New Roman" w:eastAsia="宋体" w:cs="Times New Roman"/>
                <w:color w:val="auto"/>
                <w:sz w:val="24"/>
                <w:szCs w:val="24"/>
                <w:highlight w:val="none"/>
              </w:rPr>
              <w:t>氮氧化物</w:t>
            </w:r>
            <w:r>
              <w:rPr>
                <w:color w:val="auto"/>
                <w:sz w:val="24"/>
                <w:highlight w:val="none"/>
              </w:rPr>
              <w:t>。</w:t>
            </w:r>
          </w:p>
          <w:p w14:paraId="56CF327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pacing w:val="6"/>
                <w:sz w:val="24"/>
                <w:highlight w:val="none"/>
                <w:lang w:val="en-US"/>
              </w:rPr>
            </w:pP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总量控制指标为</w:t>
            </w:r>
            <w:r>
              <w:rPr>
                <w:rFonts w:hint="default" w:ascii="Times New Roman" w:hAnsi="Times New Roman" w:eastAsia="宋体" w:cs="Times New Roman"/>
                <w:color w:val="auto"/>
                <w:sz w:val="24"/>
                <w:szCs w:val="24"/>
                <w:highlight w:val="none"/>
              </w:rPr>
              <w:t>氮氧化物</w:t>
            </w:r>
            <w:r>
              <w:rPr>
                <w:rFonts w:hint="default" w:ascii="Times New Roman" w:hAnsi="Times New Roman" w:eastAsia="宋体" w:cs="Times New Roman"/>
                <w:b w:val="0"/>
                <w:bCs w:val="0"/>
                <w:color w:val="auto"/>
                <w:sz w:val="24"/>
                <w:highlight w:val="none"/>
                <w:lang w:val="en-US" w:eastAsia="zh-CN"/>
              </w:rPr>
              <w:t>0.223</w:t>
            </w:r>
            <w:r>
              <w:rPr>
                <w:rFonts w:hint="default" w:ascii="Times New Roman" w:hAnsi="Times New Roman" w:eastAsia="宋体" w:cs="Times New Roman"/>
                <w:color w:val="auto"/>
                <w:sz w:val="24"/>
                <w:szCs w:val="24"/>
                <w:highlight w:val="none"/>
              </w:rPr>
              <w:t>吨/年</w:t>
            </w:r>
            <w:r>
              <w:rPr>
                <w:rFonts w:hint="eastAsia" w:eastAsia="宋体"/>
                <w:color w:val="auto"/>
                <w:highlight w:val="none"/>
                <w:lang w:val="en-US" w:eastAsia="zh-CN"/>
              </w:rPr>
              <w:t>。</w:t>
            </w:r>
          </w:p>
        </w:tc>
      </w:tr>
    </w:tbl>
    <w:p w14:paraId="688D056B">
      <w:pPr>
        <w:rPr>
          <w:rFonts w:hint="default" w:ascii="Times New Roman" w:hAnsi="Times New Roman" w:eastAsia="黑体" w:cs="Times New Roman"/>
          <w:b/>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023C8E6">
      <w:pPr>
        <w:pStyle w:val="28"/>
        <w:widowControl/>
        <w:ind w:left="0" w:right="0"/>
        <w:jc w:val="center"/>
        <w:outlineLvl w:val="0"/>
        <w:rPr>
          <w:rStyle w:val="44"/>
          <w:rFonts w:hint="default" w:ascii="Times New Roman" w:hAnsi="Times New Roman" w:eastAsia="黑体" w:cs="Times New Roman"/>
          <w:color w:val="auto"/>
          <w:sz w:val="30"/>
          <w:szCs w:val="30"/>
          <w:highlight w:val="none"/>
          <w:lang w:bidi="ar-SA"/>
        </w:rPr>
      </w:pPr>
      <w:r>
        <w:rPr>
          <w:rStyle w:val="44"/>
          <w:rFonts w:hint="default" w:ascii="Times New Roman" w:hAnsi="Times New Roman" w:eastAsia="黑体" w:cs="Times New Roman"/>
          <w:color w:val="auto"/>
          <w:sz w:val="30"/>
          <w:szCs w:val="30"/>
          <w:highlight w:val="none"/>
          <w:lang w:bidi="ar-SA"/>
        </w:rPr>
        <w:t>四、主要环境影响和保护措施</w:t>
      </w:r>
    </w:p>
    <w:tbl>
      <w:tblPr>
        <w:tblStyle w:val="33"/>
        <w:tblW w:w="935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45"/>
        <w:gridCol w:w="8509"/>
      </w:tblGrid>
      <w:tr w14:paraId="58291A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845" w:type="dxa"/>
            <w:noWrap w:val="0"/>
            <w:vAlign w:val="center"/>
          </w:tcPr>
          <w:p w14:paraId="48C903C5">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施工</w:t>
            </w:r>
          </w:p>
          <w:p w14:paraId="0F9D56CB">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期环</w:t>
            </w:r>
          </w:p>
          <w:p w14:paraId="3195E0AC">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境保</w:t>
            </w:r>
          </w:p>
          <w:p w14:paraId="31B44573">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护措</w:t>
            </w:r>
          </w:p>
          <w:p w14:paraId="23E468AE">
            <w:pPr>
              <w:spacing w:line="360" w:lineRule="auto"/>
              <w:jc w:val="center"/>
              <w:rPr>
                <w:rFonts w:hint="default" w:ascii="Times New Roman" w:hAnsi="Times New Roman" w:cs="Times New Roman"/>
                <w:color w:val="auto"/>
                <w:spacing w:val="-1"/>
                <w:szCs w:val="21"/>
                <w:highlight w:val="none"/>
              </w:rPr>
            </w:pPr>
            <w:r>
              <w:rPr>
                <w:rFonts w:hint="default" w:ascii="Times New Roman" w:hAnsi="Times New Roman" w:cs="Times New Roman"/>
                <w:color w:val="auto"/>
                <w:spacing w:val="-1"/>
                <w:sz w:val="24"/>
                <w:highlight w:val="none"/>
              </w:rPr>
              <w:t>施</w:t>
            </w:r>
          </w:p>
        </w:tc>
        <w:tc>
          <w:tcPr>
            <w:tcW w:w="8509" w:type="dxa"/>
            <w:noWrap w:val="0"/>
            <w:vAlign w:val="center"/>
          </w:tcPr>
          <w:p w14:paraId="52647984">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1施工期大气污染防治措施</w:t>
            </w:r>
          </w:p>
          <w:p w14:paraId="0FE7B838">
            <w:pPr>
              <w:keepNext w:val="0"/>
              <w:keepLines w:val="0"/>
              <w:pageBreakBefore w:val="0"/>
              <w:widowControl w:val="0"/>
              <w:kinsoku/>
              <w:wordWrap/>
              <w:bidi w:val="0"/>
              <w:spacing w:line="360" w:lineRule="auto"/>
              <w:ind w:firstLine="480" w:firstLineChars="200"/>
              <w:jc w:val="both"/>
              <w:rPr>
                <w:rFonts w:hint="default"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施工期废气污染物主要是施工扬尘、汽车尾气等，主要采取以下污染防治措施：</w:t>
            </w:r>
          </w:p>
          <w:p w14:paraId="7517EB3D">
            <w:pPr>
              <w:keepNext w:val="0"/>
              <w:keepLines w:val="0"/>
              <w:pageBreakBefore w:val="0"/>
              <w:widowControl w:val="0"/>
              <w:kinsoku/>
              <w:wordWrap/>
              <w:bidi w:val="0"/>
              <w:spacing w:line="360" w:lineRule="auto"/>
              <w:ind w:firstLine="480" w:firstLineChars="200"/>
              <w:jc w:val="both"/>
              <w:rPr>
                <w:rFonts w:hint="default"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（1）施工单位应</w:t>
            </w:r>
            <w:r>
              <w:rPr>
                <w:rFonts w:ascii="Times New Roman" w:hAnsi="Times New Roman" w:eastAsia="宋体" w:cs="华文仿宋"/>
                <w:color w:val="auto"/>
                <w:kern w:val="2"/>
                <w:sz w:val="24"/>
                <w:szCs w:val="24"/>
                <w:highlight w:val="none"/>
                <w:lang w:val="en-US" w:eastAsia="zh-CN" w:bidi="ar-SA"/>
              </w:rPr>
              <w:t>严格实施建筑工地</w:t>
            </w:r>
            <w:r>
              <w:rPr>
                <w:rFonts w:ascii="宋体" w:hAnsi="宋体" w:eastAsia="宋体" w:cs="华文仿宋"/>
                <w:color w:val="auto"/>
                <w:kern w:val="2"/>
                <w:sz w:val="24"/>
                <w:szCs w:val="24"/>
                <w:highlight w:val="none"/>
                <w:lang w:val="en-US" w:eastAsia="zh-CN" w:bidi="ar-SA"/>
              </w:rPr>
              <w:t>“六个百分之百”</w:t>
            </w:r>
            <w:r>
              <w:rPr>
                <w:rFonts w:ascii="Times New Roman" w:hAnsi="Times New Roman" w:eastAsia="宋体" w:cs="华文仿宋"/>
                <w:color w:val="auto"/>
                <w:kern w:val="2"/>
                <w:sz w:val="24"/>
                <w:szCs w:val="24"/>
                <w:highlight w:val="none"/>
                <w:lang w:val="en-US" w:eastAsia="zh-CN" w:bidi="ar-SA"/>
              </w:rPr>
              <w:t>标准，即施工工地周边100%围挡；物料堆放100%覆盖；出入车辆100%冲洗；施工现场地面100%硬化；拆迁工地100%湿法作业；渣土车辆100%密闭运输。</w:t>
            </w:r>
          </w:p>
          <w:p w14:paraId="5B76F396">
            <w:pPr>
              <w:keepNext w:val="0"/>
              <w:keepLines w:val="0"/>
              <w:pageBreakBefore w:val="0"/>
              <w:widowControl w:val="0"/>
              <w:kinsoku/>
              <w:wordWrap/>
              <w:bidi w:val="0"/>
              <w:spacing w:line="360" w:lineRule="auto"/>
              <w:ind w:firstLine="480" w:firstLineChars="200"/>
              <w:jc w:val="both"/>
              <w:rPr>
                <w:rFonts w:hint="eastAsia"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2）物料运输车辆必须进行苫盖、密闭严实，苫布边缘至少要遮住槽帮上沿以下15cm，保证物料、渣土、垃圾等不露出；车辆应按照批准的路线和时间进行物料、渣土、垃圾的运输；车辆严禁超载，物料、渣土、垃圾等装载高度不得超过车辆槽帮上沿，运输路线应避开环境空气敏感目标，选择对周围环境影响最小的运输路线；运输车辆进厂后必须限速行驶，并对路面进行洒水降尘。</w:t>
            </w:r>
          </w:p>
          <w:p w14:paraId="6CD24D90">
            <w:pPr>
              <w:keepNext w:val="0"/>
              <w:keepLines w:val="0"/>
              <w:pageBreakBefore w:val="0"/>
              <w:widowControl w:val="0"/>
              <w:kinsoku/>
              <w:wordWrap/>
              <w:bidi w:val="0"/>
              <w:spacing w:line="360" w:lineRule="auto"/>
              <w:ind w:firstLine="480" w:firstLineChars="200"/>
              <w:jc w:val="both"/>
              <w:rPr>
                <w:rFonts w:hint="eastAsia"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（3）为减轻施工扬尘环境影响，环评要求本项目施工期采用商品混凝土，不得在项目区内设置混凝土搅拌站。</w:t>
            </w:r>
          </w:p>
          <w:p w14:paraId="38AAB984">
            <w:pPr>
              <w:keepNext w:val="0"/>
              <w:keepLines w:val="0"/>
              <w:pageBreakBefore w:val="0"/>
              <w:widowControl w:val="0"/>
              <w:kinsoku/>
              <w:wordWrap/>
              <w:bidi w:val="0"/>
              <w:spacing w:line="360" w:lineRule="auto"/>
              <w:ind w:firstLine="480" w:firstLineChars="200"/>
              <w:jc w:val="both"/>
              <w:rPr>
                <w:rFonts w:hint="eastAsia"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（4）堆场场地平整、沉淀池开挖等易起尘作业过程中，应辅以洒水压尘，尽量缩短起尘操作时间。禁止在风天进行土渣堆放作业，当出现风速过大或不利天气状况时应停止施工作业。</w:t>
            </w:r>
          </w:p>
          <w:p w14:paraId="12261ADB">
            <w:pPr>
              <w:keepNext w:val="0"/>
              <w:keepLines w:val="0"/>
              <w:pageBreakBefore w:val="0"/>
              <w:widowControl w:val="0"/>
              <w:kinsoku/>
              <w:wordWrap/>
              <w:bidi w:val="0"/>
              <w:spacing w:line="360" w:lineRule="auto"/>
              <w:ind w:firstLine="480" w:firstLineChars="200"/>
              <w:jc w:val="both"/>
              <w:rPr>
                <w:rFonts w:hint="eastAsia"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（5）渣土、建筑垃圾以及易起尘物料应集中分类堆存，临时堆放点应设置围挡，采用防尘网进行苫盖，并及时进行清运。</w:t>
            </w:r>
          </w:p>
          <w:p w14:paraId="1E183F03">
            <w:pPr>
              <w:keepNext w:val="0"/>
              <w:keepLines w:val="0"/>
              <w:pageBreakBefore w:val="0"/>
              <w:widowControl w:val="0"/>
              <w:kinsoku/>
              <w:wordWrap/>
              <w:bidi w:val="0"/>
              <w:spacing w:line="360" w:lineRule="auto"/>
              <w:ind w:firstLine="480" w:firstLineChars="200"/>
              <w:jc w:val="both"/>
              <w:rPr>
                <w:rFonts w:hint="eastAsia"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6）由于道路和扬尘量与车辆的行驶速度有关，速度越快，扬尘量越大。因此，在施工场地对施工车辆必须实施限速行驶，同时施工现场主要运输道路尽量采用硬化路面并进行洒水降尘；自卸车、垃圾运输车等运输车辆不允许超载，选择对周围环境影响较小的运输路线，定时对运输路线进行清扫，运输车辆出场时必须封闭，避免在运输过程中的抛洒现象。</w:t>
            </w:r>
          </w:p>
          <w:p w14:paraId="7CDB9750">
            <w:pPr>
              <w:keepNext w:val="0"/>
              <w:keepLines w:val="0"/>
              <w:pageBreakBefore w:val="0"/>
              <w:widowControl w:val="0"/>
              <w:kinsoku/>
              <w:wordWrap/>
              <w:bidi w:val="0"/>
              <w:spacing w:line="360" w:lineRule="auto"/>
              <w:ind w:firstLine="480" w:firstLineChars="200"/>
              <w:jc w:val="both"/>
              <w:rPr>
                <w:rFonts w:hint="default"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（7）大风天气下应立即停止施工，裸露的施工场地应采用防尘网进行苫盖。</w:t>
            </w:r>
          </w:p>
          <w:p w14:paraId="30BB69A4">
            <w:pPr>
              <w:keepNext w:val="0"/>
              <w:keepLines w:val="0"/>
              <w:pageBreakBefore w:val="0"/>
              <w:widowControl w:val="0"/>
              <w:kinsoku/>
              <w:wordWrap/>
              <w:bidi w:val="0"/>
              <w:spacing w:line="360" w:lineRule="auto"/>
              <w:ind w:firstLine="480" w:firstLineChars="200"/>
              <w:jc w:val="both"/>
              <w:rPr>
                <w:rFonts w:hint="default"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（8）施工材料装卸过程应控制落差，减少装卸料过程起尘，并在厂区内临时设置雾炮机进行降尘。</w:t>
            </w:r>
          </w:p>
          <w:p w14:paraId="67A5F4D3">
            <w:pPr>
              <w:keepNext w:val="0"/>
              <w:keepLines w:val="0"/>
              <w:pageBreakBefore w:val="0"/>
              <w:widowControl w:val="0"/>
              <w:kinsoku/>
              <w:wordWrap/>
              <w:bidi w:val="0"/>
              <w:spacing w:line="360" w:lineRule="auto"/>
              <w:ind w:firstLine="480" w:firstLineChars="200"/>
              <w:jc w:val="both"/>
              <w:rPr>
                <w:rFonts w:hint="eastAsia" w:ascii="Times New Roman" w:hAnsi="Times New Roman" w:eastAsia="宋体" w:cs="华文仿宋"/>
                <w:color w:val="auto"/>
                <w:kern w:val="2"/>
                <w:sz w:val="24"/>
                <w:szCs w:val="24"/>
                <w:highlight w:val="none"/>
                <w:lang w:val="en-US" w:eastAsia="zh-CN" w:bidi="ar-SA"/>
              </w:rPr>
            </w:pPr>
            <w:r>
              <w:rPr>
                <w:rFonts w:hint="eastAsia" w:ascii="Times New Roman" w:hAnsi="Times New Roman" w:eastAsia="宋体" w:cs="华文仿宋"/>
                <w:color w:val="auto"/>
                <w:kern w:val="2"/>
                <w:sz w:val="24"/>
                <w:szCs w:val="24"/>
                <w:highlight w:val="none"/>
                <w:lang w:val="en-US" w:eastAsia="zh-CN" w:bidi="ar-SA"/>
              </w:rPr>
              <w:t>（9）施工现场的施工管理由专人负责，并设定专门负责人定期对该区的施工扬尘污染防治措施以及环保管理进行检查和核实，严格按扬尘污染管理的有关规定和规范进行治理，尽量减少扬尘对环境的影响程度。</w:t>
            </w:r>
          </w:p>
          <w:p w14:paraId="1B5AE256">
            <w:pPr>
              <w:spacing w:line="360" w:lineRule="auto"/>
              <w:ind w:firstLine="480"/>
              <w:rPr>
                <w:rFonts w:hint="default" w:ascii="Times New Roman" w:hAnsi="Times New Roman" w:eastAsia="宋体" w:cs="Times New Roman"/>
                <w:b w:val="0"/>
                <w:bCs w:val="0"/>
                <w:color w:val="auto"/>
                <w:sz w:val="24"/>
                <w:highlight w:val="none"/>
              </w:rPr>
            </w:pPr>
            <w:r>
              <w:rPr>
                <w:rFonts w:hint="eastAsia" w:ascii="Times New Roman" w:hAnsi="Times New Roman" w:eastAsia="宋体" w:cs="华文仿宋"/>
                <w:color w:val="auto"/>
                <w:kern w:val="2"/>
                <w:sz w:val="24"/>
                <w:szCs w:val="24"/>
                <w:highlight w:val="none"/>
                <w:lang w:val="en-US" w:eastAsia="zh-CN" w:bidi="ar-SA"/>
              </w:rPr>
              <w:t>（10）选择环保型机械设备，运输车辆按规定方向进出，减少怠速行使，将尾气排放降到最低。施工单位在施工期内安排专人注意加强施工机械维护，确保机械设备正常运行，提高设备原料的利用率。</w:t>
            </w:r>
          </w:p>
          <w:p w14:paraId="230785A6">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2、施工期废水污染源防治措施</w:t>
            </w:r>
          </w:p>
          <w:p w14:paraId="0530B6A6">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生活污水：本项目施工人员20人，均不在项目区内食宿，依托周围企业生活区卫生间如厕，禁止随地大小便。</w:t>
            </w:r>
          </w:p>
          <w:p w14:paraId="6B5DD819">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施工废水：施工期间的生产用水主要为混凝土养护用水，地面喷洒水等。混凝土养护用水主要含有泥沙、不含有害物质和其他有机物。施工期废水产生量小，可自然蒸发，不会对周围环境造成不利影响。</w:t>
            </w:r>
          </w:p>
          <w:p w14:paraId="3C21C67C">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3、施工期噪声污染防治措施</w:t>
            </w:r>
          </w:p>
          <w:p w14:paraId="098B2ACC">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从声源上控制：建设单位与施工单位签订合同时，应要求其使用的主要机械设备为低噪声机械设备。同时在施工过程中施工单位应设专人对设备进行定期保养和维护，并负责对现场工作人员进行培训，严格按操作规范使用各类机械。</w:t>
            </w:r>
          </w:p>
          <w:p w14:paraId="79AE1782">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（2）合理安排施工时间：首先制订施工计划时，应尽可能避免大量高噪声设备同时施工。除此之外，高噪声施工时间尽量安排在日间，减少夜间施工量。中午（14∶00～16∶00）及夜间（0∶00～8∶00）禁止施工。</w:t>
            </w:r>
          </w:p>
          <w:p w14:paraId="70F5960B">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（3）合理布置施工现场。施工现场应合理布局，将施工中的固定噪声源相对集中摆放，闲置不用的设备立即关闭，降低施工噪声对周边声环境的影响。</w:t>
            </w:r>
          </w:p>
          <w:p w14:paraId="46084CBD">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（4）项目施工期间，在项目四周设临时隔声屏障，减少施工噪声对环境的影响。</w:t>
            </w:r>
          </w:p>
          <w:p w14:paraId="1D5AD4B8">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（5）车辆出入施工现场时应低速、禁鸣。</w:t>
            </w:r>
          </w:p>
          <w:p w14:paraId="18E76B33">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4、施工期固体废物污染防治措施</w:t>
            </w:r>
          </w:p>
          <w:p w14:paraId="07E08D17">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现场产生的固体废物以建筑垃圾为主。大量的建筑垃圾的堆放不仅影响项目区景观，而且还容易引起扬尘等环境问题，为避免这些问题的出现，对施工中产生的固体废物必须及时处理。施工期的建筑垃圾应及时外运，施工期产生的建筑垃圾和弃土收集后堆放于指定地点，由施工方统一清运至政府指定的场所处置。</w:t>
            </w:r>
          </w:p>
          <w:p w14:paraId="34B91995">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施工期的生活垃圾若不及时清理，在气温适宜的条件下会滋生蚊虫、产生恶臭、传播疾病。设置垃圾桶定点收集，日产日清，最终运往生活垃圾填埋场处置。</w:t>
            </w:r>
          </w:p>
          <w:p w14:paraId="60011441">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防治措施：</w:t>
            </w:r>
          </w:p>
          <w:p w14:paraId="64C292D5">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（1）本工程产生的弃土除部分用于回填和筑路外，大部分弃土可运至建筑垃圾场处理。在施工中要特别注意尽量避开雨天和大风天气施工，所产生的固体废弃物要妥善存放，避免对周边环境造成影响。</w:t>
            </w:r>
          </w:p>
          <w:p w14:paraId="6D00FA52">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（2）施工单位应设置垃圾桶定点收集，垃圾做到日产日清，采取以上措施后，对周围环境影响较小。</w:t>
            </w:r>
          </w:p>
          <w:p w14:paraId="17698F15">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5、施工期生态环境保护措施</w:t>
            </w:r>
          </w:p>
          <w:p w14:paraId="26506EFC">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间划定施工区域，强化施工管理，增强施工人员的环境保护意识，严格控制施工人员、施工机械的范围，严禁随意扩大扰动范围；缩小施工作业面和减少扰动面积；做好土石方平衡，降低工程开挖造成的水土流失；合理安排施工时间及工序，避开大风天气，弃土及时处置；施工中合理组织材料的拉运，合理安排施工进度，砂石料及时拉入现场，并尽快施工，避免堆放过程中沙土飞扬，影响区域环境质量；严格按照施工方案要求在指定地点堆放临时土石方；施工作业结束后，及时平整各类施工迹地，恢复原有地貌，防止新增水土流失。</w:t>
            </w:r>
          </w:p>
          <w:p w14:paraId="0AE8648A">
            <w:pPr>
              <w:spacing w:line="360" w:lineRule="auto"/>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6、施工期防沙治沙措施</w:t>
            </w:r>
          </w:p>
          <w:p w14:paraId="0615F88E">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场地平整作业时会产生土石方，产生的土石方全部用于铺垫场地，项目建设过程中对原地貌的扰动将降低项目占地范围内的土壤抗侵蚀能力，造成土地沙化；此外，由于项目地处内陆地区，风沙较大，空气干燥，若项目场地平整过程中未采取防尘网苫盖、洒水抑尘等措施，地表沙化的土壤及废土、废渣遇大风天气易产生严重的扬尘，形成沙尘天气。</w:t>
            </w:r>
          </w:p>
          <w:p w14:paraId="25ED9164">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针对场地施工过程，提出如下措施：①项目施工严格控制在厂区内；②场地平整后，采取砾石压盖；③施工土方全部用于场地平整，严禁随意堆置；④遇到干燥、易起尘的土方工程作业时，应辅以洒水压尘，尽量缩短起尘操作时间，遇到四级及四级以上大风天气，应停止土方作业，同时作业处覆以防尘网。</w:t>
            </w:r>
          </w:p>
          <w:p w14:paraId="41198DAF">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针对施工机械及运输车辆，提出如下措施：施工期间应划定施工活动范围，严格控制和管理运输车辆的运行线路和范围，充分利用区域现有道路，施工机械和车辆应严格按照规定路线行驶，禁止随意开辟道路，以防破坏土壤和植被，加剧土地沙化。</w:t>
            </w:r>
          </w:p>
        </w:tc>
      </w:tr>
      <w:tr w14:paraId="7226B7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45" w:type="dxa"/>
            <w:noWrap w:val="0"/>
            <w:vAlign w:val="center"/>
          </w:tcPr>
          <w:p w14:paraId="77BC3A7D">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运营</w:t>
            </w:r>
          </w:p>
          <w:p w14:paraId="75031E7D">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期环</w:t>
            </w:r>
          </w:p>
          <w:p w14:paraId="035886C3">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境影</w:t>
            </w:r>
          </w:p>
          <w:p w14:paraId="495B79BC">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响和</w:t>
            </w:r>
          </w:p>
          <w:p w14:paraId="336077DF">
            <w:pPr>
              <w:spacing w:line="360" w:lineRule="auto"/>
              <w:jc w:val="center"/>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保护</w:t>
            </w:r>
          </w:p>
          <w:p w14:paraId="13B6FA79">
            <w:pPr>
              <w:spacing w:line="360" w:lineRule="auto"/>
              <w:jc w:val="center"/>
              <w:rPr>
                <w:rFonts w:hint="default" w:ascii="Times New Roman" w:hAnsi="Times New Roman" w:cs="Times New Roman"/>
                <w:color w:val="auto"/>
                <w:spacing w:val="-1"/>
                <w:szCs w:val="21"/>
                <w:highlight w:val="none"/>
              </w:rPr>
            </w:pPr>
            <w:r>
              <w:rPr>
                <w:rFonts w:hint="default" w:ascii="Times New Roman" w:hAnsi="Times New Roman" w:cs="Times New Roman"/>
                <w:color w:val="auto"/>
                <w:spacing w:val="-1"/>
                <w:sz w:val="24"/>
                <w:highlight w:val="none"/>
              </w:rPr>
              <w:t>措施</w:t>
            </w:r>
          </w:p>
        </w:tc>
        <w:tc>
          <w:tcPr>
            <w:tcW w:w="8509" w:type="dxa"/>
            <w:noWrap w:val="0"/>
            <w:vAlign w:val="center"/>
          </w:tcPr>
          <w:p w14:paraId="6A926417">
            <w:pPr>
              <w:pStyle w:val="101"/>
              <w:spacing w:line="360" w:lineRule="auto"/>
              <w:ind w:left="0" w:firstLine="0"/>
              <w:rPr>
                <w:rFonts w:hint="default" w:ascii="Times New Roman" w:hAnsi="Times New Roman" w:cs="Times New Roman"/>
                <w:b/>
                <w:bCs/>
                <w:color w:val="auto"/>
                <w:highlight w:val="none"/>
              </w:rPr>
            </w:pPr>
            <w:r>
              <w:rPr>
                <w:rFonts w:hint="default" w:ascii="Times New Roman" w:hAnsi="Times New Roman" w:cs="Times New Roman"/>
                <w:b/>
                <w:bCs/>
                <w:color w:val="auto"/>
                <w:szCs w:val="24"/>
                <w:highlight w:val="none"/>
              </w:rPr>
              <w:t>1.运营期环境空气影响分析</w:t>
            </w:r>
            <w:r>
              <w:rPr>
                <w:rFonts w:hint="default" w:ascii="Times New Roman" w:hAnsi="Times New Roman" w:cs="Times New Roman"/>
                <w:b/>
                <w:bCs/>
                <w:color w:val="auto"/>
                <w:highlight w:val="none"/>
              </w:rPr>
              <w:t>和污染防治措施</w:t>
            </w:r>
          </w:p>
          <w:p w14:paraId="49A59536">
            <w:pPr>
              <w:pStyle w:val="24"/>
              <w:spacing w:line="480" w:lineRule="exact"/>
              <w:ind w:left="0" w:firstLine="0" w:firstLineChars="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 xml:space="preserve">1.1 </w:t>
            </w:r>
            <w:r>
              <w:rPr>
                <w:rFonts w:hint="eastAsia" w:cs="Times New Roman"/>
                <w:b/>
                <w:bCs/>
                <w:color w:val="auto"/>
                <w:sz w:val="24"/>
                <w:highlight w:val="none"/>
                <w:lang w:val="en-US" w:eastAsia="zh-CN"/>
              </w:rPr>
              <w:t>生物质锅炉烟气</w:t>
            </w:r>
          </w:p>
          <w:p w14:paraId="2C842AF9">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本项目新建一座</w:t>
            </w:r>
            <w:r>
              <w:rPr>
                <w:rFonts w:hint="eastAsia" w:ascii="Times New Roman" w:hAnsi="Times New Roman" w:cs="Times New Roman"/>
                <w:color w:val="auto"/>
                <w:sz w:val="24"/>
                <w:highlight w:val="none"/>
                <w:lang w:val="en-US" w:eastAsia="zh-CN"/>
              </w:rPr>
              <w:t>8t/h</w:t>
            </w:r>
            <w:r>
              <w:rPr>
                <w:rFonts w:hint="default" w:ascii="Times New Roman" w:hAnsi="Times New Roman" w:cs="Times New Roman"/>
                <w:color w:val="auto"/>
                <w:sz w:val="24"/>
                <w:highlight w:val="none"/>
                <w:lang w:val="en-US" w:eastAsia="zh-CN"/>
              </w:rPr>
              <w:t>的蒸汽锅炉，锅炉年运行时间为</w:t>
            </w:r>
            <w:r>
              <w:rPr>
                <w:rFonts w:hint="default" w:ascii="Times New Roman" w:hAnsi="Times New Roman" w:eastAsia="宋体" w:cs="Times New Roman"/>
                <w:color w:val="auto"/>
                <w:sz w:val="24"/>
                <w:highlight w:val="none"/>
                <w:lang w:val="en-US" w:eastAsia="zh-CN"/>
              </w:rPr>
              <w:t>2640</w:t>
            </w:r>
            <w:r>
              <w:rPr>
                <w:rFonts w:hint="default" w:ascii="Times New Roman" w:hAnsi="Times New Roman" w:cs="Times New Roman"/>
                <w:color w:val="auto"/>
                <w:sz w:val="24"/>
                <w:highlight w:val="none"/>
                <w:lang w:val="en-US" w:eastAsia="zh-CN"/>
              </w:rPr>
              <w:t>h。锅炉使用成型生物质为能源，燃料采用当地购买生物质成型燃料棒，不直接使用谷壳、废木材等。生物质成型燃料（简称BMF），是将农林废物作为原材料，经过粉碎、混合、挤压、烘干等工艺，制成各种成型（如块状、颗粒状等）的、可直接燃烧的一种新型燃料。生物质燃料是一种颗粒状或块状的清洁能源。生物质燃料燃烧排放的废气主要污染物为SO</w:t>
            </w:r>
            <w:r>
              <w:rPr>
                <w:rFonts w:hint="default" w:ascii="Times New Roman" w:hAnsi="Times New Roman" w:cs="Times New Roman"/>
                <w:color w:val="auto"/>
                <w:sz w:val="24"/>
                <w:highlight w:val="none"/>
                <w:vertAlign w:val="subscript"/>
                <w:lang w:val="en-US" w:eastAsia="zh-CN"/>
              </w:rPr>
              <w:t>2</w:t>
            </w:r>
            <w:r>
              <w:rPr>
                <w:rFonts w:hint="default" w:ascii="Times New Roman" w:hAnsi="Times New Roman" w:cs="Times New Roman"/>
                <w:color w:val="auto"/>
                <w:sz w:val="24"/>
                <w:highlight w:val="none"/>
                <w:lang w:val="en-US" w:eastAsia="zh-CN"/>
              </w:rPr>
              <w:t>、NOx和烟尘。</w:t>
            </w:r>
          </w:p>
          <w:p w14:paraId="3752732C">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sz w:val="24"/>
                <w:highlight w:val="none"/>
                <w:lang w:val="en-US" w:eastAsia="zh-CN"/>
              </w:rPr>
              <w:t>本次评价根据《排放源统计调查产排污核算方法和系数手册》中4430工业锅炉（热力生产和供应行业）产污系数表-生物质工业锅炉进行核算。</w:t>
            </w:r>
            <w:r>
              <w:rPr>
                <w:rFonts w:hint="default" w:ascii="Times New Roman" w:hAnsi="Times New Roman" w:cs="Times New Roman"/>
                <w:color w:val="auto"/>
                <w:sz w:val="24"/>
                <w:highlight w:val="none"/>
                <w:lang w:val="en-US" w:eastAsia="zh-CN"/>
              </w:rPr>
              <w:t>生物质压缩固体燃料燃烧后污染物产生系数见</w:t>
            </w:r>
            <w:r>
              <w:rPr>
                <w:rFonts w:hint="default" w:ascii="Times New Roman" w:hAnsi="Times New Roman" w:eastAsia="宋体" w:cs="Times New Roman"/>
                <w:color w:val="auto"/>
                <w:kern w:val="0"/>
                <w:sz w:val="24"/>
                <w:szCs w:val="24"/>
                <w:highlight w:val="none"/>
                <w:lang w:val="en-US" w:eastAsia="zh-CN" w:bidi="ar"/>
              </w:rPr>
              <w:t>下表。</w:t>
            </w:r>
          </w:p>
          <w:p w14:paraId="12F6B5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zh-CN" w:eastAsia="zh-CN"/>
              </w:rPr>
              <w:t>表</w:t>
            </w:r>
            <w:r>
              <w:rPr>
                <w:rFonts w:hint="default" w:ascii="Times New Roman" w:hAnsi="Times New Roman" w:eastAsia="宋体" w:cs="Times New Roman"/>
                <w:b/>
                <w:color w:val="auto"/>
                <w:szCs w:val="21"/>
                <w:highlight w:val="none"/>
                <w:lang w:val="en-US" w:eastAsia="zh-CN"/>
              </w:rPr>
              <w:t>4-1</w:t>
            </w:r>
            <w:r>
              <w:rPr>
                <w:rFonts w:hint="default" w:ascii="Times New Roman" w:hAnsi="Times New Roman" w:eastAsia="宋体" w:cs="Times New Roman"/>
                <w:b/>
                <w:color w:val="auto"/>
                <w:szCs w:val="21"/>
                <w:highlight w:val="none"/>
                <w:lang w:val="zh-CN" w:eastAsia="zh-CN"/>
              </w:rPr>
              <w:t xml:space="preserve">  </w:t>
            </w:r>
            <w:r>
              <w:rPr>
                <w:rFonts w:hint="default" w:ascii="Times New Roman" w:hAnsi="Times New Roman" w:eastAsia="宋体" w:cs="Times New Roman"/>
                <w:b/>
                <w:color w:val="auto"/>
                <w:szCs w:val="21"/>
                <w:highlight w:val="none"/>
                <w:lang w:val="en-US" w:eastAsia="zh-CN"/>
              </w:rPr>
              <w:t>生物质锅炉废气产排污系数</w:t>
            </w:r>
          </w:p>
          <w:tbl>
            <w:tblPr>
              <w:tblStyle w:val="151"/>
              <w:tblW w:w="498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4"/>
              <w:gridCol w:w="881"/>
              <w:gridCol w:w="861"/>
              <w:gridCol w:w="1220"/>
              <w:gridCol w:w="1676"/>
              <w:gridCol w:w="990"/>
              <w:gridCol w:w="988"/>
              <w:gridCol w:w="993"/>
            </w:tblGrid>
            <w:tr w14:paraId="1C64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trPr>
              <w:tc>
                <w:tcPr>
                  <w:tcW w:w="396" w:type="pct"/>
                  <w:noWrap w:val="0"/>
                  <w:vAlign w:val="center"/>
                </w:tcPr>
                <w:p w14:paraId="1F032C17">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7"/>
                      <w:sz w:val="20"/>
                      <w:szCs w:val="20"/>
                      <w:highlight w:val="none"/>
                    </w:rPr>
                    <w:t>产品名</w:t>
                  </w:r>
                  <w:r>
                    <w:rPr>
                      <w:rFonts w:hint="default" w:ascii="Times New Roman" w:hAnsi="Times New Roman" w:cs="Times New Roman"/>
                      <w:color w:val="auto"/>
                      <w:spacing w:val="1"/>
                      <w:sz w:val="20"/>
                      <w:szCs w:val="20"/>
                      <w:highlight w:val="none"/>
                    </w:rPr>
                    <w:t>称</w:t>
                  </w:r>
                </w:p>
              </w:tc>
              <w:tc>
                <w:tcPr>
                  <w:tcW w:w="533" w:type="pct"/>
                  <w:noWrap w:val="0"/>
                  <w:vAlign w:val="center"/>
                </w:tcPr>
                <w:p w14:paraId="101D6A4B">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6"/>
                      <w:sz w:val="20"/>
                      <w:szCs w:val="20"/>
                      <w:highlight w:val="none"/>
                    </w:rPr>
                    <w:t>原料名</w:t>
                  </w:r>
                  <w:r>
                    <w:rPr>
                      <w:rFonts w:hint="default" w:ascii="Times New Roman" w:hAnsi="Times New Roman" w:cs="Times New Roman"/>
                      <w:color w:val="auto"/>
                      <w:spacing w:val="1"/>
                      <w:sz w:val="20"/>
                      <w:szCs w:val="20"/>
                      <w:highlight w:val="none"/>
                    </w:rPr>
                    <w:t>称</w:t>
                  </w:r>
                </w:p>
              </w:tc>
              <w:tc>
                <w:tcPr>
                  <w:tcW w:w="521" w:type="pct"/>
                  <w:noWrap w:val="0"/>
                  <w:vAlign w:val="center"/>
                </w:tcPr>
                <w:p w14:paraId="3A8B3615">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7"/>
                      <w:sz w:val="20"/>
                      <w:szCs w:val="20"/>
                      <w:highlight w:val="none"/>
                    </w:rPr>
                    <w:t>工艺名称</w:t>
                  </w:r>
                </w:p>
              </w:tc>
              <w:tc>
                <w:tcPr>
                  <w:tcW w:w="738" w:type="pct"/>
                  <w:noWrap w:val="0"/>
                  <w:vAlign w:val="center"/>
                </w:tcPr>
                <w:p w14:paraId="2E003DB6">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8"/>
                      <w:sz w:val="20"/>
                      <w:szCs w:val="20"/>
                      <w:highlight w:val="none"/>
                    </w:rPr>
                    <w:t>污染物指标</w:t>
                  </w:r>
                </w:p>
              </w:tc>
              <w:tc>
                <w:tcPr>
                  <w:tcW w:w="1014" w:type="pct"/>
                  <w:noWrap w:val="0"/>
                  <w:vAlign w:val="center"/>
                </w:tcPr>
                <w:p w14:paraId="3F972CAC">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5"/>
                      <w:sz w:val="20"/>
                      <w:szCs w:val="20"/>
                      <w:highlight w:val="none"/>
                    </w:rPr>
                    <w:t>单位</w:t>
                  </w:r>
                </w:p>
              </w:tc>
              <w:tc>
                <w:tcPr>
                  <w:tcW w:w="599" w:type="pct"/>
                  <w:noWrap w:val="0"/>
                  <w:vAlign w:val="center"/>
                </w:tcPr>
                <w:p w14:paraId="6C1B3A0A">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8"/>
                      <w:sz w:val="20"/>
                      <w:szCs w:val="20"/>
                      <w:highlight w:val="none"/>
                    </w:rPr>
                    <w:t>产污系数</w:t>
                  </w:r>
                </w:p>
              </w:tc>
              <w:tc>
                <w:tcPr>
                  <w:tcW w:w="598" w:type="pct"/>
                  <w:noWrap w:val="0"/>
                  <w:vAlign w:val="center"/>
                </w:tcPr>
                <w:p w14:paraId="04D88E3C">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8"/>
                      <w:sz w:val="20"/>
                      <w:szCs w:val="20"/>
                      <w:highlight w:val="none"/>
                    </w:rPr>
                    <w:t>末端治理</w:t>
                  </w:r>
                  <w:r>
                    <w:rPr>
                      <w:rFonts w:hint="default" w:ascii="Times New Roman" w:hAnsi="Times New Roman" w:cs="Times New Roman"/>
                      <w:color w:val="auto"/>
                      <w:spacing w:val="6"/>
                      <w:sz w:val="20"/>
                      <w:szCs w:val="20"/>
                      <w:highlight w:val="none"/>
                    </w:rPr>
                    <w:t>措施</w:t>
                  </w:r>
                </w:p>
              </w:tc>
              <w:tc>
                <w:tcPr>
                  <w:tcW w:w="597" w:type="pct"/>
                  <w:noWrap w:val="0"/>
                  <w:vAlign w:val="center"/>
                </w:tcPr>
                <w:p w14:paraId="12275678">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7"/>
                      <w:sz w:val="20"/>
                      <w:szCs w:val="20"/>
                      <w:highlight w:val="none"/>
                    </w:rPr>
                    <w:t>去除效率</w:t>
                  </w:r>
                  <w:r>
                    <w:rPr>
                      <w:rFonts w:hint="default" w:ascii="Times New Roman" w:hAnsi="Times New Roman" w:cs="Times New Roman"/>
                      <w:color w:val="auto"/>
                      <w:sz w:val="20"/>
                      <w:szCs w:val="20"/>
                      <w:highlight w:val="none"/>
                    </w:rPr>
                    <w:t>（</w:t>
                  </w:r>
                  <w:r>
                    <w:rPr>
                      <w:rFonts w:hint="default" w:ascii="Times New Roman" w:hAnsi="Times New Roman" w:eastAsia="Times New Roman" w:cs="Times New Roman"/>
                      <w:b/>
                      <w:bCs/>
                      <w:color w:val="auto"/>
                      <w:sz w:val="20"/>
                      <w:szCs w:val="20"/>
                      <w:highlight w:val="none"/>
                    </w:rPr>
                    <w:t>%</w:t>
                  </w:r>
                  <w:r>
                    <w:rPr>
                      <w:rFonts w:hint="default" w:ascii="Times New Roman" w:hAnsi="Times New Roman" w:cs="Times New Roman"/>
                      <w:color w:val="auto"/>
                      <w:sz w:val="20"/>
                      <w:szCs w:val="20"/>
                      <w:highlight w:val="none"/>
                    </w:rPr>
                    <w:t>）</w:t>
                  </w:r>
                </w:p>
              </w:tc>
            </w:tr>
            <w:tr w14:paraId="62C3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396" w:type="pct"/>
                  <w:vMerge w:val="restart"/>
                  <w:noWrap w:val="0"/>
                  <w:vAlign w:val="center"/>
                </w:tcPr>
                <w:p w14:paraId="6376029A">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5"/>
                      <w:sz w:val="20"/>
                      <w:szCs w:val="20"/>
                      <w:highlight w:val="none"/>
                    </w:rPr>
                    <w:t>蒸汽</w:t>
                  </w:r>
                  <w:r>
                    <w:rPr>
                      <w:rFonts w:hint="default" w:ascii="Times New Roman" w:hAnsi="Times New Roman" w:eastAsia="Times New Roman" w:cs="Times New Roman"/>
                      <w:color w:val="auto"/>
                      <w:spacing w:val="5"/>
                      <w:sz w:val="20"/>
                      <w:szCs w:val="20"/>
                      <w:highlight w:val="none"/>
                    </w:rPr>
                    <w:t>/</w:t>
                  </w:r>
                  <w:r>
                    <w:rPr>
                      <w:rFonts w:hint="default" w:ascii="Times New Roman" w:hAnsi="Times New Roman" w:cs="Times New Roman"/>
                      <w:color w:val="auto"/>
                      <w:spacing w:val="5"/>
                      <w:sz w:val="20"/>
                      <w:szCs w:val="20"/>
                      <w:highlight w:val="none"/>
                    </w:rPr>
                    <w:t>热水</w:t>
                  </w:r>
                  <w:r>
                    <w:rPr>
                      <w:rFonts w:hint="default" w:ascii="Times New Roman" w:hAnsi="Times New Roman" w:eastAsia="Times New Roman" w:cs="Times New Roman"/>
                      <w:color w:val="auto"/>
                      <w:spacing w:val="5"/>
                      <w:sz w:val="20"/>
                      <w:szCs w:val="20"/>
                      <w:highlight w:val="none"/>
                    </w:rPr>
                    <w:t>/</w:t>
                  </w:r>
                  <w:r>
                    <w:rPr>
                      <w:rFonts w:hint="default" w:ascii="Times New Roman" w:hAnsi="Times New Roman" w:cs="Times New Roman"/>
                      <w:color w:val="auto"/>
                      <w:spacing w:val="5"/>
                      <w:sz w:val="20"/>
                      <w:szCs w:val="20"/>
                      <w:highlight w:val="none"/>
                    </w:rPr>
                    <w:t>其他</w:t>
                  </w:r>
                </w:p>
              </w:tc>
              <w:tc>
                <w:tcPr>
                  <w:tcW w:w="533" w:type="pct"/>
                  <w:vMerge w:val="restart"/>
                  <w:noWrap w:val="0"/>
                  <w:vAlign w:val="center"/>
                </w:tcPr>
                <w:p w14:paraId="2CCCC6A0">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pacing w:val="6"/>
                      <w:sz w:val="20"/>
                      <w:szCs w:val="20"/>
                      <w:highlight w:val="none"/>
                    </w:rPr>
                    <w:t>生物质</w:t>
                  </w:r>
                  <w:r>
                    <w:rPr>
                      <w:rFonts w:hint="eastAsia" w:ascii="Times New Roman" w:hAnsi="Times New Roman" w:cs="Times New Roman"/>
                      <w:color w:val="auto"/>
                      <w:spacing w:val="6"/>
                      <w:sz w:val="20"/>
                      <w:szCs w:val="20"/>
                      <w:highlight w:val="none"/>
                      <w:lang w:val="en-US" w:eastAsia="zh-CN"/>
                    </w:rPr>
                    <w:t>燃料</w:t>
                  </w:r>
                </w:p>
              </w:tc>
              <w:tc>
                <w:tcPr>
                  <w:tcW w:w="521" w:type="pct"/>
                  <w:vMerge w:val="restart"/>
                  <w:noWrap w:val="0"/>
                  <w:vAlign w:val="center"/>
                </w:tcPr>
                <w:p w14:paraId="698048B8">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pacing w:val="7"/>
                      <w:sz w:val="20"/>
                      <w:szCs w:val="20"/>
                      <w:highlight w:val="none"/>
                      <w:lang w:val="en-US" w:eastAsia="zh-CN"/>
                    </w:rPr>
                    <w:t>层燃炉</w:t>
                  </w:r>
                </w:p>
              </w:tc>
              <w:tc>
                <w:tcPr>
                  <w:tcW w:w="738" w:type="pct"/>
                  <w:noWrap w:val="0"/>
                  <w:vAlign w:val="center"/>
                </w:tcPr>
                <w:p w14:paraId="278255D7">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7"/>
                      <w:sz w:val="20"/>
                      <w:szCs w:val="20"/>
                      <w:highlight w:val="none"/>
                    </w:rPr>
                    <w:t>工业废气量</w:t>
                  </w:r>
                </w:p>
              </w:tc>
              <w:tc>
                <w:tcPr>
                  <w:tcW w:w="1014" w:type="pct"/>
                  <w:noWrap w:val="0"/>
                  <w:vAlign w:val="center"/>
                </w:tcPr>
                <w:p w14:paraId="4F60A843">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7"/>
                      <w:position w:val="1"/>
                      <w:sz w:val="20"/>
                      <w:szCs w:val="20"/>
                      <w:highlight w:val="none"/>
                    </w:rPr>
                    <w:t>标立方米</w:t>
                  </w:r>
                  <w:r>
                    <w:rPr>
                      <w:rFonts w:hint="default" w:ascii="Times New Roman" w:hAnsi="Times New Roman" w:eastAsia="Times New Roman" w:cs="Times New Roman"/>
                      <w:color w:val="auto"/>
                      <w:spacing w:val="7"/>
                      <w:position w:val="1"/>
                      <w:sz w:val="20"/>
                      <w:szCs w:val="20"/>
                      <w:highlight w:val="none"/>
                    </w:rPr>
                    <w:t>/</w:t>
                  </w:r>
                  <w:r>
                    <w:rPr>
                      <w:rFonts w:hint="default" w:ascii="Times New Roman" w:hAnsi="Times New Roman" w:cs="Times New Roman"/>
                      <w:color w:val="auto"/>
                      <w:spacing w:val="7"/>
                      <w:position w:val="1"/>
                      <w:sz w:val="20"/>
                      <w:szCs w:val="20"/>
                      <w:highlight w:val="none"/>
                    </w:rPr>
                    <w:t>吨</w:t>
                  </w:r>
                  <w:r>
                    <w:rPr>
                      <w:rFonts w:hint="default" w:ascii="Times New Roman" w:hAnsi="Times New Roman" w:eastAsia="Times New Roman" w:cs="Times New Roman"/>
                      <w:color w:val="auto"/>
                      <w:spacing w:val="7"/>
                      <w:position w:val="1"/>
                      <w:sz w:val="20"/>
                      <w:szCs w:val="20"/>
                      <w:highlight w:val="none"/>
                    </w:rPr>
                    <w:t>-</w:t>
                  </w:r>
                  <w:r>
                    <w:rPr>
                      <w:rFonts w:hint="default" w:ascii="Times New Roman" w:hAnsi="Times New Roman" w:cs="Times New Roman"/>
                      <w:color w:val="auto"/>
                      <w:spacing w:val="7"/>
                      <w:position w:val="1"/>
                      <w:sz w:val="20"/>
                      <w:szCs w:val="20"/>
                      <w:highlight w:val="none"/>
                    </w:rPr>
                    <w:t>原料</w:t>
                  </w:r>
                </w:p>
              </w:tc>
              <w:tc>
                <w:tcPr>
                  <w:tcW w:w="599" w:type="pct"/>
                  <w:noWrap w:val="0"/>
                  <w:vAlign w:val="center"/>
                </w:tcPr>
                <w:p w14:paraId="1199DBB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0"/>
                      <w:szCs w:val="20"/>
                      <w:highlight w:val="none"/>
                    </w:rPr>
                  </w:pPr>
                  <w:r>
                    <w:rPr>
                      <w:rFonts w:hint="default" w:ascii="Times New Roman" w:hAnsi="Times New Roman" w:eastAsia="Times New Roman" w:cs="Times New Roman"/>
                      <w:color w:val="auto"/>
                      <w:spacing w:val="3"/>
                      <w:sz w:val="20"/>
                      <w:szCs w:val="20"/>
                      <w:highlight w:val="none"/>
                    </w:rPr>
                    <w:t>6240</w:t>
                  </w:r>
                </w:p>
              </w:tc>
              <w:tc>
                <w:tcPr>
                  <w:tcW w:w="598" w:type="pct"/>
                  <w:noWrap w:val="0"/>
                  <w:vAlign w:val="center"/>
                </w:tcPr>
                <w:p w14:paraId="17057B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0"/>
                      <w:szCs w:val="20"/>
                      <w:highlight w:val="none"/>
                    </w:rPr>
                  </w:pPr>
                  <w:r>
                    <w:rPr>
                      <w:rFonts w:hint="default" w:ascii="Times New Roman" w:hAnsi="Times New Roman" w:eastAsia="Times New Roman" w:cs="Times New Roman"/>
                      <w:color w:val="auto"/>
                      <w:spacing w:val="2"/>
                      <w:position w:val="1"/>
                      <w:sz w:val="20"/>
                      <w:szCs w:val="20"/>
                      <w:highlight w:val="none"/>
                    </w:rPr>
                    <w:t>/</w:t>
                  </w:r>
                </w:p>
              </w:tc>
              <w:tc>
                <w:tcPr>
                  <w:tcW w:w="597" w:type="pct"/>
                  <w:noWrap w:val="0"/>
                  <w:vAlign w:val="center"/>
                </w:tcPr>
                <w:p w14:paraId="0BAF2D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0"/>
                      <w:szCs w:val="20"/>
                      <w:highlight w:val="none"/>
                    </w:rPr>
                  </w:pPr>
                  <w:r>
                    <w:rPr>
                      <w:rFonts w:hint="default" w:ascii="Times New Roman" w:hAnsi="Times New Roman" w:eastAsia="Times New Roman" w:cs="Times New Roman"/>
                      <w:color w:val="auto"/>
                      <w:spacing w:val="2"/>
                      <w:position w:val="1"/>
                      <w:sz w:val="20"/>
                      <w:szCs w:val="20"/>
                      <w:highlight w:val="none"/>
                    </w:rPr>
                    <w:t>/</w:t>
                  </w:r>
                </w:p>
              </w:tc>
            </w:tr>
            <w:tr w14:paraId="7208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396" w:type="pct"/>
                  <w:vMerge w:val="continue"/>
                  <w:noWrap w:val="0"/>
                  <w:vAlign w:val="center"/>
                </w:tcPr>
                <w:p w14:paraId="727BAD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rPr>
                  </w:pPr>
                </w:p>
              </w:tc>
              <w:tc>
                <w:tcPr>
                  <w:tcW w:w="533" w:type="pct"/>
                  <w:vMerge w:val="continue"/>
                  <w:noWrap w:val="0"/>
                  <w:vAlign w:val="center"/>
                </w:tcPr>
                <w:p w14:paraId="0C3FAE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rPr>
                  </w:pPr>
                </w:p>
              </w:tc>
              <w:tc>
                <w:tcPr>
                  <w:tcW w:w="521" w:type="pct"/>
                  <w:vMerge w:val="continue"/>
                  <w:noWrap w:val="0"/>
                  <w:vAlign w:val="center"/>
                </w:tcPr>
                <w:p w14:paraId="0A7AE5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rPr>
                  </w:pPr>
                </w:p>
              </w:tc>
              <w:tc>
                <w:tcPr>
                  <w:tcW w:w="738" w:type="pct"/>
                  <w:noWrap w:val="0"/>
                  <w:vAlign w:val="center"/>
                </w:tcPr>
                <w:p w14:paraId="5FE18858">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6"/>
                      <w:sz w:val="20"/>
                      <w:szCs w:val="20"/>
                      <w:highlight w:val="none"/>
                    </w:rPr>
                    <w:t>二氧化硫</w:t>
                  </w:r>
                </w:p>
              </w:tc>
              <w:tc>
                <w:tcPr>
                  <w:tcW w:w="1014" w:type="pct"/>
                  <w:noWrap w:val="0"/>
                  <w:vAlign w:val="center"/>
                </w:tcPr>
                <w:p w14:paraId="47114900">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6"/>
                      <w:position w:val="1"/>
                      <w:sz w:val="20"/>
                      <w:szCs w:val="20"/>
                      <w:highlight w:val="none"/>
                    </w:rPr>
                    <w:t>千克</w:t>
                  </w:r>
                  <w:r>
                    <w:rPr>
                      <w:rFonts w:hint="default" w:ascii="Times New Roman" w:hAnsi="Times New Roman" w:eastAsia="Times New Roman" w:cs="Times New Roman"/>
                      <w:color w:val="auto"/>
                      <w:spacing w:val="6"/>
                      <w:position w:val="1"/>
                      <w:sz w:val="20"/>
                      <w:szCs w:val="20"/>
                      <w:highlight w:val="none"/>
                    </w:rPr>
                    <w:t>/</w:t>
                  </w:r>
                  <w:r>
                    <w:rPr>
                      <w:rFonts w:hint="default" w:ascii="Times New Roman" w:hAnsi="Times New Roman" w:cs="Times New Roman"/>
                      <w:color w:val="auto"/>
                      <w:spacing w:val="6"/>
                      <w:position w:val="1"/>
                      <w:sz w:val="20"/>
                      <w:szCs w:val="20"/>
                      <w:highlight w:val="none"/>
                    </w:rPr>
                    <w:t>吨</w:t>
                  </w:r>
                  <w:r>
                    <w:rPr>
                      <w:rFonts w:hint="default" w:ascii="Times New Roman" w:hAnsi="Times New Roman" w:eastAsia="Times New Roman" w:cs="Times New Roman"/>
                      <w:color w:val="auto"/>
                      <w:spacing w:val="6"/>
                      <w:position w:val="1"/>
                      <w:sz w:val="20"/>
                      <w:szCs w:val="20"/>
                      <w:highlight w:val="none"/>
                    </w:rPr>
                    <w:t>-</w:t>
                  </w:r>
                  <w:r>
                    <w:rPr>
                      <w:rFonts w:hint="default" w:ascii="Times New Roman" w:hAnsi="Times New Roman" w:cs="Times New Roman"/>
                      <w:color w:val="auto"/>
                      <w:spacing w:val="6"/>
                      <w:position w:val="1"/>
                      <w:sz w:val="20"/>
                      <w:szCs w:val="20"/>
                      <w:highlight w:val="none"/>
                    </w:rPr>
                    <w:t>原料</w:t>
                  </w:r>
                </w:p>
              </w:tc>
              <w:tc>
                <w:tcPr>
                  <w:tcW w:w="599" w:type="pct"/>
                  <w:noWrap w:val="0"/>
                  <w:vAlign w:val="center"/>
                </w:tcPr>
                <w:p w14:paraId="1FB68159">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10"/>
                      <w:szCs w:val="10"/>
                      <w:highlight w:val="none"/>
                    </w:rPr>
                  </w:pPr>
                  <w:r>
                    <w:rPr>
                      <w:rFonts w:hint="default" w:ascii="Times New Roman" w:hAnsi="Times New Roman" w:eastAsia="Times New Roman" w:cs="Times New Roman"/>
                      <w:color w:val="auto"/>
                      <w:spacing w:val="-1"/>
                      <w:position w:val="-1"/>
                      <w:sz w:val="20"/>
                      <w:szCs w:val="20"/>
                      <w:highlight w:val="none"/>
                    </w:rPr>
                    <w:t>17S</w:t>
                  </w:r>
                  <w:r>
                    <w:rPr>
                      <w:rFonts w:hint="default" w:ascii="Times New Roman" w:hAnsi="Times New Roman" w:cs="Times New Roman"/>
                      <w:color w:val="auto"/>
                      <w:spacing w:val="-1"/>
                      <w:position w:val="8"/>
                      <w:sz w:val="10"/>
                      <w:szCs w:val="10"/>
                      <w:highlight w:val="none"/>
                    </w:rPr>
                    <w:t>①</w:t>
                  </w:r>
                </w:p>
              </w:tc>
              <w:tc>
                <w:tcPr>
                  <w:tcW w:w="598" w:type="pct"/>
                  <w:noWrap w:val="0"/>
                  <w:vAlign w:val="center"/>
                </w:tcPr>
                <w:p w14:paraId="12E3065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0"/>
                      <w:szCs w:val="20"/>
                      <w:highlight w:val="none"/>
                      <w:lang w:val="en-US" w:eastAsia="zh-CN"/>
                    </w:rPr>
                  </w:pPr>
                  <w:r>
                    <w:rPr>
                      <w:rFonts w:hint="eastAsia" w:cs="Times New Roman"/>
                      <w:color w:val="auto"/>
                      <w:spacing w:val="2"/>
                      <w:position w:val="1"/>
                      <w:sz w:val="20"/>
                      <w:szCs w:val="20"/>
                      <w:highlight w:val="none"/>
                      <w:lang w:val="en-US" w:eastAsia="zh-CN"/>
                    </w:rPr>
                    <w:t>湿法脱硫</w:t>
                  </w:r>
                </w:p>
              </w:tc>
              <w:tc>
                <w:tcPr>
                  <w:tcW w:w="597" w:type="pct"/>
                  <w:noWrap w:val="0"/>
                  <w:vAlign w:val="center"/>
                </w:tcPr>
                <w:p w14:paraId="23C3AC9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0"/>
                      <w:szCs w:val="20"/>
                      <w:highlight w:val="none"/>
                      <w:lang w:val="en-US" w:eastAsia="zh-CN"/>
                    </w:rPr>
                  </w:pPr>
                  <w:r>
                    <w:rPr>
                      <w:rFonts w:hint="eastAsia" w:cs="Times New Roman"/>
                      <w:color w:val="auto"/>
                      <w:spacing w:val="2"/>
                      <w:position w:val="1"/>
                      <w:sz w:val="20"/>
                      <w:szCs w:val="20"/>
                      <w:highlight w:val="none"/>
                      <w:lang w:val="en-US" w:eastAsia="zh-CN"/>
                    </w:rPr>
                    <w:t>92.5</w:t>
                  </w:r>
                </w:p>
              </w:tc>
            </w:tr>
            <w:tr w14:paraId="7695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396" w:type="pct"/>
                  <w:vMerge w:val="continue"/>
                  <w:noWrap w:val="0"/>
                  <w:vAlign w:val="center"/>
                </w:tcPr>
                <w:p w14:paraId="0E866F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rPr>
                  </w:pPr>
                </w:p>
              </w:tc>
              <w:tc>
                <w:tcPr>
                  <w:tcW w:w="533" w:type="pct"/>
                  <w:vMerge w:val="continue"/>
                  <w:noWrap w:val="0"/>
                  <w:vAlign w:val="center"/>
                </w:tcPr>
                <w:p w14:paraId="1034A9A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rPr>
                  </w:pPr>
                </w:p>
              </w:tc>
              <w:tc>
                <w:tcPr>
                  <w:tcW w:w="521" w:type="pct"/>
                  <w:vMerge w:val="continue"/>
                  <w:noWrap w:val="0"/>
                  <w:vAlign w:val="center"/>
                </w:tcPr>
                <w:p w14:paraId="352C95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rPr>
                  </w:pPr>
                </w:p>
              </w:tc>
              <w:tc>
                <w:tcPr>
                  <w:tcW w:w="738" w:type="pct"/>
                  <w:noWrap w:val="0"/>
                  <w:vAlign w:val="center"/>
                </w:tcPr>
                <w:p w14:paraId="44015014">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7"/>
                      <w:sz w:val="20"/>
                      <w:szCs w:val="20"/>
                      <w:highlight w:val="none"/>
                    </w:rPr>
                    <w:t>颗粒物</w:t>
                  </w:r>
                </w:p>
              </w:tc>
              <w:tc>
                <w:tcPr>
                  <w:tcW w:w="1014" w:type="pct"/>
                  <w:noWrap w:val="0"/>
                  <w:vAlign w:val="center"/>
                </w:tcPr>
                <w:p w14:paraId="3901BBE1">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6"/>
                      <w:position w:val="1"/>
                      <w:sz w:val="20"/>
                      <w:szCs w:val="20"/>
                      <w:highlight w:val="none"/>
                    </w:rPr>
                    <w:t>千克</w:t>
                  </w:r>
                  <w:r>
                    <w:rPr>
                      <w:rFonts w:hint="default" w:ascii="Times New Roman" w:hAnsi="Times New Roman" w:eastAsia="Times New Roman" w:cs="Times New Roman"/>
                      <w:color w:val="auto"/>
                      <w:spacing w:val="6"/>
                      <w:position w:val="1"/>
                      <w:sz w:val="20"/>
                      <w:szCs w:val="20"/>
                      <w:highlight w:val="none"/>
                    </w:rPr>
                    <w:t>/</w:t>
                  </w:r>
                  <w:r>
                    <w:rPr>
                      <w:rFonts w:hint="default" w:ascii="Times New Roman" w:hAnsi="Times New Roman" w:cs="Times New Roman"/>
                      <w:color w:val="auto"/>
                      <w:spacing w:val="6"/>
                      <w:position w:val="1"/>
                      <w:sz w:val="20"/>
                      <w:szCs w:val="20"/>
                      <w:highlight w:val="none"/>
                    </w:rPr>
                    <w:t>吨</w:t>
                  </w:r>
                  <w:r>
                    <w:rPr>
                      <w:rFonts w:hint="default" w:ascii="Times New Roman" w:hAnsi="Times New Roman" w:eastAsia="Times New Roman" w:cs="Times New Roman"/>
                      <w:color w:val="auto"/>
                      <w:spacing w:val="6"/>
                      <w:position w:val="1"/>
                      <w:sz w:val="20"/>
                      <w:szCs w:val="20"/>
                      <w:highlight w:val="none"/>
                    </w:rPr>
                    <w:t>-</w:t>
                  </w:r>
                  <w:r>
                    <w:rPr>
                      <w:rFonts w:hint="default" w:ascii="Times New Roman" w:hAnsi="Times New Roman" w:cs="Times New Roman"/>
                      <w:color w:val="auto"/>
                      <w:spacing w:val="6"/>
                      <w:position w:val="1"/>
                      <w:sz w:val="20"/>
                      <w:szCs w:val="20"/>
                      <w:highlight w:val="none"/>
                    </w:rPr>
                    <w:t>原料</w:t>
                  </w:r>
                </w:p>
              </w:tc>
              <w:tc>
                <w:tcPr>
                  <w:tcW w:w="599" w:type="pct"/>
                  <w:noWrap w:val="0"/>
                  <w:vAlign w:val="center"/>
                </w:tcPr>
                <w:p w14:paraId="7F30F46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0"/>
                      <w:szCs w:val="20"/>
                      <w:highlight w:val="none"/>
                    </w:rPr>
                  </w:pPr>
                  <w:r>
                    <w:rPr>
                      <w:rFonts w:hint="default" w:ascii="Times New Roman" w:hAnsi="Times New Roman" w:eastAsia="Times New Roman" w:cs="Times New Roman"/>
                      <w:color w:val="auto"/>
                      <w:spacing w:val="1"/>
                      <w:sz w:val="20"/>
                      <w:szCs w:val="20"/>
                      <w:highlight w:val="none"/>
                    </w:rPr>
                    <w:t>0.5</w:t>
                  </w:r>
                </w:p>
              </w:tc>
              <w:tc>
                <w:tcPr>
                  <w:tcW w:w="598" w:type="pct"/>
                  <w:noWrap w:val="0"/>
                  <w:vAlign w:val="center"/>
                </w:tcPr>
                <w:p w14:paraId="4F19E5B9">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pacing w:val="7"/>
                      <w:sz w:val="20"/>
                      <w:szCs w:val="20"/>
                      <w:highlight w:val="none"/>
                    </w:rPr>
                    <w:t>布袋</w:t>
                  </w:r>
                  <w:r>
                    <w:rPr>
                      <w:rFonts w:hint="eastAsia" w:ascii="Times New Roman" w:hAnsi="Times New Roman" w:cs="Times New Roman"/>
                      <w:color w:val="auto"/>
                      <w:spacing w:val="7"/>
                      <w:sz w:val="20"/>
                      <w:szCs w:val="20"/>
                      <w:highlight w:val="none"/>
                      <w:lang w:val="en-US" w:eastAsia="zh-CN"/>
                    </w:rPr>
                    <w:t>除尘器</w:t>
                  </w:r>
                </w:p>
              </w:tc>
              <w:tc>
                <w:tcPr>
                  <w:tcW w:w="597" w:type="pct"/>
                  <w:noWrap w:val="0"/>
                  <w:vAlign w:val="center"/>
                </w:tcPr>
                <w:p w14:paraId="7E077F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0"/>
                      <w:szCs w:val="20"/>
                      <w:highlight w:val="none"/>
                    </w:rPr>
                  </w:pPr>
                  <w:r>
                    <w:rPr>
                      <w:rFonts w:hint="default" w:ascii="Times New Roman" w:hAnsi="Times New Roman" w:eastAsia="Times New Roman" w:cs="Times New Roman"/>
                      <w:color w:val="auto"/>
                      <w:spacing w:val="2"/>
                      <w:sz w:val="20"/>
                      <w:szCs w:val="20"/>
                      <w:highlight w:val="none"/>
                    </w:rPr>
                    <w:t>99.7</w:t>
                  </w:r>
                </w:p>
              </w:tc>
            </w:tr>
            <w:tr w14:paraId="4596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396" w:type="pct"/>
                  <w:vMerge w:val="continue"/>
                  <w:noWrap w:val="0"/>
                  <w:vAlign w:val="center"/>
                </w:tcPr>
                <w:p w14:paraId="0BAB90D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rPr>
                  </w:pPr>
                </w:p>
              </w:tc>
              <w:tc>
                <w:tcPr>
                  <w:tcW w:w="533" w:type="pct"/>
                  <w:vMerge w:val="continue"/>
                  <w:noWrap w:val="0"/>
                  <w:vAlign w:val="center"/>
                </w:tcPr>
                <w:p w14:paraId="046D9E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rPr>
                  </w:pPr>
                </w:p>
              </w:tc>
              <w:tc>
                <w:tcPr>
                  <w:tcW w:w="521" w:type="pct"/>
                  <w:vMerge w:val="continue"/>
                  <w:noWrap w:val="0"/>
                  <w:vAlign w:val="center"/>
                </w:tcPr>
                <w:p w14:paraId="6BB90D6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highlight w:val="none"/>
                    </w:rPr>
                  </w:pPr>
                </w:p>
              </w:tc>
              <w:tc>
                <w:tcPr>
                  <w:tcW w:w="738" w:type="pct"/>
                  <w:noWrap w:val="0"/>
                  <w:vAlign w:val="center"/>
                </w:tcPr>
                <w:p w14:paraId="28804D96">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7"/>
                      <w:sz w:val="20"/>
                      <w:szCs w:val="20"/>
                      <w:highlight w:val="none"/>
                    </w:rPr>
                    <w:t>氮氧化物</w:t>
                  </w:r>
                </w:p>
              </w:tc>
              <w:tc>
                <w:tcPr>
                  <w:tcW w:w="1014" w:type="pct"/>
                  <w:noWrap w:val="0"/>
                  <w:vAlign w:val="center"/>
                </w:tcPr>
                <w:p w14:paraId="4C546915">
                  <w:pPr>
                    <w:pStyle w:val="15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pacing w:val="6"/>
                      <w:position w:val="1"/>
                      <w:sz w:val="20"/>
                      <w:szCs w:val="20"/>
                      <w:highlight w:val="none"/>
                    </w:rPr>
                    <w:t>千克</w:t>
                  </w:r>
                  <w:r>
                    <w:rPr>
                      <w:rFonts w:hint="default" w:ascii="Times New Roman" w:hAnsi="Times New Roman" w:eastAsia="Times New Roman" w:cs="Times New Roman"/>
                      <w:color w:val="auto"/>
                      <w:spacing w:val="6"/>
                      <w:position w:val="1"/>
                      <w:sz w:val="20"/>
                      <w:szCs w:val="20"/>
                      <w:highlight w:val="none"/>
                    </w:rPr>
                    <w:t>/</w:t>
                  </w:r>
                  <w:r>
                    <w:rPr>
                      <w:rFonts w:hint="default" w:ascii="Times New Roman" w:hAnsi="Times New Roman" w:cs="Times New Roman"/>
                      <w:color w:val="auto"/>
                      <w:spacing w:val="6"/>
                      <w:position w:val="1"/>
                      <w:sz w:val="20"/>
                      <w:szCs w:val="20"/>
                      <w:highlight w:val="none"/>
                    </w:rPr>
                    <w:t>吨</w:t>
                  </w:r>
                  <w:r>
                    <w:rPr>
                      <w:rFonts w:hint="default" w:ascii="Times New Roman" w:hAnsi="Times New Roman" w:eastAsia="Times New Roman" w:cs="Times New Roman"/>
                      <w:color w:val="auto"/>
                      <w:spacing w:val="6"/>
                      <w:position w:val="1"/>
                      <w:sz w:val="20"/>
                      <w:szCs w:val="20"/>
                      <w:highlight w:val="none"/>
                    </w:rPr>
                    <w:t>-</w:t>
                  </w:r>
                  <w:r>
                    <w:rPr>
                      <w:rFonts w:hint="default" w:ascii="Times New Roman" w:hAnsi="Times New Roman" w:cs="Times New Roman"/>
                      <w:color w:val="auto"/>
                      <w:spacing w:val="6"/>
                      <w:position w:val="1"/>
                      <w:sz w:val="20"/>
                      <w:szCs w:val="20"/>
                      <w:highlight w:val="none"/>
                    </w:rPr>
                    <w:t>原料</w:t>
                  </w:r>
                </w:p>
              </w:tc>
              <w:tc>
                <w:tcPr>
                  <w:tcW w:w="599" w:type="pct"/>
                  <w:noWrap w:val="0"/>
                  <w:vAlign w:val="center"/>
                </w:tcPr>
                <w:p w14:paraId="2CE93D8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0"/>
                      <w:szCs w:val="20"/>
                      <w:highlight w:val="none"/>
                    </w:rPr>
                  </w:pPr>
                  <w:r>
                    <w:rPr>
                      <w:rFonts w:hint="default" w:ascii="Times New Roman" w:hAnsi="Times New Roman" w:eastAsia="Times New Roman" w:cs="Times New Roman"/>
                      <w:color w:val="auto"/>
                      <w:spacing w:val="-2"/>
                      <w:sz w:val="20"/>
                      <w:szCs w:val="20"/>
                      <w:highlight w:val="none"/>
                    </w:rPr>
                    <w:t>1.02</w:t>
                  </w:r>
                </w:p>
              </w:tc>
              <w:tc>
                <w:tcPr>
                  <w:tcW w:w="598" w:type="pct"/>
                  <w:noWrap w:val="0"/>
                  <w:vAlign w:val="center"/>
                </w:tcPr>
                <w:p w14:paraId="4C1558D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0"/>
                      <w:szCs w:val="20"/>
                      <w:highlight w:val="none"/>
                    </w:rPr>
                  </w:pPr>
                  <w:r>
                    <w:rPr>
                      <w:rFonts w:hint="default" w:ascii="Times New Roman" w:hAnsi="Times New Roman" w:eastAsia="Times New Roman" w:cs="Times New Roman"/>
                      <w:color w:val="auto"/>
                      <w:spacing w:val="2"/>
                      <w:position w:val="1"/>
                      <w:sz w:val="20"/>
                      <w:szCs w:val="20"/>
                      <w:highlight w:val="none"/>
                    </w:rPr>
                    <w:t>低氮燃烧+选择性非催化还原法（SNCR）</w:t>
                  </w:r>
                </w:p>
              </w:tc>
              <w:tc>
                <w:tcPr>
                  <w:tcW w:w="597" w:type="pct"/>
                  <w:noWrap w:val="0"/>
                  <w:vAlign w:val="center"/>
                </w:tcPr>
                <w:p w14:paraId="1AE3366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45.4</w:t>
                  </w:r>
                </w:p>
              </w:tc>
            </w:tr>
            <w:tr w14:paraId="0C97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5000" w:type="pct"/>
                  <w:gridSpan w:val="8"/>
                  <w:noWrap w:val="0"/>
                  <w:vAlign w:val="center"/>
                </w:tcPr>
                <w:p w14:paraId="28A48D9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Times New Roman" w:cs="Times New Roman"/>
                      <w:color w:val="auto"/>
                      <w:sz w:val="20"/>
                      <w:szCs w:val="20"/>
                      <w:highlight w:val="none"/>
                    </w:rPr>
                  </w:pPr>
                  <w:r>
                    <w:rPr>
                      <w:rFonts w:hint="default" w:ascii="Times New Roman" w:hAnsi="Times New Roman" w:cs="Times New Roman"/>
                      <w:color w:val="auto"/>
                      <w:spacing w:val="11"/>
                      <w:sz w:val="20"/>
                      <w:szCs w:val="20"/>
                      <w:highlight w:val="none"/>
                    </w:rPr>
                    <w:t>注：①产排污系数表中二氧化硫的产排污系数是以含硫量（</w:t>
                  </w:r>
                  <w:r>
                    <w:rPr>
                      <w:rFonts w:hint="default" w:ascii="Times New Roman" w:hAnsi="Times New Roman" w:eastAsia="Times New Roman" w:cs="Times New Roman"/>
                      <w:color w:val="auto"/>
                      <w:spacing w:val="11"/>
                      <w:sz w:val="20"/>
                      <w:szCs w:val="20"/>
                      <w:highlight w:val="none"/>
                    </w:rPr>
                    <w:t>S%</w:t>
                  </w:r>
                  <w:r>
                    <w:rPr>
                      <w:rFonts w:hint="default" w:ascii="Times New Roman" w:hAnsi="Times New Roman" w:cs="Times New Roman"/>
                      <w:color w:val="auto"/>
                      <w:spacing w:val="11"/>
                      <w:sz w:val="20"/>
                      <w:szCs w:val="20"/>
                      <w:highlight w:val="none"/>
                    </w:rPr>
                    <w:t>）</w:t>
                  </w:r>
                  <w:r>
                    <w:rPr>
                      <w:rFonts w:hint="default" w:ascii="Times New Roman" w:hAnsi="Times New Roman" w:cs="Times New Roman"/>
                      <w:color w:val="auto"/>
                      <w:spacing w:val="-51"/>
                      <w:sz w:val="20"/>
                      <w:szCs w:val="20"/>
                      <w:highlight w:val="none"/>
                    </w:rPr>
                    <w:t xml:space="preserve"> </w:t>
                  </w:r>
                  <w:r>
                    <w:rPr>
                      <w:rFonts w:hint="default" w:ascii="Times New Roman" w:hAnsi="Times New Roman" w:cs="Times New Roman"/>
                      <w:color w:val="auto"/>
                      <w:spacing w:val="11"/>
                      <w:sz w:val="20"/>
                      <w:szCs w:val="20"/>
                      <w:highlight w:val="none"/>
                    </w:rPr>
                    <w:t>的形式表示的，其中含硫量</w:t>
                  </w:r>
                  <w:r>
                    <w:rPr>
                      <w:rFonts w:hint="default" w:ascii="Times New Roman" w:hAnsi="Times New Roman" w:cs="Times New Roman"/>
                      <w:color w:val="auto"/>
                      <w:spacing w:val="10"/>
                      <w:sz w:val="20"/>
                      <w:szCs w:val="20"/>
                      <w:highlight w:val="none"/>
                    </w:rPr>
                    <w:t>（</w:t>
                  </w:r>
                  <w:r>
                    <w:rPr>
                      <w:rFonts w:hint="default" w:ascii="Times New Roman" w:hAnsi="Times New Roman" w:eastAsia="Times New Roman" w:cs="Times New Roman"/>
                      <w:color w:val="auto"/>
                      <w:spacing w:val="10"/>
                      <w:sz w:val="20"/>
                      <w:szCs w:val="20"/>
                      <w:highlight w:val="none"/>
                    </w:rPr>
                    <w:t>S%</w:t>
                  </w:r>
                  <w:r>
                    <w:rPr>
                      <w:rFonts w:hint="default" w:ascii="Times New Roman" w:hAnsi="Times New Roman" w:cs="Times New Roman"/>
                      <w:color w:val="auto"/>
                      <w:spacing w:val="10"/>
                      <w:sz w:val="20"/>
                      <w:szCs w:val="20"/>
                      <w:highlight w:val="none"/>
                    </w:rPr>
                    <w:t>）是指生物质收到基硫分含量，以质量百分数的形式表示。</w:t>
                  </w:r>
                  <w:r>
                    <w:rPr>
                      <w:rFonts w:hint="default" w:ascii="Times New Roman" w:hAnsi="Times New Roman" w:cs="Times New Roman"/>
                      <w:color w:val="auto"/>
                      <w:spacing w:val="9"/>
                      <w:sz w:val="20"/>
                      <w:szCs w:val="20"/>
                      <w:highlight w:val="none"/>
                    </w:rPr>
                    <w:t>例如生物质中含硫量（</w:t>
                  </w:r>
                  <w:r>
                    <w:rPr>
                      <w:rFonts w:hint="default" w:ascii="Times New Roman" w:hAnsi="Times New Roman" w:eastAsia="Times New Roman" w:cs="Times New Roman"/>
                      <w:color w:val="auto"/>
                      <w:spacing w:val="9"/>
                      <w:sz w:val="20"/>
                      <w:szCs w:val="20"/>
                      <w:highlight w:val="none"/>
                    </w:rPr>
                    <w:t>S%</w:t>
                  </w:r>
                  <w:r>
                    <w:rPr>
                      <w:rFonts w:hint="default" w:ascii="Times New Roman" w:hAnsi="Times New Roman" w:cs="Times New Roman"/>
                      <w:color w:val="auto"/>
                      <w:spacing w:val="9"/>
                      <w:sz w:val="20"/>
                      <w:szCs w:val="20"/>
                      <w:highlight w:val="none"/>
                    </w:rPr>
                    <w:t>）</w:t>
                  </w:r>
                  <w:r>
                    <w:rPr>
                      <w:rFonts w:hint="default" w:ascii="Times New Roman" w:hAnsi="Times New Roman" w:cs="Times New Roman"/>
                      <w:color w:val="auto"/>
                      <w:spacing w:val="3"/>
                      <w:sz w:val="20"/>
                      <w:szCs w:val="20"/>
                      <w:highlight w:val="none"/>
                    </w:rPr>
                    <w:t>为</w:t>
                  </w:r>
                  <w:r>
                    <w:rPr>
                      <w:rFonts w:hint="default" w:ascii="Times New Roman" w:hAnsi="Times New Roman" w:eastAsia="Times New Roman" w:cs="Times New Roman"/>
                      <w:color w:val="auto"/>
                      <w:spacing w:val="3"/>
                      <w:sz w:val="20"/>
                      <w:szCs w:val="20"/>
                      <w:highlight w:val="none"/>
                    </w:rPr>
                    <w:t>0.1%</w:t>
                  </w:r>
                  <w:r>
                    <w:rPr>
                      <w:rFonts w:hint="default" w:ascii="Times New Roman" w:hAnsi="Times New Roman" w:cs="Times New Roman"/>
                      <w:color w:val="auto"/>
                      <w:spacing w:val="3"/>
                      <w:sz w:val="20"/>
                      <w:szCs w:val="20"/>
                      <w:highlight w:val="none"/>
                    </w:rPr>
                    <w:t>，则</w:t>
                  </w:r>
                  <w:r>
                    <w:rPr>
                      <w:rFonts w:hint="default" w:ascii="Times New Roman" w:hAnsi="Times New Roman" w:eastAsia="Times New Roman" w:cs="Times New Roman"/>
                      <w:color w:val="auto"/>
                      <w:spacing w:val="3"/>
                      <w:sz w:val="20"/>
                      <w:szCs w:val="20"/>
                      <w:highlight w:val="none"/>
                    </w:rPr>
                    <w:t>S=0.1</w:t>
                  </w:r>
                  <w:r>
                    <w:rPr>
                      <w:rFonts w:hint="default" w:ascii="Times New Roman" w:hAnsi="Times New Roman" w:cs="Times New Roman"/>
                      <w:color w:val="auto"/>
                      <w:spacing w:val="3"/>
                      <w:sz w:val="20"/>
                      <w:szCs w:val="20"/>
                      <w:highlight w:val="none"/>
                    </w:rPr>
                    <w:t>。</w:t>
                  </w:r>
                </w:p>
              </w:tc>
            </w:tr>
          </w:tbl>
          <w:p w14:paraId="57BF9560">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根据企业生产规划情况，本次企业设置蒸汽锅炉为</w:t>
            </w:r>
            <w:r>
              <w:rPr>
                <w:rFonts w:hint="eastAsia" w:ascii="Times New Roman" w:hAnsi="Times New Roman" w:cs="Times New Roman"/>
                <w:b w:val="0"/>
                <w:bCs w:val="0"/>
                <w:color w:val="auto"/>
                <w:sz w:val="24"/>
                <w:highlight w:val="none"/>
                <w:lang w:val="en-US" w:eastAsia="zh-CN"/>
              </w:rPr>
              <w:t>8</w:t>
            </w:r>
            <w:r>
              <w:rPr>
                <w:rFonts w:hint="eastAsia" w:ascii="Times New Roman" w:hAnsi="Times New Roman" w:eastAsia="宋体" w:cs="Times New Roman"/>
                <w:b w:val="0"/>
                <w:bCs w:val="0"/>
                <w:color w:val="auto"/>
                <w:sz w:val="24"/>
                <w:highlight w:val="none"/>
                <w:lang w:val="en-US" w:eastAsia="zh-CN"/>
              </w:rPr>
              <w:t>t/h</w:t>
            </w:r>
            <w:r>
              <w:rPr>
                <w:rFonts w:hint="default" w:ascii="Times New Roman" w:hAnsi="Times New Roman" w:eastAsia="宋体" w:cs="Times New Roman"/>
                <w:b w:val="0"/>
                <w:bCs w:val="0"/>
                <w:color w:val="auto"/>
                <w:sz w:val="24"/>
                <w:highlight w:val="none"/>
                <w:lang w:val="en-US" w:eastAsia="zh-CN"/>
              </w:rPr>
              <w:t>，生物质燃料锅炉年运行时间为</w:t>
            </w:r>
            <w:r>
              <w:rPr>
                <w:rFonts w:hint="default" w:ascii="Times New Roman" w:hAnsi="Times New Roman" w:eastAsia="宋体" w:cs="Times New Roman"/>
                <w:color w:val="auto"/>
                <w:sz w:val="24"/>
                <w:highlight w:val="none"/>
                <w:lang w:val="en-US" w:eastAsia="zh-CN"/>
              </w:rPr>
              <w:t>2640</w:t>
            </w:r>
            <w:r>
              <w:rPr>
                <w:rFonts w:hint="default" w:ascii="Times New Roman" w:hAnsi="Times New Roman" w:eastAsia="宋体" w:cs="Times New Roman"/>
                <w:b w:val="0"/>
                <w:bCs w:val="0"/>
                <w:color w:val="auto"/>
                <w:sz w:val="24"/>
                <w:highlight w:val="none"/>
                <w:lang w:val="en-US" w:eastAsia="zh-CN"/>
              </w:rPr>
              <w:t>h，年用量约为</w:t>
            </w:r>
            <w:r>
              <w:rPr>
                <w:rFonts w:hint="eastAsia" w:ascii="Times New Roman" w:hAnsi="Times New Roman" w:cs="Times New Roman"/>
                <w:b w:val="0"/>
                <w:bCs w:val="0"/>
                <w:color w:val="auto"/>
                <w:sz w:val="24"/>
                <w:highlight w:val="none"/>
                <w:lang w:val="en-US" w:eastAsia="zh-CN"/>
              </w:rPr>
              <w:t>400</w:t>
            </w:r>
            <w:r>
              <w:rPr>
                <w:rFonts w:hint="default" w:ascii="Times New Roman" w:hAnsi="Times New Roman" w:eastAsia="宋体" w:cs="Times New Roman"/>
                <w:b w:val="0"/>
                <w:bCs w:val="0"/>
                <w:color w:val="auto"/>
                <w:sz w:val="24"/>
                <w:highlight w:val="none"/>
                <w:lang w:val="en-US" w:eastAsia="zh-CN"/>
              </w:rPr>
              <w:t>t/a。</w:t>
            </w:r>
            <w:r>
              <w:rPr>
                <w:rFonts w:hint="eastAsia" w:ascii="Times New Roman" w:hAnsi="Times New Roman" w:eastAsia="宋体" w:cs="Times New Roman"/>
                <w:b w:val="0"/>
                <w:bCs w:val="0"/>
                <w:color w:val="auto"/>
                <w:sz w:val="24"/>
                <w:highlight w:val="none"/>
                <w:lang w:val="en-US" w:eastAsia="zh-CN"/>
              </w:rPr>
              <w:t>根据项目生物质燃料监测报告（见附件），生物质燃料含硫量为0.03%</w:t>
            </w:r>
          </w:p>
          <w:p w14:paraId="1386B7AF">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本项目产生的</w:t>
            </w:r>
            <w:r>
              <w:rPr>
                <w:rFonts w:hint="eastAsia" w:ascii="Times New Roman" w:hAnsi="Times New Roman" w:eastAsia="宋体" w:cs="Times New Roman"/>
                <w:b w:val="0"/>
                <w:bCs w:val="0"/>
                <w:color w:val="auto"/>
                <w:sz w:val="24"/>
                <w:highlight w:val="none"/>
                <w:lang w:val="en-US" w:eastAsia="zh-CN"/>
              </w:rPr>
              <w:t>废气</w:t>
            </w:r>
            <w:r>
              <w:rPr>
                <w:rFonts w:hint="default" w:ascii="Times New Roman" w:hAnsi="Times New Roman" w:eastAsia="宋体" w:cs="Times New Roman"/>
                <w:b w:val="0"/>
                <w:bCs w:val="0"/>
                <w:color w:val="auto"/>
                <w:sz w:val="24"/>
                <w:highlight w:val="none"/>
                <w:lang w:val="en-US" w:eastAsia="zh-CN"/>
              </w:rPr>
              <w:t>产生量为2496000m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/a，SO</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产生量为0.204t/a</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颗粒物产生量为0.2t/a；NOx产生量为0.408t/a。</w:t>
            </w:r>
          </w:p>
          <w:p w14:paraId="5E985D22">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本项目蒸汽锅炉采用低氮燃烧+选择性非催化还原法（SNCR）</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布袋除尘器</w:t>
            </w:r>
            <w:r>
              <w:rPr>
                <w:rFonts w:hint="eastAsia" w:cs="Times New Roman"/>
                <w:b w:val="0"/>
                <w:bCs w:val="0"/>
                <w:color w:val="auto"/>
                <w:sz w:val="24"/>
                <w:highlight w:val="none"/>
                <w:lang w:val="en-US" w:eastAsia="zh-CN"/>
              </w:rPr>
              <w:t>+湿法脱硫</w:t>
            </w:r>
            <w:r>
              <w:rPr>
                <w:rFonts w:hint="default" w:ascii="Times New Roman" w:hAnsi="Times New Roman" w:eastAsia="宋体" w:cs="Times New Roman"/>
                <w:b w:val="0"/>
                <w:bCs w:val="0"/>
                <w:color w:val="auto"/>
                <w:sz w:val="24"/>
                <w:highlight w:val="none"/>
                <w:lang w:val="en-US" w:eastAsia="zh-CN"/>
              </w:rPr>
              <w:t>对锅炉烟气进行处理后排放，根据上表，则本项目SO</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排放量为</w:t>
            </w:r>
            <w:r>
              <w:rPr>
                <w:rFonts w:hint="eastAsia" w:cs="Times New Roman"/>
                <w:b w:val="0"/>
                <w:bCs w:val="0"/>
                <w:color w:val="auto"/>
                <w:sz w:val="24"/>
                <w:highlight w:val="none"/>
                <w:lang w:val="en-US" w:eastAsia="zh-CN"/>
              </w:rPr>
              <w:t>0.015</w:t>
            </w:r>
            <w:r>
              <w:rPr>
                <w:rFonts w:hint="default" w:ascii="Times New Roman" w:hAnsi="Times New Roman" w:eastAsia="宋体" w:cs="Times New Roman"/>
                <w:b w:val="0"/>
                <w:bCs w:val="0"/>
                <w:color w:val="auto"/>
                <w:sz w:val="24"/>
                <w:highlight w:val="none"/>
                <w:lang w:val="en-US" w:eastAsia="zh-CN"/>
              </w:rPr>
              <w:t>t/a，排放速率为</w:t>
            </w:r>
            <w:r>
              <w:rPr>
                <w:rFonts w:hint="eastAsia" w:cs="Times New Roman"/>
                <w:b w:val="0"/>
                <w:bCs w:val="0"/>
                <w:color w:val="auto"/>
                <w:sz w:val="24"/>
                <w:highlight w:val="none"/>
                <w:lang w:val="en-US" w:eastAsia="zh-CN"/>
              </w:rPr>
              <w:t>5.682</w:t>
            </w:r>
            <w:r>
              <w:rPr>
                <w:rFonts w:hint="default" w:ascii="Arial" w:hAnsi="Arial" w:cs="Arial"/>
                <w:b w:val="0"/>
                <w:bCs w:val="0"/>
                <w:color w:val="auto"/>
                <w:sz w:val="24"/>
                <w:highlight w:val="none"/>
                <w:lang w:val="en-US" w:eastAsia="zh-CN"/>
              </w:rPr>
              <w:t>×</w:t>
            </w:r>
            <w:r>
              <w:rPr>
                <w:rFonts w:hint="eastAsia" w:cs="Times New Roman"/>
                <w:b w:val="0"/>
                <w:bCs w:val="0"/>
                <w:color w:val="auto"/>
                <w:sz w:val="24"/>
                <w:highlight w:val="none"/>
                <w:lang w:val="en-US" w:eastAsia="zh-CN"/>
              </w:rPr>
              <w:t>10</w:t>
            </w:r>
            <w:r>
              <w:rPr>
                <w:rFonts w:hint="eastAsia"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kg/h，排放浓度为</w:t>
            </w:r>
            <w:r>
              <w:rPr>
                <w:rFonts w:hint="eastAsia" w:cs="Times New Roman"/>
                <w:b w:val="0"/>
                <w:bCs w:val="0"/>
                <w:color w:val="auto"/>
                <w:sz w:val="24"/>
                <w:highlight w:val="none"/>
                <w:lang w:val="en-US" w:eastAsia="zh-CN"/>
              </w:rPr>
              <w:t>6.010</w:t>
            </w:r>
            <w:r>
              <w:rPr>
                <w:rFonts w:hint="default" w:ascii="Times New Roman" w:hAnsi="Times New Roman" w:eastAsia="宋体" w:cs="Times New Roman"/>
                <w:b w:val="0"/>
                <w:bCs w:val="0"/>
                <w:color w:val="auto"/>
                <w:sz w:val="24"/>
                <w:highlight w:val="none"/>
                <w:lang w:val="en-US" w:eastAsia="zh-CN"/>
              </w:rPr>
              <w:t>mg/m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；NOx排放量为0.223t/a，排放速率为0.0</w:t>
            </w:r>
            <w:r>
              <w:rPr>
                <w:rFonts w:hint="eastAsia" w:cs="Times New Roman"/>
                <w:b w:val="0"/>
                <w:bCs w:val="0"/>
                <w:color w:val="auto"/>
                <w:sz w:val="24"/>
                <w:highlight w:val="none"/>
                <w:lang w:val="en-US" w:eastAsia="zh-CN"/>
              </w:rPr>
              <w:t>84</w:t>
            </w:r>
            <w:r>
              <w:rPr>
                <w:rFonts w:hint="default" w:ascii="Times New Roman" w:hAnsi="Times New Roman" w:eastAsia="宋体" w:cs="Times New Roman"/>
                <w:b w:val="0"/>
                <w:bCs w:val="0"/>
                <w:color w:val="auto"/>
                <w:sz w:val="24"/>
                <w:highlight w:val="none"/>
                <w:lang w:val="en-US" w:eastAsia="zh-CN"/>
              </w:rPr>
              <w:t>kg/h，排放浓度为</w:t>
            </w:r>
            <w:r>
              <w:rPr>
                <w:rFonts w:hint="eastAsia" w:cs="Times New Roman"/>
                <w:b w:val="0"/>
                <w:bCs w:val="0"/>
                <w:color w:val="auto"/>
                <w:sz w:val="24"/>
                <w:highlight w:val="none"/>
                <w:lang w:val="en-US" w:eastAsia="zh-CN"/>
              </w:rPr>
              <w:t>89.343</w:t>
            </w:r>
            <w:r>
              <w:rPr>
                <w:rFonts w:hint="default" w:ascii="Times New Roman" w:hAnsi="Times New Roman" w:eastAsia="宋体" w:cs="Times New Roman"/>
                <w:b w:val="0"/>
                <w:bCs w:val="0"/>
                <w:color w:val="auto"/>
                <w:sz w:val="24"/>
                <w:highlight w:val="none"/>
                <w:lang w:val="en-US" w:eastAsia="zh-CN"/>
              </w:rPr>
              <w:t>mg/m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；颗粒物排放量为</w:t>
            </w:r>
            <w:r>
              <w:rPr>
                <w:rFonts w:hint="eastAsia" w:cs="Times New Roman"/>
                <w:b w:val="0"/>
                <w:bCs w:val="0"/>
                <w:color w:val="auto"/>
                <w:sz w:val="24"/>
                <w:highlight w:val="none"/>
                <w:lang w:val="en-US" w:eastAsia="zh-CN"/>
              </w:rPr>
              <w:t>0.0006</w:t>
            </w:r>
            <w:r>
              <w:rPr>
                <w:rFonts w:hint="default" w:ascii="Times New Roman" w:hAnsi="Times New Roman" w:eastAsia="宋体" w:cs="Times New Roman"/>
                <w:b w:val="0"/>
                <w:bCs w:val="0"/>
                <w:color w:val="auto"/>
                <w:sz w:val="24"/>
                <w:highlight w:val="none"/>
                <w:lang w:val="en-US" w:eastAsia="zh-CN"/>
              </w:rPr>
              <w:t>t/a，排放速率为</w:t>
            </w:r>
            <w:r>
              <w:rPr>
                <w:rFonts w:hint="eastAsia" w:cs="Times New Roman"/>
                <w:b w:val="0"/>
                <w:bCs w:val="0"/>
                <w:color w:val="auto"/>
                <w:sz w:val="24"/>
                <w:highlight w:val="none"/>
                <w:lang w:val="en-US" w:eastAsia="zh-CN"/>
              </w:rPr>
              <w:t>2.273</w:t>
            </w:r>
            <w:r>
              <w:rPr>
                <w:rFonts w:hint="default" w:ascii="Arial" w:hAnsi="Arial" w:cs="Arial"/>
                <w:b w:val="0"/>
                <w:bCs w:val="0"/>
                <w:color w:val="auto"/>
                <w:sz w:val="24"/>
                <w:highlight w:val="none"/>
                <w:lang w:val="en-US" w:eastAsia="zh-CN"/>
              </w:rPr>
              <w:t>×</w:t>
            </w:r>
            <w:r>
              <w:rPr>
                <w:rFonts w:hint="eastAsia" w:cs="Times New Roman"/>
                <w:b w:val="0"/>
                <w:bCs w:val="0"/>
                <w:color w:val="auto"/>
                <w:sz w:val="24"/>
                <w:highlight w:val="none"/>
                <w:lang w:val="en-US" w:eastAsia="zh-CN"/>
              </w:rPr>
              <w:t>10</w:t>
            </w:r>
            <w:r>
              <w:rPr>
                <w:rFonts w:hint="eastAsia" w:cs="Times New Roman"/>
                <w:b w:val="0"/>
                <w:bCs w:val="0"/>
                <w:color w:val="auto"/>
                <w:sz w:val="24"/>
                <w:highlight w:val="none"/>
                <w:vertAlign w:val="superscript"/>
                <w:lang w:val="en-US" w:eastAsia="zh-CN"/>
              </w:rPr>
              <w:t>-4</w:t>
            </w:r>
            <w:r>
              <w:rPr>
                <w:rFonts w:hint="default" w:ascii="Times New Roman" w:hAnsi="Times New Roman" w:eastAsia="宋体" w:cs="Times New Roman"/>
                <w:b w:val="0"/>
                <w:bCs w:val="0"/>
                <w:color w:val="auto"/>
                <w:sz w:val="24"/>
                <w:highlight w:val="none"/>
                <w:lang w:val="en-US" w:eastAsia="zh-CN"/>
              </w:rPr>
              <w:t>kg/h，排放浓度为0.240mg/m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。由</w:t>
            </w:r>
            <w:r>
              <w:rPr>
                <w:rFonts w:hint="eastAsia" w:ascii="Times New Roman" w:hAnsi="Times New Roman" w:cs="Times New Roman"/>
                <w:b w:val="0"/>
                <w:bCs w:val="0"/>
                <w:color w:val="auto"/>
                <w:sz w:val="24"/>
                <w:highlight w:val="none"/>
                <w:lang w:val="en-US" w:eastAsia="zh-CN"/>
              </w:rPr>
              <w:t>3</w:t>
            </w:r>
            <w:r>
              <w:rPr>
                <w:rFonts w:hint="eastAsia"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lang w:val="en-US" w:eastAsia="zh-CN"/>
              </w:rPr>
              <w:t>m高排气筒</w:t>
            </w:r>
            <w:r>
              <w:rPr>
                <w:rFonts w:hint="eastAsia" w:ascii="Times New Roman" w:hAnsi="Times New Roman" w:eastAsia="宋体" w:cs="Times New Roman"/>
                <w:b w:val="0"/>
                <w:bCs w:val="0"/>
                <w:color w:val="auto"/>
                <w:sz w:val="24"/>
                <w:highlight w:val="none"/>
                <w:lang w:val="en-US" w:eastAsia="zh-CN"/>
              </w:rPr>
              <w:t>DA001</w:t>
            </w:r>
            <w:r>
              <w:rPr>
                <w:rFonts w:hint="default" w:ascii="Times New Roman" w:hAnsi="Times New Roman" w:eastAsia="宋体" w:cs="Times New Roman"/>
                <w:b w:val="0"/>
                <w:bCs w:val="0"/>
                <w:color w:val="auto"/>
                <w:sz w:val="24"/>
                <w:highlight w:val="none"/>
                <w:lang w:val="en-US" w:eastAsia="zh-CN"/>
              </w:rPr>
              <w:t>排放</w:t>
            </w:r>
            <w:r>
              <w:rPr>
                <w:rFonts w:hint="eastAsia" w:cs="Times New Roman"/>
                <w:b w:val="0"/>
                <w:bCs w:val="0"/>
                <w:color w:val="auto"/>
                <w:sz w:val="24"/>
                <w:highlight w:val="none"/>
                <w:lang w:val="en-US" w:eastAsia="zh-CN"/>
              </w:rPr>
              <w:t>。</w:t>
            </w:r>
          </w:p>
          <w:p w14:paraId="778E73E7">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本项目锅炉烟气治理采用</w:t>
            </w:r>
            <w:r>
              <w:rPr>
                <w:rFonts w:hint="default" w:ascii="Times New Roman" w:hAnsi="Times New Roman" w:eastAsia="宋体" w:cs="Times New Roman"/>
                <w:b w:val="0"/>
                <w:bCs w:val="0"/>
                <w:color w:val="auto"/>
                <w:sz w:val="24"/>
                <w:highlight w:val="none"/>
                <w:lang w:val="en-US" w:eastAsia="zh-CN"/>
              </w:rPr>
              <w:t>低氮燃烧+选择性非催化还原法（SNCR）</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布袋除尘器</w:t>
            </w:r>
            <w:r>
              <w:rPr>
                <w:rFonts w:hint="eastAsia" w:cs="Times New Roman"/>
                <w:b w:val="0"/>
                <w:bCs w:val="0"/>
                <w:color w:val="auto"/>
                <w:sz w:val="24"/>
                <w:highlight w:val="none"/>
                <w:lang w:val="en-US" w:eastAsia="zh-CN"/>
              </w:rPr>
              <w:t>+湿法脱硫</w:t>
            </w:r>
            <w:r>
              <w:rPr>
                <w:rFonts w:hint="eastAsia" w:ascii="Times New Roman" w:hAnsi="Times New Roman" w:eastAsia="宋体" w:cs="Times New Roman"/>
                <w:b w:val="0"/>
                <w:bCs w:val="0"/>
                <w:color w:val="auto"/>
                <w:sz w:val="24"/>
                <w:highlight w:val="none"/>
                <w:lang w:val="en-US" w:eastAsia="zh-CN"/>
              </w:rPr>
              <w:t>。根据</w:t>
            </w:r>
            <w:r>
              <w:rPr>
                <w:rFonts w:hint="eastAsia" w:cs="Times New Roman"/>
                <w:b w:val="0"/>
                <w:bCs w:val="0"/>
                <w:color w:val="auto"/>
                <w:sz w:val="24"/>
                <w:highlight w:val="none"/>
                <w:lang w:val="en-US" w:eastAsia="zh-CN"/>
              </w:rPr>
              <w:t>《排污许可证申请与核发技术规范 锅炉》(HJ953)，上述烟气处理工艺均是《排污许可证申请与核发技术规范 锅炉》 (HJ953)中推荐工艺，故本项目烟气处理采用</w:t>
            </w:r>
            <w:r>
              <w:rPr>
                <w:rFonts w:hint="default" w:ascii="Times New Roman" w:hAnsi="Times New Roman" w:eastAsia="宋体" w:cs="Times New Roman"/>
                <w:b w:val="0"/>
                <w:bCs w:val="0"/>
                <w:color w:val="auto"/>
                <w:sz w:val="24"/>
                <w:highlight w:val="none"/>
                <w:lang w:val="en-US" w:eastAsia="zh-CN"/>
              </w:rPr>
              <w:t>低氮燃烧+选择性非催化还原法（SNCR）</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布袋除尘器</w:t>
            </w:r>
            <w:r>
              <w:rPr>
                <w:rFonts w:hint="eastAsia" w:cs="Times New Roman"/>
                <w:b w:val="0"/>
                <w:bCs w:val="0"/>
                <w:color w:val="auto"/>
                <w:sz w:val="24"/>
                <w:highlight w:val="none"/>
                <w:lang w:val="en-US" w:eastAsia="zh-CN"/>
              </w:rPr>
              <w:t>+湿法脱硫</w:t>
            </w:r>
            <w:r>
              <w:rPr>
                <w:rFonts w:hint="eastAsia" w:ascii="Times New Roman" w:hAnsi="Times New Roman" w:eastAsia="宋体" w:cs="Times New Roman"/>
                <w:b w:val="0"/>
                <w:bCs w:val="0"/>
                <w:color w:val="auto"/>
                <w:sz w:val="24"/>
                <w:highlight w:val="none"/>
                <w:lang w:val="en-US" w:eastAsia="zh-CN"/>
              </w:rPr>
              <w:t>可行</w:t>
            </w:r>
            <w:r>
              <w:rPr>
                <w:rFonts w:hint="default" w:ascii="Times New Roman" w:hAnsi="Times New Roman" w:eastAsia="宋体" w:cs="Times New Roman"/>
                <w:b w:val="0"/>
                <w:bCs w:val="0"/>
                <w:color w:val="auto"/>
                <w:sz w:val="24"/>
                <w:highlight w:val="none"/>
                <w:lang w:val="en-US" w:eastAsia="zh-CN"/>
              </w:rPr>
              <w:t>。</w:t>
            </w:r>
          </w:p>
          <w:p w14:paraId="3B61FDB2">
            <w:pPr>
              <w:pStyle w:val="24"/>
              <w:spacing w:line="480" w:lineRule="exact"/>
              <w:ind w:left="0" w:firstLine="0" w:firstLineChars="0"/>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1.2</w:t>
            </w:r>
            <w:r>
              <w:rPr>
                <w:rFonts w:hint="eastAsia" w:ascii="Times New Roman" w:hAnsi="Times New Roman" w:eastAsia="宋体" w:cs="Times New Roman"/>
                <w:b/>
                <w:bCs/>
                <w:color w:val="auto"/>
                <w:sz w:val="24"/>
                <w:highlight w:val="none"/>
                <w:lang w:val="en-US" w:eastAsia="zh-CN"/>
              </w:rPr>
              <w:t>肥料饲料加工粉尘</w:t>
            </w:r>
          </w:p>
          <w:p w14:paraId="69EA1EC0">
            <w:pPr>
              <w:spacing w:line="480" w:lineRule="exact"/>
              <w:ind w:firstLine="480" w:firstLineChars="200"/>
              <w:rPr>
                <w:rFonts w:hint="default" w:eastAsia="宋体" w:cs="Times New Roman"/>
                <w:b w:val="0"/>
                <w:bCs/>
                <w:color w:val="auto"/>
                <w:kern w:val="0"/>
                <w:sz w:val="24"/>
                <w:szCs w:val="24"/>
                <w:highlight w:val="none"/>
                <w:lang w:val="en-US" w:eastAsia="zh-CN" w:bidi="ar-SA"/>
              </w:rPr>
            </w:pPr>
            <w:r>
              <w:rPr>
                <w:rFonts w:hint="eastAsia" w:cs="Times New Roman"/>
                <w:bCs/>
                <w:color w:val="auto"/>
                <w:kern w:val="0"/>
                <w:sz w:val="24"/>
                <w:szCs w:val="24"/>
                <w:highlight w:val="none"/>
                <w:lang w:val="en-US" w:eastAsia="zh-CN" w:bidi="ar-SA"/>
              </w:rPr>
              <w:t>根据前文</w:t>
            </w:r>
            <w:r>
              <w:rPr>
                <w:rFonts w:hint="eastAsia" w:cs="Times New Roman"/>
                <w:b w:val="0"/>
                <w:bCs/>
                <w:color w:val="auto"/>
                <w:kern w:val="0"/>
                <w:sz w:val="24"/>
                <w:szCs w:val="24"/>
                <w:highlight w:val="none"/>
                <w:lang w:val="en-US" w:eastAsia="zh-CN" w:bidi="ar-SA"/>
              </w:rPr>
              <w:t>工程分析可知，本项目肥料、饲料加工设计多个加工环节，包括破碎、筛分、投料、干燥、风冷、包装等工序。</w:t>
            </w:r>
            <w:r>
              <w:rPr>
                <w:b w:val="0"/>
                <w:bCs/>
                <w:color w:val="auto"/>
                <w:sz w:val="24"/>
                <w:highlight w:val="none"/>
              </w:rPr>
              <w:t>根据《</w:t>
            </w:r>
            <w:r>
              <w:rPr>
                <w:rFonts w:hint="eastAsia"/>
                <w:b w:val="0"/>
                <w:bCs/>
                <w:color w:val="auto"/>
                <w:sz w:val="24"/>
                <w:highlight w:val="none"/>
              </w:rPr>
              <w:t>排放源统计调查产排污核算方法和系数手册</w:t>
            </w:r>
            <w:r>
              <w:rPr>
                <w:b w:val="0"/>
                <w:bCs/>
                <w:color w:val="auto"/>
                <w:sz w:val="24"/>
                <w:highlight w:val="none"/>
              </w:rPr>
              <w:t>》中“2625有机肥料及微生物肥料制造行业”，</w:t>
            </w:r>
            <w:r>
              <w:rPr>
                <w:rFonts w:hint="eastAsia"/>
                <w:b w:val="0"/>
                <w:bCs/>
                <w:color w:val="auto"/>
                <w:sz w:val="24"/>
                <w:highlight w:val="none"/>
              </w:rPr>
              <w:t>混配/混配造粒</w:t>
            </w:r>
            <w:r>
              <w:rPr>
                <w:rFonts w:hint="eastAsia"/>
                <w:b w:val="0"/>
                <w:bCs/>
                <w:color w:val="auto"/>
                <w:sz w:val="24"/>
                <w:highlight w:val="none"/>
                <w:lang w:val="en-US" w:eastAsia="zh-CN"/>
              </w:rPr>
              <w:t>工艺对应的</w:t>
            </w:r>
            <w:r>
              <w:rPr>
                <w:b w:val="0"/>
                <w:bCs/>
                <w:color w:val="auto"/>
                <w:sz w:val="24"/>
                <w:highlight w:val="none"/>
              </w:rPr>
              <w:t>颗粒物产生系数为0.37kg/t产品，</w:t>
            </w:r>
            <w:r>
              <w:rPr>
                <w:rFonts w:hint="eastAsia"/>
                <w:b w:val="0"/>
                <w:bCs/>
                <w:color w:val="auto"/>
                <w:sz w:val="24"/>
                <w:highlight w:val="none"/>
                <w:lang w:val="en-US" w:eastAsia="zh-CN"/>
              </w:rPr>
              <w:t>故本项目上述加工过程产污系数均按照此系数进行核算。各工艺过程处理规模及风量参数具体见下表。</w:t>
            </w:r>
          </w:p>
          <w:p w14:paraId="5B5F6E50">
            <w:pPr>
              <w:adjustRightInd w:val="0"/>
              <w:snapToGrid w:val="0"/>
              <w:spacing w:line="360" w:lineRule="auto"/>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zh-CN" w:eastAsia="zh-CN"/>
              </w:rPr>
              <w:t>表</w:t>
            </w:r>
            <w:r>
              <w:rPr>
                <w:rFonts w:hint="default" w:ascii="Times New Roman" w:hAnsi="Times New Roman" w:eastAsia="宋体" w:cs="Times New Roman"/>
                <w:b/>
                <w:color w:val="auto"/>
                <w:szCs w:val="21"/>
                <w:highlight w:val="none"/>
                <w:lang w:val="en-US" w:eastAsia="zh-CN"/>
              </w:rPr>
              <w:t>4-</w:t>
            </w:r>
            <w:r>
              <w:rPr>
                <w:rFonts w:hint="eastAsia" w:ascii="Times New Roman" w:hAnsi="Times New Roman" w:cs="Times New Roman"/>
                <w:b/>
                <w:color w:val="auto"/>
                <w:szCs w:val="21"/>
                <w:highlight w:val="none"/>
                <w:lang w:val="en-US" w:eastAsia="zh-CN"/>
              </w:rPr>
              <w:t>2</w:t>
            </w:r>
            <w:r>
              <w:rPr>
                <w:rFonts w:hint="default" w:ascii="Times New Roman" w:hAnsi="Times New Roman" w:eastAsia="宋体" w:cs="Times New Roman"/>
                <w:b/>
                <w:color w:val="auto"/>
                <w:szCs w:val="21"/>
                <w:highlight w:val="none"/>
                <w:lang w:val="zh-CN" w:eastAsia="zh-CN"/>
              </w:rPr>
              <w:t xml:space="preserve">  </w:t>
            </w:r>
            <w:r>
              <w:rPr>
                <w:rFonts w:hint="eastAsia" w:ascii="Times New Roman" w:hAnsi="Times New Roman" w:cs="Times New Roman"/>
                <w:b/>
                <w:color w:val="auto"/>
                <w:szCs w:val="21"/>
                <w:highlight w:val="none"/>
                <w:lang w:val="en-US" w:eastAsia="zh-CN"/>
              </w:rPr>
              <w:t>加工粉尘核算参数一览表</w:t>
            </w:r>
          </w:p>
          <w:tbl>
            <w:tblPr>
              <w:tblStyle w:val="33"/>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169"/>
              <w:gridCol w:w="2661"/>
              <w:gridCol w:w="1288"/>
              <w:gridCol w:w="1167"/>
            </w:tblGrid>
            <w:tr w14:paraId="04AD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3" w:type="pct"/>
                  <w:noWrap w:val="0"/>
                  <w:vAlign w:val="center"/>
                </w:tcPr>
                <w:p w14:paraId="0926512B">
                  <w:pPr>
                    <w:jc w:val="center"/>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cs="Times New Roman"/>
                      <w:b/>
                      <w:bCs/>
                      <w:color w:val="auto"/>
                      <w:sz w:val="18"/>
                      <w:szCs w:val="18"/>
                      <w:highlight w:val="none"/>
                      <w:lang w:val="en-US" w:eastAsia="zh-CN"/>
                    </w:rPr>
                    <w:t>污染源</w:t>
                  </w:r>
                </w:p>
              </w:tc>
              <w:tc>
                <w:tcPr>
                  <w:tcW w:w="708" w:type="pct"/>
                  <w:noWrap w:val="0"/>
                  <w:vAlign w:val="center"/>
                </w:tcPr>
                <w:p w14:paraId="1B326EDF">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污染因子</w:t>
                  </w:r>
                </w:p>
              </w:tc>
              <w:tc>
                <w:tcPr>
                  <w:tcW w:w="1612" w:type="pct"/>
                  <w:noWrap w:val="0"/>
                  <w:vAlign w:val="center"/>
                </w:tcPr>
                <w:p w14:paraId="353BB6DD">
                  <w:pPr>
                    <w:jc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排污口编号及措施</w:t>
                  </w:r>
                </w:p>
              </w:tc>
              <w:tc>
                <w:tcPr>
                  <w:tcW w:w="780" w:type="pct"/>
                  <w:noWrap w:val="0"/>
                  <w:vAlign w:val="center"/>
                </w:tcPr>
                <w:p w14:paraId="7DDB8BF3">
                  <w:pPr>
                    <w:jc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加工规模t/a</w:t>
                  </w:r>
                </w:p>
              </w:tc>
              <w:tc>
                <w:tcPr>
                  <w:tcW w:w="706" w:type="pct"/>
                  <w:noWrap w:val="0"/>
                  <w:vAlign w:val="center"/>
                </w:tcPr>
                <w:p w14:paraId="54EBC480">
                  <w:pPr>
                    <w:jc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风量m</w:t>
                  </w:r>
                  <w:r>
                    <w:rPr>
                      <w:rFonts w:hint="eastAsia" w:cs="Times New Roman"/>
                      <w:b/>
                      <w:bCs/>
                      <w:color w:val="auto"/>
                      <w:sz w:val="18"/>
                      <w:szCs w:val="18"/>
                      <w:highlight w:val="none"/>
                      <w:vertAlign w:val="superscript"/>
                      <w:lang w:val="en-US" w:eastAsia="zh-CN"/>
                    </w:rPr>
                    <w:t>3</w:t>
                  </w:r>
                  <w:r>
                    <w:rPr>
                      <w:rFonts w:hint="eastAsia" w:cs="Times New Roman"/>
                      <w:b/>
                      <w:bCs/>
                      <w:color w:val="auto"/>
                      <w:sz w:val="18"/>
                      <w:szCs w:val="18"/>
                      <w:highlight w:val="none"/>
                      <w:lang w:val="en-US" w:eastAsia="zh-CN"/>
                    </w:rPr>
                    <w:t>/h</w:t>
                  </w:r>
                </w:p>
              </w:tc>
            </w:tr>
            <w:tr w14:paraId="5ED8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3F574620">
                  <w:pPr>
                    <w:ind w:left="-108" w:leftChars="0" w:right="-102"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玉米芯投料粉尘</w:t>
                  </w:r>
                </w:p>
              </w:tc>
              <w:tc>
                <w:tcPr>
                  <w:tcW w:w="708" w:type="pct"/>
                  <w:shd w:val="clear" w:color="auto" w:fill="auto"/>
                  <w:noWrap w:val="0"/>
                  <w:vAlign w:val="center"/>
                </w:tcPr>
                <w:p w14:paraId="4179416D">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12B11586">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DA002，集气罩+布袋除尘器</w:t>
                  </w:r>
                </w:p>
              </w:tc>
              <w:tc>
                <w:tcPr>
                  <w:tcW w:w="780" w:type="pct"/>
                  <w:shd w:val="clear" w:color="auto" w:fill="auto"/>
                  <w:noWrap w:val="0"/>
                  <w:vAlign w:val="center"/>
                </w:tcPr>
                <w:p w14:paraId="62E925AB">
                  <w:pPr>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20000</w:t>
                  </w:r>
                </w:p>
              </w:tc>
              <w:tc>
                <w:tcPr>
                  <w:tcW w:w="706" w:type="pct"/>
                  <w:shd w:val="clear" w:color="auto" w:fill="auto"/>
                  <w:noWrap w:val="0"/>
                  <w:vAlign w:val="center"/>
                </w:tcPr>
                <w:p w14:paraId="4A2ABDF8">
                  <w:pPr>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r>
            <w:tr w14:paraId="140D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17C84817">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玉米芯粗粉粉尘</w:t>
                  </w:r>
                </w:p>
              </w:tc>
              <w:tc>
                <w:tcPr>
                  <w:tcW w:w="708" w:type="pct"/>
                  <w:shd w:val="clear" w:color="auto" w:fill="auto"/>
                  <w:noWrap w:val="0"/>
                  <w:vAlign w:val="center"/>
                </w:tcPr>
                <w:p w14:paraId="3A62DF8F">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2CD1E355">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DA003，集气罩+布袋除尘器</w:t>
                  </w:r>
                </w:p>
              </w:tc>
              <w:tc>
                <w:tcPr>
                  <w:tcW w:w="780" w:type="pct"/>
                  <w:shd w:val="clear" w:color="auto" w:fill="auto"/>
                  <w:noWrap w:val="0"/>
                  <w:vAlign w:val="center"/>
                </w:tcPr>
                <w:p w14:paraId="53B09574">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20000</w:t>
                  </w:r>
                </w:p>
              </w:tc>
              <w:tc>
                <w:tcPr>
                  <w:tcW w:w="706" w:type="pct"/>
                  <w:shd w:val="clear" w:color="auto" w:fill="auto"/>
                  <w:noWrap w:val="0"/>
                  <w:vAlign w:val="center"/>
                </w:tcPr>
                <w:p w14:paraId="658DEA8F">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r>
            <w:tr w14:paraId="428C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75178468">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玉米芯细粉粉尘</w:t>
                  </w:r>
                </w:p>
              </w:tc>
              <w:tc>
                <w:tcPr>
                  <w:tcW w:w="708" w:type="pct"/>
                  <w:shd w:val="clear" w:color="auto" w:fill="auto"/>
                  <w:noWrap w:val="0"/>
                  <w:vAlign w:val="center"/>
                </w:tcPr>
                <w:p w14:paraId="08C6AD09">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0FAE3F69">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DA004，集气罩+布袋除尘器</w:t>
                  </w:r>
                </w:p>
              </w:tc>
              <w:tc>
                <w:tcPr>
                  <w:tcW w:w="780" w:type="pct"/>
                  <w:shd w:val="clear" w:color="auto" w:fill="auto"/>
                  <w:noWrap w:val="0"/>
                  <w:vAlign w:val="center"/>
                </w:tcPr>
                <w:p w14:paraId="1398F6CF">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20000</w:t>
                  </w:r>
                </w:p>
              </w:tc>
              <w:tc>
                <w:tcPr>
                  <w:tcW w:w="706" w:type="pct"/>
                  <w:shd w:val="clear" w:color="auto" w:fill="auto"/>
                  <w:noWrap w:val="0"/>
                  <w:vAlign w:val="center"/>
                </w:tcPr>
                <w:p w14:paraId="44BDC8C7">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r>
            <w:tr w14:paraId="34DC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7B775DDB">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玉米芯粉包装粉尘</w:t>
                  </w:r>
                </w:p>
              </w:tc>
              <w:tc>
                <w:tcPr>
                  <w:tcW w:w="708" w:type="pct"/>
                  <w:shd w:val="clear" w:color="auto" w:fill="auto"/>
                  <w:noWrap w:val="0"/>
                  <w:vAlign w:val="center"/>
                </w:tcPr>
                <w:p w14:paraId="4EC37ABB">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5A439A71">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DA005，集气罩+布袋除尘器</w:t>
                  </w:r>
                </w:p>
              </w:tc>
              <w:tc>
                <w:tcPr>
                  <w:tcW w:w="780" w:type="pct"/>
                  <w:shd w:val="clear" w:color="auto" w:fill="auto"/>
                  <w:noWrap w:val="0"/>
                  <w:vAlign w:val="center"/>
                </w:tcPr>
                <w:p w14:paraId="29E9AC8E">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20000</w:t>
                  </w:r>
                </w:p>
              </w:tc>
              <w:tc>
                <w:tcPr>
                  <w:tcW w:w="706" w:type="pct"/>
                  <w:shd w:val="clear" w:color="auto" w:fill="auto"/>
                  <w:noWrap w:val="0"/>
                  <w:vAlign w:val="center"/>
                </w:tcPr>
                <w:p w14:paraId="184C3973">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r>
            <w:tr w14:paraId="5267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510A1404">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玉米芯粉投料粉尘</w:t>
                  </w:r>
                </w:p>
              </w:tc>
              <w:tc>
                <w:tcPr>
                  <w:tcW w:w="708" w:type="pct"/>
                  <w:shd w:val="clear" w:color="auto" w:fill="auto"/>
                  <w:noWrap w:val="0"/>
                  <w:vAlign w:val="center"/>
                </w:tcPr>
                <w:p w14:paraId="6C470C85">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22528BB1">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DA006，集气罩+布袋除尘器</w:t>
                  </w:r>
                </w:p>
              </w:tc>
              <w:tc>
                <w:tcPr>
                  <w:tcW w:w="780" w:type="pct"/>
                  <w:shd w:val="clear" w:color="auto" w:fill="auto"/>
                  <w:noWrap w:val="0"/>
                  <w:vAlign w:val="center"/>
                </w:tcPr>
                <w:p w14:paraId="6B0E1EEC">
                  <w:pPr>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c>
                <w:tcPr>
                  <w:tcW w:w="706" w:type="pct"/>
                  <w:shd w:val="clear" w:color="auto" w:fill="auto"/>
                  <w:noWrap w:val="0"/>
                  <w:vAlign w:val="center"/>
                </w:tcPr>
                <w:p w14:paraId="70155073">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r>
            <w:tr w14:paraId="2DE2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466BAD6E">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粉料烘干粉尘</w:t>
                  </w:r>
                </w:p>
              </w:tc>
              <w:tc>
                <w:tcPr>
                  <w:tcW w:w="708" w:type="pct"/>
                  <w:shd w:val="clear" w:color="auto" w:fill="auto"/>
                  <w:noWrap w:val="0"/>
                  <w:vAlign w:val="center"/>
                </w:tcPr>
                <w:p w14:paraId="65D78AEF">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6FED6FB8">
                  <w:pPr>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DA007，封闭+旋风除尘器</w:t>
                  </w:r>
                </w:p>
              </w:tc>
              <w:tc>
                <w:tcPr>
                  <w:tcW w:w="780" w:type="pct"/>
                  <w:shd w:val="clear" w:color="auto" w:fill="auto"/>
                  <w:noWrap w:val="0"/>
                  <w:vAlign w:val="center"/>
                </w:tcPr>
                <w:p w14:paraId="47F78EEA">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c>
                <w:tcPr>
                  <w:tcW w:w="706" w:type="pct"/>
                  <w:shd w:val="clear" w:color="auto" w:fill="auto"/>
                  <w:noWrap w:val="0"/>
                  <w:vAlign w:val="center"/>
                </w:tcPr>
                <w:p w14:paraId="6D4CE50C">
                  <w:pPr>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20000</w:t>
                  </w:r>
                </w:p>
              </w:tc>
            </w:tr>
            <w:tr w14:paraId="2DD8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5E630638">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粉料风冷粉尘</w:t>
                  </w:r>
                </w:p>
              </w:tc>
              <w:tc>
                <w:tcPr>
                  <w:tcW w:w="708" w:type="pct"/>
                  <w:shd w:val="clear" w:color="auto" w:fill="auto"/>
                  <w:noWrap w:val="0"/>
                  <w:vAlign w:val="center"/>
                </w:tcPr>
                <w:p w14:paraId="0B494D7E">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09B6BB2D">
                  <w:pPr>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DA008，封闭+旋风除尘器</w:t>
                  </w:r>
                </w:p>
              </w:tc>
              <w:tc>
                <w:tcPr>
                  <w:tcW w:w="780" w:type="pct"/>
                  <w:shd w:val="clear" w:color="auto" w:fill="auto"/>
                  <w:noWrap w:val="0"/>
                  <w:vAlign w:val="center"/>
                </w:tcPr>
                <w:p w14:paraId="214339DD">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c>
                <w:tcPr>
                  <w:tcW w:w="706" w:type="pct"/>
                  <w:shd w:val="clear" w:color="auto" w:fill="auto"/>
                  <w:noWrap w:val="0"/>
                  <w:vAlign w:val="center"/>
                </w:tcPr>
                <w:p w14:paraId="08F104E0">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20000</w:t>
                  </w:r>
                </w:p>
              </w:tc>
            </w:tr>
            <w:tr w14:paraId="1212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75DDABDB">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粉料破碎粉尘</w:t>
                  </w:r>
                </w:p>
              </w:tc>
              <w:tc>
                <w:tcPr>
                  <w:tcW w:w="708" w:type="pct"/>
                  <w:shd w:val="clear" w:color="auto" w:fill="auto"/>
                  <w:noWrap w:val="0"/>
                  <w:vAlign w:val="center"/>
                </w:tcPr>
                <w:p w14:paraId="77D35C67">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756F74BE">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DA009，集气罩+布袋除尘器</w:t>
                  </w:r>
                </w:p>
              </w:tc>
              <w:tc>
                <w:tcPr>
                  <w:tcW w:w="780" w:type="pct"/>
                  <w:shd w:val="clear" w:color="auto" w:fill="auto"/>
                  <w:noWrap w:val="0"/>
                  <w:vAlign w:val="center"/>
                </w:tcPr>
                <w:p w14:paraId="2A2963D8">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c>
                <w:tcPr>
                  <w:tcW w:w="706" w:type="pct"/>
                  <w:shd w:val="clear" w:color="auto" w:fill="auto"/>
                  <w:noWrap w:val="0"/>
                  <w:vAlign w:val="center"/>
                </w:tcPr>
                <w:p w14:paraId="093D5AA9">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r>
            <w:tr w14:paraId="25F4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6EA67708">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辅料投料粉尘</w:t>
                  </w:r>
                </w:p>
              </w:tc>
              <w:tc>
                <w:tcPr>
                  <w:tcW w:w="708" w:type="pct"/>
                  <w:shd w:val="clear" w:color="auto" w:fill="auto"/>
                  <w:noWrap w:val="0"/>
                  <w:vAlign w:val="center"/>
                </w:tcPr>
                <w:p w14:paraId="6D559576">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2AE5BC0D">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DA0010，集气罩+布袋除尘器</w:t>
                  </w:r>
                </w:p>
              </w:tc>
              <w:tc>
                <w:tcPr>
                  <w:tcW w:w="780" w:type="pct"/>
                  <w:shd w:val="clear" w:color="auto" w:fill="auto"/>
                  <w:noWrap w:val="0"/>
                  <w:vAlign w:val="center"/>
                </w:tcPr>
                <w:p w14:paraId="422C21D9">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c>
                <w:tcPr>
                  <w:tcW w:w="706" w:type="pct"/>
                  <w:shd w:val="clear" w:color="auto" w:fill="auto"/>
                  <w:noWrap w:val="0"/>
                  <w:vAlign w:val="center"/>
                </w:tcPr>
                <w:p w14:paraId="435C7D15">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r>
            <w:tr w14:paraId="38E9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4694EFCF">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辅料破碎粉尘</w:t>
                  </w:r>
                </w:p>
              </w:tc>
              <w:tc>
                <w:tcPr>
                  <w:tcW w:w="708" w:type="pct"/>
                  <w:shd w:val="clear" w:color="auto" w:fill="auto"/>
                  <w:noWrap w:val="0"/>
                  <w:vAlign w:val="center"/>
                </w:tcPr>
                <w:p w14:paraId="0457E615">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2DBB3DA0">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DA0011，集气罩+布袋除尘器</w:t>
                  </w:r>
                </w:p>
              </w:tc>
              <w:tc>
                <w:tcPr>
                  <w:tcW w:w="780" w:type="pct"/>
                  <w:shd w:val="clear" w:color="auto" w:fill="auto"/>
                  <w:noWrap w:val="0"/>
                  <w:vAlign w:val="center"/>
                </w:tcPr>
                <w:p w14:paraId="491C0A5F">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c>
                <w:tcPr>
                  <w:tcW w:w="706" w:type="pct"/>
                  <w:shd w:val="clear" w:color="auto" w:fill="auto"/>
                  <w:noWrap w:val="0"/>
                  <w:vAlign w:val="center"/>
                </w:tcPr>
                <w:p w14:paraId="0994B743">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r>
            <w:tr w14:paraId="4284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31184B21">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复配粉尘</w:t>
                  </w:r>
                </w:p>
              </w:tc>
              <w:tc>
                <w:tcPr>
                  <w:tcW w:w="708" w:type="pct"/>
                  <w:shd w:val="clear" w:color="auto" w:fill="auto"/>
                  <w:noWrap w:val="0"/>
                  <w:vAlign w:val="center"/>
                </w:tcPr>
                <w:p w14:paraId="13CD6327">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201FD098">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DA0012，集气罩+布袋除尘器</w:t>
                  </w:r>
                </w:p>
              </w:tc>
              <w:tc>
                <w:tcPr>
                  <w:tcW w:w="780" w:type="pct"/>
                  <w:shd w:val="clear" w:color="auto" w:fill="auto"/>
                  <w:noWrap w:val="0"/>
                  <w:vAlign w:val="center"/>
                </w:tcPr>
                <w:p w14:paraId="6CBA673C">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c>
                <w:tcPr>
                  <w:tcW w:w="706" w:type="pct"/>
                  <w:shd w:val="clear" w:color="auto" w:fill="auto"/>
                  <w:noWrap w:val="0"/>
                  <w:vAlign w:val="center"/>
                </w:tcPr>
                <w:p w14:paraId="0AE4D279">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r>
            <w:tr w14:paraId="4D53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28AC3064">
                  <w:pPr>
                    <w:ind w:left="-108" w:leftChars="0" w:right="-102"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颗粒肥风冷粉尘</w:t>
                  </w:r>
                </w:p>
              </w:tc>
              <w:tc>
                <w:tcPr>
                  <w:tcW w:w="708" w:type="pct"/>
                  <w:shd w:val="clear" w:color="auto" w:fill="auto"/>
                  <w:noWrap w:val="0"/>
                  <w:vAlign w:val="center"/>
                </w:tcPr>
                <w:p w14:paraId="1E069361">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p>
              </w:tc>
              <w:tc>
                <w:tcPr>
                  <w:tcW w:w="1612" w:type="pct"/>
                  <w:shd w:val="clear" w:color="auto" w:fill="auto"/>
                  <w:noWrap w:val="0"/>
                  <w:vAlign w:val="center"/>
                </w:tcPr>
                <w:p w14:paraId="74E60128">
                  <w:pPr>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DA0013，封闭+旋风除尘器</w:t>
                  </w:r>
                </w:p>
              </w:tc>
              <w:tc>
                <w:tcPr>
                  <w:tcW w:w="780" w:type="pct"/>
                  <w:shd w:val="clear" w:color="auto" w:fill="auto"/>
                  <w:noWrap w:val="0"/>
                  <w:vAlign w:val="center"/>
                </w:tcPr>
                <w:p w14:paraId="13ED8ECA">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10000</w:t>
                  </w:r>
                </w:p>
              </w:tc>
              <w:tc>
                <w:tcPr>
                  <w:tcW w:w="706" w:type="pct"/>
                  <w:shd w:val="clear" w:color="auto" w:fill="auto"/>
                  <w:noWrap w:val="0"/>
                  <w:vAlign w:val="center"/>
                </w:tcPr>
                <w:p w14:paraId="214E413C">
                  <w:pPr>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20000</w:t>
                  </w:r>
                </w:p>
              </w:tc>
            </w:tr>
            <w:tr w14:paraId="1FB6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3" w:type="pct"/>
                  <w:shd w:val="clear" w:color="auto" w:fill="auto"/>
                  <w:noWrap w:val="0"/>
                  <w:vAlign w:val="center"/>
                </w:tcPr>
                <w:p w14:paraId="72F63C4E">
                  <w:pPr>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颗粒肥包装粉尘</w:t>
                  </w:r>
                </w:p>
              </w:tc>
              <w:tc>
                <w:tcPr>
                  <w:tcW w:w="708" w:type="pct"/>
                  <w:shd w:val="clear" w:color="auto" w:fill="auto"/>
                  <w:noWrap w:val="0"/>
                  <w:vAlign w:val="center"/>
                </w:tcPr>
                <w:p w14:paraId="6E6DC973">
                  <w:pPr>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颗粒物</w:t>
                  </w:r>
                </w:p>
              </w:tc>
              <w:tc>
                <w:tcPr>
                  <w:tcW w:w="1612" w:type="pct"/>
                  <w:shd w:val="clear" w:color="auto" w:fill="auto"/>
                  <w:noWrap w:val="0"/>
                  <w:vAlign w:val="center"/>
                </w:tcPr>
                <w:p w14:paraId="7251F78F">
                  <w:pPr>
                    <w:jc w:val="center"/>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DA0014，集气罩+</w:t>
                  </w:r>
                  <w:r>
                    <w:rPr>
                      <w:rFonts w:hint="eastAsia" w:cs="Times New Roman"/>
                      <w:color w:val="auto"/>
                      <w:kern w:val="2"/>
                      <w:sz w:val="18"/>
                      <w:szCs w:val="18"/>
                      <w:highlight w:val="none"/>
                      <w:lang w:val="en-US" w:eastAsia="zh-CN" w:bidi="ar-SA"/>
                    </w:rPr>
                    <w:t>布袋除尘器</w:t>
                  </w:r>
                </w:p>
              </w:tc>
              <w:tc>
                <w:tcPr>
                  <w:tcW w:w="780" w:type="pct"/>
                  <w:shd w:val="clear" w:color="auto" w:fill="auto"/>
                  <w:noWrap w:val="0"/>
                  <w:vAlign w:val="center"/>
                </w:tcPr>
                <w:p w14:paraId="4D6565E8">
                  <w:pPr>
                    <w:jc w:val="center"/>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10000</w:t>
                  </w:r>
                </w:p>
              </w:tc>
              <w:tc>
                <w:tcPr>
                  <w:tcW w:w="706" w:type="pct"/>
                  <w:shd w:val="clear" w:color="auto" w:fill="auto"/>
                  <w:noWrap w:val="0"/>
                  <w:vAlign w:val="center"/>
                </w:tcPr>
                <w:p w14:paraId="728EBDF6">
                  <w:pPr>
                    <w:jc w:val="center"/>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10000</w:t>
                  </w:r>
                </w:p>
              </w:tc>
            </w:tr>
            <w:tr w14:paraId="4ECC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00" w:type="pct"/>
                  <w:gridSpan w:val="5"/>
                  <w:shd w:val="clear" w:color="auto" w:fill="auto"/>
                  <w:noWrap w:val="0"/>
                  <w:vAlign w:val="center"/>
                </w:tcPr>
                <w:p w14:paraId="20005FA1">
                  <w:pPr>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集气罩收集效率取90%，封闭收集不考虑无组织逸散；布袋除尘器参考“2625有机肥料及微生物肥料制造行业”中布袋除尘器处理效率98%，旋风除尘器参考“工业锅炉（热力供应）行业系数手册”中旋风出除尘器处理效率60%</w:t>
                  </w:r>
                </w:p>
              </w:tc>
            </w:tr>
          </w:tbl>
          <w:p w14:paraId="11B1DE16">
            <w:pPr>
              <w:spacing w:line="480" w:lineRule="exact"/>
              <w:ind w:firstLine="480" w:firstLineChars="200"/>
              <w:rPr>
                <w:rFonts w:hint="default" w:cs="Times New Roman"/>
                <w:bCs/>
                <w:color w:val="auto"/>
                <w:kern w:val="0"/>
                <w:sz w:val="24"/>
                <w:szCs w:val="24"/>
                <w:highlight w:val="none"/>
                <w:lang w:val="en-US" w:eastAsia="zh-CN" w:bidi="ar-SA"/>
              </w:rPr>
            </w:pPr>
            <w:r>
              <w:rPr>
                <w:rFonts w:hint="eastAsia" w:cs="Times New Roman"/>
                <w:bCs/>
                <w:color w:val="auto"/>
                <w:kern w:val="0"/>
                <w:sz w:val="24"/>
                <w:szCs w:val="24"/>
                <w:highlight w:val="none"/>
                <w:lang w:val="en-US" w:eastAsia="zh-CN" w:bidi="ar-SA"/>
              </w:rPr>
              <w:t>结合上表参数本项目各个加工粉尘产排情况见下表</w:t>
            </w:r>
          </w:p>
          <w:p w14:paraId="15920C7F">
            <w:pPr>
              <w:adjustRightInd w:val="0"/>
              <w:snapToGrid w:val="0"/>
              <w:spacing w:line="360" w:lineRule="auto"/>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zh-CN" w:eastAsia="zh-CN"/>
              </w:rPr>
              <w:t>表</w:t>
            </w:r>
            <w:r>
              <w:rPr>
                <w:rFonts w:hint="default" w:ascii="Times New Roman" w:hAnsi="Times New Roman" w:eastAsia="宋体" w:cs="Times New Roman"/>
                <w:b/>
                <w:color w:val="auto"/>
                <w:szCs w:val="21"/>
                <w:highlight w:val="none"/>
                <w:lang w:val="en-US" w:eastAsia="zh-CN"/>
              </w:rPr>
              <w:t>4-</w:t>
            </w:r>
            <w:r>
              <w:rPr>
                <w:rFonts w:hint="eastAsia" w:ascii="Times New Roman" w:hAnsi="Times New Roman" w:cs="Times New Roman"/>
                <w:b/>
                <w:color w:val="auto"/>
                <w:szCs w:val="21"/>
                <w:highlight w:val="none"/>
                <w:lang w:val="en-US" w:eastAsia="zh-CN"/>
              </w:rPr>
              <w:t>3</w:t>
            </w:r>
            <w:r>
              <w:rPr>
                <w:rFonts w:hint="default" w:ascii="Times New Roman" w:hAnsi="Times New Roman" w:eastAsia="宋体" w:cs="Times New Roman"/>
                <w:b/>
                <w:color w:val="auto"/>
                <w:szCs w:val="21"/>
                <w:highlight w:val="none"/>
                <w:lang w:val="zh-CN" w:eastAsia="zh-CN"/>
              </w:rPr>
              <w:t xml:space="preserve">  </w:t>
            </w:r>
            <w:r>
              <w:rPr>
                <w:rFonts w:hint="eastAsia" w:ascii="Times New Roman" w:hAnsi="Times New Roman" w:cs="Times New Roman"/>
                <w:b/>
                <w:color w:val="auto"/>
                <w:szCs w:val="21"/>
                <w:highlight w:val="none"/>
                <w:lang w:val="en-US" w:eastAsia="zh-CN"/>
              </w:rPr>
              <w:t>项目加工粉尘污染物产品情况一览表</w:t>
            </w:r>
          </w:p>
          <w:tbl>
            <w:tblPr>
              <w:tblStyle w:val="33"/>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417"/>
              <w:gridCol w:w="852"/>
              <w:gridCol w:w="842"/>
              <w:gridCol w:w="677"/>
              <w:gridCol w:w="715"/>
              <w:gridCol w:w="908"/>
              <w:gridCol w:w="732"/>
              <w:gridCol w:w="679"/>
              <w:gridCol w:w="813"/>
            </w:tblGrid>
            <w:tr w14:paraId="65D3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pct"/>
                  <w:vMerge w:val="restart"/>
                  <w:noWrap w:val="0"/>
                  <w:vAlign w:val="center"/>
                </w:tcPr>
                <w:p w14:paraId="45A23A86">
                  <w:pPr>
                    <w:jc w:val="center"/>
                    <w:rPr>
                      <w:rFonts w:hint="eastAsia" w:ascii="Times New Roman" w:hAnsi="Times New Roman" w:eastAsia="宋体" w:cs="Times New Roman"/>
                      <w:b/>
                      <w:bCs/>
                      <w:color w:val="auto"/>
                      <w:sz w:val="20"/>
                      <w:szCs w:val="20"/>
                      <w:highlight w:val="none"/>
                      <w:lang w:eastAsia="zh-CN"/>
                    </w:rPr>
                  </w:pPr>
                  <w:r>
                    <w:rPr>
                      <w:rFonts w:hint="eastAsia" w:ascii="Times New Roman" w:hAnsi="Times New Roman" w:cs="Times New Roman"/>
                      <w:b/>
                      <w:bCs/>
                      <w:color w:val="auto"/>
                      <w:sz w:val="20"/>
                      <w:szCs w:val="20"/>
                      <w:highlight w:val="none"/>
                      <w:lang w:val="en-US" w:eastAsia="zh-CN"/>
                    </w:rPr>
                    <w:t>污染源</w:t>
                  </w:r>
                </w:p>
              </w:tc>
              <w:tc>
                <w:tcPr>
                  <w:tcW w:w="200" w:type="pct"/>
                  <w:vMerge w:val="restart"/>
                  <w:noWrap w:val="0"/>
                  <w:vAlign w:val="center"/>
                </w:tcPr>
                <w:p w14:paraId="5FB60D1F">
                  <w:pPr>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因子</w:t>
                  </w:r>
                </w:p>
              </w:tc>
              <w:tc>
                <w:tcPr>
                  <w:tcW w:w="522" w:type="pct"/>
                  <w:vMerge w:val="restart"/>
                  <w:noWrap w:val="0"/>
                  <w:vAlign w:val="center"/>
                </w:tcPr>
                <w:p w14:paraId="3BCD4672">
                  <w:pPr>
                    <w:jc w:val="center"/>
                    <w:rPr>
                      <w:rFonts w:hint="default" w:ascii="Times New Roman" w:hAnsi="Times New Roman" w:eastAsia="宋体"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措施</w:t>
                  </w:r>
                </w:p>
              </w:tc>
              <w:tc>
                <w:tcPr>
                  <w:tcW w:w="514" w:type="pct"/>
                  <w:vMerge w:val="restart"/>
                  <w:noWrap w:val="0"/>
                  <w:vAlign w:val="center"/>
                </w:tcPr>
                <w:p w14:paraId="5CB8D565">
                  <w:pPr>
                    <w:jc w:val="center"/>
                    <w:rPr>
                      <w:rFonts w:hint="eastAsia"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排放</w:t>
                  </w:r>
                </w:p>
                <w:p w14:paraId="5BDAD5C2">
                  <w:pPr>
                    <w:jc w:val="center"/>
                    <w:rPr>
                      <w:rFonts w:hint="default"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形式</w:t>
                  </w:r>
                </w:p>
              </w:tc>
              <w:tc>
                <w:tcPr>
                  <w:tcW w:w="1411" w:type="pct"/>
                  <w:gridSpan w:val="3"/>
                  <w:noWrap w:val="0"/>
                  <w:vAlign w:val="center"/>
                </w:tcPr>
                <w:p w14:paraId="721FEBF7">
                  <w:pPr>
                    <w:jc w:val="center"/>
                    <w:rPr>
                      <w:rFonts w:hint="default"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产生情况</w:t>
                  </w:r>
                </w:p>
              </w:tc>
              <w:tc>
                <w:tcPr>
                  <w:tcW w:w="1362" w:type="pct"/>
                  <w:gridSpan w:val="3"/>
                  <w:noWrap w:val="0"/>
                  <w:vAlign w:val="center"/>
                </w:tcPr>
                <w:p w14:paraId="280D6F40">
                  <w:pPr>
                    <w:jc w:val="center"/>
                    <w:rPr>
                      <w:rFonts w:hint="default"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排放情况</w:t>
                  </w:r>
                </w:p>
              </w:tc>
            </w:tr>
            <w:tr w14:paraId="52B4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pct"/>
                  <w:vMerge w:val="continue"/>
                  <w:noWrap w:val="0"/>
                  <w:vAlign w:val="center"/>
                </w:tcPr>
                <w:p w14:paraId="3E4B15EC">
                  <w:pPr>
                    <w:jc w:val="center"/>
                    <w:rPr>
                      <w:rFonts w:hint="eastAsia" w:ascii="Times New Roman" w:hAnsi="Times New Roman" w:cs="Times New Roman"/>
                      <w:b/>
                      <w:bCs/>
                      <w:color w:val="auto"/>
                      <w:sz w:val="20"/>
                      <w:szCs w:val="20"/>
                      <w:highlight w:val="none"/>
                      <w:lang w:val="en-US" w:eastAsia="zh-CN"/>
                    </w:rPr>
                  </w:pPr>
                </w:p>
              </w:tc>
              <w:tc>
                <w:tcPr>
                  <w:tcW w:w="200" w:type="pct"/>
                  <w:vMerge w:val="continue"/>
                  <w:noWrap w:val="0"/>
                  <w:vAlign w:val="center"/>
                </w:tcPr>
                <w:p w14:paraId="626E5CC8">
                  <w:pPr>
                    <w:jc w:val="center"/>
                    <w:rPr>
                      <w:rFonts w:hint="default" w:ascii="Times New Roman" w:hAnsi="Times New Roman" w:cs="Times New Roman"/>
                      <w:b/>
                      <w:bCs/>
                      <w:color w:val="auto"/>
                      <w:sz w:val="20"/>
                      <w:szCs w:val="20"/>
                      <w:highlight w:val="none"/>
                    </w:rPr>
                  </w:pPr>
                </w:p>
              </w:tc>
              <w:tc>
                <w:tcPr>
                  <w:tcW w:w="522" w:type="pct"/>
                  <w:vMerge w:val="continue"/>
                  <w:noWrap w:val="0"/>
                  <w:vAlign w:val="center"/>
                </w:tcPr>
                <w:p w14:paraId="2DAD019A">
                  <w:pPr>
                    <w:jc w:val="center"/>
                    <w:rPr>
                      <w:rFonts w:hint="eastAsia" w:cs="Times New Roman"/>
                      <w:b/>
                      <w:bCs/>
                      <w:color w:val="auto"/>
                      <w:sz w:val="20"/>
                      <w:szCs w:val="20"/>
                      <w:highlight w:val="none"/>
                      <w:lang w:val="en-US" w:eastAsia="zh-CN"/>
                    </w:rPr>
                  </w:pPr>
                </w:p>
              </w:tc>
              <w:tc>
                <w:tcPr>
                  <w:tcW w:w="514" w:type="pct"/>
                  <w:vMerge w:val="continue"/>
                  <w:noWrap w:val="0"/>
                  <w:vAlign w:val="center"/>
                </w:tcPr>
                <w:p w14:paraId="101D08E8">
                  <w:pPr>
                    <w:jc w:val="center"/>
                    <w:rPr>
                      <w:rFonts w:hint="default" w:cs="Times New Roman"/>
                      <w:b/>
                      <w:bCs/>
                      <w:color w:val="auto"/>
                      <w:sz w:val="20"/>
                      <w:szCs w:val="20"/>
                      <w:highlight w:val="none"/>
                      <w:lang w:val="en-US" w:eastAsia="zh-CN"/>
                    </w:rPr>
                  </w:pPr>
                </w:p>
              </w:tc>
              <w:tc>
                <w:tcPr>
                  <w:tcW w:w="416" w:type="pct"/>
                  <w:noWrap w:val="0"/>
                  <w:vAlign w:val="center"/>
                </w:tcPr>
                <w:p w14:paraId="1CCFE24D">
                  <w:pPr>
                    <w:jc w:val="center"/>
                    <w:rPr>
                      <w:rFonts w:hint="eastAsia"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量</w:t>
                  </w:r>
                </w:p>
                <w:p w14:paraId="573C5D3D">
                  <w:pPr>
                    <w:jc w:val="center"/>
                    <w:rPr>
                      <w:rFonts w:hint="default"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t/a</w:t>
                  </w:r>
                </w:p>
              </w:tc>
              <w:tc>
                <w:tcPr>
                  <w:tcW w:w="439" w:type="pct"/>
                  <w:noWrap w:val="0"/>
                  <w:vAlign w:val="center"/>
                </w:tcPr>
                <w:p w14:paraId="456C4877">
                  <w:pPr>
                    <w:jc w:val="center"/>
                    <w:rPr>
                      <w:rFonts w:hint="eastAsia"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速率</w:t>
                  </w:r>
                </w:p>
                <w:p w14:paraId="0419F226">
                  <w:pPr>
                    <w:jc w:val="center"/>
                    <w:rPr>
                      <w:rFonts w:hint="default"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kg/h</w:t>
                  </w:r>
                </w:p>
              </w:tc>
              <w:tc>
                <w:tcPr>
                  <w:tcW w:w="556" w:type="pct"/>
                  <w:noWrap w:val="0"/>
                  <w:vAlign w:val="center"/>
                </w:tcPr>
                <w:p w14:paraId="1F713429">
                  <w:pPr>
                    <w:jc w:val="center"/>
                    <w:rPr>
                      <w:rFonts w:hint="eastAsia"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浓度</w:t>
                  </w:r>
                </w:p>
                <w:p w14:paraId="31661833">
                  <w:pPr>
                    <w:jc w:val="center"/>
                    <w:rPr>
                      <w:rFonts w:hint="default"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mg/m</w:t>
                  </w:r>
                  <w:r>
                    <w:rPr>
                      <w:rFonts w:hint="eastAsia" w:cs="Times New Roman"/>
                      <w:b/>
                      <w:bCs/>
                      <w:color w:val="auto"/>
                      <w:sz w:val="20"/>
                      <w:szCs w:val="20"/>
                      <w:highlight w:val="none"/>
                      <w:vertAlign w:val="superscript"/>
                      <w:lang w:val="en-US" w:eastAsia="zh-CN"/>
                    </w:rPr>
                    <w:t>3</w:t>
                  </w:r>
                </w:p>
              </w:tc>
              <w:tc>
                <w:tcPr>
                  <w:tcW w:w="449" w:type="pct"/>
                  <w:noWrap w:val="0"/>
                  <w:vAlign w:val="center"/>
                </w:tcPr>
                <w:p w14:paraId="61CB9209">
                  <w:pPr>
                    <w:jc w:val="center"/>
                    <w:rPr>
                      <w:rFonts w:hint="eastAsia"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量</w:t>
                  </w:r>
                </w:p>
                <w:p w14:paraId="5F0B86DB">
                  <w:pPr>
                    <w:jc w:val="center"/>
                    <w:rPr>
                      <w:rFonts w:hint="default"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t/a</w:t>
                  </w:r>
                </w:p>
              </w:tc>
              <w:tc>
                <w:tcPr>
                  <w:tcW w:w="417" w:type="pct"/>
                  <w:noWrap w:val="0"/>
                  <w:vAlign w:val="center"/>
                </w:tcPr>
                <w:p w14:paraId="0618B95C">
                  <w:pPr>
                    <w:jc w:val="center"/>
                    <w:rPr>
                      <w:rFonts w:hint="eastAsia"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速率</w:t>
                  </w:r>
                </w:p>
                <w:p w14:paraId="1BE088BC">
                  <w:pPr>
                    <w:jc w:val="center"/>
                    <w:rPr>
                      <w:rFonts w:hint="default"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kg/h</w:t>
                  </w:r>
                </w:p>
              </w:tc>
              <w:tc>
                <w:tcPr>
                  <w:tcW w:w="495" w:type="pct"/>
                  <w:noWrap w:val="0"/>
                  <w:vAlign w:val="center"/>
                </w:tcPr>
                <w:p w14:paraId="1375EF0B">
                  <w:pPr>
                    <w:jc w:val="center"/>
                    <w:rPr>
                      <w:rFonts w:hint="eastAsia"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浓度</w:t>
                  </w:r>
                </w:p>
                <w:p w14:paraId="4387DB95">
                  <w:pPr>
                    <w:jc w:val="center"/>
                    <w:rPr>
                      <w:rFonts w:hint="default"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mg/m</w:t>
                  </w:r>
                  <w:r>
                    <w:rPr>
                      <w:rFonts w:hint="eastAsia" w:cs="Times New Roman"/>
                      <w:b/>
                      <w:bCs/>
                      <w:color w:val="auto"/>
                      <w:sz w:val="20"/>
                      <w:szCs w:val="20"/>
                      <w:highlight w:val="none"/>
                      <w:vertAlign w:val="superscript"/>
                      <w:lang w:val="en-US" w:eastAsia="zh-CN"/>
                    </w:rPr>
                    <w:t>3</w:t>
                  </w:r>
                </w:p>
              </w:tc>
            </w:tr>
            <w:tr w14:paraId="6692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87" w:type="pct"/>
                  <w:vMerge w:val="restart"/>
                  <w:shd w:val="clear" w:color="auto" w:fill="auto"/>
                  <w:noWrap w:val="0"/>
                  <w:vAlign w:val="center"/>
                </w:tcPr>
                <w:p w14:paraId="00EE9570">
                  <w:pPr>
                    <w:ind w:left="-108" w:leftChars="0" w:right="-102" w:rightChars="0"/>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玉米芯投料粉尘</w:t>
                  </w:r>
                </w:p>
                <w:p w14:paraId="5C55DFEF">
                  <w:pPr>
                    <w:ind w:left="-108" w:leftChars="0" w:right="-102" w:rightChars="0"/>
                    <w:jc w:val="center"/>
                    <w:rPr>
                      <w:rFonts w:hint="default" w:ascii="Times New Roman" w:hAnsi="Times New Roman" w:eastAsia="宋体"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DA002</w:t>
                  </w:r>
                </w:p>
              </w:tc>
              <w:tc>
                <w:tcPr>
                  <w:tcW w:w="200" w:type="pct"/>
                  <w:vMerge w:val="restart"/>
                  <w:shd w:val="clear" w:color="auto" w:fill="auto"/>
                  <w:noWrap w:val="0"/>
                  <w:vAlign w:val="center"/>
                </w:tcPr>
                <w:p w14:paraId="6319CCFC">
                  <w:pPr>
                    <w:jc w:val="center"/>
                    <w:rPr>
                      <w:rFonts w:hint="default" w:ascii="Times New Roman" w:hAnsi="Times New Roman" w:eastAsia="宋体"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颗粒物</w:t>
                  </w:r>
                </w:p>
              </w:tc>
              <w:tc>
                <w:tcPr>
                  <w:tcW w:w="522" w:type="pct"/>
                  <w:vMerge w:val="restart"/>
                  <w:shd w:val="clear" w:color="auto" w:fill="auto"/>
                  <w:noWrap w:val="0"/>
                  <w:vAlign w:val="center"/>
                </w:tcPr>
                <w:p w14:paraId="215DFBB2">
                  <w:pPr>
                    <w:jc w:val="center"/>
                    <w:rPr>
                      <w:rFonts w:hint="default" w:ascii="Times New Roman" w:hAnsi="Times New Roman" w:eastAsia="宋体"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466138F2">
                  <w:pPr>
                    <w:jc w:val="center"/>
                    <w:rPr>
                      <w:rFonts w:hint="default"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38241CA3">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6.660</w:t>
                  </w:r>
                </w:p>
              </w:tc>
              <w:tc>
                <w:tcPr>
                  <w:tcW w:w="439" w:type="pct"/>
                  <w:shd w:val="clear" w:color="auto" w:fill="auto"/>
                  <w:noWrap w:val="0"/>
                  <w:vAlign w:val="center"/>
                </w:tcPr>
                <w:p w14:paraId="5E78D032">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c>
                <w:tcPr>
                  <w:tcW w:w="556" w:type="pct"/>
                  <w:shd w:val="clear" w:color="auto" w:fill="auto"/>
                  <w:noWrap w:val="0"/>
                  <w:vAlign w:val="center"/>
                </w:tcPr>
                <w:p w14:paraId="1CD8DEEB">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252.273</w:t>
                  </w:r>
                </w:p>
              </w:tc>
              <w:tc>
                <w:tcPr>
                  <w:tcW w:w="449" w:type="pct"/>
                  <w:shd w:val="clear" w:color="auto" w:fill="auto"/>
                  <w:noWrap w:val="0"/>
                  <w:vAlign w:val="center"/>
                </w:tcPr>
                <w:p w14:paraId="7B75C2C7">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0.133</w:t>
                  </w:r>
                </w:p>
              </w:tc>
              <w:tc>
                <w:tcPr>
                  <w:tcW w:w="417" w:type="pct"/>
                  <w:shd w:val="clear" w:color="auto" w:fill="auto"/>
                  <w:noWrap w:val="0"/>
                  <w:vAlign w:val="center"/>
                </w:tcPr>
                <w:p w14:paraId="5101061C">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0.050</w:t>
                  </w:r>
                </w:p>
              </w:tc>
              <w:tc>
                <w:tcPr>
                  <w:tcW w:w="495" w:type="pct"/>
                  <w:shd w:val="clear" w:color="auto" w:fill="auto"/>
                  <w:noWrap w:val="0"/>
                  <w:vAlign w:val="center"/>
                </w:tcPr>
                <w:p w14:paraId="5D156EB0">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5.045</w:t>
                  </w:r>
                </w:p>
              </w:tc>
            </w:tr>
            <w:tr w14:paraId="7EE6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87" w:type="pct"/>
                  <w:vMerge w:val="continue"/>
                  <w:shd w:val="clear" w:color="auto" w:fill="auto"/>
                  <w:noWrap w:val="0"/>
                  <w:vAlign w:val="center"/>
                </w:tcPr>
                <w:p w14:paraId="24B7434D">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55DF7B22">
                  <w:pPr>
                    <w:jc w:val="center"/>
                    <w:rPr>
                      <w:rFonts w:hint="eastAsia"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058442AD">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3FD37288">
                  <w:pPr>
                    <w:jc w:val="center"/>
                    <w:rPr>
                      <w:rFonts w:hint="default"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2E606ED7">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0.740</w:t>
                  </w:r>
                </w:p>
              </w:tc>
              <w:tc>
                <w:tcPr>
                  <w:tcW w:w="439" w:type="pct"/>
                  <w:shd w:val="clear" w:color="auto" w:fill="auto"/>
                  <w:noWrap w:val="0"/>
                  <w:vAlign w:val="center"/>
                </w:tcPr>
                <w:p w14:paraId="5ACCDC86">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0.280</w:t>
                  </w:r>
                </w:p>
              </w:tc>
              <w:tc>
                <w:tcPr>
                  <w:tcW w:w="556" w:type="pct"/>
                  <w:shd w:val="clear" w:color="auto" w:fill="auto"/>
                  <w:noWrap w:val="0"/>
                  <w:vAlign w:val="center"/>
                </w:tcPr>
                <w:p w14:paraId="7C734C1C">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7280D448">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0.015</w:t>
                  </w:r>
                </w:p>
              </w:tc>
              <w:tc>
                <w:tcPr>
                  <w:tcW w:w="417" w:type="pct"/>
                  <w:shd w:val="clear" w:color="auto" w:fill="auto"/>
                  <w:noWrap w:val="0"/>
                  <w:vAlign w:val="center"/>
                </w:tcPr>
                <w:p w14:paraId="145C6D69">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0.006</w:t>
                  </w:r>
                </w:p>
              </w:tc>
              <w:tc>
                <w:tcPr>
                  <w:tcW w:w="495" w:type="pct"/>
                  <w:shd w:val="clear" w:color="auto" w:fill="auto"/>
                  <w:noWrap w:val="0"/>
                  <w:vAlign w:val="center"/>
                </w:tcPr>
                <w:p w14:paraId="4A522788">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06F0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87" w:type="pct"/>
                  <w:vMerge w:val="restart"/>
                  <w:shd w:val="clear" w:color="auto" w:fill="auto"/>
                  <w:noWrap w:val="0"/>
                  <w:vAlign w:val="center"/>
                </w:tcPr>
                <w:p w14:paraId="697AEE8F">
                  <w:pPr>
                    <w:ind w:left="-108" w:leftChars="0" w:right="-102" w:rightChars="0"/>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玉米芯粗粉粉尘</w:t>
                  </w:r>
                </w:p>
                <w:p w14:paraId="3C322350">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DA0032</w:t>
                  </w:r>
                </w:p>
              </w:tc>
              <w:tc>
                <w:tcPr>
                  <w:tcW w:w="200" w:type="pct"/>
                  <w:vMerge w:val="continue"/>
                  <w:shd w:val="clear" w:color="auto" w:fill="auto"/>
                  <w:noWrap w:val="0"/>
                  <w:vAlign w:val="center"/>
                </w:tcPr>
                <w:p w14:paraId="4B84DB54">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restart"/>
                  <w:shd w:val="clear" w:color="auto" w:fill="auto"/>
                  <w:noWrap w:val="0"/>
                  <w:vAlign w:val="center"/>
                </w:tcPr>
                <w:p w14:paraId="53E99669">
                  <w:pPr>
                    <w:jc w:val="center"/>
                    <w:rPr>
                      <w:rFonts w:hint="default" w:ascii="Times New Roman" w:hAnsi="Times New Roman" w:eastAsia="宋体"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336C039E">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2A620B65">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6.660</w:t>
                  </w:r>
                </w:p>
              </w:tc>
              <w:tc>
                <w:tcPr>
                  <w:tcW w:w="439" w:type="pct"/>
                  <w:shd w:val="clear" w:color="auto" w:fill="auto"/>
                  <w:noWrap w:val="0"/>
                  <w:vAlign w:val="center"/>
                </w:tcPr>
                <w:p w14:paraId="19A5468A">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c>
                <w:tcPr>
                  <w:tcW w:w="556" w:type="pct"/>
                  <w:shd w:val="clear" w:color="auto" w:fill="auto"/>
                  <w:noWrap w:val="0"/>
                  <w:vAlign w:val="center"/>
                </w:tcPr>
                <w:p w14:paraId="25180D46">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252.273</w:t>
                  </w:r>
                </w:p>
              </w:tc>
              <w:tc>
                <w:tcPr>
                  <w:tcW w:w="449" w:type="pct"/>
                  <w:shd w:val="clear" w:color="auto" w:fill="auto"/>
                  <w:noWrap w:val="0"/>
                  <w:vAlign w:val="center"/>
                </w:tcPr>
                <w:p w14:paraId="216A11C4">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0.133</w:t>
                  </w:r>
                </w:p>
              </w:tc>
              <w:tc>
                <w:tcPr>
                  <w:tcW w:w="417" w:type="pct"/>
                  <w:shd w:val="clear" w:color="auto" w:fill="auto"/>
                  <w:noWrap w:val="0"/>
                  <w:vAlign w:val="center"/>
                </w:tcPr>
                <w:p w14:paraId="334B8A67">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0.050</w:t>
                  </w:r>
                </w:p>
              </w:tc>
              <w:tc>
                <w:tcPr>
                  <w:tcW w:w="495" w:type="pct"/>
                  <w:shd w:val="clear" w:color="auto" w:fill="auto"/>
                  <w:noWrap w:val="0"/>
                  <w:vAlign w:val="center"/>
                </w:tcPr>
                <w:p w14:paraId="11684348">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5.045</w:t>
                  </w:r>
                </w:p>
              </w:tc>
            </w:tr>
            <w:tr w14:paraId="4A69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87" w:type="pct"/>
                  <w:vMerge w:val="continue"/>
                  <w:shd w:val="clear" w:color="auto" w:fill="auto"/>
                  <w:noWrap w:val="0"/>
                  <w:vAlign w:val="center"/>
                </w:tcPr>
                <w:p w14:paraId="12D31BBA">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51B62026">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30BBE8F2">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5D476BF0">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3EEE607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0.740</w:t>
                  </w:r>
                </w:p>
              </w:tc>
              <w:tc>
                <w:tcPr>
                  <w:tcW w:w="439" w:type="pct"/>
                  <w:shd w:val="clear" w:color="auto" w:fill="auto"/>
                  <w:noWrap w:val="0"/>
                  <w:vAlign w:val="center"/>
                </w:tcPr>
                <w:p w14:paraId="0E8EC29E">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0.280</w:t>
                  </w:r>
                </w:p>
              </w:tc>
              <w:tc>
                <w:tcPr>
                  <w:tcW w:w="556" w:type="pct"/>
                  <w:shd w:val="clear" w:color="auto" w:fill="auto"/>
                  <w:noWrap w:val="0"/>
                  <w:vAlign w:val="center"/>
                </w:tcPr>
                <w:p w14:paraId="0403D77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4B653824">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0.015</w:t>
                  </w:r>
                </w:p>
              </w:tc>
              <w:tc>
                <w:tcPr>
                  <w:tcW w:w="417" w:type="pct"/>
                  <w:shd w:val="clear" w:color="auto" w:fill="auto"/>
                  <w:noWrap w:val="0"/>
                  <w:vAlign w:val="center"/>
                </w:tcPr>
                <w:p w14:paraId="3157FCDD">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0.006</w:t>
                  </w:r>
                </w:p>
              </w:tc>
              <w:tc>
                <w:tcPr>
                  <w:tcW w:w="495" w:type="pct"/>
                  <w:shd w:val="clear" w:color="auto" w:fill="auto"/>
                  <w:noWrap w:val="0"/>
                  <w:vAlign w:val="center"/>
                </w:tcPr>
                <w:p w14:paraId="20973788">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7E27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87" w:type="pct"/>
                  <w:vMerge w:val="restart"/>
                  <w:shd w:val="clear" w:color="auto" w:fill="auto"/>
                  <w:noWrap w:val="0"/>
                  <w:vAlign w:val="center"/>
                </w:tcPr>
                <w:p w14:paraId="039025C0">
                  <w:pPr>
                    <w:ind w:left="-108" w:leftChars="0" w:right="-102" w:rightChars="0"/>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玉米芯细粉粉尘</w:t>
                  </w:r>
                </w:p>
                <w:p w14:paraId="48AD6B1C">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DA004</w:t>
                  </w:r>
                </w:p>
              </w:tc>
              <w:tc>
                <w:tcPr>
                  <w:tcW w:w="200" w:type="pct"/>
                  <w:vMerge w:val="continue"/>
                  <w:shd w:val="clear" w:color="auto" w:fill="auto"/>
                  <w:noWrap w:val="0"/>
                  <w:vAlign w:val="center"/>
                </w:tcPr>
                <w:p w14:paraId="3907416D">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restart"/>
                  <w:shd w:val="clear" w:color="auto" w:fill="auto"/>
                  <w:noWrap w:val="0"/>
                  <w:vAlign w:val="center"/>
                </w:tcPr>
                <w:p w14:paraId="2C5D733E">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738D8CD3">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16A4C119">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6.660</w:t>
                  </w:r>
                </w:p>
              </w:tc>
              <w:tc>
                <w:tcPr>
                  <w:tcW w:w="439" w:type="pct"/>
                  <w:shd w:val="clear" w:color="auto" w:fill="auto"/>
                  <w:noWrap w:val="0"/>
                  <w:vAlign w:val="center"/>
                </w:tcPr>
                <w:p w14:paraId="60EA0C77">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c>
                <w:tcPr>
                  <w:tcW w:w="556" w:type="pct"/>
                  <w:shd w:val="clear" w:color="auto" w:fill="auto"/>
                  <w:noWrap w:val="0"/>
                  <w:vAlign w:val="center"/>
                </w:tcPr>
                <w:p w14:paraId="44B345D3">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252.273</w:t>
                  </w:r>
                </w:p>
              </w:tc>
              <w:tc>
                <w:tcPr>
                  <w:tcW w:w="449" w:type="pct"/>
                  <w:shd w:val="clear" w:color="auto" w:fill="auto"/>
                  <w:noWrap w:val="0"/>
                  <w:vAlign w:val="center"/>
                </w:tcPr>
                <w:p w14:paraId="1D588488">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0.133</w:t>
                  </w:r>
                </w:p>
              </w:tc>
              <w:tc>
                <w:tcPr>
                  <w:tcW w:w="417" w:type="pct"/>
                  <w:shd w:val="clear" w:color="auto" w:fill="auto"/>
                  <w:noWrap w:val="0"/>
                  <w:vAlign w:val="center"/>
                </w:tcPr>
                <w:p w14:paraId="5F1B5352">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0.050</w:t>
                  </w:r>
                </w:p>
              </w:tc>
              <w:tc>
                <w:tcPr>
                  <w:tcW w:w="495" w:type="pct"/>
                  <w:shd w:val="clear" w:color="auto" w:fill="auto"/>
                  <w:noWrap w:val="0"/>
                  <w:vAlign w:val="center"/>
                </w:tcPr>
                <w:p w14:paraId="7C968DD2">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5.045</w:t>
                  </w:r>
                </w:p>
              </w:tc>
            </w:tr>
            <w:tr w14:paraId="0CB7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87" w:type="pct"/>
                  <w:vMerge w:val="continue"/>
                  <w:shd w:val="clear" w:color="auto" w:fill="auto"/>
                  <w:noWrap w:val="0"/>
                  <w:vAlign w:val="center"/>
                </w:tcPr>
                <w:p w14:paraId="7219FF93">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312AA1C3">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2DF784F7">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08CA212D">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44875C29">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0.740</w:t>
                  </w:r>
                </w:p>
              </w:tc>
              <w:tc>
                <w:tcPr>
                  <w:tcW w:w="439" w:type="pct"/>
                  <w:shd w:val="clear" w:color="auto" w:fill="auto"/>
                  <w:noWrap w:val="0"/>
                  <w:vAlign w:val="center"/>
                </w:tcPr>
                <w:p w14:paraId="50DEB73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0.280</w:t>
                  </w:r>
                </w:p>
              </w:tc>
              <w:tc>
                <w:tcPr>
                  <w:tcW w:w="556" w:type="pct"/>
                  <w:shd w:val="clear" w:color="auto" w:fill="auto"/>
                  <w:noWrap w:val="0"/>
                  <w:vAlign w:val="center"/>
                </w:tcPr>
                <w:p w14:paraId="4CE9F945">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6165477B">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0.015</w:t>
                  </w:r>
                </w:p>
              </w:tc>
              <w:tc>
                <w:tcPr>
                  <w:tcW w:w="417" w:type="pct"/>
                  <w:shd w:val="clear" w:color="auto" w:fill="auto"/>
                  <w:noWrap w:val="0"/>
                  <w:vAlign w:val="center"/>
                </w:tcPr>
                <w:p w14:paraId="04119242">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0.006</w:t>
                  </w:r>
                </w:p>
              </w:tc>
              <w:tc>
                <w:tcPr>
                  <w:tcW w:w="495" w:type="pct"/>
                  <w:shd w:val="clear" w:color="auto" w:fill="auto"/>
                  <w:noWrap w:val="0"/>
                  <w:vAlign w:val="center"/>
                </w:tcPr>
                <w:p w14:paraId="37F1C5A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7A08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87" w:type="pct"/>
                  <w:vMerge w:val="restart"/>
                  <w:shd w:val="clear" w:color="auto" w:fill="auto"/>
                  <w:noWrap w:val="0"/>
                  <w:vAlign w:val="center"/>
                </w:tcPr>
                <w:p w14:paraId="0B927BE7">
                  <w:pPr>
                    <w:ind w:left="-108" w:leftChars="0" w:right="-102" w:rightChars="0"/>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玉米芯粉包装粉尘</w:t>
                  </w:r>
                </w:p>
                <w:p w14:paraId="2DDD67BE">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DA005</w:t>
                  </w:r>
                </w:p>
              </w:tc>
              <w:tc>
                <w:tcPr>
                  <w:tcW w:w="200" w:type="pct"/>
                  <w:vMerge w:val="continue"/>
                  <w:shd w:val="clear" w:color="auto" w:fill="auto"/>
                  <w:noWrap w:val="0"/>
                  <w:vAlign w:val="center"/>
                </w:tcPr>
                <w:p w14:paraId="2AEB7DC7">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restart"/>
                  <w:shd w:val="clear" w:color="auto" w:fill="auto"/>
                  <w:noWrap w:val="0"/>
                  <w:vAlign w:val="center"/>
                </w:tcPr>
                <w:p w14:paraId="3C580DD4">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11576CC4">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600D140B">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6.660</w:t>
                  </w:r>
                </w:p>
              </w:tc>
              <w:tc>
                <w:tcPr>
                  <w:tcW w:w="439" w:type="pct"/>
                  <w:shd w:val="clear" w:color="auto" w:fill="auto"/>
                  <w:noWrap w:val="0"/>
                  <w:vAlign w:val="center"/>
                </w:tcPr>
                <w:p w14:paraId="2264993F">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c>
                <w:tcPr>
                  <w:tcW w:w="556" w:type="pct"/>
                  <w:shd w:val="clear" w:color="auto" w:fill="auto"/>
                  <w:noWrap w:val="0"/>
                  <w:vAlign w:val="center"/>
                </w:tcPr>
                <w:p w14:paraId="3CF23707">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252.273</w:t>
                  </w:r>
                </w:p>
              </w:tc>
              <w:tc>
                <w:tcPr>
                  <w:tcW w:w="449" w:type="pct"/>
                  <w:shd w:val="clear" w:color="auto" w:fill="auto"/>
                  <w:noWrap w:val="0"/>
                  <w:vAlign w:val="center"/>
                </w:tcPr>
                <w:p w14:paraId="126F49EC">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0.133</w:t>
                  </w:r>
                </w:p>
              </w:tc>
              <w:tc>
                <w:tcPr>
                  <w:tcW w:w="417" w:type="pct"/>
                  <w:shd w:val="clear" w:color="auto" w:fill="auto"/>
                  <w:noWrap w:val="0"/>
                  <w:vAlign w:val="center"/>
                </w:tcPr>
                <w:p w14:paraId="59D074F3">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0.050</w:t>
                  </w:r>
                </w:p>
              </w:tc>
              <w:tc>
                <w:tcPr>
                  <w:tcW w:w="495" w:type="pct"/>
                  <w:shd w:val="clear" w:color="auto" w:fill="auto"/>
                  <w:noWrap w:val="0"/>
                  <w:vAlign w:val="center"/>
                </w:tcPr>
                <w:p w14:paraId="21D502E4">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5.045</w:t>
                  </w:r>
                </w:p>
              </w:tc>
            </w:tr>
            <w:tr w14:paraId="6168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87" w:type="pct"/>
                  <w:vMerge w:val="continue"/>
                  <w:shd w:val="clear" w:color="auto" w:fill="auto"/>
                  <w:noWrap w:val="0"/>
                  <w:vAlign w:val="center"/>
                </w:tcPr>
                <w:p w14:paraId="2B7E573A">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5E147EF4">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59C3A7ED">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75544A9C">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69236D1C">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0.740</w:t>
                  </w:r>
                </w:p>
              </w:tc>
              <w:tc>
                <w:tcPr>
                  <w:tcW w:w="439" w:type="pct"/>
                  <w:shd w:val="clear" w:color="auto" w:fill="auto"/>
                  <w:noWrap w:val="0"/>
                  <w:vAlign w:val="center"/>
                </w:tcPr>
                <w:p w14:paraId="19DFC168">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0.280</w:t>
                  </w:r>
                </w:p>
              </w:tc>
              <w:tc>
                <w:tcPr>
                  <w:tcW w:w="556" w:type="pct"/>
                  <w:shd w:val="clear" w:color="auto" w:fill="auto"/>
                  <w:noWrap w:val="0"/>
                  <w:vAlign w:val="center"/>
                </w:tcPr>
                <w:p w14:paraId="1064D6F5">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4ADF8D8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0.015</w:t>
                  </w:r>
                </w:p>
              </w:tc>
              <w:tc>
                <w:tcPr>
                  <w:tcW w:w="417" w:type="pct"/>
                  <w:shd w:val="clear" w:color="auto" w:fill="auto"/>
                  <w:noWrap w:val="0"/>
                  <w:vAlign w:val="center"/>
                </w:tcPr>
                <w:p w14:paraId="734D168E">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0.006</w:t>
                  </w:r>
                </w:p>
              </w:tc>
              <w:tc>
                <w:tcPr>
                  <w:tcW w:w="495" w:type="pct"/>
                  <w:shd w:val="clear" w:color="auto" w:fill="auto"/>
                  <w:noWrap w:val="0"/>
                  <w:vAlign w:val="center"/>
                </w:tcPr>
                <w:p w14:paraId="16341219">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10EC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87" w:type="pct"/>
                  <w:vMerge w:val="restart"/>
                  <w:shd w:val="clear" w:color="auto" w:fill="auto"/>
                  <w:noWrap w:val="0"/>
                  <w:vAlign w:val="center"/>
                </w:tcPr>
                <w:p w14:paraId="78BA3A3D">
                  <w:pPr>
                    <w:ind w:left="-108" w:leftChars="0" w:right="-102" w:rightChars="0"/>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玉米芯粉投料粉尘</w:t>
                  </w:r>
                </w:p>
                <w:p w14:paraId="6136257E">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DA006</w:t>
                  </w:r>
                </w:p>
              </w:tc>
              <w:tc>
                <w:tcPr>
                  <w:tcW w:w="200" w:type="pct"/>
                  <w:vMerge w:val="continue"/>
                  <w:shd w:val="clear" w:color="auto" w:fill="auto"/>
                  <w:noWrap w:val="0"/>
                  <w:vAlign w:val="center"/>
                </w:tcPr>
                <w:p w14:paraId="4C3E3929">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restart"/>
                  <w:shd w:val="clear" w:color="auto" w:fill="auto"/>
                  <w:noWrap w:val="0"/>
                  <w:vAlign w:val="center"/>
                </w:tcPr>
                <w:p w14:paraId="7203802C">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40B4B5DF">
                  <w:pPr>
                    <w:jc w:val="center"/>
                    <w:rPr>
                      <w:rFonts w:hint="default"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15087E08">
                  <w:pPr>
                    <w:jc w:val="center"/>
                    <w:rPr>
                      <w:rFonts w:hint="default"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6.660</w:t>
                  </w:r>
                </w:p>
              </w:tc>
              <w:tc>
                <w:tcPr>
                  <w:tcW w:w="439" w:type="pct"/>
                  <w:shd w:val="clear" w:color="auto" w:fill="auto"/>
                  <w:noWrap w:val="0"/>
                  <w:vAlign w:val="center"/>
                </w:tcPr>
                <w:p w14:paraId="31B1B467">
                  <w:pPr>
                    <w:jc w:val="center"/>
                    <w:rPr>
                      <w:rFonts w:hint="default"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c>
                <w:tcPr>
                  <w:tcW w:w="556" w:type="pct"/>
                  <w:shd w:val="clear" w:color="auto" w:fill="auto"/>
                  <w:noWrap w:val="0"/>
                  <w:vAlign w:val="center"/>
                </w:tcPr>
                <w:p w14:paraId="53EE2D78">
                  <w:pPr>
                    <w:jc w:val="center"/>
                    <w:rPr>
                      <w:rFonts w:hint="default"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252.273</w:t>
                  </w:r>
                </w:p>
              </w:tc>
              <w:tc>
                <w:tcPr>
                  <w:tcW w:w="449" w:type="pct"/>
                  <w:shd w:val="clear" w:color="auto" w:fill="auto"/>
                  <w:noWrap w:val="0"/>
                  <w:vAlign w:val="center"/>
                </w:tcPr>
                <w:p w14:paraId="1CAA89A2">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0.133</w:t>
                  </w:r>
                </w:p>
              </w:tc>
              <w:tc>
                <w:tcPr>
                  <w:tcW w:w="417" w:type="pct"/>
                  <w:shd w:val="clear" w:color="auto" w:fill="auto"/>
                  <w:noWrap w:val="0"/>
                  <w:vAlign w:val="center"/>
                </w:tcPr>
                <w:p w14:paraId="03D91ADC">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0.050</w:t>
                  </w:r>
                </w:p>
              </w:tc>
              <w:tc>
                <w:tcPr>
                  <w:tcW w:w="495" w:type="pct"/>
                  <w:shd w:val="clear" w:color="auto" w:fill="auto"/>
                  <w:noWrap w:val="0"/>
                  <w:vAlign w:val="center"/>
                </w:tcPr>
                <w:p w14:paraId="1FFC0BC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5.045</w:t>
                  </w:r>
                </w:p>
              </w:tc>
            </w:tr>
            <w:tr w14:paraId="1676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87" w:type="pct"/>
                  <w:vMerge w:val="continue"/>
                  <w:shd w:val="clear" w:color="auto" w:fill="auto"/>
                  <w:noWrap w:val="0"/>
                  <w:vAlign w:val="center"/>
                </w:tcPr>
                <w:p w14:paraId="551CD19D">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1DD805FF">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31B7006A">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5A8098DB">
                  <w:pPr>
                    <w:jc w:val="center"/>
                    <w:rPr>
                      <w:rFonts w:hint="default"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1B104788">
                  <w:pPr>
                    <w:jc w:val="center"/>
                    <w:rPr>
                      <w:rFonts w:hint="default"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0.740</w:t>
                  </w:r>
                </w:p>
              </w:tc>
              <w:tc>
                <w:tcPr>
                  <w:tcW w:w="439" w:type="pct"/>
                  <w:shd w:val="clear" w:color="auto" w:fill="auto"/>
                  <w:noWrap w:val="0"/>
                  <w:vAlign w:val="center"/>
                </w:tcPr>
                <w:p w14:paraId="15B23EAB">
                  <w:pPr>
                    <w:jc w:val="center"/>
                    <w:rPr>
                      <w:rFonts w:hint="default"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0.280</w:t>
                  </w:r>
                </w:p>
              </w:tc>
              <w:tc>
                <w:tcPr>
                  <w:tcW w:w="556" w:type="pct"/>
                  <w:shd w:val="clear" w:color="auto" w:fill="auto"/>
                  <w:noWrap w:val="0"/>
                  <w:vAlign w:val="center"/>
                </w:tcPr>
                <w:p w14:paraId="72936296">
                  <w:pPr>
                    <w:jc w:val="center"/>
                    <w:rPr>
                      <w:rFonts w:hint="default"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2DE05099">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0.015</w:t>
                  </w:r>
                </w:p>
              </w:tc>
              <w:tc>
                <w:tcPr>
                  <w:tcW w:w="417" w:type="pct"/>
                  <w:shd w:val="clear" w:color="auto" w:fill="auto"/>
                  <w:noWrap w:val="0"/>
                  <w:vAlign w:val="center"/>
                </w:tcPr>
                <w:p w14:paraId="3E0F20C7">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0.006</w:t>
                  </w:r>
                </w:p>
              </w:tc>
              <w:tc>
                <w:tcPr>
                  <w:tcW w:w="495" w:type="pct"/>
                  <w:shd w:val="clear" w:color="auto" w:fill="auto"/>
                  <w:noWrap w:val="0"/>
                  <w:vAlign w:val="center"/>
                </w:tcPr>
                <w:p w14:paraId="1B02B43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6CA2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87" w:type="pct"/>
                  <w:shd w:val="clear" w:color="auto" w:fill="auto"/>
                  <w:noWrap w:val="0"/>
                  <w:vAlign w:val="center"/>
                </w:tcPr>
                <w:p w14:paraId="510BAB28">
                  <w:pPr>
                    <w:ind w:left="-108" w:leftChars="0" w:right="-102" w:rightChars="0"/>
                    <w:jc w:val="center"/>
                    <w:rPr>
                      <w:rFonts w:hint="eastAsia"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粉料烘干粉尘</w:t>
                  </w:r>
                </w:p>
                <w:p w14:paraId="54B1B0EC">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DA007</w:t>
                  </w:r>
                </w:p>
              </w:tc>
              <w:tc>
                <w:tcPr>
                  <w:tcW w:w="200" w:type="pct"/>
                  <w:vMerge w:val="continue"/>
                  <w:shd w:val="clear" w:color="auto" w:fill="auto"/>
                  <w:noWrap w:val="0"/>
                  <w:vAlign w:val="center"/>
                </w:tcPr>
                <w:p w14:paraId="699138E9">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shd w:val="clear" w:color="auto" w:fill="auto"/>
                  <w:noWrap w:val="0"/>
                  <w:vAlign w:val="center"/>
                </w:tcPr>
                <w:p w14:paraId="5C9F265B">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封闭+旋风</w:t>
                  </w:r>
                </w:p>
              </w:tc>
              <w:tc>
                <w:tcPr>
                  <w:tcW w:w="514" w:type="pct"/>
                  <w:shd w:val="clear" w:color="auto" w:fill="auto"/>
                  <w:noWrap w:val="0"/>
                  <w:vAlign w:val="center"/>
                </w:tcPr>
                <w:p w14:paraId="07DE20E4">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46201AFF">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3.700</w:t>
                  </w:r>
                </w:p>
              </w:tc>
              <w:tc>
                <w:tcPr>
                  <w:tcW w:w="439" w:type="pct"/>
                  <w:shd w:val="clear" w:color="auto" w:fill="auto"/>
                  <w:noWrap w:val="0"/>
                  <w:vAlign w:val="center"/>
                </w:tcPr>
                <w:p w14:paraId="2C2F2F9E">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1.402</w:t>
                  </w:r>
                </w:p>
              </w:tc>
              <w:tc>
                <w:tcPr>
                  <w:tcW w:w="556" w:type="pct"/>
                  <w:shd w:val="clear" w:color="auto" w:fill="auto"/>
                  <w:noWrap w:val="0"/>
                  <w:vAlign w:val="center"/>
                </w:tcPr>
                <w:p w14:paraId="40AEC742">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140.152</w:t>
                  </w:r>
                </w:p>
              </w:tc>
              <w:tc>
                <w:tcPr>
                  <w:tcW w:w="449" w:type="pct"/>
                  <w:shd w:val="clear" w:color="auto" w:fill="auto"/>
                  <w:noWrap w:val="0"/>
                  <w:vAlign w:val="center"/>
                </w:tcPr>
                <w:p w14:paraId="547D6454">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1.480</w:t>
                  </w:r>
                </w:p>
              </w:tc>
              <w:tc>
                <w:tcPr>
                  <w:tcW w:w="417" w:type="pct"/>
                  <w:shd w:val="clear" w:color="auto" w:fill="auto"/>
                  <w:noWrap w:val="0"/>
                  <w:vAlign w:val="center"/>
                </w:tcPr>
                <w:p w14:paraId="1E5DEB6D">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0.561</w:t>
                  </w:r>
                </w:p>
              </w:tc>
              <w:tc>
                <w:tcPr>
                  <w:tcW w:w="495" w:type="pct"/>
                  <w:shd w:val="clear" w:color="auto" w:fill="auto"/>
                  <w:noWrap w:val="0"/>
                  <w:vAlign w:val="center"/>
                </w:tcPr>
                <w:p w14:paraId="6E8BA351">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56.061</w:t>
                  </w:r>
                </w:p>
              </w:tc>
            </w:tr>
            <w:tr w14:paraId="1C5B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87" w:type="pct"/>
                  <w:shd w:val="clear" w:color="auto" w:fill="auto"/>
                  <w:noWrap w:val="0"/>
                  <w:vAlign w:val="center"/>
                </w:tcPr>
                <w:p w14:paraId="2358671B">
                  <w:pPr>
                    <w:ind w:left="-108" w:leftChars="0" w:right="-102" w:rightChars="0"/>
                    <w:jc w:val="center"/>
                    <w:rPr>
                      <w:rFonts w:hint="eastAsia"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粉料风冷粉尘</w:t>
                  </w:r>
                </w:p>
                <w:p w14:paraId="26B7DD59">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DA008</w:t>
                  </w:r>
                </w:p>
              </w:tc>
              <w:tc>
                <w:tcPr>
                  <w:tcW w:w="200" w:type="pct"/>
                  <w:vMerge w:val="continue"/>
                  <w:shd w:val="clear" w:color="auto" w:fill="auto"/>
                  <w:noWrap w:val="0"/>
                  <w:vAlign w:val="center"/>
                </w:tcPr>
                <w:p w14:paraId="53C2C8F2">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shd w:val="clear" w:color="auto" w:fill="auto"/>
                  <w:noWrap w:val="0"/>
                  <w:vAlign w:val="center"/>
                </w:tcPr>
                <w:p w14:paraId="7FD83C20">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封闭+旋风</w:t>
                  </w:r>
                </w:p>
              </w:tc>
              <w:tc>
                <w:tcPr>
                  <w:tcW w:w="514" w:type="pct"/>
                  <w:shd w:val="clear" w:color="auto" w:fill="auto"/>
                  <w:noWrap w:val="0"/>
                  <w:vAlign w:val="center"/>
                </w:tcPr>
                <w:p w14:paraId="216C42AF">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13835468">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3.700</w:t>
                  </w:r>
                </w:p>
              </w:tc>
              <w:tc>
                <w:tcPr>
                  <w:tcW w:w="439" w:type="pct"/>
                  <w:shd w:val="clear" w:color="auto" w:fill="auto"/>
                  <w:noWrap w:val="0"/>
                  <w:vAlign w:val="center"/>
                </w:tcPr>
                <w:p w14:paraId="7CC91F6F">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1.402</w:t>
                  </w:r>
                </w:p>
              </w:tc>
              <w:tc>
                <w:tcPr>
                  <w:tcW w:w="556" w:type="pct"/>
                  <w:shd w:val="clear" w:color="auto" w:fill="auto"/>
                  <w:noWrap w:val="0"/>
                  <w:vAlign w:val="center"/>
                </w:tcPr>
                <w:p w14:paraId="20AF8A8E">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140.152</w:t>
                  </w:r>
                </w:p>
              </w:tc>
              <w:tc>
                <w:tcPr>
                  <w:tcW w:w="449" w:type="pct"/>
                  <w:shd w:val="clear" w:color="auto" w:fill="auto"/>
                  <w:noWrap w:val="0"/>
                  <w:vAlign w:val="center"/>
                </w:tcPr>
                <w:p w14:paraId="0CF70AC5">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1.480</w:t>
                  </w:r>
                </w:p>
              </w:tc>
              <w:tc>
                <w:tcPr>
                  <w:tcW w:w="417" w:type="pct"/>
                  <w:shd w:val="clear" w:color="auto" w:fill="auto"/>
                  <w:noWrap w:val="0"/>
                  <w:vAlign w:val="center"/>
                </w:tcPr>
                <w:p w14:paraId="53101EB6">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0.561</w:t>
                  </w:r>
                </w:p>
              </w:tc>
              <w:tc>
                <w:tcPr>
                  <w:tcW w:w="495" w:type="pct"/>
                  <w:shd w:val="clear" w:color="auto" w:fill="auto"/>
                  <w:noWrap w:val="0"/>
                  <w:vAlign w:val="center"/>
                </w:tcPr>
                <w:p w14:paraId="29F09189">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56.061</w:t>
                  </w:r>
                </w:p>
              </w:tc>
            </w:tr>
            <w:tr w14:paraId="5576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7" w:type="pct"/>
                  <w:vMerge w:val="restart"/>
                  <w:shd w:val="clear" w:color="auto" w:fill="auto"/>
                  <w:noWrap w:val="0"/>
                  <w:vAlign w:val="center"/>
                </w:tcPr>
                <w:p w14:paraId="6202D764">
                  <w:pPr>
                    <w:ind w:left="-108" w:leftChars="0" w:right="-102" w:rightChars="0"/>
                    <w:jc w:val="center"/>
                    <w:rPr>
                      <w:rFonts w:hint="eastAsia"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粉料破碎粉尘</w:t>
                  </w:r>
                </w:p>
                <w:p w14:paraId="1EB74407">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DA009</w:t>
                  </w:r>
                </w:p>
              </w:tc>
              <w:tc>
                <w:tcPr>
                  <w:tcW w:w="200" w:type="pct"/>
                  <w:vMerge w:val="continue"/>
                  <w:shd w:val="clear" w:color="auto" w:fill="auto"/>
                  <w:noWrap w:val="0"/>
                  <w:vAlign w:val="center"/>
                </w:tcPr>
                <w:p w14:paraId="22B64630">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restart"/>
                  <w:shd w:val="clear" w:color="auto" w:fill="auto"/>
                  <w:noWrap w:val="0"/>
                  <w:vAlign w:val="center"/>
                </w:tcPr>
                <w:p w14:paraId="7B0C4F67">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534FEAE5">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75760709">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3.330</w:t>
                  </w:r>
                </w:p>
              </w:tc>
              <w:tc>
                <w:tcPr>
                  <w:tcW w:w="439" w:type="pct"/>
                  <w:shd w:val="clear" w:color="auto" w:fill="auto"/>
                  <w:noWrap w:val="0"/>
                  <w:vAlign w:val="center"/>
                </w:tcPr>
                <w:p w14:paraId="645277EC">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w:t>
                  </w:r>
                </w:p>
              </w:tc>
              <w:tc>
                <w:tcPr>
                  <w:tcW w:w="556" w:type="pct"/>
                  <w:shd w:val="clear" w:color="auto" w:fill="auto"/>
                  <w:noWrap w:val="0"/>
                  <w:vAlign w:val="center"/>
                </w:tcPr>
                <w:p w14:paraId="484C3238">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126.136</w:t>
                  </w:r>
                </w:p>
              </w:tc>
              <w:tc>
                <w:tcPr>
                  <w:tcW w:w="449" w:type="pct"/>
                  <w:shd w:val="clear" w:color="auto" w:fill="auto"/>
                  <w:noWrap w:val="0"/>
                  <w:vAlign w:val="center"/>
                </w:tcPr>
                <w:p w14:paraId="6B17914E">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0.067</w:t>
                  </w:r>
                </w:p>
              </w:tc>
              <w:tc>
                <w:tcPr>
                  <w:tcW w:w="417" w:type="pct"/>
                  <w:shd w:val="clear" w:color="auto" w:fill="auto"/>
                  <w:noWrap w:val="0"/>
                  <w:vAlign w:val="center"/>
                </w:tcPr>
                <w:p w14:paraId="10971867">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0.025</w:t>
                  </w:r>
                </w:p>
              </w:tc>
              <w:tc>
                <w:tcPr>
                  <w:tcW w:w="495" w:type="pct"/>
                  <w:shd w:val="clear" w:color="auto" w:fill="auto"/>
                  <w:noWrap w:val="0"/>
                  <w:vAlign w:val="center"/>
                </w:tcPr>
                <w:p w14:paraId="37B546D7">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r>
            <w:tr w14:paraId="6BB4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87" w:type="pct"/>
                  <w:vMerge w:val="continue"/>
                  <w:shd w:val="clear" w:color="auto" w:fill="auto"/>
                  <w:noWrap w:val="0"/>
                  <w:vAlign w:val="center"/>
                </w:tcPr>
                <w:p w14:paraId="6BBFB13C">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0C43D96E">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580EFA6F">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2FE183CA">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6F1D8371">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0.370</w:t>
                  </w:r>
                </w:p>
              </w:tc>
              <w:tc>
                <w:tcPr>
                  <w:tcW w:w="439" w:type="pct"/>
                  <w:shd w:val="clear" w:color="auto" w:fill="auto"/>
                  <w:noWrap w:val="0"/>
                  <w:vAlign w:val="center"/>
                </w:tcPr>
                <w:p w14:paraId="7E13E1BB">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0.140</w:t>
                  </w:r>
                </w:p>
              </w:tc>
              <w:tc>
                <w:tcPr>
                  <w:tcW w:w="556" w:type="pct"/>
                  <w:shd w:val="clear" w:color="auto" w:fill="auto"/>
                  <w:noWrap w:val="0"/>
                  <w:vAlign w:val="center"/>
                </w:tcPr>
                <w:p w14:paraId="78DC5351">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2556F3D7">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0.007</w:t>
                  </w:r>
                </w:p>
              </w:tc>
              <w:tc>
                <w:tcPr>
                  <w:tcW w:w="417" w:type="pct"/>
                  <w:shd w:val="clear" w:color="auto" w:fill="auto"/>
                  <w:noWrap w:val="0"/>
                  <w:vAlign w:val="center"/>
                </w:tcPr>
                <w:p w14:paraId="25B9CF23">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0.003</w:t>
                  </w:r>
                </w:p>
              </w:tc>
              <w:tc>
                <w:tcPr>
                  <w:tcW w:w="495" w:type="pct"/>
                  <w:shd w:val="clear" w:color="auto" w:fill="auto"/>
                  <w:noWrap w:val="0"/>
                  <w:vAlign w:val="center"/>
                </w:tcPr>
                <w:p w14:paraId="26A6A42B">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72C3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87" w:type="pct"/>
                  <w:vMerge w:val="restart"/>
                  <w:shd w:val="clear" w:color="auto" w:fill="auto"/>
                  <w:noWrap w:val="0"/>
                  <w:vAlign w:val="center"/>
                </w:tcPr>
                <w:p w14:paraId="4EE17F7A">
                  <w:pPr>
                    <w:ind w:left="-108" w:leftChars="0" w:right="-102" w:rightChars="0"/>
                    <w:jc w:val="center"/>
                    <w:rPr>
                      <w:rFonts w:hint="eastAsia"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辅料投料粉尘</w:t>
                  </w:r>
                </w:p>
                <w:p w14:paraId="004A646A">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DA010</w:t>
                  </w:r>
                </w:p>
              </w:tc>
              <w:tc>
                <w:tcPr>
                  <w:tcW w:w="200" w:type="pct"/>
                  <w:vMerge w:val="continue"/>
                  <w:shd w:val="clear" w:color="auto" w:fill="auto"/>
                  <w:noWrap w:val="0"/>
                  <w:vAlign w:val="center"/>
                </w:tcPr>
                <w:p w14:paraId="66810459">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restart"/>
                  <w:shd w:val="clear" w:color="auto" w:fill="auto"/>
                  <w:noWrap w:val="0"/>
                  <w:vAlign w:val="center"/>
                </w:tcPr>
                <w:p w14:paraId="039FB682">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06D4F310">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6013D8B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3.330</w:t>
                  </w:r>
                </w:p>
              </w:tc>
              <w:tc>
                <w:tcPr>
                  <w:tcW w:w="439" w:type="pct"/>
                  <w:shd w:val="clear" w:color="auto" w:fill="auto"/>
                  <w:noWrap w:val="0"/>
                  <w:vAlign w:val="center"/>
                </w:tcPr>
                <w:p w14:paraId="4D07244E">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w:t>
                  </w:r>
                </w:p>
              </w:tc>
              <w:tc>
                <w:tcPr>
                  <w:tcW w:w="556" w:type="pct"/>
                  <w:shd w:val="clear" w:color="auto" w:fill="auto"/>
                  <w:noWrap w:val="0"/>
                  <w:vAlign w:val="center"/>
                </w:tcPr>
                <w:p w14:paraId="009BAE7E">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126.136</w:t>
                  </w:r>
                </w:p>
              </w:tc>
              <w:tc>
                <w:tcPr>
                  <w:tcW w:w="449" w:type="pct"/>
                  <w:shd w:val="clear" w:color="auto" w:fill="auto"/>
                  <w:noWrap w:val="0"/>
                  <w:vAlign w:val="center"/>
                </w:tcPr>
                <w:p w14:paraId="6AFF4C2B">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0.067</w:t>
                  </w:r>
                </w:p>
              </w:tc>
              <w:tc>
                <w:tcPr>
                  <w:tcW w:w="417" w:type="pct"/>
                  <w:shd w:val="clear" w:color="auto" w:fill="auto"/>
                  <w:noWrap w:val="0"/>
                  <w:vAlign w:val="center"/>
                </w:tcPr>
                <w:p w14:paraId="0DB49C1B">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0.025</w:t>
                  </w:r>
                </w:p>
              </w:tc>
              <w:tc>
                <w:tcPr>
                  <w:tcW w:w="495" w:type="pct"/>
                  <w:shd w:val="clear" w:color="auto" w:fill="auto"/>
                  <w:noWrap w:val="0"/>
                  <w:vAlign w:val="center"/>
                </w:tcPr>
                <w:p w14:paraId="081B3D27">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r>
            <w:tr w14:paraId="2688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87" w:type="pct"/>
                  <w:vMerge w:val="continue"/>
                  <w:shd w:val="clear" w:color="auto" w:fill="auto"/>
                  <w:noWrap w:val="0"/>
                  <w:vAlign w:val="center"/>
                </w:tcPr>
                <w:p w14:paraId="56681CF0">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6EE266D1">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58DCF9CC">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4C2E14D8">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769A9A28">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0.370</w:t>
                  </w:r>
                </w:p>
              </w:tc>
              <w:tc>
                <w:tcPr>
                  <w:tcW w:w="439" w:type="pct"/>
                  <w:shd w:val="clear" w:color="auto" w:fill="auto"/>
                  <w:noWrap w:val="0"/>
                  <w:vAlign w:val="center"/>
                </w:tcPr>
                <w:p w14:paraId="58AF109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0.140</w:t>
                  </w:r>
                </w:p>
              </w:tc>
              <w:tc>
                <w:tcPr>
                  <w:tcW w:w="556" w:type="pct"/>
                  <w:shd w:val="clear" w:color="auto" w:fill="auto"/>
                  <w:noWrap w:val="0"/>
                  <w:vAlign w:val="center"/>
                </w:tcPr>
                <w:p w14:paraId="2692871E">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75CDA6E6">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0.007</w:t>
                  </w:r>
                </w:p>
              </w:tc>
              <w:tc>
                <w:tcPr>
                  <w:tcW w:w="417" w:type="pct"/>
                  <w:shd w:val="clear" w:color="auto" w:fill="auto"/>
                  <w:noWrap w:val="0"/>
                  <w:vAlign w:val="center"/>
                </w:tcPr>
                <w:p w14:paraId="30025E3F">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0.003</w:t>
                  </w:r>
                </w:p>
              </w:tc>
              <w:tc>
                <w:tcPr>
                  <w:tcW w:w="495" w:type="pct"/>
                  <w:shd w:val="clear" w:color="auto" w:fill="auto"/>
                  <w:noWrap w:val="0"/>
                  <w:vAlign w:val="center"/>
                </w:tcPr>
                <w:p w14:paraId="71A82EDB">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2BA0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87" w:type="pct"/>
                  <w:vMerge w:val="restart"/>
                  <w:shd w:val="clear" w:color="auto" w:fill="auto"/>
                  <w:noWrap w:val="0"/>
                  <w:vAlign w:val="center"/>
                </w:tcPr>
                <w:p w14:paraId="5EB57B59">
                  <w:pPr>
                    <w:ind w:left="-108" w:leftChars="0" w:right="-102" w:rightChars="0"/>
                    <w:jc w:val="center"/>
                    <w:rPr>
                      <w:rFonts w:hint="eastAsia"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辅料破碎粉尘</w:t>
                  </w:r>
                </w:p>
                <w:p w14:paraId="3B85514E">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DA011</w:t>
                  </w:r>
                </w:p>
              </w:tc>
              <w:tc>
                <w:tcPr>
                  <w:tcW w:w="200" w:type="pct"/>
                  <w:vMerge w:val="continue"/>
                  <w:shd w:val="clear" w:color="auto" w:fill="auto"/>
                  <w:noWrap w:val="0"/>
                  <w:vAlign w:val="center"/>
                </w:tcPr>
                <w:p w14:paraId="0D7248AB">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restart"/>
                  <w:shd w:val="clear" w:color="auto" w:fill="auto"/>
                  <w:noWrap w:val="0"/>
                  <w:vAlign w:val="center"/>
                </w:tcPr>
                <w:p w14:paraId="7162D1B0">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4F819E16">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0465973C">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3.330</w:t>
                  </w:r>
                </w:p>
              </w:tc>
              <w:tc>
                <w:tcPr>
                  <w:tcW w:w="439" w:type="pct"/>
                  <w:shd w:val="clear" w:color="auto" w:fill="auto"/>
                  <w:noWrap w:val="0"/>
                  <w:vAlign w:val="center"/>
                </w:tcPr>
                <w:p w14:paraId="51B9F2D2">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w:t>
                  </w:r>
                </w:p>
              </w:tc>
              <w:tc>
                <w:tcPr>
                  <w:tcW w:w="556" w:type="pct"/>
                  <w:shd w:val="clear" w:color="auto" w:fill="auto"/>
                  <w:noWrap w:val="0"/>
                  <w:vAlign w:val="center"/>
                </w:tcPr>
                <w:p w14:paraId="509DA014">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126.136</w:t>
                  </w:r>
                </w:p>
              </w:tc>
              <w:tc>
                <w:tcPr>
                  <w:tcW w:w="449" w:type="pct"/>
                  <w:shd w:val="clear" w:color="auto" w:fill="auto"/>
                  <w:noWrap w:val="0"/>
                  <w:vAlign w:val="center"/>
                </w:tcPr>
                <w:p w14:paraId="4B363CE7">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0.067</w:t>
                  </w:r>
                </w:p>
              </w:tc>
              <w:tc>
                <w:tcPr>
                  <w:tcW w:w="417" w:type="pct"/>
                  <w:shd w:val="clear" w:color="auto" w:fill="auto"/>
                  <w:noWrap w:val="0"/>
                  <w:vAlign w:val="center"/>
                </w:tcPr>
                <w:p w14:paraId="01CE9723">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0.025</w:t>
                  </w:r>
                </w:p>
              </w:tc>
              <w:tc>
                <w:tcPr>
                  <w:tcW w:w="495" w:type="pct"/>
                  <w:shd w:val="clear" w:color="auto" w:fill="auto"/>
                  <w:noWrap w:val="0"/>
                  <w:vAlign w:val="center"/>
                </w:tcPr>
                <w:p w14:paraId="6BE6A90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r>
            <w:tr w14:paraId="2416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87" w:type="pct"/>
                  <w:vMerge w:val="continue"/>
                  <w:shd w:val="clear" w:color="auto" w:fill="auto"/>
                  <w:noWrap w:val="0"/>
                  <w:vAlign w:val="center"/>
                </w:tcPr>
                <w:p w14:paraId="2579E1F2">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7450355C">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1DB9CD0A">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593C732F">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25E3EA06">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0.370</w:t>
                  </w:r>
                </w:p>
              </w:tc>
              <w:tc>
                <w:tcPr>
                  <w:tcW w:w="439" w:type="pct"/>
                  <w:shd w:val="clear" w:color="auto" w:fill="auto"/>
                  <w:noWrap w:val="0"/>
                  <w:vAlign w:val="center"/>
                </w:tcPr>
                <w:p w14:paraId="755F1A2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0.140</w:t>
                  </w:r>
                </w:p>
              </w:tc>
              <w:tc>
                <w:tcPr>
                  <w:tcW w:w="556" w:type="pct"/>
                  <w:shd w:val="clear" w:color="auto" w:fill="auto"/>
                  <w:noWrap w:val="0"/>
                  <w:vAlign w:val="center"/>
                </w:tcPr>
                <w:p w14:paraId="79BD66F8">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310382A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0.007</w:t>
                  </w:r>
                </w:p>
              </w:tc>
              <w:tc>
                <w:tcPr>
                  <w:tcW w:w="417" w:type="pct"/>
                  <w:shd w:val="clear" w:color="auto" w:fill="auto"/>
                  <w:noWrap w:val="0"/>
                  <w:vAlign w:val="center"/>
                </w:tcPr>
                <w:p w14:paraId="71E772D7">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0.003</w:t>
                  </w:r>
                </w:p>
              </w:tc>
              <w:tc>
                <w:tcPr>
                  <w:tcW w:w="495" w:type="pct"/>
                  <w:shd w:val="clear" w:color="auto" w:fill="auto"/>
                  <w:noWrap w:val="0"/>
                  <w:vAlign w:val="center"/>
                </w:tcPr>
                <w:p w14:paraId="554B149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1F5B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87" w:type="pct"/>
                  <w:vMerge w:val="restart"/>
                  <w:shd w:val="clear" w:color="auto" w:fill="auto"/>
                  <w:noWrap w:val="0"/>
                  <w:vAlign w:val="center"/>
                </w:tcPr>
                <w:p w14:paraId="5325C63D">
                  <w:pPr>
                    <w:ind w:left="-108" w:leftChars="0" w:right="-102" w:rightChars="0"/>
                    <w:jc w:val="center"/>
                    <w:rPr>
                      <w:rFonts w:hint="eastAsia"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复配粉尘</w:t>
                  </w:r>
                </w:p>
                <w:p w14:paraId="0CA09632">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DA012</w:t>
                  </w:r>
                </w:p>
              </w:tc>
              <w:tc>
                <w:tcPr>
                  <w:tcW w:w="200" w:type="pct"/>
                  <w:vMerge w:val="continue"/>
                  <w:shd w:val="clear" w:color="auto" w:fill="auto"/>
                  <w:noWrap w:val="0"/>
                  <w:vAlign w:val="center"/>
                </w:tcPr>
                <w:p w14:paraId="1EBBB01F">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restart"/>
                  <w:shd w:val="clear" w:color="auto" w:fill="auto"/>
                  <w:noWrap w:val="0"/>
                  <w:vAlign w:val="center"/>
                </w:tcPr>
                <w:p w14:paraId="2236A2C8">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7FAEBA52">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38807F7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3.330</w:t>
                  </w:r>
                </w:p>
              </w:tc>
              <w:tc>
                <w:tcPr>
                  <w:tcW w:w="439" w:type="pct"/>
                  <w:shd w:val="clear" w:color="auto" w:fill="auto"/>
                  <w:noWrap w:val="0"/>
                  <w:vAlign w:val="center"/>
                </w:tcPr>
                <w:p w14:paraId="6F13051D">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w:t>
                  </w:r>
                </w:p>
              </w:tc>
              <w:tc>
                <w:tcPr>
                  <w:tcW w:w="556" w:type="pct"/>
                  <w:shd w:val="clear" w:color="auto" w:fill="auto"/>
                  <w:noWrap w:val="0"/>
                  <w:vAlign w:val="center"/>
                </w:tcPr>
                <w:p w14:paraId="6E506176">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126.136</w:t>
                  </w:r>
                </w:p>
              </w:tc>
              <w:tc>
                <w:tcPr>
                  <w:tcW w:w="449" w:type="pct"/>
                  <w:shd w:val="clear" w:color="auto" w:fill="auto"/>
                  <w:noWrap w:val="0"/>
                  <w:vAlign w:val="center"/>
                </w:tcPr>
                <w:p w14:paraId="1B8C60D5">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0.067</w:t>
                  </w:r>
                </w:p>
              </w:tc>
              <w:tc>
                <w:tcPr>
                  <w:tcW w:w="417" w:type="pct"/>
                  <w:shd w:val="clear" w:color="auto" w:fill="auto"/>
                  <w:noWrap w:val="0"/>
                  <w:vAlign w:val="center"/>
                </w:tcPr>
                <w:p w14:paraId="723CCC7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0.025</w:t>
                  </w:r>
                </w:p>
              </w:tc>
              <w:tc>
                <w:tcPr>
                  <w:tcW w:w="495" w:type="pct"/>
                  <w:shd w:val="clear" w:color="auto" w:fill="auto"/>
                  <w:noWrap w:val="0"/>
                  <w:vAlign w:val="center"/>
                </w:tcPr>
                <w:p w14:paraId="6C19D5BD">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r>
            <w:tr w14:paraId="0F4B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87" w:type="pct"/>
                  <w:vMerge w:val="continue"/>
                  <w:shd w:val="clear" w:color="auto" w:fill="auto"/>
                  <w:noWrap w:val="0"/>
                  <w:vAlign w:val="center"/>
                </w:tcPr>
                <w:p w14:paraId="415CA9CA">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2A6EB0E3">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7F060A85">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26CC0F4B">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3FF4CFC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0.370</w:t>
                  </w:r>
                </w:p>
              </w:tc>
              <w:tc>
                <w:tcPr>
                  <w:tcW w:w="439" w:type="pct"/>
                  <w:shd w:val="clear" w:color="auto" w:fill="auto"/>
                  <w:noWrap w:val="0"/>
                  <w:vAlign w:val="center"/>
                </w:tcPr>
                <w:p w14:paraId="15A9DFE4">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0.140</w:t>
                  </w:r>
                </w:p>
              </w:tc>
              <w:tc>
                <w:tcPr>
                  <w:tcW w:w="556" w:type="pct"/>
                  <w:shd w:val="clear" w:color="auto" w:fill="auto"/>
                  <w:noWrap w:val="0"/>
                  <w:vAlign w:val="center"/>
                </w:tcPr>
                <w:p w14:paraId="1B10C29A">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113B618B">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0.007</w:t>
                  </w:r>
                </w:p>
              </w:tc>
              <w:tc>
                <w:tcPr>
                  <w:tcW w:w="417" w:type="pct"/>
                  <w:shd w:val="clear" w:color="auto" w:fill="auto"/>
                  <w:noWrap w:val="0"/>
                  <w:vAlign w:val="center"/>
                </w:tcPr>
                <w:p w14:paraId="60322B19">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0.003</w:t>
                  </w:r>
                </w:p>
              </w:tc>
              <w:tc>
                <w:tcPr>
                  <w:tcW w:w="495" w:type="pct"/>
                  <w:shd w:val="clear" w:color="auto" w:fill="auto"/>
                  <w:noWrap w:val="0"/>
                  <w:vAlign w:val="center"/>
                </w:tcPr>
                <w:p w14:paraId="6FB3970F">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7E30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87" w:type="pct"/>
                  <w:shd w:val="clear" w:color="auto" w:fill="auto"/>
                  <w:noWrap w:val="0"/>
                  <w:vAlign w:val="center"/>
                </w:tcPr>
                <w:p w14:paraId="76E32738">
                  <w:pPr>
                    <w:ind w:left="-108" w:leftChars="0" w:right="-102" w:rightChars="0"/>
                    <w:jc w:val="center"/>
                    <w:rPr>
                      <w:rFonts w:hint="eastAsia"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颗粒肥风冷粉尘</w:t>
                  </w:r>
                </w:p>
                <w:p w14:paraId="30686964">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DA013</w:t>
                  </w:r>
                </w:p>
              </w:tc>
              <w:tc>
                <w:tcPr>
                  <w:tcW w:w="200" w:type="pct"/>
                  <w:vMerge w:val="continue"/>
                  <w:shd w:val="clear" w:color="auto" w:fill="auto"/>
                  <w:noWrap w:val="0"/>
                  <w:vAlign w:val="center"/>
                </w:tcPr>
                <w:p w14:paraId="4BFD509E">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shd w:val="clear" w:color="auto" w:fill="auto"/>
                  <w:noWrap w:val="0"/>
                  <w:vAlign w:val="center"/>
                </w:tcPr>
                <w:p w14:paraId="7936D387">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封闭+旋风</w:t>
                  </w:r>
                </w:p>
              </w:tc>
              <w:tc>
                <w:tcPr>
                  <w:tcW w:w="514" w:type="pct"/>
                  <w:shd w:val="clear" w:color="auto" w:fill="auto"/>
                  <w:noWrap w:val="0"/>
                  <w:vAlign w:val="center"/>
                </w:tcPr>
                <w:p w14:paraId="4A964672">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5ED9609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3.700</w:t>
                  </w:r>
                </w:p>
              </w:tc>
              <w:tc>
                <w:tcPr>
                  <w:tcW w:w="439" w:type="pct"/>
                  <w:shd w:val="clear" w:color="auto" w:fill="auto"/>
                  <w:noWrap w:val="0"/>
                  <w:vAlign w:val="center"/>
                </w:tcPr>
                <w:p w14:paraId="724D76AE">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1.402</w:t>
                  </w:r>
                </w:p>
              </w:tc>
              <w:tc>
                <w:tcPr>
                  <w:tcW w:w="556" w:type="pct"/>
                  <w:shd w:val="clear" w:color="auto" w:fill="auto"/>
                  <w:noWrap w:val="0"/>
                  <w:vAlign w:val="center"/>
                </w:tcPr>
                <w:p w14:paraId="543E4A7A">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140.152</w:t>
                  </w:r>
                </w:p>
              </w:tc>
              <w:tc>
                <w:tcPr>
                  <w:tcW w:w="449" w:type="pct"/>
                  <w:shd w:val="clear" w:color="auto" w:fill="auto"/>
                  <w:noWrap w:val="0"/>
                  <w:vAlign w:val="center"/>
                </w:tcPr>
                <w:p w14:paraId="7D80875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1.480</w:t>
                  </w:r>
                </w:p>
              </w:tc>
              <w:tc>
                <w:tcPr>
                  <w:tcW w:w="417" w:type="pct"/>
                  <w:shd w:val="clear" w:color="auto" w:fill="auto"/>
                  <w:noWrap w:val="0"/>
                  <w:vAlign w:val="center"/>
                </w:tcPr>
                <w:p w14:paraId="494FB450">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0.561</w:t>
                  </w:r>
                </w:p>
              </w:tc>
              <w:tc>
                <w:tcPr>
                  <w:tcW w:w="495" w:type="pct"/>
                  <w:shd w:val="clear" w:color="auto" w:fill="auto"/>
                  <w:noWrap w:val="0"/>
                  <w:vAlign w:val="center"/>
                </w:tcPr>
                <w:p w14:paraId="497446CA">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56.061</w:t>
                  </w:r>
                </w:p>
              </w:tc>
            </w:tr>
            <w:tr w14:paraId="3FD6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87" w:type="pct"/>
                  <w:vMerge w:val="restart"/>
                  <w:shd w:val="clear" w:color="auto" w:fill="auto"/>
                  <w:noWrap w:val="0"/>
                  <w:vAlign w:val="center"/>
                </w:tcPr>
                <w:p w14:paraId="7DA8D967">
                  <w:pPr>
                    <w:ind w:left="-108" w:leftChars="0" w:right="-102" w:rightChars="0"/>
                    <w:jc w:val="center"/>
                    <w:rPr>
                      <w:rFonts w:hint="eastAsia" w:cs="Times New Roman"/>
                      <w:color w:val="auto"/>
                      <w:kern w:val="0"/>
                      <w:sz w:val="20"/>
                      <w:szCs w:val="20"/>
                      <w:highlight w:val="none"/>
                      <w:lang w:val="en-US" w:eastAsia="zh-CN"/>
                    </w:rPr>
                  </w:pPr>
                  <w:r>
                    <w:rPr>
                      <w:rFonts w:hint="eastAsia" w:cs="Times New Roman"/>
                      <w:color w:val="auto"/>
                      <w:kern w:val="0"/>
                      <w:sz w:val="20"/>
                      <w:szCs w:val="20"/>
                      <w:highlight w:val="none"/>
                      <w:lang w:val="en-US" w:eastAsia="zh-CN"/>
                    </w:rPr>
                    <w:t>颗粒肥包装粉尘</w:t>
                  </w:r>
                </w:p>
                <w:p w14:paraId="0738D4CC">
                  <w:pPr>
                    <w:ind w:left="-108" w:leftChars="0" w:right="-102" w:rightChars="0"/>
                    <w:jc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DA014</w:t>
                  </w:r>
                </w:p>
              </w:tc>
              <w:tc>
                <w:tcPr>
                  <w:tcW w:w="200" w:type="pct"/>
                  <w:vMerge w:val="continue"/>
                  <w:shd w:val="clear" w:color="auto" w:fill="auto"/>
                  <w:noWrap w:val="0"/>
                  <w:vAlign w:val="center"/>
                </w:tcPr>
                <w:p w14:paraId="07513E4F">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restart"/>
                  <w:shd w:val="clear" w:color="auto" w:fill="auto"/>
                  <w:noWrap w:val="0"/>
                  <w:vAlign w:val="center"/>
                </w:tcPr>
                <w:p w14:paraId="5BFF5A29">
                  <w:pPr>
                    <w:jc w:val="center"/>
                    <w:rPr>
                      <w:rFonts w:hint="eastAsia" w:ascii="Times New Roman" w:hAnsi="Times New Roman" w:eastAsia="宋体" w:cs="Times New Roman"/>
                      <w:color w:val="auto"/>
                      <w:kern w:val="0"/>
                      <w:sz w:val="20"/>
                      <w:szCs w:val="20"/>
                      <w:highlight w:val="none"/>
                      <w:lang w:val="en-US" w:eastAsia="zh-CN" w:bidi="ar-SA"/>
                    </w:rPr>
                  </w:pPr>
                  <w:r>
                    <w:rPr>
                      <w:rFonts w:hint="eastAsia" w:cs="Times New Roman"/>
                      <w:color w:val="auto"/>
                      <w:kern w:val="2"/>
                      <w:sz w:val="20"/>
                      <w:szCs w:val="20"/>
                      <w:highlight w:val="none"/>
                      <w:lang w:val="en-US" w:eastAsia="zh-CN" w:bidi="ar-SA"/>
                    </w:rPr>
                    <w:t>集气罩+布袋</w:t>
                  </w:r>
                </w:p>
              </w:tc>
              <w:tc>
                <w:tcPr>
                  <w:tcW w:w="514" w:type="pct"/>
                  <w:shd w:val="clear" w:color="auto" w:fill="auto"/>
                  <w:noWrap w:val="0"/>
                  <w:vAlign w:val="center"/>
                </w:tcPr>
                <w:p w14:paraId="174C7CFC">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有组织</w:t>
                  </w:r>
                </w:p>
              </w:tc>
              <w:tc>
                <w:tcPr>
                  <w:tcW w:w="416" w:type="pct"/>
                  <w:shd w:val="clear" w:color="auto" w:fill="auto"/>
                  <w:noWrap w:val="0"/>
                  <w:vAlign w:val="center"/>
                </w:tcPr>
                <w:p w14:paraId="6FC6E94D">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3.330</w:t>
                  </w:r>
                </w:p>
              </w:tc>
              <w:tc>
                <w:tcPr>
                  <w:tcW w:w="439" w:type="pct"/>
                  <w:shd w:val="clear" w:color="auto" w:fill="auto"/>
                  <w:noWrap w:val="0"/>
                  <w:vAlign w:val="center"/>
                </w:tcPr>
                <w:p w14:paraId="7312C8CE">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w:t>
                  </w:r>
                </w:p>
              </w:tc>
              <w:tc>
                <w:tcPr>
                  <w:tcW w:w="556" w:type="pct"/>
                  <w:shd w:val="clear" w:color="auto" w:fill="auto"/>
                  <w:noWrap w:val="0"/>
                  <w:vAlign w:val="center"/>
                </w:tcPr>
                <w:p w14:paraId="3E0F6E9A">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126.136</w:t>
                  </w:r>
                </w:p>
              </w:tc>
              <w:tc>
                <w:tcPr>
                  <w:tcW w:w="449" w:type="pct"/>
                  <w:shd w:val="clear" w:color="auto" w:fill="auto"/>
                  <w:noWrap w:val="0"/>
                  <w:vAlign w:val="center"/>
                </w:tcPr>
                <w:p w14:paraId="5B12DCD9">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0.067</w:t>
                  </w:r>
                </w:p>
              </w:tc>
              <w:tc>
                <w:tcPr>
                  <w:tcW w:w="417" w:type="pct"/>
                  <w:shd w:val="clear" w:color="auto" w:fill="auto"/>
                  <w:noWrap w:val="0"/>
                  <w:vAlign w:val="center"/>
                </w:tcPr>
                <w:p w14:paraId="44256005">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0.025</w:t>
                  </w:r>
                </w:p>
              </w:tc>
              <w:tc>
                <w:tcPr>
                  <w:tcW w:w="495" w:type="pct"/>
                  <w:shd w:val="clear" w:color="auto" w:fill="auto"/>
                  <w:noWrap w:val="0"/>
                  <w:vAlign w:val="center"/>
                </w:tcPr>
                <w:p w14:paraId="3DDA6CC4">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2.523</w:t>
                  </w:r>
                </w:p>
              </w:tc>
            </w:tr>
            <w:tr w14:paraId="6040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87" w:type="pct"/>
                  <w:vMerge w:val="continue"/>
                  <w:shd w:val="clear" w:color="auto" w:fill="auto"/>
                  <w:noWrap w:val="0"/>
                  <w:vAlign w:val="center"/>
                </w:tcPr>
                <w:p w14:paraId="7453B43F">
                  <w:pPr>
                    <w:ind w:left="-108" w:leftChars="0" w:right="-102" w:rightChars="0"/>
                    <w:jc w:val="center"/>
                    <w:rPr>
                      <w:rFonts w:hint="eastAsia" w:cs="Times New Roman"/>
                      <w:color w:val="auto"/>
                      <w:kern w:val="2"/>
                      <w:sz w:val="20"/>
                      <w:szCs w:val="20"/>
                      <w:highlight w:val="none"/>
                      <w:lang w:val="en-US" w:eastAsia="zh-CN" w:bidi="ar-SA"/>
                    </w:rPr>
                  </w:pPr>
                </w:p>
              </w:tc>
              <w:tc>
                <w:tcPr>
                  <w:tcW w:w="200" w:type="pct"/>
                  <w:vMerge w:val="continue"/>
                  <w:shd w:val="clear" w:color="auto" w:fill="auto"/>
                  <w:noWrap w:val="0"/>
                  <w:vAlign w:val="center"/>
                </w:tcPr>
                <w:p w14:paraId="0D6B2A09">
                  <w:pPr>
                    <w:jc w:val="center"/>
                    <w:rPr>
                      <w:rFonts w:hint="default" w:ascii="Times New Roman" w:hAnsi="Times New Roman" w:eastAsia="宋体" w:cs="Times New Roman"/>
                      <w:color w:val="auto"/>
                      <w:kern w:val="2"/>
                      <w:sz w:val="20"/>
                      <w:szCs w:val="20"/>
                      <w:highlight w:val="none"/>
                      <w:lang w:val="en-US" w:eastAsia="zh-CN" w:bidi="ar-SA"/>
                    </w:rPr>
                  </w:pPr>
                </w:p>
              </w:tc>
              <w:tc>
                <w:tcPr>
                  <w:tcW w:w="522" w:type="pct"/>
                  <w:vMerge w:val="continue"/>
                  <w:shd w:val="clear" w:color="auto" w:fill="auto"/>
                  <w:noWrap w:val="0"/>
                  <w:vAlign w:val="center"/>
                </w:tcPr>
                <w:p w14:paraId="636225CD">
                  <w:pPr>
                    <w:jc w:val="center"/>
                    <w:rPr>
                      <w:rFonts w:hint="eastAsia" w:cs="Times New Roman"/>
                      <w:color w:val="auto"/>
                      <w:kern w:val="2"/>
                      <w:sz w:val="20"/>
                      <w:szCs w:val="20"/>
                      <w:highlight w:val="none"/>
                      <w:lang w:val="en-US" w:eastAsia="zh-CN" w:bidi="ar-SA"/>
                    </w:rPr>
                  </w:pPr>
                </w:p>
              </w:tc>
              <w:tc>
                <w:tcPr>
                  <w:tcW w:w="514" w:type="pct"/>
                  <w:shd w:val="clear" w:color="auto" w:fill="auto"/>
                  <w:noWrap w:val="0"/>
                  <w:vAlign w:val="center"/>
                </w:tcPr>
                <w:p w14:paraId="5A72F714">
                  <w:pPr>
                    <w:jc w:val="center"/>
                    <w:rPr>
                      <w:rFonts w:hint="eastAsia"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无组织</w:t>
                  </w:r>
                </w:p>
              </w:tc>
              <w:tc>
                <w:tcPr>
                  <w:tcW w:w="416" w:type="pct"/>
                  <w:shd w:val="clear" w:color="auto" w:fill="auto"/>
                  <w:noWrap w:val="0"/>
                  <w:vAlign w:val="center"/>
                </w:tcPr>
                <w:p w14:paraId="758E3DBE">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0.370</w:t>
                  </w:r>
                </w:p>
              </w:tc>
              <w:tc>
                <w:tcPr>
                  <w:tcW w:w="439" w:type="pct"/>
                  <w:shd w:val="clear" w:color="auto" w:fill="auto"/>
                  <w:noWrap w:val="0"/>
                  <w:vAlign w:val="center"/>
                </w:tcPr>
                <w:p w14:paraId="16927133">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0.140</w:t>
                  </w:r>
                </w:p>
              </w:tc>
              <w:tc>
                <w:tcPr>
                  <w:tcW w:w="556" w:type="pct"/>
                  <w:shd w:val="clear" w:color="auto" w:fill="auto"/>
                  <w:noWrap w:val="0"/>
                  <w:vAlign w:val="center"/>
                </w:tcPr>
                <w:p w14:paraId="6ECA097D">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c>
                <w:tcPr>
                  <w:tcW w:w="449" w:type="pct"/>
                  <w:shd w:val="clear" w:color="auto" w:fill="auto"/>
                  <w:noWrap w:val="0"/>
                  <w:vAlign w:val="center"/>
                </w:tcPr>
                <w:p w14:paraId="4109E466">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0.007</w:t>
                  </w:r>
                </w:p>
              </w:tc>
              <w:tc>
                <w:tcPr>
                  <w:tcW w:w="417" w:type="pct"/>
                  <w:shd w:val="clear" w:color="auto" w:fill="auto"/>
                  <w:noWrap w:val="0"/>
                  <w:vAlign w:val="center"/>
                </w:tcPr>
                <w:p w14:paraId="52FFDB41">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0.003</w:t>
                  </w:r>
                </w:p>
              </w:tc>
              <w:tc>
                <w:tcPr>
                  <w:tcW w:w="495" w:type="pct"/>
                  <w:shd w:val="clear" w:color="auto" w:fill="auto"/>
                  <w:noWrap w:val="0"/>
                  <w:vAlign w:val="center"/>
                </w:tcPr>
                <w:p w14:paraId="1A4104A7">
                  <w:pPr>
                    <w:jc w:val="center"/>
                    <w:rPr>
                      <w:rFonts w:hint="eastAsia"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w:t>
                  </w:r>
                </w:p>
              </w:tc>
            </w:tr>
            <w:tr w14:paraId="49AA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225" w:type="pct"/>
                  <w:gridSpan w:val="4"/>
                  <w:shd w:val="clear" w:color="auto" w:fill="auto"/>
                  <w:noWrap w:val="0"/>
                  <w:vAlign w:val="center"/>
                </w:tcPr>
                <w:p w14:paraId="5B01E850">
                  <w:pPr>
                    <w:jc w:val="center"/>
                    <w:rPr>
                      <w:rFonts w:hint="default"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合计有组织颗粒物排放量</w:t>
                  </w:r>
                </w:p>
              </w:tc>
              <w:tc>
                <w:tcPr>
                  <w:tcW w:w="2774" w:type="pct"/>
                  <w:gridSpan w:val="6"/>
                  <w:shd w:val="clear" w:color="auto" w:fill="auto"/>
                  <w:noWrap w:val="0"/>
                  <w:vAlign w:val="center"/>
                </w:tcPr>
                <w:p w14:paraId="70B5F315">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5.44</w:t>
                  </w:r>
                </w:p>
              </w:tc>
            </w:tr>
            <w:tr w14:paraId="2D5E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225" w:type="pct"/>
                  <w:gridSpan w:val="4"/>
                  <w:shd w:val="clear" w:color="auto" w:fill="auto"/>
                  <w:noWrap w:val="0"/>
                  <w:vAlign w:val="center"/>
                </w:tcPr>
                <w:p w14:paraId="7B639D5C">
                  <w:pPr>
                    <w:jc w:val="center"/>
                    <w:rPr>
                      <w:rFonts w:hint="default"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SA"/>
                    </w:rPr>
                    <w:t>合计无组织颗粒物排放量</w:t>
                  </w:r>
                </w:p>
              </w:tc>
              <w:tc>
                <w:tcPr>
                  <w:tcW w:w="2774" w:type="pct"/>
                  <w:gridSpan w:val="6"/>
                  <w:shd w:val="clear" w:color="auto" w:fill="auto"/>
                  <w:noWrap w:val="0"/>
                  <w:vAlign w:val="center"/>
                </w:tcPr>
                <w:p w14:paraId="434D7AB3">
                  <w:pPr>
                    <w:jc w:val="center"/>
                    <w:rPr>
                      <w:rFonts w:hint="eastAsia"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0.11</w:t>
                  </w:r>
                </w:p>
              </w:tc>
            </w:tr>
            <w:tr w14:paraId="30AE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000" w:type="pct"/>
                  <w:gridSpan w:val="10"/>
                  <w:shd w:val="clear" w:color="auto" w:fill="auto"/>
                  <w:noWrap w:val="0"/>
                  <w:vAlign w:val="center"/>
                </w:tcPr>
                <w:p w14:paraId="23312E0A">
                  <w:pPr>
                    <w:jc w:val="center"/>
                    <w:rPr>
                      <w:rFonts w:hint="default" w:ascii="Times New Roman" w:hAnsi="Times New Roman" w:cs="Times New Roman"/>
                      <w:color w:val="auto"/>
                      <w:kern w:val="2"/>
                      <w:sz w:val="20"/>
                      <w:szCs w:val="20"/>
                      <w:highlight w:val="none"/>
                      <w:lang w:val="en-US" w:eastAsia="zh-CN" w:bidi="ar-SA"/>
                    </w:rPr>
                  </w:pPr>
                  <w:r>
                    <w:rPr>
                      <w:rFonts w:hint="eastAsia" w:ascii="Times New Roman" w:hAnsi="Times New Roman" w:cs="Times New Roman"/>
                      <w:color w:val="auto"/>
                      <w:kern w:val="2"/>
                      <w:sz w:val="20"/>
                      <w:szCs w:val="20"/>
                      <w:highlight w:val="none"/>
                      <w:lang w:val="en-US" w:eastAsia="zh-CN" w:bidi="ar-SA"/>
                    </w:rPr>
                    <w:t>上述排气筒内径设置为0.4m，排气筒高度15m</w:t>
                  </w:r>
                </w:p>
              </w:tc>
            </w:tr>
          </w:tbl>
          <w:p w14:paraId="3AF889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表4-4  本项目废气有组织排放口基本信息表</w:t>
            </w:r>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612"/>
              <w:gridCol w:w="1468"/>
              <w:gridCol w:w="1487"/>
              <w:gridCol w:w="649"/>
              <w:gridCol w:w="807"/>
              <w:gridCol w:w="822"/>
              <w:gridCol w:w="684"/>
            </w:tblGrid>
            <w:tr w14:paraId="720B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vMerge w:val="restart"/>
                  <w:noWrap w:val="0"/>
                  <w:vAlign w:val="center"/>
                </w:tcPr>
                <w:p w14:paraId="783BDA1E">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编号</w:t>
                  </w:r>
                </w:p>
              </w:tc>
              <w:tc>
                <w:tcPr>
                  <w:tcW w:w="974" w:type="pct"/>
                  <w:vMerge w:val="restart"/>
                  <w:noWrap w:val="0"/>
                  <w:vAlign w:val="center"/>
                </w:tcPr>
                <w:p w14:paraId="289C2F0C">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污染源名称</w:t>
                  </w:r>
                </w:p>
              </w:tc>
              <w:tc>
                <w:tcPr>
                  <w:tcW w:w="1784" w:type="pct"/>
                  <w:gridSpan w:val="2"/>
                  <w:noWrap w:val="0"/>
                  <w:vAlign w:val="center"/>
                </w:tcPr>
                <w:p w14:paraId="3CDD5FDF">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排气筒底部中心坐标</w:t>
                  </w:r>
                </w:p>
              </w:tc>
              <w:tc>
                <w:tcPr>
                  <w:tcW w:w="392" w:type="pct"/>
                  <w:vMerge w:val="restart"/>
                  <w:noWrap w:val="0"/>
                  <w:vAlign w:val="center"/>
                </w:tcPr>
                <w:p w14:paraId="37F6A938">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排气筒高度/m</w:t>
                  </w:r>
                </w:p>
              </w:tc>
              <w:tc>
                <w:tcPr>
                  <w:tcW w:w="487" w:type="pct"/>
                  <w:vMerge w:val="restart"/>
                  <w:noWrap w:val="0"/>
                  <w:vAlign w:val="center"/>
                </w:tcPr>
                <w:p w14:paraId="47637612">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排气筒出口内径/m</w:t>
                  </w:r>
                </w:p>
              </w:tc>
              <w:tc>
                <w:tcPr>
                  <w:tcW w:w="496" w:type="pct"/>
                  <w:vMerge w:val="restart"/>
                  <w:noWrap w:val="0"/>
                  <w:vAlign w:val="center"/>
                </w:tcPr>
                <w:p w14:paraId="67608694">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废气出口温度/℃</w:t>
                  </w:r>
                </w:p>
              </w:tc>
              <w:tc>
                <w:tcPr>
                  <w:tcW w:w="413" w:type="pct"/>
                  <w:vMerge w:val="restart"/>
                  <w:noWrap w:val="0"/>
                  <w:vAlign w:val="center"/>
                </w:tcPr>
                <w:p w14:paraId="3CD998FA">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排放口</w:t>
                  </w:r>
                </w:p>
                <w:p w14:paraId="56A292A1">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类型</w:t>
                  </w:r>
                </w:p>
              </w:tc>
            </w:tr>
            <w:tr w14:paraId="6FFB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vMerge w:val="continue"/>
                  <w:noWrap w:val="0"/>
                  <w:vAlign w:val="center"/>
                </w:tcPr>
                <w:p w14:paraId="589648EE">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c>
                <w:tcPr>
                  <w:tcW w:w="974" w:type="pct"/>
                  <w:vMerge w:val="continue"/>
                  <w:noWrap w:val="0"/>
                  <w:vAlign w:val="center"/>
                </w:tcPr>
                <w:p w14:paraId="38335CAD">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c>
                <w:tcPr>
                  <w:tcW w:w="886" w:type="pct"/>
                  <w:noWrap w:val="0"/>
                  <w:vAlign w:val="center"/>
                </w:tcPr>
                <w:p w14:paraId="57BE6F30">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经度</w:t>
                  </w:r>
                </w:p>
              </w:tc>
              <w:tc>
                <w:tcPr>
                  <w:tcW w:w="898" w:type="pct"/>
                  <w:noWrap w:val="0"/>
                  <w:vAlign w:val="center"/>
                </w:tcPr>
                <w:p w14:paraId="1365A6BC">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纬度</w:t>
                  </w:r>
                </w:p>
              </w:tc>
              <w:tc>
                <w:tcPr>
                  <w:tcW w:w="392" w:type="pct"/>
                  <w:vMerge w:val="continue"/>
                  <w:noWrap w:val="0"/>
                  <w:vAlign w:val="center"/>
                </w:tcPr>
                <w:p w14:paraId="62E2F888">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c>
                <w:tcPr>
                  <w:tcW w:w="487" w:type="pct"/>
                  <w:vMerge w:val="continue"/>
                  <w:noWrap w:val="0"/>
                  <w:vAlign w:val="center"/>
                </w:tcPr>
                <w:p w14:paraId="07F687D4">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c>
                <w:tcPr>
                  <w:tcW w:w="496" w:type="pct"/>
                  <w:vMerge w:val="continue"/>
                  <w:noWrap w:val="0"/>
                  <w:vAlign w:val="center"/>
                </w:tcPr>
                <w:p w14:paraId="70AB1E8F">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c>
                <w:tcPr>
                  <w:tcW w:w="413" w:type="pct"/>
                  <w:vMerge w:val="continue"/>
                  <w:noWrap w:val="0"/>
                  <w:vAlign w:val="center"/>
                </w:tcPr>
                <w:p w14:paraId="6DC7B09D">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7EB6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50" w:type="pct"/>
                  <w:shd w:val="clear" w:color="auto" w:fill="auto"/>
                  <w:noWrap w:val="0"/>
                  <w:vAlign w:val="center"/>
                </w:tcPr>
                <w:p w14:paraId="7C5CB561">
                  <w:pPr>
                    <w:pageBreakBefore w:val="0"/>
                    <w:wordWrap/>
                    <w:bidi w:val="0"/>
                    <w:spacing w:line="240" w:lineRule="exact"/>
                    <w:ind w:left="0" w:leftChars="0" w:right="0" w:rightChars="0"/>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eastAsia="宋体" w:cs="Times New Roman"/>
                      <w:color w:val="auto"/>
                      <w:sz w:val="18"/>
                      <w:szCs w:val="18"/>
                      <w:highlight w:val="none"/>
                    </w:rPr>
                    <w:t>DA001</w:t>
                  </w:r>
                </w:p>
              </w:tc>
              <w:tc>
                <w:tcPr>
                  <w:tcW w:w="974" w:type="pct"/>
                  <w:shd w:val="clear" w:color="auto" w:fill="auto"/>
                  <w:noWrap w:val="0"/>
                  <w:vAlign w:val="center"/>
                </w:tcPr>
                <w:p w14:paraId="56C525C6">
                  <w:pPr>
                    <w:pageBreakBefore w:val="0"/>
                    <w:wordWrap/>
                    <w:bidi w:val="0"/>
                    <w:spacing w:line="240" w:lineRule="exact"/>
                    <w:ind w:left="0" w:leftChars="0" w:right="0" w:rightChars="0"/>
                    <w:jc w:val="center"/>
                    <w:rPr>
                      <w:rFonts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生物质蒸汽</w:t>
                  </w:r>
                  <w:r>
                    <w:rPr>
                      <w:rFonts w:ascii="Times New Roman" w:hAnsi="Times New Roman" w:eastAsia="宋体" w:cs="Times New Roman"/>
                      <w:color w:val="auto"/>
                      <w:sz w:val="18"/>
                      <w:szCs w:val="18"/>
                      <w:highlight w:val="none"/>
                    </w:rPr>
                    <w:t>锅炉</w:t>
                  </w:r>
                </w:p>
              </w:tc>
              <w:tc>
                <w:tcPr>
                  <w:tcW w:w="886" w:type="pct"/>
                  <w:shd w:val="clear" w:color="auto" w:fill="auto"/>
                  <w:noWrap w:val="0"/>
                  <w:vAlign w:val="center"/>
                </w:tcPr>
                <w:p w14:paraId="4CC7BAA4">
                  <w:pPr>
                    <w:pageBreakBefore w:val="0"/>
                    <w:wordWrap/>
                    <w:bidi w:val="0"/>
                    <w:spacing w:line="240" w:lineRule="exact"/>
                    <w:ind w:left="0" w:leftChars="0" w:right="0" w:right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E80°36'10.682"</w:t>
                  </w:r>
                </w:p>
              </w:tc>
              <w:tc>
                <w:tcPr>
                  <w:tcW w:w="898" w:type="pct"/>
                  <w:shd w:val="clear" w:color="auto" w:fill="auto"/>
                  <w:noWrap w:val="0"/>
                  <w:vAlign w:val="center"/>
                </w:tcPr>
                <w:p w14:paraId="25C16812">
                  <w:pPr>
                    <w:pageBreakBefore w:val="0"/>
                    <w:wordWrap/>
                    <w:bidi w:val="0"/>
                    <w:spacing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N43°57'48.325"</w:t>
                  </w:r>
                </w:p>
              </w:tc>
              <w:tc>
                <w:tcPr>
                  <w:tcW w:w="392" w:type="pct"/>
                  <w:shd w:val="clear" w:color="auto" w:fill="auto"/>
                  <w:noWrap w:val="0"/>
                  <w:vAlign w:val="center"/>
                </w:tcPr>
                <w:p w14:paraId="3DB47512">
                  <w:pPr>
                    <w:pageBreakBefore w:val="0"/>
                    <w:wordWrap/>
                    <w:bidi w:val="0"/>
                    <w:spacing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35</w:t>
                  </w:r>
                </w:p>
              </w:tc>
              <w:tc>
                <w:tcPr>
                  <w:tcW w:w="487" w:type="pct"/>
                  <w:shd w:val="clear" w:color="auto" w:fill="auto"/>
                  <w:noWrap w:val="0"/>
                  <w:vAlign w:val="center"/>
                </w:tcPr>
                <w:p w14:paraId="2FA1009D">
                  <w:pPr>
                    <w:pageBreakBefore w:val="0"/>
                    <w:wordWrap/>
                    <w:bidi w:val="0"/>
                    <w:spacing w:line="240" w:lineRule="exact"/>
                    <w:ind w:left="0" w:leftChars="0" w:right="0" w:right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w:t>
                  </w:r>
                </w:p>
              </w:tc>
              <w:tc>
                <w:tcPr>
                  <w:tcW w:w="496" w:type="pct"/>
                  <w:shd w:val="clear" w:color="auto" w:fill="auto"/>
                  <w:noWrap w:val="0"/>
                  <w:vAlign w:val="center"/>
                </w:tcPr>
                <w:p w14:paraId="5EA26DD0">
                  <w:pPr>
                    <w:pageBreakBefore w:val="0"/>
                    <w:wordWrap/>
                    <w:bidi w:val="0"/>
                    <w:spacing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90</w:t>
                  </w:r>
                </w:p>
              </w:tc>
              <w:tc>
                <w:tcPr>
                  <w:tcW w:w="413" w:type="pct"/>
                  <w:vMerge w:val="restart"/>
                  <w:shd w:val="clear" w:color="auto" w:fill="auto"/>
                  <w:noWrap w:val="0"/>
                  <w:vAlign w:val="center"/>
                </w:tcPr>
                <w:p w14:paraId="4F96F198">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一般</w:t>
                  </w:r>
                </w:p>
                <w:p w14:paraId="599BE932">
                  <w:pPr>
                    <w:pageBreakBefore w:val="0"/>
                    <w:wordWrap/>
                    <w:bidi w:val="0"/>
                    <w:spacing w:line="240" w:lineRule="exact"/>
                    <w:ind w:left="0" w:leftChars="0" w:right="0" w:rightChars="0"/>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eastAsia="宋体" w:cs="Times New Roman"/>
                      <w:color w:val="auto"/>
                      <w:sz w:val="18"/>
                      <w:szCs w:val="18"/>
                      <w:highlight w:val="none"/>
                    </w:rPr>
                    <w:t>排放口</w:t>
                  </w:r>
                </w:p>
              </w:tc>
            </w:tr>
            <w:tr w14:paraId="7BBE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776DA356">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z w:val="18"/>
                      <w:szCs w:val="18"/>
                      <w:highlight w:val="none"/>
                    </w:rPr>
                    <w:t>DA00</w:t>
                  </w:r>
                  <w:r>
                    <w:rPr>
                      <w:rFonts w:hint="eastAsia" w:ascii="Times New Roman" w:hAnsi="Times New Roman" w:eastAsia="宋体" w:cs="Times New Roman"/>
                      <w:color w:val="auto"/>
                      <w:sz w:val="18"/>
                      <w:szCs w:val="18"/>
                      <w:highlight w:val="none"/>
                      <w:lang w:val="en-US" w:eastAsia="zh-CN"/>
                    </w:rPr>
                    <w:t>2</w:t>
                  </w:r>
                </w:p>
              </w:tc>
              <w:tc>
                <w:tcPr>
                  <w:tcW w:w="974" w:type="pct"/>
                  <w:shd w:val="clear" w:color="auto" w:fill="auto"/>
                  <w:noWrap w:val="0"/>
                  <w:vAlign w:val="center"/>
                </w:tcPr>
                <w:p w14:paraId="4F3CB337">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2"/>
                      <w:sz w:val="20"/>
                      <w:szCs w:val="20"/>
                      <w:highlight w:val="none"/>
                      <w:lang w:val="en-US" w:eastAsia="zh-CN" w:bidi="ar-SA"/>
                    </w:rPr>
                    <w:t>玉米芯投料粉尘</w:t>
                  </w:r>
                </w:p>
              </w:tc>
              <w:tc>
                <w:tcPr>
                  <w:tcW w:w="886" w:type="pct"/>
                  <w:shd w:val="clear" w:color="auto" w:fill="auto"/>
                  <w:noWrap w:val="0"/>
                  <w:vAlign w:val="center"/>
                </w:tcPr>
                <w:p w14:paraId="4138FCD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E80°36'10.542"</w:t>
                  </w:r>
                </w:p>
              </w:tc>
              <w:tc>
                <w:tcPr>
                  <w:tcW w:w="898" w:type="pct"/>
                  <w:shd w:val="clear" w:color="auto" w:fill="auto"/>
                  <w:noWrap w:val="0"/>
                  <w:vAlign w:val="center"/>
                </w:tcPr>
                <w:p w14:paraId="08AA3AB4">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N43°57'48.315"</w:t>
                  </w:r>
                </w:p>
              </w:tc>
              <w:tc>
                <w:tcPr>
                  <w:tcW w:w="392" w:type="pct"/>
                  <w:shd w:val="clear" w:color="auto" w:fill="auto"/>
                  <w:noWrap w:val="0"/>
                  <w:vAlign w:val="center"/>
                </w:tcPr>
                <w:p w14:paraId="56D0BFFA">
                  <w:pPr>
                    <w:pageBreakBefore w:val="0"/>
                    <w:wordWrap/>
                    <w:bidi w:val="0"/>
                    <w:spacing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233680AC">
                  <w:pPr>
                    <w:pageBreakBefore w:val="0"/>
                    <w:wordWrap/>
                    <w:bidi w:val="0"/>
                    <w:spacing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7A42F224">
                  <w:pPr>
                    <w:pageBreakBefore w:val="0"/>
                    <w:wordWrap/>
                    <w:bidi w:val="0"/>
                    <w:spacing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6A059B8B">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744B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50" w:type="pct"/>
                  <w:shd w:val="clear" w:color="auto" w:fill="auto"/>
                  <w:noWrap w:val="0"/>
                  <w:vAlign w:val="center"/>
                </w:tcPr>
                <w:p w14:paraId="1F833AAB">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z w:val="18"/>
                      <w:szCs w:val="18"/>
                      <w:highlight w:val="none"/>
                    </w:rPr>
                    <w:t>DA00</w:t>
                  </w:r>
                  <w:r>
                    <w:rPr>
                      <w:rFonts w:hint="eastAsia" w:ascii="Times New Roman" w:hAnsi="Times New Roman" w:eastAsia="宋体" w:cs="Times New Roman"/>
                      <w:color w:val="auto"/>
                      <w:sz w:val="18"/>
                      <w:szCs w:val="18"/>
                      <w:highlight w:val="none"/>
                      <w:lang w:val="en-US" w:eastAsia="zh-CN"/>
                    </w:rPr>
                    <w:t>3</w:t>
                  </w:r>
                </w:p>
              </w:tc>
              <w:tc>
                <w:tcPr>
                  <w:tcW w:w="974" w:type="pct"/>
                  <w:shd w:val="clear" w:color="auto" w:fill="auto"/>
                  <w:noWrap w:val="0"/>
                  <w:vAlign w:val="center"/>
                </w:tcPr>
                <w:p w14:paraId="03A43DAC">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2"/>
                      <w:sz w:val="20"/>
                      <w:szCs w:val="20"/>
                      <w:highlight w:val="none"/>
                      <w:lang w:val="en-US" w:eastAsia="zh-CN" w:bidi="ar-SA"/>
                    </w:rPr>
                    <w:t>玉米芯粗粉粉尘</w:t>
                  </w:r>
                </w:p>
              </w:tc>
              <w:tc>
                <w:tcPr>
                  <w:tcW w:w="886" w:type="pct"/>
                  <w:shd w:val="clear" w:color="auto" w:fill="auto"/>
                  <w:noWrap w:val="0"/>
                  <w:vAlign w:val="center"/>
                </w:tcPr>
                <w:p w14:paraId="11FB8B38">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E80°36'10.450"</w:t>
                  </w:r>
                </w:p>
              </w:tc>
              <w:tc>
                <w:tcPr>
                  <w:tcW w:w="898" w:type="pct"/>
                  <w:shd w:val="clear" w:color="auto" w:fill="auto"/>
                  <w:noWrap w:val="0"/>
                  <w:vAlign w:val="center"/>
                </w:tcPr>
                <w:p w14:paraId="4A292FB6">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N43°57'49.005"</w:t>
                  </w:r>
                </w:p>
              </w:tc>
              <w:tc>
                <w:tcPr>
                  <w:tcW w:w="392" w:type="pct"/>
                  <w:shd w:val="clear" w:color="auto" w:fill="auto"/>
                  <w:noWrap w:val="0"/>
                  <w:vAlign w:val="center"/>
                </w:tcPr>
                <w:p w14:paraId="25B965DF">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7205DAD0">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00B81073">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4F03D9F7">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781B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6407294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ascii="Times New Roman" w:hAnsi="Times New Roman" w:eastAsia="宋体" w:cs="Times New Roman"/>
                      <w:color w:val="auto"/>
                      <w:sz w:val="18"/>
                      <w:szCs w:val="18"/>
                      <w:highlight w:val="none"/>
                    </w:rPr>
                    <w:t>DA00</w:t>
                  </w:r>
                  <w:r>
                    <w:rPr>
                      <w:rFonts w:hint="eastAsia" w:ascii="Times New Roman" w:hAnsi="Times New Roman" w:eastAsia="宋体" w:cs="Times New Roman"/>
                      <w:color w:val="auto"/>
                      <w:sz w:val="18"/>
                      <w:szCs w:val="18"/>
                      <w:highlight w:val="none"/>
                      <w:lang w:val="en-US" w:eastAsia="zh-CN"/>
                    </w:rPr>
                    <w:t>4</w:t>
                  </w:r>
                </w:p>
              </w:tc>
              <w:tc>
                <w:tcPr>
                  <w:tcW w:w="974" w:type="pct"/>
                  <w:shd w:val="clear" w:color="auto" w:fill="auto"/>
                  <w:noWrap w:val="0"/>
                  <w:vAlign w:val="center"/>
                </w:tcPr>
                <w:p w14:paraId="4D57F0AD">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2"/>
                      <w:sz w:val="20"/>
                      <w:szCs w:val="20"/>
                      <w:highlight w:val="none"/>
                      <w:lang w:val="en-US" w:eastAsia="zh-CN" w:bidi="ar-SA"/>
                    </w:rPr>
                    <w:t>玉米芯细粉粉尘</w:t>
                  </w:r>
                </w:p>
              </w:tc>
              <w:tc>
                <w:tcPr>
                  <w:tcW w:w="886" w:type="pct"/>
                  <w:shd w:val="clear" w:color="auto" w:fill="auto"/>
                  <w:noWrap w:val="0"/>
                  <w:vAlign w:val="center"/>
                </w:tcPr>
                <w:p w14:paraId="7752F6EE">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E80°36'11.002"</w:t>
                  </w:r>
                </w:p>
              </w:tc>
              <w:tc>
                <w:tcPr>
                  <w:tcW w:w="898" w:type="pct"/>
                  <w:shd w:val="clear" w:color="auto" w:fill="auto"/>
                  <w:noWrap w:val="0"/>
                  <w:vAlign w:val="center"/>
                </w:tcPr>
                <w:p w14:paraId="0BA01EAA">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N43°57'48.205"</w:t>
                  </w:r>
                </w:p>
              </w:tc>
              <w:tc>
                <w:tcPr>
                  <w:tcW w:w="392" w:type="pct"/>
                  <w:shd w:val="clear" w:color="auto" w:fill="auto"/>
                  <w:noWrap w:val="0"/>
                  <w:vAlign w:val="center"/>
                </w:tcPr>
                <w:p w14:paraId="7E148E63">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3B808942">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303C54F4">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7F6A97D9">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2284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2AFC6A2E">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z w:val="18"/>
                      <w:szCs w:val="18"/>
                      <w:highlight w:val="none"/>
                    </w:rPr>
                    <w:t>DA00</w:t>
                  </w:r>
                  <w:r>
                    <w:rPr>
                      <w:rFonts w:hint="eastAsia" w:ascii="Times New Roman" w:hAnsi="Times New Roman" w:eastAsia="宋体" w:cs="Times New Roman"/>
                      <w:color w:val="auto"/>
                      <w:sz w:val="18"/>
                      <w:szCs w:val="18"/>
                      <w:highlight w:val="none"/>
                      <w:lang w:val="en-US" w:eastAsia="zh-CN"/>
                    </w:rPr>
                    <w:t>5</w:t>
                  </w:r>
                </w:p>
              </w:tc>
              <w:tc>
                <w:tcPr>
                  <w:tcW w:w="974" w:type="pct"/>
                  <w:shd w:val="clear" w:color="auto" w:fill="auto"/>
                  <w:noWrap w:val="0"/>
                  <w:vAlign w:val="center"/>
                </w:tcPr>
                <w:p w14:paraId="19FB4CB2">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2"/>
                      <w:sz w:val="20"/>
                      <w:szCs w:val="20"/>
                      <w:highlight w:val="none"/>
                      <w:lang w:val="en-US" w:eastAsia="zh-CN" w:bidi="ar-SA"/>
                    </w:rPr>
                    <w:t>玉米芯粉包装粉尘</w:t>
                  </w:r>
                </w:p>
              </w:tc>
              <w:tc>
                <w:tcPr>
                  <w:tcW w:w="886" w:type="pct"/>
                  <w:shd w:val="clear" w:color="auto" w:fill="auto"/>
                  <w:noWrap w:val="0"/>
                  <w:vAlign w:val="center"/>
                </w:tcPr>
                <w:p w14:paraId="329B8521">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E80°36'10.058"</w:t>
                  </w:r>
                </w:p>
              </w:tc>
              <w:tc>
                <w:tcPr>
                  <w:tcW w:w="898" w:type="pct"/>
                  <w:shd w:val="clear" w:color="auto" w:fill="auto"/>
                  <w:noWrap w:val="0"/>
                  <w:vAlign w:val="center"/>
                </w:tcPr>
                <w:p w14:paraId="1CA90306">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N43°57'41.899"</w:t>
                  </w:r>
                </w:p>
              </w:tc>
              <w:tc>
                <w:tcPr>
                  <w:tcW w:w="392" w:type="pct"/>
                  <w:shd w:val="clear" w:color="auto" w:fill="auto"/>
                  <w:noWrap w:val="0"/>
                  <w:vAlign w:val="center"/>
                </w:tcPr>
                <w:p w14:paraId="2A34F03E">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7DB557D4">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2585C251">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27C00E31">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6980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17A0C550">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z w:val="18"/>
                      <w:szCs w:val="18"/>
                      <w:highlight w:val="none"/>
                    </w:rPr>
                    <w:t>DA00</w:t>
                  </w:r>
                  <w:r>
                    <w:rPr>
                      <w:rFonts w:hint="eastAsia" w:ascii="Times New Roman" w:hAnsi="Times New Roman" w:eastAsia="宋体" w:cs="Times New Roman"/>
                      <w:color w:val="auto"/>
                      <w:sz w:val="18"/>
                      <w:szCs w:val="18"/>
                      <w:highlight w:val="none"/>
                      <w:lang w:val="en-US" w:eastAsia="zh-CN"/>
                    </w:rPr>
                    <w:t>6</w:t>
                  </w:r>
                </w:p>
              </w:tc>
              <w:tc>
                <w:tcPr>
                  <w:tcW w:w="974" w:type="pct"/>
                  <w:shd w:val="clear" w:color="auto" w:fill="auto"/>
                  <w:noWrap w:val="0"/>
                  <w:vAlign w:val="center"/>
                </w:tcPr>
                <w:p w14:paraId="6659D473">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2"/>
                      <w:sz w:val="20"/>
                      <w:szCs w:val="20"/>
                      <w:highlight w:val="none"/>
                      <w:lang w:val="en-US" w:eastAsia="zh-CN" w:bidi="ar-SA"/>
                    </w:rPr>
                    <w:t>玉米芯粉投料粉尘</w:t>
                  </w:r>
                </w:p>
              </w:tc>
              <w:tc>
                <w:tcPr>
                  <w:tcW w:w="886" w:type="pct"/>
                  <w:shd w:val="clear" w:color="auto" w:fill="auto"/>
                  <w:noWrap w:val="0"/>
                  <w:vAlign w:val="center"/>
                </w:tcPr>
                <w:p w14:paraId="7E1E9362">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E80°36'09.879"</w:t>
                  </w:r>
                </w:p>
              </w:tc>
              <w:tc>
                <w:tcPr>
                  <w:tcW w:w="898" w:type="pct"/>
                  <w:shd w:val="clear" w:color="auto" w:fill="auto"/>
                  <w:noWrap w:val="0"/>
                  <w:vAlign w:val="center"/>
                </w:tcPr>
                <w:p w14:paraId="4BD68881">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N43°57'48.441"</w:t>
                  </w:r>
                </w:p>
              </w:tc>
              <w:tc>
                <w:tcPr>
                  <w:tcW w:w="392" w:type="pct"/>
                  <w:shd w:val="clear" w:color="auto" w:fill="auto"/>
                  <w:noWrap w:val="0"/>
                  <w:vAlign w:val="center"/>
                </w:tcPr>
                <w:p w14:paraId="2B119190">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6427D2B0">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3B703725">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02CB683D">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09FB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5F8032F1">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z w:val="18"/>
                      <w:szCs w:val="18"/>
                      <w:highlight w:val="none"/>
                    </w:rPr>
                    <w:t>DA00</w:t>
                  </w:r>
                  <w:r>
                    <w:rPr>
                      <w:rFonts w:hint="eastAsia" w:ascii="Times New Roman" w:hAnsi="Times New Roman" w:eastAsia="宋体" w:cs="Times New Roman"/>
                      <w:color w:val="auto"/>
                      <w:sz w:val="18"/>
                      <w:szCs w:val="18"/>
                      <w:highlight w:val="none"/>
                      <w:lang w:val="en-US" w:eastAsia="zh-CN"/>
                    </w:rPr>
                    <w:t>7</w:t>
                  </w:r>
                </w:p>
              </w:tc>
              <w:tc>
                <w:tcPr>
                  <w:tcW w:w="974" w:type="pct"/>
                  <w:shd w:val="clear" w:color="auto" w:fill="auto"/>
                  <w:noWrap w:val="0"/>
                  <w:vAlign w:val="center"/>
                </w:tcPr>
                <w:p w14:paraId="1CBAFDFF">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0"/>
                      <w:sz w:val="20"/>
                      <w:szCs w:val="20"/>
                      <w:highlight w:val="none"/>
                      <w:lang w:val="en-US" w:eastAsia="zh-CN"/>
                    </w:rPr>
                    <w:t>粉料烘干粉尘</w:t>
                  </w:r>
                </w:p>
              </w:tc>
              <w:tc>
                <w:tcPr>
                  <w:tcW w:w="886" w:type="pct"/>
                  <w:shd w:val="clear" w:color="auto" w:fill="auto"/>
                  <w:noWrap w:val="0"/>
                  <w:vAlign w:val="center"/>
                </w:tcPr>
                <w:p w14:paraId="4DC63219">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E80°36'11.121"</w:t>
                  </w:r>
                </w:p>
              </w:tc>
              <w:tc>
                <w:tcPr>
                  <w:tcW w:w="898" w:type="pct"/>
                  <w:shd w:val="clear" w:color="auto" w:fill="auto"/>
                  <w:noWrap w:val="0"/>
                  <w:vAlign w:val="center"/>
                </w:tcPr>
                <w:p w14:paraId="470DEBBB">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N43°57'49.012"</w:t>
                  </w:r>
                </w:p>
              </w:tc>
              <w:tc>
                <w:tcPr>
                  <w:tcW w:w="392" w:type="pct"/>
                  <w:shd w:val="clear" w:color="auto" w:fill="auto"/>
                  <w:noWrap w:val="0"/>
                  <w:vAlign w:val="center"/>
                </w:tcPr>
                <w:p w14:paraId="4E52BB4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79E0F909">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203F5B52">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57F4C815">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0B6E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4BF80B6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z w:val="18"/>
                      <w:szCs w:val="18"/>
                      <w:highlight w:val="none"/>
                    </w:rPr>
                    <w:t>DA00</w:t>
                  </w:r>
                  <w:r>
                    <w:rPr>
                      <w:rFonts w:hint="eastAsia" w:ascii="Times New Roman" w:hAnsi="Times New Roman" w:eastAsia="宋体" w:cs="Times New Roman"/>
                      <w:color w:val="auto"/>
                      <w:sz w:val="18"/>
                      <w:szCs w:val="18"/>
                      <w:highlight w:val="none"/>
                      <w:lang w:val="en-US" w:eastAsia="zh-CN"/>
                    </w:rPr>
                    <w:t>8</w:t>
                  </w:r>
                </w:p>
              </w:tc>
              <w:tc>
                <w:tcPr>
                  <w:tcW w:w="974" w:type="pct"/>
                  <w:shd w:val="clear" w:color="auto" w:fill="auto"/>
                  <w:noWrap w:val="0"/>
                  <w:vAlign w:val="center"/>
                </w:tcPr>
                <w:p w14:paraId="0E211EBD">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0"/>
                      <w:sz w:val="20"/>
                      <w:szCs w:val="20"/>
                      <w:highlight w:val="none"/>
                      <w:lang w:val="en-US" w:eastAsia="zh-CN"/>
                    </w:rPr>
                    <w:t>粉料风冷粉尘</w:t>
                  </w:r>
                </w:p>
              </w:tc>
              <w:tc>
                <w:tcPr>
                  <w:tcW w:w="886" w:type="pct"/>
                  <w:shd w:val="clear" w:color="auto" w:fill="auto"/>
                  <w:noWrap w:val="0"/>
                  <w:vAlign w:val="center"/>
                </w:tcPr>
                <w:p w14:paraId="57B06519">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E80°36'11.121"</w:t>
                  </w:r>
                </w:p>
              </w:tc>
              <w:tc>
                <w:tcPr>
                  <w:tcW w:w="898" w:type="pct"/>
                  <w:shd w:val="clear" w:color="auto" w:fill="auto"/>
                  <w:noWrap w:val="0"/>
                  <w:vAlign w:val="center"/>
                </w:tcPr>
                <w:p w14:paraId="384A7556">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N43°57'48.445"</w:t>
                  </w:r>
                </w:p>
              </w:tc>
              <w:tc>
                <w:tcPr>
                  <w:tcW w:w="392" w:type="pct"/>
                  <w:shd w:val="clear" w:color="auto" w:fill="auto"/>
                  <w:noWrap w:val="0"/>
                  <w:vAlign w:val="center"/>
                </w:tcPr>
                <w:p w14:paraId="5E2E756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0AD22C9A">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26D7EB31">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7CDD0C3C">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444C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013AFF3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z w:val="18"/>
                      <w:szCs w:val="18"/>
                      <w:highlight w:val="none"/>
                    </w:rPr>
                    <w:t>DA00</w:t>
                  </w:r>
                  <w:r>
                    <w:rPr>
                      <w:rFonts w:hint="eastAsia" w:ascii="Times New Roman" w:hAnsi="Times New Roman" w:eastAsia="宋体" w:cs="Times New Roman"/>
                      <w:color w:val="auto"/>
                      <w:sz w:val="18"/>
                      <w:szCs w:val="18"/>
                      <w:highlight w:val="none"/>
                      <w:lang w:val="en-US" w:eastAsia="zh-CN"/>
                    </w:rPr>
                    <w:t>9</w:t>
                  </w:r>
                </w:p>
              </w:tc>
              <w:tc>
                <w:tcPr>
                  <w:tcW w:w="974" w:type="pct"/>
                  <w:shd w:val="clear" w:color="auto" w:fill="auto"/>
                  <w:noWrap w:val="0"/>
                  <w:vAlign w:val="center"/>
                </w:tcPr>
                <w:p w14:paraId="25D8C687">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0"/>
                      <w:sz w:val="20"/>
                      <w:szCs w:val="20"/>
                      <w:highlight w:val="none"/>
                      <w:lang w:val="en-US" w:eastAsia="zh-CN"/>
                    </w:rPr>
                    <w:t>粉料破碎粉尘</w:t>
                  </w:r>
                </w:p>
              </w:tc>
              <w:tc>
                <w:tcPr>
                  <w:tcW w:w="886" w:type="pct"/>
                  <w:shd w:val="clear" w:color="auto" w:fill="auto"/>
                  <w:noWrap w:val="0"/>
                  <w:vAlign w:val="center"/>
                </w:tcPr>
                <w:p w14:paraId="7E0AA934">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E80°36'10.789"</w:t>
                  </w:r>
                </w:p>
              </w:tc>
              <w:tc>
                <w:tcPr>
                  <w:tcW w:w="898" w:type="pct"/>
                  <w:shd w:val="clear" w:color="auto" w:fill="auto"/>
                  <w:noWrap w:val="0"/>
                  <w:vAlign w:val="center"/>
                </w:tcPr>
                <w:p w14:paraId="43EB5542">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N43°57'47.877"</w:t>
                  </w:r>
                </w:p>
              </w:tc>
              <w:tc>
                <w:tcPr>
                  <w:tcW w:w="392" w:type="pct"/>
                  <w:shd w:val="clear" w:color="auto" w:fill="auto"/>
                  <w:noWrap w:val="0"/>
                  <w:vAlign w:val="center"/>
                </w:tcPr>
                <w:p w14:paraId="3237FB53">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12C6AA2D">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02AA1BF0">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155432A3">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5F4A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06F97672">
                  <w:pPr>
                    <w:pageBreakBefore w:val="0"/>
                    <w:wordWrap/>
                    <w:bidi w:val="0"/>
                    <w:spacing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ascii="Times New Roman" w:hAnsi="Times New Roman" w:eastAsia="宋体" w:cs="Times New Roman"/>
                      <w:color w:val="auto"/>
                      <w:sz w:val="18"/>
                      <w:szCs w:val="18"/>
                      <w:highlight w:val="none"/>
                    </w:rPr>
                    <w:t>DA0</w:t>
                  </w:r>
                  <w:r>
                    <w:rPr>
                      <w:rFonts w:hint="eastAsia" w:ascii="Times New Roman" w:hAnsi="Times New Roman" w:eastAsia="宋体" w:cs="Times New Roman"/>
                      <w:color w:val="auto"/>
                      <w:sz w:val="18"/>
                      <w:szCs w:val="18"/>
                      <w:highlight w:val="none"/>
                      <w:lang w:val="en-US" w:eastAsia="zh-CN"/>
                    </w:rPr>
                    <w:t>10</w:t>
                  </w:r>
                </w:p>
              </w:tc>
              <w:tc>
                <w:tcPr>
                  <w:tcW w:w="974" w:type="pct"/>
                  <w:shd w:val="clear" w:color="auto" w:fill="auto"/>
                  <w:noWrap w:val="0"/>
                  <w:vAlign w:val="center"/>
                </w:tcPr>
                <w:p w14:paraId="3DE5025A">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0"/>
                      <w:sz w:val="20"/>
                      <w:szCs w:val="20"/>
                      <w:highlight w:val="none"/>
                      <w:lang w:val="en-US" w:eastAsia="zh-CN"/>
                    </w:rPr>
                    <w:t>辅料投料粉尘</w:t>
                  </w:r>
                </w:p>
              </w:tc>
              <w:tc>
                <w:tcPr>
                  <w:tcW w:w="886" w:type="pct"/>
                  <w:shd w:val="clear" w:color="auto" w:fill="auto"/>
                  <w:noWrap w:val="0"/>
                  <w:vAlign w:val="center"/>
                </w:tcPr>
                <w:p w14:paraId="03849EB8">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E80°36'10.887"</w:t>
                  </w:r>
                </w:p>
              </w:tc>
              <w:tc>
                <w:tcPr>
                  <w:tcW w:w="898" w:type="pct"/>
                  <w:shd w:val="clear" w:color="auto" w:fill="auto"/>
                  <w:noWrap w:val="0"/>
                  <w:vAlign w:val="center"/>
                </w:tcPr>
                <w:p w14:paraId="02186D7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N43°57'48.978"</w:t>
                  </w:r>
                </w:p>
              </w:tc>
              <w:tc>
                <w:tcPr>
                  <w:tcW w:w="392" w:type="pct"/>
                  <w:shd w:val="clear" w:color="auto" w:fill="auto"/>
                  <w:noWrap w:val="0"/>
                  <w:vAlign w:val="center"/>
                </w:tcPr>
                <w:p w14:paraId="301D57F2">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039F9B8F">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763AF59D">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37A071CE">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462A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30D7194D">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DA0</w:t>
                  </w:r>
                  <w:r>
                    <w:rPr>
                      <w:rFonts w:hint="eastAsia" w:ascii="Times New Roman" w:hAnsi="Times New Roman" w:eastAsia="宋体" w:cs="Times New Roman"/>
                      <w:color w:val="auto"/>
                      <w:sz w:val="18"/>
                      <w:szCs w:val="18"/>
                      <w:highlight w:val="none"/>
                      <w:lang w:val="en-US" w:eastAsia="zh-CN"/>
                    </w:rPr>
                    <w:t>1</w:t>
                  </w:r>
                  <w:r>
                    <w:rPr>
                      <w:rFonts w:ascii="Times New Roman" w:hAnsi="Times New Roman" w:eastAsia="宋体" w:cs="Times New Roman"/>
                      <w:color w:val="auto"/>
                      <w:sz w:val="18"/>
                      <w:szCs w:val="18"/>
                      <w:highlight w:val="none"/>
                    </w:rPr>
                    <w:t>1</w:t>
                  </w:r>
                </w:p>
              </w:tc>
              <w:tc>
                <w:tcPr>
                  <w:tcW w:w="974" w:type="pct"/>
                  <w:shd w:val="clear" w:color="auto" w:fill="auto"/>
                  <w:noWrap w:val="0"/>
                  <w:vAlign w:val="center"/>
                </w:tcPr>
                <w:p w14:paraId="27810E07">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0"/>
                      <w:sz w:val="20"/>
                      <w:szCs w:val="20"/>
                      <w:highlight w:val="none"/>
                      <w:lang w:val="en-US" w:eastAsia="zh-CN"/>
                    </w:rPr>
                    <w:t>辅料破碎粉尘</w:t>
                  </w:r>
                </w:p>
              </w:tc>
              <w:tc>
                <w:tcPr>
                  <w:tcW w:w="886" w:type="pct"/>
                  <w:shd w:val="clear" w:color="auto" w:fill="auto"/>
                  <w:noWrap w:val="0"/>
                  <w:vAlign w:val="center"/>
                </w:tcPr>
                <w:p w14:paraId="448B31F2">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E80°36'11.542"</w:t>
                  </w:r>
                </w:p>
              </w:tc>
              <w:tc>
                <w:tcPr>
                  <w:tcW w:w="898" w:type="pct"/>
                  <w:shd w:val="clear" w:color="auto" w:fill="auto"/>
                  <w:noWrap w:val="0"/>
                  <w:vAlign w:val="center"/>
                </w:tcPr>
                <w:p w14:paraId="6DDFA604">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N43°57'49.315"</w:t>
                  </w:r>
                </w:p>
              </w:tc>
              <w:tc>
                <w:tcPr>
                  <w:tcW w:w="392" w:type="pct"/>
                  <w:shd w:val="clear" w:color="auto" w:fill="auto"/>
                  <w:noWrap w:val="0"/>
                  <w:vAlign w:val="center"/>
                </w:tcPr>
                <w:p w14:paraId="1BBF66E3">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1FCBDB3D">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64026EA9">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792E6D67">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346C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2C31C259">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DA0</w:t>
                  </w:r>
                  <w:r>
                    <w:rPr>
                      <w:rFonts w:hint="eastAsia" w:ascii="Times New Roman" w:hAnsi="Times New Roman" w:eastAsia="宋体" w:cs="Times New Roman"/>
                      <w:color w:val="auto"/>
                      <w:sz w:val="18"/>
                      <w:szCs w:val="18"/>
                      <w:highlight w:val="none"/>
                      <w:lang w:val="en-US" w:eastAsia="zh-CN"/>
                    </w:rPr>
                    <w:t>12</w:t>
                  </w:r>
                </w:p>
              </w:tc>
              <w:tc>
                <w:tcPr>
                  <w:tcW w:w="974" w:type="pct"/>
                  <w:shd w:val="clear" w:color="auto" w:fill="auto"/>
                  <w:noWrap w:val="0"/>
                  <w:vAlign w:val="center"/>
                </w:tcPr>
                <w:p w14:paraId="1A610A1C">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0"/>
                      <w:sz w:val="20"/>
                      <w:szCs w:val="20"/>
                      <w:highlight w:val="none"/>
                      <w:lang w:val="en-US" w:eastAsia="zh-CN"/>
                    </w:rPr>
                    <w:t>复配粉尘</w:t>
                  </w:r>
                </w:p>
              </w:tc>
              <w:tc>
                <w:tcPr>
                  <w:tcW w:w="886" w:type="pct"/>
                  <w:shd w:val="clear" w:color="auto" w:fill="auto"/>
                  <w:noWrap w:val="0"/>
                  <w:vAlign w:val="center"/>
                </w:tcPr>
                <w:p w14:paraId="03B8CB89">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E80°36'11.325"</w:t>
                  </w:r>
                </w:p>
              </w:tc>
              <w:tc>
                <w:tcPr>
                  <w:tcW w:w="898" w:type="pct"/>
                  <w:shd w:val="clear" w:color="auto" w:fill="auto"/>
                  <w:noWrap w:val="0"/>
                  <w:vAlign w:val="center"/>
                </w:tcPr>
                <w:p w14:paraId="4593E0A3">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N43°57'47.285"</w:t>
                  </w:r>
                </w:p>
              </w:tc>
              <w:tc>
                <w:tcPr>
                  <w:tcW w:w="392" w:type="pct"/>
                  <w:shd w:val="clear" w:color="auto" w:fill="auto"/>
                  <w:noWrap w:val="0"/>
                  <w:vAlign w:val="center"/>
                </w:tcPr>
                <w:p w14:paraId="2DF319C9">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5623667E">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2D9FCCE3">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7C9779F0">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7DF4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08BC43E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z w:val="18"/>
                      <w:szCs w:val="18"/>
                      <w:highlight w:val="none"/>
                    </w:rPr>
                    <w:t>DA0</w:t>
                  </w:r>
                  <w:r>
                    <w:rPr>
                      <w:rFonts w:hint="eastAsia" w:ascii="Times New Roman" w:hAnsi="Times New Roman" w:eastAsia="宋体" w:cs="Times New Roman"/>
                      <w:color w:val="auto"/>
                      <w:sz w:val="18"/>
                      <w:szCs w:val="18"/>
                      <w:highlight w:val="none"/>
                      <w:lang w:val="en-US" w:eastAsia="zh-CN"/>
                    </w:rPr>
                    <w:t>13</w:t>
                  </w:r>
                </w:p>
              </w:tc>
              <w:tc>
                <w:tcPr>
                  <w:tcW w:w="974" w:type="pct"/>
                  <w:shd w:val="clear" w:color="auto" w:fill="auto"/>
                  <w:noWrap w:val="0"/>
                  <w:vAlign w:val="center"/>
                </w:tcPr>
                <w:p w14:paraId="1F1D38EA">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0"/>
                      <w:sz w:val="20"/>
                      <w:szCs w:val="20"/>
                      <w:highlight w:val="none"/>
                      <w:lang w:val="en-US" w:eastAsia="zh-CN"/>
                    </w:rPr>
                    <w:t>颗粒肥风冷粉尘</w:t>
                  </w:r>
                </w:p>
              </w:tc>
              <w:tc>
                <w:tcPr>
                  <w:tcW w:w="886" w:type="pct"/>
                  <w:shd w:val="clear" w:color="auto" w:fill="auto"/>
                  <w:noWrap w:val="0"/>
                  <w:vAlign w:val="center"/>
                </w:tcPr>
                <w:p w14:paraId="3CD9DB5B">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E80°36'11.877"</w:t>
                  </w:r>
                </w:p>
              </w:tc>
              <w:tc>
                <w:tcPr>
                  <w:tcW w:w="898" w:type="pct"/>
                  <w:shd w:val="clear" w:color="auto" w:fill="auto"/>
                  <w:noWrap w:val="0"/>
                  <w:vAlign w:val="center"/>
                </w:tcPr>
                <w:p w14:paraId="0054A20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N43°57'48.602"</w:t>
                  </w:r>
                </w:p>
              </w:tc>
              <w:tc>
                <w:tcPr>
                  <w:tcW w:w="392" w:type="pct"/>
                  <w:shd w:val="clear" w:color="auto" w:fill="auto"/>
                  <w:noWrap w:val="0"/>
                  <w:vAlign w:val="center"/>
                </w:tcPr>
                <w:p w14:paraId="6919A359">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37B170B2">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3E34DA87">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7F4A325C">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r w14:paraId="5B3B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0" w:type="pct"/>
                  <w:shd w:val="clear" w:color="auto" w:fill="auto"/>
                  <w:noWrap w:val="0"/>
                  <w:vAlign w:val="center"/>
                </w:tcPr>
                <w:p w14:paraId="43D387C1">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z w:val="18"/>
                      <w:szCs w:val="18"/>
                      <w:highlight w:val="none"/>
                    </w:rPr>
                    <w:t>DA0</w:t>
                  </w:r>
                  <w:r>
                    <w:rPr>
                      <w:rFonts w:hint="eastAsia" w:ascii="Times New Roman" w:hAnsi="Times New Roman" w:eastAsia="宋体" w:cs="Times New Roman"/>
                      <w:color w:val="auto"/>
                      <w:sz w:val="18"/>
                      <w:szCs w:val="18"/>
                      <w:highlight w:val="none"/>
                      <w:lang w:val="en-US" w:eastAsia="zh-CN"/>
                    </w:rPr>
                    <w:t>14</w:t>
                  </w:r>
                </w:p>
              </w:tc>
              <w:tc>
                <w:tcPr>
                  <w:tcW w:w="974" w:type="pct"/>
                  <w:shd w:val="clear" w:color="auto" w:fill="auto"/>
                  <w:noWrap w:val="0"/>
                  <w:vAlign w:val="center"/>
                </w:tcPr>
                <w:p w14:paraId="0B306308">
                  <w:pPr>
                    <w:ind w:left="-108" w:leftChars="0" w:right="-102"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kern w:val="0"/>
                      <w:sz w:val="20"/>
                      <w:szCs w:val="20"/>
                      <w:highlight w:val="none"/>
                      <w:lang w:val="en-US" w:eastAsia="zh-CN"/>
                    </w:rPr>
                    <w:t>颗粒肥包装粉尘</w:t>
                  </w:r>
                </w:p>
              </w:tc>
              <w:tc>
                <w:tcPr>
                  <w:tcW w:w="886" w:type="pct"/>
                  <w:shd w:val="clear" w:color="auto" w:fill="auto"/>
                  <w:noWrap w:val="0"/>
                  <w:vAlign w:val="center"/>
                </w:tcPr>
                <w:p w14:paraId="440E535E">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E80°36'09.765"</w:t>
                  </w:r>
                </w:p>
              </w:tc>
              <w:tc>
                <w:tcPr>
                  <w:tcW w:w="898" w:type="pct"/>
                  <w:shd w:val="clear" w:color="auto" w:fill="auto"/>
                  <w:noWrap w:val="0"/>
                  <w:vAlign w:val="center"/>
                </w:tcPr>
                <w:p w14:paraId="0332A8DA">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N43°57'49.003"</w:t>
                  </w:r>
                </w:p>
              </w:tc>
              <w:tc>
                <w:tcPr>
                  <w:tcW w:w="392" w:type="pct"/>
                  <w:shd w:val="clear" w:color="auto" w:fill="auto"/>
                  <w:noWrap w:val="0"/>
                  <w:vAlign w:val="center"/>
                </w:tcPr>
                <w:p w14:paraId="54A12600">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87" w:type="pct"/>
                  <w:shd w:val="clear" w:color="auto" w:fill="auto"/>
                  <w:noWrap w:val="0"/>
                  <w:vAlign w:val="center"/>
                </w:tcPr>
                <w:p w14:paraId="0DDC26FE">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496" w:type="pct"/>
                  <w:shd w:val="clear" w:color="auto" w:fill="auto"/>
                  <w:noWrap w:val="0"/>
                  <w:vAlign w:val="center"/>
                </w:tcPr>
                <w:p w14:paraId="1C60B83E">
                  <w:pPr>
                    <w:pageBreakBefore w:val="0"/>
                    <w:wordWrap/>
                    <w:bidi w:val="0"/>
                    <w:spacing w:line="240" w:lineRule="exact"/>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13" w:type="pct"/>
                  <w:vMerge w:val="continue"/>
                  <w:shd w:val="clear" w:color="auto" w:fill="auto"/>
                  <w:noWrap w:val="0"/>
                  <w:vAlign w:val="center"/>
                </w:tcPr>
                <w:p w14:paraId="5E776FA5">
                  <w:pPr>
                    <w:pageBreakBefore w:val="0"/>
                    <w:wordWrap/>
                    <w:bidi w:val="0"/>
                    <w:spacing w:line="240" w:lineRule="exact"/>
                    <w:ind w:left="0" w:leftChars="0" w:right="0" w:rightChars="0"/>
                    <w:jc w:val="center"/>
                    <w:rPr>
                      <w:rFonts w:ascii="Times New Roman" w:hAnsi="Times New Roman" w:eastAsia="宋体" w:cs="Times New Roman"/>
                      <w:color w:val="auto"/>
                      <w:sz w:val="18"/>
                      <w:szCs w:val="18"/>
                      <w:highlight w:val="none"/>
                    </w:rPr>
                  </w:pPr>
                </w:p>
              </w:tc>
            </w:tr>
          </w:tbl>
          <w:p w14:paraId="3D0AF862">
            <w:pPr>
              <w:pStyle w:val="24"/>
              <w:spacing w:line="480" w:lineRule="exact"/>
              <w:ind w:left="0" w:firstLine="480" w:firstLineChars="200"/>
              <w:rPr>
                <w:rFonts w:hint="eastAsia" w:ascii="Times New Roman" w:hAnsi="Times New Roman"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根据《锅炉大气污染物排放标准》（GB13271-2014）：</w:t>
            </w:r>
            <w:r>
              <w:rPr>
                <w:rFonts w:hint="eastAsia" w:ascii="Times New Roman" w:hAnsi="Times New Roman" w:cs="Times New Roman"/>
                <w:b w:val="0"/>
                <w:bCs w:val="0"/>
                <w:color w:val="auto"/>
                <w:sz w:val="24"/>
                <w:highlight w:val="none"/>
                <w:lang w:val="en-US" w:eastAsia="zh-CN"/>
              </w:rPr>
              <w:t>新建锅炉房的烟囱周围半径200m距离内有建筑物时，其烟肉应高出最高建筑物3m</w:t>
            </w:r>
            <w:r>
              <w:rPr>
                <w:rFonts w:hint="eastAsia" w:cs="Times New Roman"/>
                <w:b w:val="0"/>
                <w:bCs w:val="0"/>
                <w:color w:val="auto"/>
                <w:sz w:val="24"/>
                <w:highlight w:val="none"/>
                <w:lang w:val="en-US" w:eastAsia="zh-CN"/>
              </w:rPr>
              <w:t>。</w:t>
            </w:r>
          </w:p>
          <w:p w14:paraId="5EE1C861">
            <w:pPr>
              <w:pStyle w:val="24"/>
              <w:spacing w:line="480" w:lineRule="exact"/>
              <w:ind w:left="0" w:firstLine="0" w:firstLineChars="0"/>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1.3</w:t>
            </w:r>
            <w:r>
              <w:rPr>
                <w:rFonts w:hint="default" w:ascii="Times New Roman" w:hAnsi="Times New Roman" w:cs="Times New Roman"/>
                <w:b/>
                <w:bCs/>
                <w:color w:val="auto"/>
                <w:sz w:val="24"/>
                <w:highlight w:val="none"/>
                <w:lang w:val="en-US" w:eastAsia="zh-CN"/>
              </w:rPr>
              <w:t>发酵产生的恶臭</w:t>
            </w:r>
            <w:r>
              <w:rPr>
                <w:rFonts w:hint="eastAsia" w:ascii="Times New Roman" w:hAnsi="Times New Roman" w:cs="Times New Roman"/>
                <w:b/>
                <w:bCs/>
                <w:color w:val="auto"/>
                <w:sz w:val="24"/>
                <w:highlight w:val="none"/>
                <w:lang w:val="en-US" w:eastAsia="zh-CN"/>
              </w:rPr>
              <w:t>（P1）</w:t>
            </w:r>
          </w:p>
          <w:p w14:paraId="2DA4CCF5">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本项目恶臭主要来源于原料发酵环节。发酵环节恶臭气体主要成分为NH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为无色气体。其刺激人的嗅觉器官，引起人的厌恶或不愉快。NH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为无色气体，有强烈的刺激气味，嗅觉阈值为0.1ppm；H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S为无色气体，有恶臭和毒性，具有臭鸡蛋腐败气味，其嗅觉阈值为0.0005ppm。</w:t>
            </w:r>
          </w:p>
          <w:p w14:paraId="26242831">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根据《第二次全国污染源普查产排污系数手册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初稿</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》“2625有机肥及微生物肥制造行业”氨产生系数为7.3×10</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kg/t产品。</w:t>
            </w:r>
          </w:p>
          <w:p w14:paraId="65C9D7B5">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本项目产品为</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万t/a有机肥，项目年生产330天，恶臭气体排放按24h/d计，则理论上NH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的产生量为1.460t/a，产生速率为0.184kg/h，H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S主要产生于细菌在厌氧或无氧条件下对畜禽粪中含硫蛋白质的分解，H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S的含量约为NH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的10%</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参考</w:t>
            </w:r>
            <w:r>
              <w:rPr>
                <w:rFonts w:hint="default" w:ascii="Times New Roman" w:hAnsi="Times New Roman" w:eastAsia="Segoe UI" w:cs="Times New Roman"/>
                <w:i w:val="0"/>
                <w:iCs w:val="0"/>
                <w:caps w:val="0"/>
                <w:color w:val="auto"/>
                <w:spacing w:val="0"/>
                <w:sz w:val="24"/>
                <w:szCs w:val="24"/>
                <w:highlight w:val="none"/>
                <w:shd w:val="clear" w:color="auto" w:fill="FFFFFF"/>
              </w:rPr>
              <w:t>在《畜禽场环境评价》（刘成国主编，中国标准出版社）中提到，H₂S含量约为NH₃的10%。</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S产生量为0.146t/a，产生速率为0.018kg/h。</w:t>
            </w:r>
          </w:p>
          <w:p w14:paraId="104E3908">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本项目采用</w:t>
            </w:r>
            <w:r>
              <w:rPr>
                <w:rFonts w:hint="eastAsia" w:ascii="Times New Roman" w:hAnsi="Times New Roman" w:cs="Times New Roman"/>
                <w:color w:val="auto"/>
                <w:sz w:val="24"/>
                <w:szCs w:val="24"/>
                <w:highlight w:val="none"/>
                <w:lang w:val="en-US" w:eastAsia="zh-CN"/>
              </w:rPr>
              <w:t>封闭发酵，恶臭气体逸散水平低于10</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按10%计算</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的排放量为0.146t/a，排放速率为0.018kg/h，H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S排放量为0.015t/a，排放速率为0.002kg/h。建设单位拟加强车间通风、喷洒生物除臭剂、厂区绿化等措施。经以上措施，恶臭可满足《恶臭污染物排放标准》（GB14554-93）表1二级新改扩建标准，对环境影响不大。</w:t>
            </w:r>
          </w:p>
          <w:p w14:paraId="59192F3E">
            <w:pPr>
              <w:pStyle w:val="24"/>
              <w:spacing w:line="480" w:lineRule="exact"/>
              <w:ind w:left="0" w:firstLine="0" w:firstLineChars="0"/>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1.4储罐呼吸废气</w:t>
            </w:r>
          </w:p>
          <w:p w14:paraId="2E26F04E">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项目储罐主要储存原料</w:t>
            </w:r>
            <w:r>
              <w:rPr>
                <w:rFonts w:hint="default" w:ascii="Times New Roman" w:hAnsi="Times New Roman" w:cs="Times New Roman"/>
                <w:color w:val="auto"/>
                <w:sz w:val="24"/>
                <w:szCs w:val="24"/>
                <w:highlight w:val="none"/>
                <w:lang w:val="en-US" w:eastAsia="zh-CN"/>
              </w:rPr>
              <w:t>氨基酸废液</w:t>
            </w:r>
            <w:r>
              <w:rPr>
                <w:rFonts w:hint="eastAsia" w:ascii="Times New Roman" w:hAnsi="Times New Roman" w:cs="Times New Roman"/>
                <w:color w:val="auto"/>
                <w:sz w:val="24"/>
                <w:szCs w:val="24"/>
                <w:highlight w:val="none"/>
                <w:lang w:val="en-US" w:eastAsia="zh-CN"/>
              </w:rPr>
              <w:t>，其主要成分是水，储罐内液面上方有机废气含量低，且硫化氢、氨等恶臭气体随昼夜温差、储罐装卸造成带来的呼吸作用影响较小。故本项目不考虑其呼吸废气产生的影响。</w:t>
            </w:r>
          </w:p>
          <w:p w14:paraId="5FC7C31A">
            <w:pPr>
              <w:pStyle w:val="24"/>
              <w:spacing w:line="480" w:lineRule="exact"/>
              <w:ind w:left="0" w:firstLine="0" w:firstLineChars="0"/>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1.5堆场扬尘（P3、P4）</w:t>
            </w:r>
          </w:p>
          <w:p w14:paraId="5314EA28">
            <w:pPr>
              <w:spacing w:line="480" w:lineRule="exact"/>
              <w:ind w:firstLine="480" w:firstLineChars="200"/>
              <w:rPr>
                <w:rFonts w:hint="default" w:cs="Times New Roman"/>
                <w:bCs/>
                <w:color w:val="auto"/>
                <w:kern w:val="0"/>
                <w:sz w:val="24"/>
                <w:szCs w:val="24"/>
                <w:highlight w:val="none"/>
                <w:lang w:val="en-US" w:eastAsia="zh-CN" w:bidi="ar-SA"/>
              </w:rPr>
            </w:pPr>
            <w:r>
              <w:rPr>
                <w:rFonts w:hint="eastAsia" w:cs="Times New Roman"/>
                <w:bCs/>
                <w:color w:val="auto"/>
                <w:kern w:val="0"/>
                <w:sz w:val="24"/>
                <w:szCs w:val="24"/>
                <w:highlight w:val="none"/>
                <w:lang w:val="en-US" w:eastAsia="zh-CN" w:bidi="ar-SA"/>
              </w:rPr>
              <w:t>本项目涉及堆存的原辅料为玉米芯，堆存的产品为玉米芯粉，原料玉米芯、产品玉米芯粉均为袋式包装，且在封闭厂房内堆存，因风蚀产生的扬尘极少，故本项目不考虑其堆存产生的扬尘。</w:t>
            </w:r>
          </w:p>
          <w:p w14:paraId="17CC0537">
            <w:pPr>
              <w:spacing w:line="480" w:lineRule="exact"/>
              <w:rPr>
                <w:rFonts w:hint="default" w:ascii="Times New Roman" w:hAnsi="Times New Roman" w:cs="Times New Roman"/>
                <w:b/>
                <w:color w:val="auto"/>
                <w:spacing w:val="-10"/>
                <w:sz w:val="24"/>
                <w:highlight w:val="none"/>
                <w:lang w:val="en-US" w:eastAsia="zh-CN"/>
              </w:rPr>
            </w:pPr>
            <w:r>
              <w:rPr>
                <w:rFonts w:hint="default" w:ascii="Times New Roman" w:hAnsi="Times New Roman" w:cs="Times New Roman"/>
                <w:b/>
                <w:color w:val="auto"/>
                <w:spacing w:val="-10"/>
                <w:sz w:val="24"/>
                <w:highlight w:val="none"/>
              </w:rPr>
              <w:t>1.</w:t>
            </w:r>
            <w:r>
              <w:rPr>
                <w:rFonts w:hint="eastAsia" w:cs="Times New Roman"/>
                <w:b/>
                <w:color w:val="auto"/>
                <w:spacing w:val="-10"/>
                <w:sz w:val="24"/>
                <w:highlight w:val="none"/>
                <w:lang w:val="en-US" w:eastAsia="zh-CN"/>
              </w:rPr>
              <w:t>6</w:t>
            </w:r>
            <w:r>
              <w:rPr>
                <w:rFonts w:hint="default" w:ascii="Times New Roman" w:hAnsi="Times New Roman" w:cs="Times New Roman"/>
                <w:b/>
                <w:color w:val="auto"/>
                <w:spacing w:val="-10"/>
                <w:sz w:val="24"/>
                <w:highlight w:val="none"/>
                <w:lang w:val="en-US" w:eastAsia="zh-CN"/>
              </w:rPr>
              <w:t>防治措施可行性分析</w:t>
            </w:r>
          </w:p>
          <w:p w14:paraId="3A59FF13">
            <w:pPr>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本项目各废气污染源对应措施可行性分析见下表。</w:t>
            </w:r>
          </w:p>
          <w:p w14:paraId="040D721A">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项目废气处理措施可行性分析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305"/>
              <w:gridCol w:w="1501"/>
              <w:gridCol w:w="1171"/>
              <w:gridCol w:w="3043"/>
            </w:tblGrid>
            <w:tr w14:paraId="247C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9" w:type="pct"/>
                  <w:noWrap w:val="0"/>
                  <w:vAlign w:val="center"/>
                </w:tcPr>
                <w:p w14:paraId="1D923A07">
                  <w:pPr>
                    <w:ind w:left="-105" w:leftChars="-50" w:right="-105" w:rightChars="-50"/>
                    <w:jc w:val="center"/>
                    <w:rPr>
                      <w:rFonts w:hint="default" w:ascii="Times New Roman" w:hAnsi="Times New Roman" w:eastAsia="Calibri" w:cs="Times New Roman"/>
                      <w:b/>
                      <w:bCs/>
                      <w:color w:val="auto"/>
                      <w:sz w:val="21"/>
                      <w:szCs w:val="21"/>
                      <w:highlight w:val="none"/>
                    </w:rPr>
                  </w:pPr>
                  <w:r>
                    <w:rPr>
                      <w:rFonts w:hint="default" w:ascii="Times New Roman" w:hAnsi="Times New Roman" w:cs="Times New Roman"/>
                      <w:b/>
                      <w:bCs/>
                      <w:color w:val="auto"/>
                      <w:sz w:val="21"/>
                      <w:szCs w:val="21"/>
                      <w:highlight w:val="none"/>
                    </w:rPr>
                    <w:t>排放源</w:t>
                  </w:r>
                </w:p>
              </w:tc>
              <w:tc>
                <w:tcPr>
                  <w:tcW w:w="823" w:type="pct"/>
                  <w:noWrap w:val="0"/>
                  <w:vAlign w:val="center"/>
                </w:tcPr>
                <w:p w14:paraId="65BB3E45">
                  <w:pPr>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941" w:type="pct"/>
                  <w:noWrap w:val="0"/>
                  <w:vAlign w:val="center"/>
                </w:tcPr>
                <w:p w14:paraId="5D80DB5C">
                  <w:pPr>
                    <w:ind w:left="-105" w:leftChars="-50" w:right="-105" w:rightChar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治理措施</w:t>
                  </w:r>
                </w:p>
              </w:tc>
              <w:tc>
                <w:tcPr>
                  <w:tcW w:w="742" w:type="pct"/>
                  <w:noWrap w:val="0"/>
                  <w:vAlign w:val="center"/>
                </w:tcPr>
                <w:p w14:paraId="79011CCC">
                  <w:pPr>
                    <w:ind w:left="-105" w:leftChars="-50" w:right="-105" w:rightChar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是否为推荐治理技术</w:t>
                  </w:r>
                </w:p>
              </w:tc>
              <w:tc>
                <w:tcPr>
                  <w:tcW w:w="1871" w:type="pct"/>
                  <w:noWrap w:val="0"/>
                  <w:vAlign w:val="center"/>
                </w:tcPr>
                <w:p w14:paraId="7FB53FA1">
                  <w:pPr>
                    <w:ind w:left="-105" w:leftChars="-50" w:right="-105" w:rightChars="-5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依据</w:t>
                  </w:r>
                </w:p>
              </w:tc>
            </w:tr>
            <w:tr w14:paraId="225F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9" w:type="pct"/>
                  <w:noWrap w:val="0"/>
                  <w:vAlign w:val="center"/>
                </w:tcPr>
                <w:p w14:paraId="6B3FBB1D">
                  <w:pPr>
                    <w:snapToGrid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DA001</w:t>
                  </w:r>
                </w:p>
              </w:tc>
              <w:tc>
                <w:tcPr>
                  <w:tcW w:w="823" w:type="pct"/>
                  <w:noWrap w:val="0"/>
                  <w:vAlign w:val="center"/>
                </w:tcPr>
                <w:p w14:paraId="6A16E161">
                  <w:pPr>
                    <w:snapToGrid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szCs w:val="21"/>
                      <w:highlight w:val="none"/>
                    </w:rPr>
                    <w:t>颗粒物</w:t>
                  </w:r>
                  <w:r>
                    <w:rPr>
                      <w:rFonts w:hint="eastAsia" w:cs="Times New Roman"/>
                      <w:snapToGrid w:val="0"/>
                      <w:color w:val="auto"/>
                      <w:szCs w:val="21"/>
                      <w:highlight w:val="none"/>
                      <w:lang w:eastAsia="zh-CN"/>
                    </w:rPr>
                    <w:t>、</w:t>
                  </w:r>
                  <w:r>
                    <w:rPr>
                      <w:rFonts w:hint="eastAsia" w:cs="Times New Roman"/>
                      <w:snapToGrid w:val="0"/>
                      <w:color w:val="auto"/>
                      <w:szCs w:val="21"/>
                      <w:highlight w:val="none"/>
                      <w:lang w:val="en-US" w:eastAsia="zh-CN"/>
                    </w:rPr>
                    <w:t>氮氧化物</w:t>
                  </w:r>
                </w:p>
              </w:tc>
              <w:tc>
                <w:tcPr>
                  <w:tcW w:w="941" w:type="pct"/>
                  <w:noWrap w:val="0"/>
                  <w:vAlign w:val="center"/>
                </w:tcPr>
                <w:p w14:paraId="0AA61295">
                  <w:pPr>
                    <w:snapToGrid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SNCR+布袋除尘器+湿法脱硫</w:t>
                  </w:r>
                </w:p>
              </w:tc>
              <w:tc>
                <w:tcPr>
                  <w:tcW w:w="742" w:type="pct"/>
                  <w:noWrap w:val="0"/>
                  <w:vAlign w:val="center"/>
                </w:tcPr>
                <w:p w14:paraId="09212F7E">
                  <w:pPr>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是</w:t>
                  </w:r>
                </w:p>
              </w:tc>
              <w:tc>
                <w:tcPr>
                  <w:tcW w:w="1871" w:type="pct"/>
                  <w:noWrap w:val="0"/>
                  <w:vAlign w:val="center"/>
                </w:tcPr>
                <w:p w14:paraId="5E4FDAFB">
                  <w:pPr>
                    <w:snapToGrid w:val="0"/>
                    <w:spacing w:line="240" w:lineRule="atLeast"/>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lang w:val="en-US" w:eastAsia="zh-CN"/>
                    </w:rPr>
                    <w:t>《排污许可证申请与核发技术规范 锅炉》 (HJ 953)</w:t>
                  </w:r>
                </w:p>
              </w:tc>
            </w:tr>
            <w:tr w14:paraId="12E0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9" w:type="pct"/>
                  <w:noWrap w:val="0"/>
                  <w:vAlign w:val="center"/>
                </w:tcPr>
                <w:p w14:paraId="3D4F374E">
                  <w:pPr>
                    <w:snapToGrid w:val="0"/>
                    <w:spacing w:line="240" w:lineRule="atLeast"/>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1"/>
                      <w:szCs w:val="21"/>
                      <w:highlight w:val="none"/>
                      <w:lang w:val="en-US" w:eastAsia="zh-CN"/>
                    </w:rPr>
                    <w:t>DA00</w:t>
                  </w:r>
                  <w:r>
                    <w:rPr>
                      <w:rFonts w:hint="eastAsia" w:cs="Times New Roman"/>
                      <w:color w:val="auto"/>
                      <w:kern w:val="0"/>
                      <w:sz w:val="21"/>
                      <w:szCs w:val="21"/>
                      <w:highlight w:val="none"/>
                      <w:lang w:val="en-US" w:eastAsia="zh-CN"/>
                    </w:rPr>
                    <w:t>2~014</w:t>
                  </w:r>
                </w:p>
              </w:tc>
              <w:tc>
                <w:tcPr>
                  <w:tcW w:w="823" w:type="pct"/>
                  <w:noWrap w:val="0"/>
                  <w:vAlign w:val="center"/>
                </w:tcPr>
                <w:p w14:paraId="6D331982">
                  <w:pPr>
                    <w:snapToGrid w:val="0"/>
                    <w:spacing w:line="240" w:lineRule="atLeast"/>
                    <w:jc w:val="center"/>
                    <w:rPr>
                      <w:rFonts w:hint="default" w:ascii="Times New Roman" w:hAnsi="Times New Roman" w:cs="Times New Roman"/>
                      <w:color w:val="auto"/>
                      <w:sz w:val="21"/>
                      <w:szCs w:val="21"/>
                      <w:highlight w:val="none"/>
                    </w:rPr>
                  </w:pPr>
                  <w:r>
                    <w:rPr>
                      <w:rFonts w:hint="eastAsia" w:cs="Times New Roman"/>
                      <w:snapToGrid w:val="0"/>
                      <w:color w:val="auto"/>
                      <w:szCs w:val="21"/>
                      <w:highlight w:val="none"/>
                      <w:lang w:val="en-US" w:eastAsia="zh-CN"/>
                    </w:rPr>
                    <w:t>颗粒物</w:t>
                  </w:r>
                </w:p>
              </w:tc>
              <w:tc>
                <w:tcPr>
                  <w:tcW w:w="941" w:type="pct"/>
                  <w:noWrap w:val="0"/>
                  <w:vAlign w:val="center"/>
                </w:tcPr>
                <w:p w14:paraId="7807BDD2">
                  <w:pPr>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布袋除尘器</w:t>
                  </w:r>
                  <w:r>
                    <w:rPr>
                      <w:rFonts w:hint="eastAsia" w:cs="Times New Roman"/>
                      <w:color w:val="auto"/>
                      <w:kern w:val="2"/>
                      <w:sz w:val="21"/>
                      <w:szCs w:val="21"/>
                      <w:highlight w:val="none"/>
                      <w:lang w:val="en-US" w:eastAsia="zh-CN" w:bidi="ar-SA"/>
                    </w:rPr>
                    <w:t>/旋风除尘器</w:t>
                  </w:r>
                </w:p>
              </w:tc>
              <w:tc>
                <w:tcPr>
                  <w:tcW w:w="742" w:type="pct"/>
                  <w:noWrap w:val="0"/>
                  <w:vAlign w:val="center"/>
                </w:tcPr>
                <w:p w14:paraId="06F790ED">
                  <w:pPr>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是</w:t>
                  </w:r>
                </w:p>
              </w:tc>
              <w:tc>
                <w:tcPr>
                  <w:tcW w:w="1871" w:type="pct"/>
                  <w:noWrap w:val="0"/>
                  <w:vAlign w:val="center"/>
                </w:tcPr>
                <w:p w14:paraId="3CD98B4E">
                  <w:pPr>
                    <w:snapToGrid w:val="0"/>
                    <w:spacing w:line="240" w:lineRule="atLeast"/>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lang w:val="en-US" w:eastAsia="zh-CN"/>
                    </w:rPr>
                    <w:t>《排污许可证申请与核发技术规范 农副食品加工工业—饲料加工、植物油加工工业》（HJ 1110）</w:t>
                  </w:r>
                </w:p>
              </w:tc>
            </w:tr>
          </w:tbl>
          <w:p w14:paraId="5A64037D">
            <w:pPr>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根据上表可知，本项目各废气源强采取的治理措施均属规范中的推荐治理技术，故本项目废气治理技术可行。</w:t>
            </w:r>
          </w:p>
          <w:p w14:paraId="1488411D">
            <w:pPr>
              <w:spacing w:line="480" w:lineRule="exact"/>
              <w:rPr>
                <w:rFonts w:hint="eastAsia" w:ascii="Times New Roman" w:hAnsi="Times New Roman" w:eastAsia="宋体" w:cs="Times New Roman"/>
                <w:b/>
                <w:color w:val="auto"/>
                <w:spacing w:val="-10"/>
                <w:sz w:val="24"/>
                <w:highlight w:val="none"/>
                <w:lang w:val="en-US" w:eastAsia="zh-CN"/>
              </w:rPr>
            </w:pPr>
            <w:r>
              <w:rPr>
                <w:rFonts w:hint="eastAsia" w:ascii="Times New Roman" w:hAnsi="Times New Roman" w:eastAsia="宋体" w:cs="Times New Roman"/>
                <w:b/>
                <w:color w:val="auto"/>
                <w:spacing w:val="-10"/>
                <w:sz w:val="24"/>
                <w:highlight w:val="none"/>
                <w:lang w:val="en-US" w:eastAsia="zh-CN"/>
              </w:rPr>
              <w:t>1.7无组织措施管控要求</w:t>
            </w:r>
          </w:p>
          <w:p w14:paraId="48B7CC9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1.7.1</w:t>
            </w:r>
            <w:r>
              <w:rPr>
                <w:rFonts w:hint="eastAsia" w:ascii="Times New Roman" w:hAnsi="Times New Roman" w:cs="Times New Roman"/>
                <w:b/>
                <w:bCs/>
                <w:color w:val="auto"/>
                <w:sz w:val="24"/>
                <w:highlight w:val="none"/>
                <w:lang w:val="en-US" w:eastAsia="zh-CN"/>
              </w:rPr>
              <w:t>源头减排措施</w:t>
            </w:r>
          </w:p>
          <w:p w14:paraId="04AF65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优化生产工艺与设备</w:t>
            </w:r>
          </w:p>
          <w:p w14:paraId="267B4F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选用先进的、密闭性良好的生产设备，如在玉米芯加工设备的选型上，优先选择自带密闭装置的破碎机、粉碎机，减少物料在加工过程中的暴露。同时，优化工艺流程，减少不必要的物料转移环节，从源头上降低无组织废气产生量。例如，将破碎、粗粉、细粉等工序进行紧凑布局，采用管道输送物料，避免物料在车间内的敞开式传输。</w:t>
            </w:r>
          </w:p>
          <w:p w14:paraId="15509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物料储存与输送管控</w:t>
            </w:r>
          </w:p>
          <w:p w14:paraId="2E1FA3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物料储存：对于玉米芯原料及生产过程中的中间产品，应储存于封闭的仓库或料仓中。仓库应具备良好的密闭性，配备自动感应门，减少物料进出时废气外逸。对于生物质锅炉使用的生物质燃料，也应储存于封闭的燃料棚内，并采取防风、防雨、防流失措施。</w:t>
            </w:r>
          </w:p>
          <w:p w14:paraId="1FF9EF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物料输送：在物料输送环节，采用密闭的皮带输送机、螺旋输送机或气力输送设备。对于粉状物料（如玉米芯细粉），严禁采用敞开式输送方式。输送设备的连接处应进行密封处理，定期检查密封性能，防止物料泄漏产生无组织排放。</w:t>
            </w:r>
          </w:p>
          <w:p w14:paraId="267B4F4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1.7.2过程控制措施</w:t>
            </w:r>
          </w:p>
          <w:p w14:paraId="3C857B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加强车间通风管理：合理设计车间通风系统，确保车间内空气的有效流通，降低无组织废气在车间内的积聚浓度。通风系统的排风口应设置在无组织废气产生源的上方或附近，以利于废气的收集。同时，控制通风量，避免因通风量过大导致无组织废气扩散到车间外。例如，根据车间面积、设备布局和废气产生量，计算并设置合适的通风换气次数，一般建议车间通风换气次数不低于每小时6-8次。</w:t>
            </w:r>
          </w:p>
          <w:p w14:paraId="1BE566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规范操作流程：制定严格的生产操作规程，要求员工在操作过程中尽量减少物料的敞开暴露时间。例如，在原料卸料、产品包装等环节，应快速操作，并在操作完成后及时关闭相关设备的开口。加强员工培训，提高员工的环保意识，使其认识到无组织废气排放的危害及正确操作的重要性。</w:t>
            </w:r>
          </w:p>
          <w:p w14:paraId="30444CA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1.7.3末端治理措施</w:t>
            </w:r>
          </w:p>
          <w:p w14:paraId="688823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集气罩设置与废气收集：在无组织废气产生源处设置集气罩，如在破碎机、粉碎机、筛分机等设备的进料口、出料口上方设置合适类型的集气罩（如侧吸罩、上吸罩等）。集气罩的设计应符合相关标准，如《排风罩的分类及技术条件 GB/T（16758 - 2008）》的规定，确保集气罩尽可能靠近</w:t>
            </w:r>
            <w:r>
              <w:rPr>
                <w:rFonts w:hint="eastAsia" w:cs="Times New Roman"/>
                <w:color w:val="auto"/>
                <w:sz w:val="24"/>
                <w:highlight w:val="none"/>
                <w:lang w:val="en-US" w:eastAsia="zh-CN"/>
              </w:rPr>
              <w:t>废气污染物排放</w:t>
            </w:r>
            <w:r>
              <w:rPr>
                <w:rFonts w:hint="eastAsia" w:ascii="Times New Roman" w:hAnsi="Times New Roman" w:cs="Times New Roman"/>
                <w:color w:val="auto"/>
                <w:sz w:val="24"/>
                <w:highlight w:val="none"/>
                <w:lang w:val="en-US" w:eastAsia="zh-CN"/>
              </w:rPr>
              <w:t>源，将污染源包围起来，减少横向气流干扰，提高废气收集效率。采用外部排风罩时，在距排风罩开口面最远处的无组织排放位置，控制风速不应低于0.3m/s。</w:t>
            </w:r>
          </w:p>
          <w:p w14:paraId="7B8EF7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废气处理设施运行管理：根据无组织废气的成分和性质，选择合适的废气处理工艺。对于粉尘类无组织废气，可采用脉冲布袋除尘器、旋风除尘器等设备进行处理。确保废气处理设施与生产设备同步运行，当废气处理设施发生故障或检修时，应停止相应的生产设备运行，避免无组织废气未经处理直接排放。定期对废气处理设施进行维护保养，更换易损件（如布袋除尘器的滤袋），确保废气处理设施的正常运行和处理效率。</w:t>
            </w:r>
          </w:p>
          <w:p w14:paraId="1910954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1.7.4管理措施</w:t>
            </w:r>
          </w:p>
          <w:p w14:paraId="07CF80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制定“一厂一策”方案：根据本项目的生产工艺、设备布局、无组织废气产生特点等，制定详细的“一厂一策”无组织废气管控方案，明确各环节的管控要求、责任人员和考核标准。方案应根据实际情况定期进行修订和完善，以适应生产变化和环保要求的提高。</w:t>
            </w:r>
          </w:p>
          <w:p w14:paraId="1AF7CD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建立管理台账：建立无组织废气管理台账，记录无组织废气产生源的位置、产生量、收集处理情况、设备维护情况、监测数据等信息。管理台账应保存至少三年，以备环保部门检查和企业自身分析总结。</w:t>
            </w:r>
          </w:p>
          <w:p w14:paraId="0E6B4F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加强环保培训与宣传：定期组织员工参加环保培训，培训内容包括无组织废气的危害、管控措施、操作规程等，提高员工的环保意识和操作技能。在厂区内设置环保宣传栏，宣传环保法规和企业的环保措施，营造全员参与环保的良好氛围。</w:t>
            </w:r>
          </w:p>
          <w:p w14:paraId="58B2FB4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1.7.5恶臭气体处理措施及可行性分析</w:t>
            </w:r>
          </w:p>
          <w:p w14:paraId="5E7A73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w:t>
            </w:r>
            <w:r>
              <w:rPr>
                <w:rFonts w:hint="default" w:cs="Times New Roman"/>
                <w:color w:val="auto"/>
                <w:sz w:val="24"/>
                <w:highlight w:val="none"/>
                <w:lang w:val="en-US" w:eastAsia="zh-CN"/>
              </w:rPr>
              <w:t>项目拟采取“封闭发酵+车间通风+喷洒生物除臭剂+厂区绿化”的组合措施，其技术可行性如下：</w:t>
            </w:r>
          </w:p>
          <w:p w14:paraId="4CA06B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1.封闭发酵（源头控制）</w:t>
            </w:r>
          </w:p>
          <w:p w14:paraId="758B9B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措施内容：发酵过程采用封闭设备（发酵罐），减少恶臭气体无组织逸散，逸散率控制在10%以下。</w:t>
            </w:r>
          </w:p>
          <w:p w14:paraId="179DB3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可行性：封闭发酵是有机肥行业控制恶臭的成熟技术手段，通过物理隔离减少污染物与外界环境的直接接触，从源头降低排放量。该措施适用于本项目的发酵罐工艺，与设备选型匹配，技术成熟可靠。</w:t>
            </w:r>
          </w:p>
          <w:p w14:paraId="3FEA61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2.加强车间通风（过程控制）</w:t>
            </w:r>
          </w:p>
          <w:p w14:paraId="3AC989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措施内容：通过机械通风系统强化车间空气流通，降低恶臭气体在车间内的积聚浓度。</w:t>
            </w:r>
          </w:p>
          <w:p w14:paraId="1FED30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可行性：通风是控制封闭空间内无组织排放的常规手段，可通过合理设计通风量（如每小时6-8次换气）有效降低车间内NH₃、H₂S浓度。该措施设备简单（风机、风管），运行成本低，技术可行性高。</w:t>
            </w:r>
          </w:p>
          <w:p w14:paraId="165114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3.喷洒生物除臭剂（末端治理）</w:t>
            </w:r>
          </w:p>
          <w:p w14:paraId="7703FD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措施内容：在发酵车间及周边区域喷洒生物除臭剂，通过微生物（如芽孢杆菌、乳酸菌）的代谢作用分解NH₃、H₂S等恶臭物质，转化为无害的CO₂、H₂O等。</w:t>
            </w:r>
          </w:p>
          <w:p w14:paraId="33A1CC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可行性：生物除臭剂针对NH₃、H₂S等还原性恶臭物质具有特异性降解能力，在有机肥、污水处理等领域应用广泛，其反应条件温和（适应本项目25-35℃的发酵环境），无二次污染，与项目工艺兼容性强，技术成熟。</w:t>
            </w:r>
          </w:p>
          <w:p w14:paraId="3330BA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4.厂区绿化（辅助措施）</w:t>
            </w:r>
          </w:p>
          <w:p w14:paraId="244121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措施内容：在厂区周边及车间周边种植具有吸附恶臭功能的植物，辅助降低恶臭扩散影响。</w:t>
            </w:r>
          </w:p>
          <w:p w14:paraId="7F2F82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可行性：绿化作为恶臭治理的辅助手段，可通过植物叶片吸附、土壤微生物降解少量恶臭气体，同时美化环境，增强区域环境自净能力，技术上无实施难度，是行业常见的补充措施。</w:t>
            </w:r>
          </w:p>
          <w:p w14:paraId="48A925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上述措施实施后，恶臭气体排放可满足《恶臭污染物排放标准》（GB14554-93）表1二级新改扩建标准（NH₃厂界浓度限值1.5mg/m³，H₂S厂界浓度限值0.06mg/m³）。</w:t>
            </w:r>
          </w:p>
          <w:p w14:paraId="5BB53D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从治理逻辑看，“源头封闭+过程通风+末端降解+辅助吸附”的组合措施覆盖了恶臭产生、扩散、降解的全流程，符合恶臭污染“分级控制、综合防治”的技术原则。</w:t>
            </w:r>
          </w:p>
          <w:p w14:paraId="1239E4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综上，</w:t>
            </w:r>
            <w:r>
              <w:rPr>
                <w:rFonts w:hint="default" w:cs="Times New Roman"/>
                <w:color w:val="auto"/>
                <w:sz w:val="24"/>
                <w:highlight w:val="none"/>
                <w:lang w:val="en-US" w:eastAsia="zh-CN"/>
              </w:rPr>
              <w:t>本项目针对恶臭气体采取的“封闭发酵+车间通风+生物除臭剂+厂区绿化”治理措施，涵盖源头控制、过程减排和末端治理，技术成熟、操作可行，与项目工艺特征匹配，可确保恶臭气体达标排放，具备技术可行性。</w:t>
            </w:r>
          </w:p>
          <w:p w14:paraId="5D72462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bookmarkStart w:id="2" w:name="_Toc110959557"/>
            <w:bookmarkStart w:id="3" w:name="_Toc108708856"/>
            <w:r>
              <w:rPr>
                <w:rFonts w:hint="eastAsia" w:ascii="Times New Roman" w:hAnsi="Times New Roman" w:eastAsia="宋体" w:cs="Times New Roman"/>
                <w:b/>
                <w:bCs/>
                <w:color w:val="auto"/>
                <w:sz w:val="24"/>
                <w:highlight w:val="none"/>
                <w:lang w:val="en-US" w:eastAsia="zh-CN"/>
              </w:rPr>
              <w:t>1.8非正常工况锅炉废气</w:t>
            </w:r>
            <w:bookmarkEnd w:id="2"/>
            <w:bookmarkEnd w:id="3"/>
          </w:p>
          <w:p w14:paraId="683060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非正常排放是指生产过程中开停工、设备检修、工艺设备运转异常等非正常工况的污染物排放，以及污染物排放控制措施达不到应有效率等情况下的排放。本项目非正常工况主要包括锅炉启停炉以及污染物排放控制措施达不到应有效率，即：除尘器、脱硫塔、脱硝设施故障。按照除尘效率和脱硫效率降为50%，脱硝效率降为0计算，发生率每年大约1次，每次持续时间在1小时内。其排放情况见表4-5。</w:t>
            </w:r>
          </w:p>
          <w:p w14:paraId="3060F23D">
            <w:pPr>
              <w:pageBreakBefore w:val="0"/>
              <w:wordWrap/>
              <w:bidi w:val="0"/>
              <w:ind w:left="0" w:leftChars="0" w:right="0" w:rightChars="0" w:firstLine="422" w:firstLineChars="200"/>
              <w:jc w:val="center"/>
              <w:rPr>
                <w:rFonts w:ascii="Times New Roman" w:hAnsi="Times New Roman" w:eastAsia="黑体" w:cs="Times New Roman"/>
                <w:b/>
                <w:bCs/>
                <w:color w:val="auto"/>
                <w:sz w:val="21"/>
                <w:szCs w:val="21"/>
                <w:highlight w:val="none"/>
              </w:rPr>
            </w:pPr>
            <w:r>
              <w:rPr>
                <w:rFonts w:ascii="Times New Roman" w:hAnsi="Times New Roman" w:eastAsia="黑体" w:cs="Times New Roman"/>
                <w:b/>
                <w:bCs/>
                <w:color w:val="auto"/>
                <w:sz w:val="21"/>
                <w:szCs w:val="21"/>
                <w:highlight w:val="none"/>
              </w:rPr>
              <w:t>表</w:t>
            </w:r>
            <w:r>
              <w:rPr>
                <w:rFonts w:hint="eastAsia" w:eastAsia="黑体" w:cs="Times New Roman"/>
                <w:b/>
                <w:bCs/>
                <w:color w:val="auto"/>
                <w:sz w:val="21"/>
                <w:szCs w:val="21"/>
                <w:highlight w:val="none"/>
                <w:lang w:val="en-US" w:eastAsia="zh-CN"/>
              </w:rPr>
              <w:t>4-5</w:t>
            </w:r>
            <w:r>
              <w:rPr>
                <w:rFonts w:ascii="Times New Roman" w:hAnsi="Times New Roman" w:eastAsia="黑体" w:cs="Times New Roman"/>
                <w:b/>
                <w:bCs/>
                <w:color w:val="auto"/>
                <w:sz w:val="21"/>
                <w:szCs w:val="21"/>
                <w:highlight w:val="none"/>
              </w:rPr>
              <w:t xml:space="preserve">  污染物非正常排放情况表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178"/>
              <w:gridCol w:w="1431"/>
              <w:gridCol w:w="1408"/>
              <w:gridCol w:w="1151"/>
              <w:gridCol w:w="1120"/>
              <w:gridCol w:w="1121"/>
            </w:tblGrid>
            <w:tr w14:paraId="50DC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6" w:type="pct"/>
                  <w:noWrap w:val="0"/>
                  <w:vAlign w:val="center"/>
                </w:tcPr>
                <w:p w14:paraId="7D7BB735">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非正常排放污染物</w:t>
                  </w:r>
                </w:p>
              </w:tc>
              <w:tc>
                <w:tcPr>
                  <w:tcW w:w="711" w:type="pct"/>
                  <w:noWrap w:val="0"/>
                  <w:vAlign w:val="center"/>
                </w:tcPr>
                <w:p w14:paraId="20725227">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污染物</w:t>
                  </w:r>
                </w:p>
              </w:tc>
              <w:tc>
                <w:tcPr>
                  <w:tcW w:w="864" w:type="pct"/>
                  <w:noWrap w:val="0"/>
                  <w:vAlign w:val="center"/>
                </w:tcPr>
                <w:p w14:paraId="614D27F7">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非正常排放浓度（mg/m</w:t>
                  </w:r>
                  <w:r>
                    <w:rPr>
                      <w:rFonts w:ascii="Times New Roman" w:hAnsi="Times New Roman" w:eastAsia="宋体" w:cs="Times New Roman"/>
                      <w:b w:val="0"/>
                      <w:bCs/>
                      <w:color w:val="auto"/>
                      <w:sz w:val="21"/>
                      <w:szCs w:val="21"/>
                      <w:highlight w:val="none"/>
                      <w:vertAlign w:val="superscript"/>
                    </w:rPr>
                    <w:t>3</w:t>
                  </w:r>
                  <w:r>
                    <w:rPr>
                      <w:rFonts w:ascii="Times New Roman" w:hAnsi="Times New Roman" w:eastAsia="宋体" w:cs="Times New Roman"/>
                      <w:b w:val="0"/>
                      <w:bCs/>
                      <w:color w:val="auto"/>
                      <w:sz w:val="21"/>
                      <w:szCs w:val="21"/>
                      <w:highlight w:val="none"/>
                    </w:rPr>
                    <w:t>）</w:t>
                  </w:r>
                </w:p>
              </w:tc>
              <w:tc>
                <w:tcPr>
                  <w:tcW w:w="850" w:type="pct"/>
                  <w:noWrap w:val="0"/>
                  <w:vAlign w:val="center"/>
                </w:tcPr>
                <w:p w14:paraId="212099F0">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非正常排放速率（kg/h）</w:t>
                  </w:r>
                </w:p>
              </w:tc>
              <w:tc>
                <w:tcPr>
                  <w:tcW w:w="695" w:type="pct"/>
                  <w:noWrap w:val="0"/>
                  <w:vAlign w:val="center"/>
                </w:tcPr>
                <w:p w14:paraId="79D3EDCF">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单次持</w:t>
                  </w:r>
                </w:p>
                <w:p w14:paraId="10E9948C">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续时间</w:t>
                  </w:r>
                </w:p>
              </w:tc>
              <w:tc>
                <w:tcPr>
                  <w:tcW w:w="676" w:type="pct"/>
                  <w:noWrap w:val="0"/>
                  <w:vAlign w:val="center"/>
                </w:tcPr>
                <w:p w14:paraId="4F79C23E">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年发生</w:t>
                  </w:r>
                </w:p>
                <w:p w14:paraId="5B37CDCA">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频次</w:t>
                  </w:r>
                </w:p>
              </w:tc>
              <w:tc>
                <w:tcPr>
                  <w:tcW w:w="676" w:type="pct"/>
                  <w:noWrap w:val="0"/>
                  <w:vAlign w:val="center"/>
                </w:tcPr>
                <w:p w14:paraId="3F25A44D">
                  <w:pPr>
                    <w:pageBreakBefore w:val="0"/>
                    <w:wordWrap/>
                    <w:bidi w:val="0"/>
                    <w:spacing w:line="240" w:lineRule="exact"/>
                    <w:ind w:left="0" w:leftChars="0" w:right="0" w:right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应急措施</w:t>
                  </w:r>
                </w:p>
              </w:tc>
            </w:tr>
            <w:tr w14:paraId="240E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6" w:type="pct"/>
                  <w:vMerge w:val="restart"/>
                  <w:noWrap w:val="0"/>
                  <w:vAlign w:val="center"/>
                </w:tcPr>
                <w:p w14:paraId="093BA770">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r>
                    <w:rPr>
                      <w:rFonts w:hint="eastAsia" w:ascii="Times New Roman" w:hAnsi="Times New Roman" w:eastAsia="宋体" w:cs="Times New Roman"/>
                      <w:b w:val="0"/>
                      <w:bCs/>
                      <w:color w:val="auto"/>
                      <w:sz w:val="21"/>
                      <w:szCs w:val="21"/>
                      <w:highlight w:val="none"/>
                      <w:lang w:val="en-US" w:eastAsia="zh-CN"/>
                    </w:rPr>
                    <w:t>8</w:t>
                  </w:r>
                  <w:r>
                    <w:rPr>
                      <w:rFonts w:ascii="Times New Roman" w:hAnsi="Times New Roman" w:eastAsia="宋体" w:cs="Times New Roman"/>
                      <w:b w:val="0"/>
                      <w:bCs/>
                      <w:color w:val="auto"/>
                      <w:sz w:val="21"/>
                      <w:szCs w:val="21"/>
                      <w:highlight w:val="none"/>
                    </w:rPr>
                    <w:t>t/h</w:t>
                  </w:r>
                  <w:r>
                    <w:rPr>
                      <w:rFonts w:hint="eastAsia" w:ascii="Times New Roman" w:hAnsi="Times New Roman" w:eastAsia="宋体" w:cs="Times New Roman"/>
                      <w:b w:val="0"/>
                      <w:bCs/>
                      <w:color w:val="auto"/>
                      <w:sz w:val="21"/>
                      <w:szCs w:val="21"/>
                      <w:highlight w:val="none"/>
                      <w:lang w:val="en-US" w:eastAsia="zh-CN"/>
                    </w:rPr>
                    <w:t>生物质</w:t>
                  </w:r>
                  <w:r>
                    <w:rPr>
                      <w:rFonts w:ascii="Times New Roman" w:hAnsi="Times New Roman" w:eastAsia="宋体" w:cs="Times New Roman"/>
                      <w:b w:val="0"/>
                      <w:bCs/>
                      <w:color w:val="auto"/>
                      <w:sz w:val="21"/>
                      <w:szCs w:val="21"/>
                      <w:highlight w:val="none"/>
                    </w:rPr>
                    <w:t>锅炉</w:t>
                  </w:r>
                </w:p>
              </w:tc>
              <w:tc>
                <w:tcPr>
                  <w:tcW w:w="711" w:type="pct"/>
                  <w:noWrap w:val="0"/>
                  <w:vAlign w:val="center"/>
                </w:tcPr>
                <w:p w14:paraId="55EBEF97">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颗粒物</w:t>
                  </w:r>
                </w:p>
              </w:tc>
              <w:tc>
                <w:tcPr>
                  <w:tcW w:w="864" w:type="pct"/>
                  <w:noWrap w:val="0"/>
                  <w:vAlign w:val="center"/>
                </w:tcPr>
                <w:p w14:paraId="3E0A87AD">
                  <w:pPr>
                    <w:pageBreakBefore w:val="0"/>
                    <w:wordWrap/>
                    <w:bidi w:val="0"/>
                    <w:spacing w:line="240" w:lineRule="exact"/>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40.064</w:t>
                  </w:r>
                </w:p>
              </w:tc>
              <w:tc>
                <w:tcPr>
                  <w:tcW w:w="850" w:type="pct"/>
                  <w:noWrap w:val="0"/>
                  <w:vAlign w:val="center"/>
                </w:tcPr>
                <w:p w14:paraId="59158746">
                  <w:pPr>
                    <w:pageBreakBefore w:val="0"/>
                    <w:wordWrap/>
                    <w:bidi w:val="0"/>
                    <w:spacing w:line="240" w:lineRule="exact"/>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0.038</w:t>
                  </w:r>
                </w:p>
              </w:tc>
              <w:tc>
                <w:tcPr>
                  <w:tcW w:w="695" w:type="pct"/>
                  <w:noWrap w:val="0"/>
                  <w:vAlign w:val="center"/>
                </w:tcPr>
                <w:p w14:paraId="69D19C96">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1h</w:t>
                  </w:r>
                </w:p>
              </w:tc>
              <w:tc>
                <w:tcPr>
                  <w:tcW w:w="676" w:type="pct"/>
                  <w:noWrap w:val="0"/>
                  <w:vAlign w:val="center"/>
                </w:tcPr>
                <w:p w14:paraId="282BB833">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1次/年</w:t>
                  </w:r>
                </w:p>
              </w:tc>
              <w:tc>
                <w:tcPr>
                  <w:tcW w:w="676" w:type="pct"/>
                  <w:vMerge w:val="restart"/>
                  <w:noWrap w:val="0"/>
                  <w:vAlign w:val="center"/>
                </w:tcPr>
                <w:p w14:paraId="302FD888">
                  <w:pPr>
                    <w:pageBreakBefore w:val="0"/>
                    <w:wordWrap/>
                    <w:bidi w:val="0"/>
                    <w:spacing w:line="240" w:lineRule="exact"/>
                    <w:ind w:left="0" w:leftChars="0" w:right="0" w:right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停产检修</w:t>
                  </w:r>
                </w:p>
              </w:tc>
            </w:tr>
            <w:tr w14:paraId="3E19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6" w:type="pct"/>
                  <w:vMerge w:val="continue"/>
                  <w:noWrap w:val="0"/>
                  <w:vAlign w:val="center"/>
                </w:tcPr>
                <w:p w14:paraId="1A5E883F">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p>
              </w:tc>
              <w:tc>
                <w:tcPr>
                  <w:tcW w:w="711" w:type="pct"/>
                  <w:noWrap w:val="0"/>
                  <w:vAlign w:val="center"/>
                </w:tcPr>
                <w:p w14:paraId="561DA163">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SO</w:t>
                  </w:r>
                  <w:r>
                    <w:rPr>
                      <w:rFonts w:ascii="Times New Roman" w:hAnsi="Times New Roman" w:eastAsia="宋体" w:cs="Times New Roman"/>
                      <w:b w:val="0"/>
                      <w:bCs/>
                      <w:color w:val="auto"/>
                      <w:sz w:val="21"/>
                      <w:szCs w:val="21"/>
                      <w:highlight w:val="none"/>
                      <w:vertAlign w:val="subscript"/>
                    </w:rPr>
                    <w:t>2</w:t>
                  </w:r>
                </w:p>
              </w:tc>
              <w:tc>
                <w:tcPr>
                  <w:tcW w:w="864" w:type="pct"/>
                  <w:noWrap w:val="0"/>
                  <w:vAlign w:val="center"/>
                </w:tcPr>
                <w:p w14:paraId="51A85B6E">
                  <w:pPr>
                    <w:pageBreakBefore w:val="0"/>
                    <w:wordWrap/>
                    <w:bidi w:val="0"/>
                    <w:spacing w:line="240" w:lineRule="exact"/>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40.865</w:t>
                  </w:r>
                </w:p>
              </w:tc>
              <w:tc>
                <w:tcPr>
                  <w:tcW w:w="850" w:type="pct"/>
                  <w:noWrap w:val="0"/>
                  <w:vAlign w:val="center"/>
                </w:tcPr>
                <w:p w14:paraId="2E79547F">
                  <w:pPr>
                    <w:pageBreakBefore w:val="0"/>
                    <w:wordWrap/>
                    <w:bidi w:val="0"/>
                    <w:spacing w:line="240" w:lineRule="exact"/>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0.039</w:t>
                  </w:r>
                </w:p>
              </w:tc>
              <w:tc>
                <w:tcPr>
                  <w:tcW w:w="695" w:type="pct"/>
                  <w:noWrap w:val="0"/>
                  <w:vAlign w:val="center"/>
                </w:tcPr>
                <w:p w14:paraId="10905662">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1h</w:t>
                  </w:r>
                </w:p>
              </w:tc>
              <w:tc>
                <w:tcPr>
                  <w:tcW w:w="676" w:type="pct"/>
                  <w:noWrap w:val="0"/>
                  <w:vAlign w:val="center"/>
                </w:tcPr>
                <w:p w14:paraId="16216C3A">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1次/年</w:t>
                  </w:r>
                </w:p>
              </w:tc>
              <w:tc>
                <w:tcPr>
                  <w:tcW w:w="676" w:type="pct"/>
                  <w:vMerge w:val="continue"/>
                  <w:noWrap w:val="0"/>
                  <w:vAlign w:val="center"/>
                </w:tcPr>
                <w:p w14:paraId="1A35DB37">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p>
              </w:tc>
            </w:tr>
            <w:tr w14:paraId="54F1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6" w:type="pct"/>
                  <w:vMerge w:val="continue"/>
                  <w:noWrap w:val="0"/>
                  <w:vAlign w:val="center"/>
                </w:tcPr>
                <w:p w14:paraId="57BEA8C9">
                  <w:pPr>
                    <w:pageBreakBefore w:val="0"/>
                    <w:wordWrap/>
                    <w:bidi w:val="0"/>
                    <w:spacing w:line="240" w:lineRule="exact"/>
                    <w:ind w:left="0" w:leftChars="0" w:right="0" w:rightChars="0"/>
                    <w:jc w:val="center"/>
                    <w:rPr>
                      <w:rFonts w:ascii="Times New Roman" w:hAnsi="Times New Roman" w:eastAsia="宋体" w:cs="Times New Roman"/>
                      <w:b w:val="0"/>
                      <w:bCs/>
                      <w:color w:val="auto"/>
                      <w:kern w:val="0"/>
                      <w:sz w:val="21"/>
                      <w:szCs w:val="21"/>
                      <w:highlight w:val="none"/>
                    </w:rPr>
                  </w:pPr>
                </w:p>
              </w:tc>
              <w:tc>
                <w:tcPr>
                  <w:tcW w:w="711" w:type="pct"/>
                  <w:noWrap w:val="0"/>
                  <w:vAlign w:val="center"/>
                </w:tcPr>
                <w:p w14:paraId="6890ABB6">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NO</w:t>
                  </w:r>
                  <w:r>
                    <w:rPr>
                      <w:rFonts w:ascii="Times New Roman" w:hAnsi="Times New Roman" w:eastAsia="宋体" w:cs="Times New Roman"/>
                      <w:b w:val="0"/>
                      <w:bCs/>
                      <w:color w:val="auto"/>
                      <w:sz w:val="21"/>
                      <w:szCs w:val="21"/>
                      <w:highlight w:val="none"/>
                      <w:vertAlign w:val="subscript"/>
                    </w:rPr>
                    <w:t>x</w:t>
                  </w:r>
                </w:p>
              </w:tc>
              <w:tc>
                <w:tcPr>
                  <w:tcW w:w="864" w:type="pct"/>
                  <w:noWrap w:val="0"/>
                  <w:vAlign w:val="center"/>
                </w:tcPr>
                <w:p w14:paraId="31C86B4F">
                  <w:pPr>
                    <w:pageBreakBefore w:val="0"/>
                    <w:wordWrap/>
                    <w:bidi w:val="0"/>
                    <w:spacing w:line="240" w:lineRule="exact"/>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163.462</w:t>
                  </w:r>
                </w:p>
              </w:tc>
              <w:tc>
                <w:tcPr>
                  <w:tcW w:w="850" w:type="pct"/>
                  <w:noWrap w:val="0"/>
                  <w:vAlign w:val="center"/>
                </w:tcPr>
                <w:p w14:paraId="035FF612">
                  <w:pPr>
                    <w:pageBreakBefore w:val="0"/>
                    <w:wordWrap/>
                    <w:bidi w:val="0"/>
                    <w:spacing w:line="240" w:lineRule="exact"/>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0.155</w:t>
                  </w:r>
                </w:p>
              </w:tc>
              <w:tc>
                <w:tcPr>
                  <w:tcW w:w="695" w:type="pct"/>
                  <w:noWrap w:val="0"/>
                  <w:vAlign w:val="center"/>
                </w:tcPr>
                <w:p w14:paraId="05BB6C1C">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1h</w:t>
                  </w:r>
                </w:p>
              </w:tc>
              <w:tc>
                <w:tcPr>
                  <w:tcW w:w="676" w:type="pct"/>
                  <w:noWrap w:val="0"/>
                  <w:vAlign w:val="center"/>
                </w:tcPr>
                <w:p w14:paraId="59B37D92">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1次/年</w:t>
                  </w:r>
                </w:p>
              </w:tc>
              <w:tc>
                <w:tcPr>
                  <w:tcW w:w="676" w:type="pct"/>
                  <w:vMerge w:val="continue"/>
                  <w:noWrap w:val="0"/>
                  <w:vAlign w:val="center"/>
                </w:tcPr>
                <w:p w14:paraId="4F2B0204">
                  <w:pPr>
                    <w:pageBreakBefore w:val="0"/>
                    <w:wordWrap/>
                    <w:bidi w:val="0"/>
                    <w:spacing w:line="240" w:lineRule="exact"/>
                    <w:ind w:left="0" w:leftChars="0" w:right="0" w:rightChars="0"/>
                    <w:jc w:val="center"/>
                    <w:rPr>
                      <w:rFonts w:ascii="Times New Roman" w:hAnsi="Times New Roman" w:eastAsia="宋体" w:cs="Times New Roman"/>
                      <w:b w:val="0"/>
                      <w:bCs/>
                      <w:color w:val="auto"/>
                      <w:sz w:val="21"/>
                      <w:szCs w:val="21"/>
                      <w:highlight w:val="none"/>
                    </w:rPr>
                  </w:pPr>
                </w:p>
              </w:tc>
            </w:tr>
          </w:tbl>
          <w:p w14:paraId="06FEED58">
            <w:pPr>
              <w:spacing w:line="480" w:lineRule="exact"/>
              <w:rPr>
                <w:rFonts w:hint="default" w:ascii="Times New Roman" w:hAnsi="Times New Roman" w:cs="Times New Roman"/>
                <w:b/>
                <w:color w:val="auto"/>
                <w:spacing w:val="-10"/>
                <w:sz w:val="24"/>
                <w:highlight w:val="none"/>
              </w:rPr>
            </w:pPr>
            <w:r>
              <w:rPr>
                <w:rFonts w:hint="default" w:ascii="Times New Roman" w:hAnsi="Times New Roman" w:cs="Times New Roman"/>
                <w:b/>
                <w:color w:val="auto"/>
                <w:spacing w:val="-10"/>
                <w:sz w:val="24"/>
                <w:highlight w:val="none"/>
                <w:lang w:val="en-US" w:eastAsia="zh-CN"/>
              </w:rPr>
              <w:t>1.9</w:t>
            </w:r>
            <w:r>
              <w:rPr>
                <w:rFonts w:hint="default" w:ascii="Times New Roman" w:hAnsi="Times New Roman" w:cs="Times New Roman"/>
                <w:b/>
                <w:color w:val="auto"/>
                <w:spacing w:val="-10"/>
                <w:sz w:val="24"/>
                <w:highlight w:val="none"/>
              </w:rPr>
              <w:t>监测要求</w:t>
            </w:r>
          </w:p>
          <w:p w14:paraId="6E8240A9">
            <w:pPr>
              <w:spacing w:line="480" w:lineRule="exact"/>
              <w:ind w:firstLine="480" w:firstLineChars="200"/>
              <w:rPr>
                <w:rFonts w:hint="default" w:ascii="Times New Roman" w:hAnsi="Times New Roman" w:cs="Times New Roman"/>
                <w:bCs/>
                <w:color w:val="auto"/>
                <w:spacing w:val="-10"/>
                <w:sz w:val="24"/>
                <w:highlight w:val="none"/>
              </w:rPr>
            </w:pPr>
            <w:r>
              <w:rPr>
                <w:rFonts w:hint="default" w:ascii="Times New Roman" w:hAnsi="Times New Roman" w:cs="Times New Roman"/>
                <w:color w:val="auto"/>
                <w:sz w:val="24"/>
                <w:highlight w:val="none"/>
              </w:rPr>
              <w:t>根据《排污单位自行监测技术指南 总则》（HJ819-2017）、《排污许可证申请与核发技术规范 总则》（HJ 942-2018）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《排污单位自行监测技术指南 火力发电及锅炉</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（HJ 820-2017）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《排污单位自行监测技术指南 磷肥、钾肥、复混肥料、有机肥料和微生物肥料》（HJ 1088-2020），</w:t>
            </w:r>
            <w:r>
              <w:rPr>
                <w:rFonts w:hint="default" w:ascii="Times New Roman" w:hAnsi="Times New Roman" w:eastAsia="宋体" w:cs="Times New Roman"/>
                <w:color w:val="auto"/>
                <w:sz w:val="24"/>
                <w:highlight w:val="none"/>
              </w:rPr>
              <w:t>本项目废气监测计划见</w:t>
            </w:r>
            <w:r>
              <w:rPr>
                <w:rFonts w:hint="default" w:ascii="Times New Roman" w:hAnsi="Times New Roman" w:cs="Times New Roman"/>
                <w:color w:val="auto"/>
                <w:sz w:val="24"/>
                <w:highlight w:val="none"/>
              </w:rPr>
              <w:t>表4-</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w:t>
            </w:r>
          </w:p>
          <w:p w14:paraId="4890C43C">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废气监测计划一览表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3434"/>
              <w:gridCol w:w="2331"/>
            </w:tblGrid>
            <w:tr w14:paraId="53C3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8" w:type="pct"/>
                  <w:noWrap w:val="0"/>
                  <w:vAlign w:val="center"/>
                </w:tcPr>
                <w:p w14:paraId="03A2E7C1">
                  <w:pPr>
                    <w:topLinePunct/>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监测位置</w:t>
                  </w:r>
                </w:p>
              </w:tc>
              <w:tc>
                <w:tcPr>
                  <w:tcW w:w="2073" w:type="pct"/>
                  <w:noWrap w:val="0"/>
                  <w:vAlign w:val="center"/>
                </w:tcPr>
                <w:p w14:paraId="2F35C5B1">
                  <w:pPr>
                    <w:topLinePunct/>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1407" w:type="pct"/>
                  <w:noWrap w:val="0"/>
                  <w:vAlign w:val="center"/>
                </w:tcPr>
                <w:p w14:paraId="04C3060A">
                  <w:pPr>
                    <w:topLinePunct/>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监测频次</w:t>
                  </w:r>
                </w:p>
              </w:tc>
            </w:tr>
            <w:tr w14:paraId="42EC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8" w:type="pct"/>
                  <w:vMerge w:val="restart"/>
                  <w:noWrap w:val="0"/>
                  <w:vAlign w:val="center"/>
                </w:tcPr>
                <w:p w14:paraId="2F2C78B8">
                  <w:pPr>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DA001</w:t>
                  </w:r>
                </w:p>
              </w:tc>
              <w:tc>
                <w:tcPr>
                  <w:tcW w:w="2073" w:type="pct"/>
                  <w:noWrap w:val="0"/>
                  <w:vAlign w:val="center"/>
                </w:tcPr>
                <w:p w14:paraId="7E1201A4">
                  <w:pPr>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snapToGrid w:val="0"/>
                      <w:color w:val="auto"/>
                      <w:szCs w:val="21"/>
                      <w:highlight w:val="none"/>
                      <w:lang w:val="en-US" w:eastAsia="zh-CN"/>
                    </w:rPr>
                    <w:t>二氧化硫、</w:t>
                  </w:r>
                  <w:r>
                    <w:rPr>
                      <w:rFonts w:hint="default" w:ascii="Times New Roman" w:hAnsi="Times New Roman" w:cs="Times New Roman"/>
                      <w:snapToGrid w:val="0"/>
                      <w:color w:val="auto"/>
                      <w:szCs w:val="21"/>
                      <w:highlight w:val="none"/>
                    </w:rPr>
                    <w:t>颗粒物</w:t>
                  </w:r>
                </w:p>
              </w:tc>
              <w:tc>
                <w:tcPr>
                  <w:tcW w:w="1407" w:type="pct"/>
                  <w:noWrap w:val="0"/>
                  <w:vAlign w:val="center"/>
                </w:tcPr>
                <w:p w14:paraId="7C368BCF">
                  <w:pPr>
                    <w:topLinePunct/>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r>
            <w:tr w14:paraId="431F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8" w:type="pct"/>
                  <w:vMerge w:val="continue"/>
                  <w:noWrap w:val="0"/>
                  <w:vAlign w:val="center"/>
                </w:tcPr>
                <w:p w14:paraId="7F7213CF">
                  <w:pPr>
                    <w:ind w:left="-105" w:leftChars="-50" w:right="-105" w:rightChars="-50"/>
                    <w:jc w:val="center"/>
                    <w:rPr>
                      <w:rFonts w:hint="default" w:ascii="Times New Roman" w:hAnsi="Times New Roman" w:cs="Times New Roman"/>
                      <w:color w:val="auto"/>
                      <w:highlight w:val="none"/>
                      <w:lang w:val="en-US" w:eastAsia="zh-CN"/>
                    </w:rPr>
                  </w:pPr>
                </w:p>
              </w:tc>
              <w:tc>
                <w:tcPr>
                  <w:tcW w:w="2073" w:type="pct"/>
                  <w:noWrap w:val="0"/>
                  <w:vAlign w:val="center"/>
                </w:tcPr>
                <w:p w14:paraId="2C43D173">
                  <w:pPr>
                    <w:snapToGrid w:val="0"/>
                    <w:spacing w:line="240" w:lineRule="atLeast"/>
                    <w:jc w:val="center"/>
                    <w:rPr>
                      <w:rFonts w:hint="eastAsia"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氮氧化物</w:t>
                  </w:r>
                </w:p>
              </w:tc>
              <w:tc>
                <w:tcPr>
                  <w:tcW w:w="1407" w:type="pct"/>
                  <w:noWrap w:val="0"/>
                  <w:vAlign w:val="center"/>
                </w:tcPr>
                <w:p w14:paraId="3B070E47">
                  <w:pPr>
                    <w:topLinePun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次/月</w:t>
                  </w:r>
                </w:p>
              </w:tc>
            </w:tr>
            <w:tr w14:paraId="0535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8" w:type="pct"/>
                  <w:noWrap w:val="0"/>
                  <w:vAlign w:val="center"/>
                </w:tcPr>
                <w:p w14:paraId="1936930A">
                  <w:pPr>
                    <w:ind w:left="-105" w:leftChars="-50" w:right="-105" w:rightChars="-5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1"/>
                      <w:szCs w:val="21"/>
                      <w:highlight w:val="none"/>
                      <w:lang w:val="en-US" w:eastAsia="zh-CN"/>
                    </w:rPr>
                    <w:t>DA00</w:t>
                  </w:r>
                  <w:r>
                    <w:rPr>
                      <w:rFonts w:hint="eastAsia" w:cs="Times New Roman"/>
                      <w:color w:val="auto"/>
                      <w:kern w:val="0"/>
                      <w:sz w:val="21"/>
                      <w:szCs w:val="21"/>
                      <w:highlight w:val="none"/>
                      <w:lang w:val="en-US" w:eastAsia="zh-CN"/>
                    </w:rPr>
                    <w:t>2~014</w:t>
                  </w:r>
                </w:p>
              </w:tc>
              <w:tc>
                <w:tcPr>
                  <w:tcW w:w="2073" w:type="pct"/>
                  <w:noWrap w:val="0"/>
                  <w:vAlign w:val="center"/>
                </w:tcPr>
                <w:p w14:paraId="45F5E5AB">
                  <w:pPr>
                    <w:snapToGrid w:val="0"/>
                    <w:spacing w:line="240" w:lineRule="atLeast"/>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颗粒物</w:t>
                  </w:r>
                </w:p>
              </w:tc>
              <w:tc>
                <w:tcPr>
                  <w:tcW w:w="1407" w:type="pct"/>
                  <w:noWrap w:val="0"/>
                  <w:vAlign w:val="center"/>
                </w:tcPr>
                <w:p w14:paraId="654C6FD2">
                  <w:pPr>
                    <w:topLinePunct/>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r>
            <w:tr w14:paraId="363B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18" w:type="pct"/>
                  <w:noWrap w:val="0"/>
                  <w:vAlign w:val="center"/>
                </w:tcPr>
                <w:p w14:paraId="68D27510">
                  <w:pPr>
                    <w:topLinePun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w:t>
                  </w:r>
                </w:p>
              </w:tc>
              <w:tc>
                <w:tcPr>
                  <w:tcW w:w="2073" w:type="pct"/>
                  <w:noWrap w:val="0"/>
                  <w:vAlign w:val="center"/>
                </w:tcPr>
                <w:p w14:paraId="4B03A1DE">
                  <w:pPr>
                    <w:topLinePun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颗粒物、硫化氢、氨</w:t>
                  </w:r>
                </w:p>
              </w:tc>
              <w:tc>
                <w:tcPr>
                  <w:tcW w:w="1407" w:type="pct"/>
                  <w:noWrap w:val="0"/>
                  <w:vAlign w:val="center"/>
                </w:tcPr>
                <w:p w14:paraId="23A7DFD0">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r>
          </w:tbl>
          <w:p w14:paraId="036235F4">
            <w:pPr>
              <w:widowControl/>
              <w:spacing w:line="360" w:lineRule="auto"/>
              <w:jc w:val="left"/>
              <w:rPr>
                <w:rFonts w:hint="default" w:ascii="Times New Roman" w:hAnsi="Times New Roman" w:cs="Times New Roman"/>
                <w:b/>
                <w:bCs/>
                <w:color w:val="auto"/>
                <w:highlight w:val="none"/>
              </w:rPr>
            </w:pPr>
            <w:r>
              <w:rPr>
                <w:rFonts w:hint="default" w:ascii="Times New Roman" w:hAnsi="Times New Roman" w:cs="Times New Roman"/>
                <w:b/>
                <w:bCs/>
                <w:color w:val="auto"/>
                <w:sz w:val="24"/>
                <w:highlight w:val="none"/>
              </w:rPr>
              <w:t>2.运营期水环境影响分析和污染防治措施</w:t>
            </w:r>
          </w:p>
          <w:p w14:paraId="7CA922C5">
            <w:pPr>
              <w:spacing w:line="480" w:lineRule="exact"/>
              <w:ind w:firstLine="463" w:firstLineChars="192"/>
              <w:rPr>
                <w:rFonts w:hint="default" w:ascii="Times New Roman" w:hAnsi="Times New Roman" w:eastAsia="宋体" w:cs="Times New Roman"/>
                <w:b/>
                <w:bCs/>
                <w:snapToGrid w:val="0"/>
                <w:color w:val="auto"/>
                <w:kern w:val="0"/>
                <w:sz w:val="24"/>
                <w:szCs w:val="22"/>
                <w:highlight w:val="none"/>
                <w:lang w:val="en-US" w:eastAsia="zh-CN"/>
              </w:rPr>
            </w:pPr>
            <w:r>
              <w:rPr>
                <w:rFonts w:hint="eastAsia" w:cs="Times New Roman"/>
                <w:b/>
                <w:bCs/>
                <w:snapToGrid w:val="0"/>
                <w:color w:val="auto"/>
                <w:kern w:val="0"/>
                <w:sz w:val="24"/>
                <w:szCs w:val="22"/>
                <w:highlight w:val="none"/>
                <w:lang w:val="en-US" w:eastAsia="zh-CN"/>
              </w:rPr>
              <w:t>2.1生活污水环境影响分析</w:t>
            </w:r>
          </w:p>
          <w:p w14:paraId="092BDA62">
            <w:pPr>
              <w:spacing w:line="480" w:lineRule="exact"/>
              <w:ind w:firstLine="460" w:firstLineChars="192"/>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szCs w:val="22"/>
                <w:highlight w:val="none"/>
              </w:rPr>
              <w:t>项目劳动定员为</w:t>
            </w:r>
            <w:r>
              <w:rPr>
                <w:rFonts w:hint="default" w:ascii="Times New Roman" w:hAnsi="Times New Roman" w:cs="Times New Roman"/>
                <w:snapToGrid w:val="0"/>
                <w:color w:val="auto"/>
                <w:kern w:val="0"/>
                <w:sz w:val="24"/>
                <w:szCs w:val="22"/>
                <w:highlight w:val="none"/>
                <w:lang w:val="en-US" w:eastAsia="zh-CN"/>
              </w:rPr>
              <w:t>25</w:t>
            </w:r>
            <w:r>
              <w:rPr>
                <w:rFonts w:hint="default" w:ascii="Times New Roman" w:hAnsi="Times New Roman" w:cs="Times New Roman"/>
                <w:snapToGrid w:val="0"/>
                <w:color w:val="auto"/>
                <w:kern w:val="0"/>
                <w:sz w:val="24"/>
                <w:szCs w:val="22"/>
                <w:highlight w:val="none"/>
              </w:rPr>
              <w:t>人，根据《新疆维吾尔自治区生活用水定额》确定本项目职工人均生活用水量为</w:t>
            </w:r>
            <w:r>
              <w:rPr>
                <w:rFonts w:hint="default" w:ascii="Times New Roman" w:hAnsi="Times New Roman" w:cs="Times New Roman"/>
                <w:snapToGrid w:val="0"/>
                <w:color w:val="auto"/>
                <w:kern w:val="0"/>
                <w:sz w:val="24"/>
                <w:szCs w:val="22"/>
                <w:highlight w:val="none"/>
                <w:lang w:val="en-US" w:eastAsia="zh-CN"/>
              </w:rPr>
              <w:t>12</w:t>
            </w:r>
            <w:r>
              <w:rPr>
                <w:rFonts w:hint="default" w:ascii="Times New Roman" w:hAnsi="Times New Roman" w:cs="Times New Roman"/>
                <w:snapToGrid w:val="0"/>
                <w:color w:val="auto"/>
                <w:kern w:val="0"/>
                <w:sz w:val="24"/>
                <w:szCs w:val="22"/>
                <w:highlight w:val="none"/>
              </w:rPr>
              <w:t>0L/人</w:t>
            </w:r>
            <w:r>
              <w:rPr>
                <w:rFonts w:hint="default" w:ascii="Times New Roman" w:hAnsi="Times New Roman" w:eastAsia="宋体" w:cs="Times New Roman"/>
                <w:snapToGrid w:val="0"/>
                <w:color w:val="auto"/>
                <w:kern w:val="0"/>
                <w:sz w:val="24"/>
                <w:szCs w:val="22"/>
                <w:highlight w:val="none"/>
              </w:rPr>
              <w:t>·</w:t>
            </w:r>
            <w:r>
              <w:rPr>
                <w:rFonts w:hint="default" w:ascii="Times New Roman" w:hAnsi="Times New Roman" w:cs="Times New Roman"/>
                <w:snapToGrid w:val="0"/>
                <w:color w:val="auto"/>
                <w:kern w:val="0"/>
                <w:sz w:val="24"/>
                <w:szCs w:val="22"/>
                <w:highlight w:val="none"/>
              </w:rPr>
              <w:t>d。项目全年有效生产运营</w:t>
            </w:r>
            <w:r>
              <w:rPr>
                <w:rFonts w:hint="default" w:ascii="Times New Roman" w:hAnsi="Times New Roman" w:cs="Times New Roman"/>
                <w:snapToGrid w:val="0"/>
                <w:color w:val="auto"/>
                <w:kern w:val="0"/>
                <w:sz w:val="24"/>
                <w:szCs w:val="22"/>
                <w:highlight w:val="none"/>
                <w:lang w:val="en-US" w:eastAsia="zh-CN"/>
              </w:rPr>
              <w:t>330</w:t>
            </w:r>
            <w:r>
              <w:rPr>
                <w:rFonts w:hint="default" w:ascii="Times New Roman" w:hAnsi="Times New Roman" w:cs="Times New Roman"/>
                <w:snapToGrid w:val="0"/>
                <w:color w:val="auto"/>
                <w:kern w:val="0"/>
                <w:sz w:val="24"/>
                <w:szCs w:val="22"/>
                <w:highlight w:val="none"/>
              </w:rPr>
              <w:t>d，则项目员工生活用水量约</w:t>
            </w:r>
            <w:r>
              <w:rPr>
                <w:rFonts w:hint="default" w:ascii="Times New Roman" w:hAnsi="Times New Roman" w:cs="Times New Roman"/>
                <w:snapToGrid w:val="0"/>
                <w:color w:val="auto"/>
                <w:kern w:val="0"/>
                <w:sz w:val="24"/>
                <w:szCs w:val="22"/>
                <w:highlight w:val="none"/>
                <w:lang w:val="en-US" w:eastAsia="zh-CN"/>
              </w:rPr>
              <w:t>990</w:t>
            </w:r>
            <w:r>
              <w:rPr>
                <w:rFonts w:hint="default" w:ascii="Times New Roman" w:hAnsi="Times New Roman" w:cs="Times New Roman"/>
                <w:snapToGrid w:val="0"/>
                <w:color w:val="auto"/>
                <w:kern w:val="0"/>
                <w:sz w:val="24"/>
                <w:szCs w:val="22"/>
                <w:highlight w:val="none"/>
              </w:rPr>
              <w:t>m</w:t>
            </w:r>
            <w:r>
              <w:rPr>
                <w:rFonts w:hint="default" w:ascii="Times New Roman" w:hAnsi="Times New Roman" w:cs="Times New Roman"/>
                <w:snapToGrid w:val="0"/>
                <w:color w:val="auto"/>
                <w:kern w:val="0"/>
                <w:sz w:val="24"/>
                <w:szCs w:val="22"/>
                <w:highlight w:val="none"/>
                <w:vertAlign w:val="superscript"/>
              </w:rPr>
              <w:t>3</w:t>
            </w:r>
            <w:r>
              <w:rPr>
                <w:rFonts w:hint="default" w:ascii="Times New Roman" w:hAnsi="Times New Roman" w:cs="Times New Roman"/>
                <w:snapToGrid w:val="0"/>
                <w:color w:val="auto"/>
                <w:kern w:val="0"/>
                <w:sz w:val="24"/>
                <w:szCs w:val="22"/>
                <w:highlight w:val="none"/>
              </w:rPr>
              <w:t>/a</w:t>
            </w:r>
            <w:r>
              <w:rPr>
                <w:rFonts w:hint="default" w:ascii="Times New Roman" w:hAnsi="Times New Roman" w:cs="Times New Roman"/>
                <w:snapToGrid w:val="0"/>
                <w:color w:val="auto"/>
                <w:kern w:val="0"/>
                <w:sz w:val="24"/>
                <w:szCs w:val="22"/>
                <w:highlight w:val="none"/>
                <w:lang w:eastAsia="zh-CN"/>
              </w:rPr>
              <w:t>（</w:t>
            </w:r>
            <w:r>
              <w:rPr>
                <w:rFonts w:hint="eastAsia" w:cs="Times New Roman"/>
                <w:snapToGrid w:val="0"/>
                <w:color w:val="auto"/>
                <w:kern w:val="0"/>
                <w:sz w:val="24"/>
                <w:szCs w:val="22"/>
                <w:highlight w:val="none"/>
                <w:lang w:val="en-US" w:eastAsia="zh-CN"/>
              </w:rPr>
              <w:t>3</w:t>
            </w:r>
            <w:r>
              <w:rPr>
                <w:rFonts w:hint="default" w:ascii="Times New Roman" w:hAnsi="Times New Roman" w:cs="Times New Roman"/>
                <w:snapToGrid w:val="0"/>
                <w:color w:val="auto"/>
                <w:kern w:val="0"/>
                <w:sz w:val="24"/>
                <w:szCs w:val="22"/>
                <w:highlight w:val="none"/>
              </w:rPr>
              <w:t>m</w:t>
            </w:r>
            <w:r>
              <w:rPr>
                <w:rFonts w:hint="default" w:ascii="Times New Roman" w:hAnsi="Times New Roman" w:cs="Times New Roman"/>
                <w:snapToGrid w:val="0"/>
                <w:color w:val="auto"/>
                <w:kern w:val="0"/>
                <w:sz w:val="24"/>
                <w:szCs w:val="22"/>
                <w:highlight w:val="none"/>
                <w:vertAlign w:val="superscript"/>
              </w:rPr>
              <w:t>3</w:t>
            </w:r>
            <w:r>
              <w:rPr>
                <w:rFonts w:hint="default" w:ascii="Times New Roman" w:hAnsi="Times New Roman" w:cs="Times New Roman"/>
                <w:snapToGrid w:val="0"/>
                <w:color w:val="auto"/>
                <w:kern w:val="0"/>
                <w:sz w:val="24"/>
                <w:szCs w:val="22"/>
                <w:highlight w:val="none"/>
              </w:rPr>
              <w:t>/</w:t>
            </w:r>
            <w:r>
              <w:rPr>
                <w:rFonts w:hint="default" w:ascii="Times New Roman" w:hAnsi="Times New Roman" w:cs="Times New Roman"/>
                <w:snapToGrid w:val="0"/>
                <w:color w:val="auto"/>
                <w:kern w:val="0"/>
                <w:sz w:val="24"/>
                <w:szCs w:val="22"/>
                <w:highlight w:val="none"/>
                <w:lang w:val="en-US" w:eastAsia="zh-CN"/>
              </w:rPr>
              <w:t>d）。</w:t>
            </w:r>
            <w:r>
              <w:rPr>
                <w:rFonts w:hint="default" w:ascii="Times New Roman" w:hAnsi="Times New Roman" w:cs="Times New Roman"/>
                <w:snapToGrid w:val="0"/>
                <w:color w:val="auto"/>
                <w:kern w:val="0"/>
                <w:sz w:val="24"/>
                <w:highlight w:val="none"/>
              </w:rPr>
              <w:t>生活污水按生活用水量的8</w:t>
            </w:r>
            <w:r>
              <w:rPr>
                <w:rFonts w:hint="default" w:ascii="Times New Roman" w:hAnsi="Times New Roman" w:cs="Times New Roman"/>
                <w:snapToGrid w:val="0"/>
                <w:color w:val="auto"/>
                <w:kern w:val="0"/>
                <w:sz w:val="24"/>
                <w:highlight w:val="none"/>
                <w:lang w:val="en-US" w:eastAsia="zh-CN"/>
              </w:rPr>
              <w:t>5</w:t>
            </w:r>
            <w:r>
              <w:rPr>
                <w:rFonts w:hint="default" w:ascii="Times New Roman" w:hAnsi="Times New Roman" w:cs="Times New Roman"/>
                <w:snapToGrid w:val="0"/>
                <w:color w:val="auto"/>
                <w:kern w:val="0"/>
                <w:sz w:val="24"/>
                <w:highlight w:val="none"/>
              </w:rPr>
              <w:t>%计，即</w:t>
            </w:r>
            <w:r>
              <w:rPr>
                <w:rFonts w:hint="default" w:ascii="Times New Roman" w:hAnsi="Times New Roman" w:cs="Times New Roman"/>
                <w:snapToGrid w:val="0"/>
                <w:color w:val="auto"/>
                <w:kern w:val="0"/>
                <w:sz w:val="24"/>
                <w:highlight w:val="none"/>
                <w:lang w:val="en-US" w:eastAsia="zh-CN"/>
              </w:rPr>
              <w:t>841.5</w:t>
            </w:r>
            <w:r>
              <w:rPr>
                <w:rFonts w:hint="default" w:ascii="Times New Roman" w:hAnsi="Times New Roman" w:cs="Times New Roman"/>
                <w:snapToGrid w:val="0"/>
                <w:color w:val="auto"/>
                <w:kern w:val="0"/>
                <w:sz w:val="24"/>
                <w:highlight w:val="none"/>
              </w:rPr>
              <w:t>m</w:t>
            </w:r>
            <w:r>
              <w:rPr>
                <w:rFonts w:hint="default" w:ascii="Times New Roman" w:hAnsi="Times New Roman" w:cs="Times New Roman"/>
                <w:snapToGrid w:val="0"/>
                <w:color w:val="auto"/>
                <w:kern w:val="0"/>
                <w:sz w:val="24"/>
                <w:highlight w:val="none"/>
                <w:vertAlign w:val="superscript"/>
              </w:rPr>
              <w:t>3</w:t>
            </w:r>
            <w:r>
              <w:rPr>
                <w:rFonts w:hint="default" w:ascii="Times New Roman" w:hAnsi="Times New Roman" w:cs="Times New Roman"/>
                <w:snapToGrid w:val="0"/>
                <w:color w:val="auto"/>
                <w:kern w:val="0"/>
                <w:sz w:val="24"/>
                <w:highlight w:val="none"/>
              </w:rPr>
              <w:t>/a</w:t>
            </w:r>
            <w:r>
              <w:rPr>
                <w:rFonts w:hint="default" w:ascii="Times New Roman" w:hAnsi="Times New Roman" w:cs="Times New Roman"/>
                <w:snapToGrid w:val="0"/>
                <w:color w:val="auto"/>
                <w:kern w:val="0"/>
                <w:sz w:val="24"/>
                <w:szCs w:val="22"/>
                <w:highlight w:val="none"/>
                <w:lang w:eastAsia="zh-CN"/>
              </w:rPr>
              <w:t>（</w:t>
            </w:r>
            <w:r>
              <w:rPr>
                <w:rFonts w:hint="eastAsia" w:ascii="Times New Roman" w:hAnsi="Times New Roman" w:cs="Times New Roman"/>
                <w:snapToGrid w:val="0"/>
                <w:color w:val="auto"/>
                <w:kern w:val="0"/>
                <w:sz w:val="24"/>
                <w:szCs w:val="22"/>
                <w:highlight w:val="none"/>
                <w:lang w:val="en-US" w:eastAsia="zh-CN"/>
              </w:rPr>
              <w:t>2.55</w:t>
            </w:r>
            <w:r>
              <w:rPr>
                <w:rFonts w:hint="default" w:ascii="Times New Roman" w:hAnsi="Times New Roman" w:cs="Times New Roman"/>
                <w:snapToGrid w:val="0"/>
                <w:color w:val="auto"/>
                <w:kern w:val="0"/>
                <w:sz w:val="24"/>
                <w:szCs w:val="22"/>
                <w:highlight w:val="none"/>
              </w:rPr>
              <w:t>m</w:t>
            </w:r>
            <w:r>
              <w:rPr>
                <w:rFonts w:hint="default" w:ascii="Times New Roman" w:hAnsi="Times New Roman" w:cs="Times New Roman"/>
                <w:snapToGrid w:val="0"/>
                <w:color w:val="auto"/>
                <w:kern w:val="0"/>
                <w:sz w:val="24"/>
                <w:szCs w:val="22"/>
                <w:highlight w:val="none"/>
                <w:vertAlign w:val="superscript"/>
              </w:rPr>
              <w:t>3</w:t>
            </w:r>
            <w:r>
              <w:rPr>
                <w:rFonts w:hint="default" w:ascii="Times New Roman" w:hAnsi="Times New Roman" w:cs="Times New Roman"/>
                <w:snapToGrid w:val="0"/>
                <w:color w:val="auto"/>
                <w:kern w:val="0"/>
                <w:sz w:val="24"/>
                <w:szCs w:val="22"/>
                <w:highlight w:val="none"/>
              </w:rPr>
              <w:t>/</w:t>
            </w:r>
            <w:r>
              <w:rPr>
                <w:rFonts w:hint="default" w:ascii="Times New Roman" w:hAnsi="Times New Roman" w:cs="Times New Roman"/>
                <w:snapToGrid w:val="0"/>
                <w:color w:val="auto"/>
                <w:kern w:val="0"/>
                <w:sz w:val="24"/>
                <w:szCs w:val="22"/>
                <w:highlight w:val="none"/>
                <w:lang w:val="en-US" w:eastAsia="zh-CN"/>
              </w:rPr>
              <w:t>d）</w:t>
            </w:r>
            <w:r>
              <w:rPr>
                <w:rFonts w:hint="default" w:ascii="Times New Roman" w:hAnsi="Times New Roman" w:cs="Times New Roman"/>
                <w:snapToGrid w:val="0"/>
                <w:color w:val="auto"/>
                <w:kern w:val="0"/>
                <w:sz w:val="24"/>
                <w:highlight w:val="none"/>
              </w:rPr>
              <w:t>，</w:t>
            </w:r>
            <w:r>
              <w:rPr>
                <w:rFonts w:hint="default" w:ascii="Times New Roman" w:hAnsi="Times New Roman" w:cs="Times New Roman"/>
                <w:color w:val="auto"/>
                <w:sz w:val="24"/>
                <w:highlight w:val="none"/>
                <w:lang w:eastAsia="zh-CN"/>
              </w:rPr>
              <w:t>生活污</w:t>
            </w:r>
            <w:r>
              <w:rPr>
                <w:rFonts w:hint="eastAsia" w:cs="Times New Roman"/>
                <w:color w:val="auto"/>
                <w:sz w:val="24"/>
                <w:highlight w:val="none"/>
                <w:lang w:val="en-US" w:eastAsia="zh-CN"/>
              </w:rPr>
              <w:t>排入市政污水管网</w:t>
            </w:r>
            <w:r>
              <w:rPr>
                <w:rFonts w:hint="default" w:ascii="Times New Roman" w:hAnsi="Times New Roman" w:cs="Times New Roman"/>
                <w:snapToGrid w:val="0"/>
                <w:color w:val="auto"/>
                <w:kern w:val="0"/>
                <w:sz w:val="24"/>
                <w:highlight w:val="none"/>
              </w:rPr>
              <w:t>。</w:t>
            </w:r>
          </w:p>
          <w:p w14:paraId="3038F4BB">
            <w:pPr>
              <w:tabs>
                <w:tab w:val="left" w:pos="736"/>
              </w:tabs>
              <w:kinsoku w:val="0"/>
              <w:overflowPunct w:val="0"/>
              <w:adjustRightInd w:val="0"/>
              <w:ind w:right="135" w:firstLine="422"/>
              <w:jc w:val="center"/>
              <w:rPr>
                <w:rFonts w:hint="default" w:eastAsia="宋体"/>
                <w:color w:val="auto"/>
                <w:szCs w:val="21"/>
                <w:highlight w:val="none"/>
                <w:lang w:val="en-US" w:eastAsia="zh-CN"/>
              </w:rPr>
            </w:pPr>
            <w:r>
              <w:rPr>
                <w:b/>
                <w:color w:val="auto"/>
                <w:szCs w:val="21"/>
                <w:highlight w:val="none"/>
              </w:rPr>
              <w:t>表4-</w:t>
            </w:r>
            <w:r>
              <w:rPr>
                <w:rFonts w:hint="eastAsia"/>
                <w:b/>
                <w:color w:val="auto"/>
                <w:szCs w:val="21"/>
                <w:highlight w:val="none"/>
                <w:lang w:val="en-US" w:eastAsia="zh-CN"/>
              </w:rPr>
              <w:t xml:space="preserve">7   </w:t>
            </w:r>
            <w:r>
              <w:rPr>
                <w:b/>
                <w:color w:val="auto"/>
                <w:szCs w:val="21"/>
                <w:highlight w:val="none"/>
              </w:rPr>
              <w:t>生活污水</w:t>
            </w:r>
            <w:r>
              <w:rPr>
                <w:rFonts w:hint="eastAsia"/>
                <w:b/>
                <w:color w:val="auto"/>
                <w:szCs w:val="21"/>
                <w:highlight w:val="none"/>
                <w:lang w:val="en-US" w:eastAsia="zh-CN"/>
              </w:rPr>
              <w:t>排污情况</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86"/>
              <w:gridCol w:w="1928"/>
              <w:gridCol w:w="2544"/>
              <w:gridCol w:w="1922"/>
            </w:tblGrid>
            <w:tr w14:paraId="24EA5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892" w:type="dxa"/>
                  <w:tcBorders>
                    <w:tl2br w:val="nil"/>
                    <w:tr2bl w:val="nil"/>
                  </w:tcBorders>
                  <w:noWrap w:val="0"/>
                  <w:vAlign w:val="center"/>
                </w:tcPr>
                <w:p w14:paraId="321B7317">
                  <w:pPr>
                    <w:pStyle w:val="15"/>
                    <w:tabs>
                      <w:tab w:val="left" w:pos="2760"/>
                    </w:tabs>
                    <w:jc w:val="center"/>
                    <w:rPr>
                      <w:b/>
                      <w:color w:val="auto"/>
                      <w:spacing w:val="-1"/>
                      <w:sz w:val="21"/>
                      <w:szCs w:val="21"/>
                      <w:highlight w:val="none"/>
                    </w:rPr>
                  </w:pPr>
                  <w:r>
                    <w:rPr>
                      <w:b/>
                      <w:color w:val="auto"/>
                      <w:sz w:val="21"/>
                      <w:szCs w:val="21"/>
                      <w:highlight w:val="none"/>
                    </w:rPr>
                    <w:t>名称</w:t>
                  </w:r>
                </w:p>
              </w:tc>
              <w:tc>
                <w:tcPr>
                  <w:tcW w:w="1935" w:type="dxa"/>
                  <w:tcBorders>
                    <w:tl2br w:val="nil"/>
                    <w:tr2bl w:val="nil"/>
                  </w:tcBorders>
                  <w:noWrap w:val="0"/>
                  <w:vAlign w:val="center"/>
                </w:tcPr>
                <w:p w14:paraId="520901B9">
                  <w:pPr>
                    <w:pStyle w:val="15"/>
                    <w:tabs>
                      <w:tab w:val="left" w:pos="2760"/>
                    </w:tabs>
                    <w:jc w:val="center"/>
                    <w:rPr>
                      <w:b/>
                      <w:color w:val="auto"/>
                      <w:spacing w:val="-2"/>
                      <w:sz w:val="21"/>
                      <w:szCs w:val="21"/>
                      <w:highlight w:val="none"/>
                    </w:rPr>
                  </w:pPr>
                  <w:r>
                    <w:rPr>
                      <w:b/>
                      <w:color w:val="auto"/>
                      <w:sz w:val="21"/>
                      <w:szCs w:val="21"/>
                      <w:highlight w:val="none"/>
                    </w:rPr>
                    <w:t>类别</w:t>
                  </w:r>
                </w:p>
              </w:tc>
              <w:tc>
                <w:tcPr>
                  <w:tcW w:w="2553" w:type="dxa"/>
                  <w:tcBorders>
                    <w:tl2br w:val="nil"/>
                    <w:tr2bl w:val="nil"/>
                  </w:tcBorders>
                  <w:noWrap w:val="0"/>
                  <w:vAlign w:val="center"/>
                </w:tcPr>
                <w:p w14:paraId="3317E601">
                  <w:pPr>
                    <w:pStyle w:val="113"/>
                    <w:kinsoku w:val="0"/>
                    <w:overflowPunct w:val="0"/>
                    <w:rPr>
                      <w:b/>
                      <w:color w:val="auto"/>
                      <w:szCs w:val="21"/>
                      <w:highlight w:val="none"/>
                    </w:rPr>
                  </w:pPr>
                  <w:r>
                    <w:rPr>
                      <w:b/>
                      <w:color w:val="auto"/>
                      <w:spacing w:val="-2"/>
                      <w:szCs w:val="21"/>
                      <w:highlight w:val="none"/>
                    </w:rPr>
                    <w:t>污染物浓度产生（mg/L）</w:t>
                  </w:r>
                </w:p>
              </w:tc>
              <w:tc>
                <w:tcPr>
                  <w:tcW w:w="1929" w:type="dxa"/>
                  <w:tcBorders>
                    <w:tl2br w:val="nil"/>
                    <w:tr2bl w:val="nil"/>
                  </w:tcBorders>
                  <w:noWrap w:val="0"/>
                  <w:vAlign w:val="center"/>
                </w:tcPr>
                <w:p w14:paraId="197B6D55">
                  <w:pPr>
                    <w:pStyle w:val="113"/>
                    <w:kinsoku w:val="0"/>
                    <w:overflowPunct w:val="0"/>
                    <w:rPr>
                      <w:b/>
                      <w:color w:val="auto"/>
                      <w:szCs w:val="21"/>
                      <w:highlight w:val="none"/>
                    </w:rPr>
                  </w:pPr>
                  <w:r>
                    <w:rPr>
                      <w:b/>
                      <w:color w:val="auto"/>
                      <w:spacing w:val="-2"/>
                      <w:szCs w:val="21"/>
                      <w:highlight w:val="none"/>
                    </w:rPr>
                    <w:t>污染产生量（t/a）</w:t>
                  </w:r>
                </w:p>
              </w:tc>
            </w:tr>
            <w:tr w14:paraId="73FA8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892" w:type="dxa"/>
                  <w:vMerge w:val="restart"/>
                  <w:tcBorders>
                    <w:tl2br w:val="nil"/>
                    <w:tr2bl w:val="nil"/>
                  </w:tcBorders>
                  <w:noWrap w:val="0"/>
                  <w:vAlign w:val="center"/>
                </w:tcPr>
                <w:p w14:paraId="5770A9D0">
                  <w:pPr>
                    <w:pStyle w:val="113"/>
                    <w:kinsoku w:val="0"/>
                    <w:overflowPunct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w:t>
                  </w:r>
                </w:p>
                <w:p w14:paraId="6351BD25">
                  <w:pPr>
                    <w:pStyle w:val="113"/>
                    <w:kinsoku w:val="0"/>
                    <w:overflowPunct w:val="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841.5</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/a</w:t>
                  </w:r>
                </w:p>
              </w:tc>
              <w:tc>
                <w:tcPr>
                  <w:tcW w:w="1935" w:type="dxa"/>
                  <w:tcBorders>
                    <w:tl2br w:val="nil"/>
                    <w:tr2bl w:val="nil"/>
                  </w:tcBorders>
                  <w:noWrap w:val="0"/>
                  <w:vAlign w:val="center"/>
                </w:tcPr>
                <w:p w14:paraId="592C6215">
                  <w:pPr>
                    <w:pStyle w:val="15"/>
                    <w:tabs>
                      <w:tab w:val="left" w:pos="2760"/>
                    </w:tabs>
                    <w:jc w:val="center"/>
                    <w:rPr>
                      <w:rFonts w:hint="default" w:ascii="Times New Roman" w:hAnsi="Times New Roman" w:cs="Times New Roman"/>
                      <w:color w:val="auto"/>
                      <w:spacing w:val="-2"/>
                      <w:sz w:val="21"/>
                      <w:szCs w:val="21"/>
                      <w:highlight w:val="none"/>
                    </w:rPr>
                  </w:pPr>
                  <w:r>
                    <w:rPr>
                      <w:rFonts w:hint="default" w:ascii="Times New Roman" w:hAnsi="Times New Roman" w:cs="Times New Roman"/>
                      <w:color w:val="auto"/>
                      <w:spacing w:val="-1"/>
                      <w:sz w:val="21"/>
                      <w:szCs w:val="21"/>
                      <w:highlight w:val="none"/>
                    </w:rPr>
                    <w:t>COD</w:t>
                  </w:r>
                </w:p>
              </w:tc>
              <w:tc>
                <w:tcPr>
                  <w:tcW w:w="2553" w:type="dxa"/>
                  <w:tcBorders>
                    <w:tl2br w:val="nil"/>
                    <w:tr2bl w:val="nil"/>
                  </w:tcBorders>
                  <w:noWrap w:val="0"/>
                  <w:vAlign w:val="center"/>
                </w:tcPr>
                <w:p w14:paraId="1DF38E63">
                  <w:pPr>
                    <w:pStyle w:val="113"/>
                    <w:kinsoku w:val="0"/>
                    <w:overflowPunct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w:t>
                  </w:r>
                </w:p>
              </w:tc>
              <w:tc>
                <w:tcPr>
                  <w:tcW w:w="1929" w:type="dxa"/>
                  <w:tcBorders>
                    <w:tl2br w:val="nil"/>
                    <w:tr2bl w:val="nil"/>
                  </w:tcBorders>
                  <w:noWrap w:val="0"/>
                  <w:vAlign w:val="center"/>
                </w:tcPr>
                <w:p w14:paraId="74DFD511">
                  <w:pPr>
                    <w:pStyle w:val="113"/>
                    <w:kinsoku w:val="0"/>
                    <w:overflowPunct w:val="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0.337</w:t>
                  </w:r>
                </w:p>
              </w:tc>
            </w:tr>
            <w:tr w14:paraId="3AC56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892" w:type="dxa"/>
                  <w:vMerge w:val="continue"/>
                  <w:tcBorders>
                    <w:tl2br w:val="nil"/>
                    <w:tr2bl w:val="nil"/>
                  </w:tcBorders>
                  <w:noWrap w:val="0"/>
                  <w:vAlign w:val="center"/>
                </w:tcPr>
                <w:p w14:paraId="696ECCC2">
                  <w:pPr>
                    <w:pStyle w:val="113"/>
                    <w:kinsoku w:val="0"/>
                    <w:overflowPunct w:val="0"/>
                    <w:rPr>
                      <w:rFonts w:hint="default" w:ascii="Times New Roman" w:hAnsi="Times New Roman" w:cs="Times New Roman"/>
                      <w:color w:val="auto"/>
                      <w:szCs w:val="21"/>
                      <w:highlight w:val="none"/>
                    </w:rPr>
                  </w:pPr>
                </w:p>
              </w:tc>
              <w:tc>
                <w:tcPr>
                  <w:tcW w:w="1935" w:type="dxa"/>
                  <w:tcBorders>
                    <w:tl2br w:val="nil"/>
                    <w:tr2bl w:val="nil"/>
                  </w:tcBorders>
                  <w:noWrap w:val="0"/>
                  <w:vAlign w:val="center"/>
                </w:tcPr>
                <w:p w14:paraId="29FF76D6">
                  <w:pPr>
                    <w:pStyle w:val="15"/>
                    <w:tabs>
                      <w:tab w:val="left" w:pos="2760"/>
                    </w:tabs>
                    <w:jc w:val="center"/>
                    <w:rPr>
                      <w:rFonts w:hint="default" w:ascii="Times New Roman" w:hAnsi="Times New Roman" w:cs="Times New Roman"/>
                      <w:color w:val="auto"/>
                      <w:spacing w:val="-2"/>
                      <w:sz w:val="21"/>
                      <w:szCs w:val="21"/>
                      <w:highlight w:val="none"/>
                    </w:rPr>
                  </w:pPr>
                  <w:r>
                    <w:rPr>
                      <w:rFonts w:hint="default" w:ascii="Times New Roman" w:hAnsi="Times New Roman" w:cs="Times New Roman"/>
                      <w:color w:val="auto"/>
                      <w:spacing w:val="-1"/>
                      <w:sz w:val="21"/>
                      <w:szCs w:val="21"/>
                      <w:highlight w:val="none"/>
                    </w:rPr>
                    <w:t>BOD</w:t>
                  </w:r>
                  <w:r>
                    <w:rPr>
                      <w:rFonts w:hint="default" w:ascii="Times New Roman" w:hAnsi="Times New Roman" w:cs="Times New Roman"/>
                      <w:color w:val="auto"/>
                      <w:spacing w:val="-1"/>
                      <w:sz w:val="21"/>
                      <w:szCs w:val="21"/>
                      <w:highlight w:val="none"/>
                      <w:vertAlign w:val="subscript"/>
                    </w:rPr>
                    <w:t>5</w:t>
                  </w:r>
                </w:p>
              </w:tc>
              <w:tc>
                <w:tcPr>
                  <w:tcW w:w="2553" w:type="dxa"/>
                  <w:tcBorders>
                    <w:tl2br w:val="nil"/>
                    <w:tr2bl w:val="nil"/>
                  </w:tcBorders>
                  <w:noWrap w:val="0"/>
                  <w:vAlign w:val="center"/>
                </w:tcPr>
                <w:p w14:paraId="2288DCF0">
                  <w:pPr>
                    <w:pStyle w:val="113"/>
                    <w:kinsoku w:val="0"/>
                    <w:overflowPunct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260</w:t>
                  </w:r>
                </w:p>
              </w:tc>
              <w:tc>
                <w:tcPr>
                  <w:tcW w:w="1929" w:type="dxa"/>
                  <w:tcBorders>
                    <w:tl2br w:val="nil"/>
                    <w:tr2bl w:val="nil"/>
                  </w:tcBorders>
                  <w:noWrap w:val="0"/>
                  <w:vAlign w:val="center"/>
                </w:tcPr>
                <w:p w14:paraId="09729BED">
                  <w:pPr>
                    <w:pStyle w:val="113"/>
                    <w:kinsoku w:val="0"/>
                    <w:overflowPunct w:val="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0.219</w:t>
                  </w:r>
                </w:p>
              </w:tc>
            </w:tr>
            <w:tr w14:paraId="2E171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892" w:type="dxa"/>
                  <w:vMerge w:val="continue"/>
                  <w:tcBorders>
                    <w:tl2br w:val="nil"/>
                    <w:tr2bl w:val="nil"/>
                  </w:tcBorders>
                  <w:noWrap w:val="0"/>
                  <w:vAlign w:val="center"/>
                </w:tcPr>
                <w:p w14:paraId="27EE94CC">
                  <w:pPr>
                    <w:pStyle w:val="113"/>
                    <w:kinsoku w:val="0"/>
                    <w:overflowPunct w:val="0"/>
                    <w:rPr>
                      <w:rFonts w:hint="default" w:ascii="Times New Roman" w:hAnsi="Times New Roman" w:cs="Times New Roman"/>
                      <w:color w:val="auto"/>
                      <w:szCs w:val="21"/>
                      <w:highlight w:val="none"/>
                    </w:rPr>
                  </w:pPr>
                </w:p>
              </w:tc>
              <w:tc>
                <w:tcPr>
                  <w:tcW w:w="1935" w:type="dxa"/>
                  <w:tcBorders>
                    <w:tl2br w:val="nil"/>
                    <w:tr2bl w:val="nil"/>
                  </w:tcBorders>
                  <w:noWrap w:val="0"/>
                  <w:vAlign w:val="center"/>
                </w:tcPr>
                <w:p w14:paraId="51ADC534">
                  <w:pPr>
                    <w:pStyle w:val="15"/>
                    <w:tabs>
                      <w:tab w:val="left" w:pos="2760"/>
                    </w:tabs>
                    <w:jc w:val="center"/>
                    <w:rPr>
                      <w:rFonts w:hint="default" w:ascii="Times New Roman" w:hAnsi="Times New Roman" w:cs="Times New Roman"/>
                      <w:color w:val="auto"/>
                      <w:spacing w:val="-2"/>
                      <w:sz w:val="21"/>
                      <w:szCs w:val="21"/>
                      <w:highlight w:val="none"/>
                    </w:rPr>
                  </w:pPr>
                  <w:r>
                    <w:rPr>
                      <w:rFonts w:hint="default" w:ascii="Times New Roman" w:hAnsi="Times New Roman" w:cs="Times New Roman"/>
                      <w:color w:val="auto"/>
                      <w:sz w:val="21"/>
                      <w:szCs w:val="21"/>
                      <w:highlight w:val="none"/>
                    </w:rPr>
                    <w:t>SS</w:t>
                  </w:r>
                </w:p>
              </w:tc>
              <w:tc>
                <w:tcPr>
                  <w:tcW w:w="2553" w:type="dxa"/>
                  <w:tcBorders>
                    <w:tl2br w:val="nil"/>
                    <w:tr2bl w:val="nil"/>
                  </w:tcBorders>
                  <w:noWrap w:val="0"/>
                  <w:vAlign w:val="center"/>
                </w:tcPr>
                <w:p w14:paraId="3055AA23">
                  <w:pPr>
                    <w:pStyle w:val="113"/>
                    <w:kinsoku w:val="0"/>
                    <w:overflowPunct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280</w:t>
                  </w:r>
                </w:p>
              </w:tc>
              <w:tc>
                <w:tcPr>
                  <w:tcW w:w="1929" w:type="dxa"/>
                  <w:tcBorders>
                    <w:tl2br w:val="nil"/>
                    <w:tr2bl w:val="nil"/>
                  </w:tcBorders>
                  <w:noWrap w:val="0"/>
                  <w:vAlign w:val="center"/>
                </w:tcPr>
                <w:p w14:paraId="5C39F557">
                  <w:pPr>
                    <w:pStyle w:val="113"/>
                    <w:kinsoku w:val="0"/>
                    <w:overflowPunct w:val="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0.236</w:t>
                  </w:r>
                </w:p>
              </w:tc>
            </w:tr>
            <w:tr w14:paraId="3E66B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892" w:type="dxa"/>
                  <w:vMerge w:val="continue"/>
                  <w:tcBorders>
                    <w:tl2br w:val="nil"/>
                    <w:tr2bl w:val="nil"/>
                  </w:tcBorders>
                  <w:noWrap w:val="0"/>
                  <w:vAlign w:val="center"/>
                </w:tcPr>
                <w:p w14:paraId="54E27A49">
                  <w:pPr>
                    <w:pStyle w:val="113"/>
                    <w:kinsoku w:val="0"/>
                    <w:overflowPunct w:val="0"/>
                    <w:rPr>
                      <w:rFonts w:hint="default" w:ascii="Times New Roman" w:hAnsi="Times New Roman" w:cs="Times New Roman"/>
                      <w:color w:val="auto"/>
                      <w:szCs w:val="21"/>
                      <w:highlight w:val="none"/>
                    </w:rPr>
                  </w:pPr>
                </w:p>
              </w:tc>
              <w:tc>
                <w:tcPr>
                  <w:tcW w:w="1935" w:type="dxa"/>
                  <w:tcBorders>
                    <w:tl2br w:val="nil"/>
                    <w:tr2bl w:val="nil"/>
                  </w:tcBorders>
                  <w:noWrap w:val="0"/>
                  <w:vAlign w:val="center"/>
                </w:tcPr>
                <w:p w14:paraId="28D2B9F4">
                  <w:pPr>
                    <w:pStyle w:val="15"/>
                    <w:tabs>
                      <w:tab w:val="left" w:pos="2760"/>
                    </w:tabs>
                    <w:jc w:val="center"/>
                    <w:rPr>
                      <w:rFonts w:hint="default" w:ascii="Times New Roman" w:hAnsi="Times New Roman" w:cs="Times New Roman"/>
                      <w:color w:val="auto"/>
                      <w:spacing w:val="-2"/>
                      <w:sz w:val="21"/>
                      <w:szCs w:val="21"/>
                      <w:highlight w:val="none"/>
                    </w:rPr>
                  </w:pPr>
                  <w:r>
                    <w:rPr>
                      <w:rFonts w:hint="default" w:ascii="Times New Roman" w:hAnsi="Times New Roman" w:cs="Times New Roman"/>
                      <w:color w:val="auto"/>
                      <w:spacing w:val="-1"/>
                      <w:sz w:val="21"/>
                      <w:szCs w:val="21"/>
                      <w:highlight w:val="none"/>
                    </w:rPr>
                    <w:t>NH</w:t>
                  </w:r>
                  <w:r>
                    <w:rPr>
                      <w:rFonts w:hint="default" w:ascii="Times New Roman" w:hAnsi="Times New Roman" w:cs="Times New Roman"/>
                      <w:color w:val="auto"/>
                      <w:spacing w:val="-1"/>
                      <w:sz w:val="21"/>
                      <w:szCs w:val="21"/>
                      <w:highlight w:val="none"/>
                      <w:vertAlign w:val="subscript"/>
                    </w:rPr>
                    <w:t>3</w:t>
                  </w:r>
                  <w:r>
                    <w:rPr>
                      <w:rFonts w:hint="default" w:ascii="Times New Roman" w:hAnsi="Times New Roman" w:cs="Times New Roman"/>
                      <w:color w:val="auto"/>
                      <w:spacing w:val="-1"/>
                      <w:sz w:val="21"/>
                      <w:szCs w:val="21"/>
                      <w:highlight w:val="none"/>
                    </w:rPr>
                    <w:t>-N</w:t>
                  </w:r>
                </w:p>
              </w:tc>
              <w:tc>
                <w:tcPr>
                  <w:tcW w:w="2553" w:type="dxa"/>
                  <w:tcBorders>
                    <w:tl2br w:val="nil"/>
                    <w:tr2bl w:val="nil"/>
                  </w:tcBorders>
                  <w:noWrap w:val="0"/>
                  <w:vAlign w:val="center"/>
                </w:tcPr>
                <w:p w14:paraId="08B41C52">
                  <w:pPr>
                    <w:pStyle w:val="113"/>
                    <w:kinsoku w:val="0"/>
                    <w:overflowPunct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w:t>
                  </w:r>
                </w:p>
              </w:tc>
              <w:tc>
                <w:tcPr>
                  <w:tcW w:w="1929" w:type="dxa"/>
                  <w:tcBorders>
                    <w:tl2br w:val="nil"/>
                    <w:tr2bl w:val="nil"/>
                  </w:tcBorders>
                  <w:noWrap w:val="0"/>
                  <w:vAlign w:val="center"/>
                </w:tcPr>
                <w:p w14:paraId="2AAAC268">
                  <w:pPr>
                    <w:pStyle w:val="113"/>
                    <w:kinsoku w:val="0"/>
                    <w:overflowPunct w:val="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0.025</w:t>
                  </w:r>
                </w:p>
              </w:tc>
            </w:tr>
          </w:tbl>
          <w:p w14:paraId="1FBD36F2">
            <w:pPr>
              <w:keepNext w:val="0"/>
              <w:keepLines w:val="0"/>
              <w:pageBreakBefore w:val="0"/>
              <w:widowControl w:val="0"/>
              <w:kinsoku/>
              <w:wordWrap/>
              <w:overflowPunct/>
              <w:topLinePunct w:val="0"/>
              <w:autoSpaceDE/>
              <w:autoSpaceDN/>
              <w:bidi w:val="0"/>
              <w:spacing w:line="360" w:lineRule="auto"/>
              <w:ind w:firstLine="463" w:firstLineChars="192"/>
              <w:textAlignment w:val="auto"/>
              <w:rPr>
                <w:rFonts w:hint="default" w:ascii="Times New Roman" w:hAnsi="Times New Roman" w:eastAsia="宋体" w:cs="Times New Roman"/>
                <w:b/>
                <w:bCs/>
                <w:snapToGrid w:val="0"/>
                <w:color w:val="auto"/>
                <w:kern w:val="0"/>
                <w:sz w:val="24"/>
                <w:szCs w:val="22"/>
                <w:highlight w:val="none"/>
                <w:lang w:val="en-US" w:eastAsia="zh-CN"/>
              </w:rPr>
            </w:pPr>
            <w:r>
              <w:rPr>
                <w:rFonts w:hint="eastAsia" w:ascii="Times New Roman" w:hAnsi="Times New Roman" w:eastAsia="宋体" w:cs="Times New Roman"/>
                <w:b/>
                <w:bCs/>
                <w:snapToGrid w:val="0"/>
                <w:color w:val="auto"/>
                <w:kern w:val="0"/>
                <w:sz w:val="24"/>
                <w:szCs w:val="22"/>
                <w:highlight w:val="none"/>
                <w:lang w:val="en-US" w:eastAsia="zh-CN"/>
              </w:rPr>
              <w:t>2.2生活污水依托可行性分析</w:t>
            </w:r>
          </w:p>
          <w:p w14:paraId="06F719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宋体"/>
                <w:bCs/>
                <w:color w:val="auto"/>
                <w:sz w:val="24"/>
                <w:szCs w:val="24"/>
                <w:highlight w:val="none"/>
              </w:rPr>
            </w:pPr>
            <w:bookmarkStart w:id="4" w:name="OLE_LINK5"/>
            <w:r>
              <w:rPr>
                <w:rFonts w:hint="eastAsia" w:ascii="Times New Roman" w:hAnsi="Times New Roman" w:eastAsia="宋体" w:cs="宋体"/>
                <w:bCs/>
                <w:color w:val="auto"/>
                <w:sz w:val="24"/>
                <w:szCs w:val="24"/>
                <w:highlight w:val="none"/>
              </w:rPr>
              <w:t>63团</w:t>
            </w:r>
            <w:r>
              <w:rPr>
                <w:rFonts w:hint="eastAsia" w:ascii="Times New Roman" w:hAnsi="Times New Roman" w:eastAsia="宋体" w:cs="宋体"/>
                <w:bCs/>
                <w:color w:val="auto"/>
                <w:sz w:val="24"/>
                <w:szCs w:val="24"/>
                <w:highlight w:val="none"/>
                <w:lang w:val="en-US" w:eastAsia="zh-CN"/>
              </w:rPr>
              <w:t>生活污水处理厂</w:t>
            </w:r>
            <w:r>
              <w:rPr>
                <w:rFonts w:hint="eastAsia" w:ascii="Times New Roman" w:hAnsi="Times New Roman" w:eastAsia="宋体" w:cs="宋体"/>
                <w:bCs/>
                <w:color w:val="auto"/>
                <w:sz w:val="24"/>
                <w:szCs w:val="24"/>
                <w:highlight w:val="none"/>
              </w:rPr>
              <w:t>处理规模为1300立方米/日，</w:t>
            </w:r>
            <w:r>
              <w:rPr>
                <w:rFonts w:hint="eastAsia" w:ascii="Times New Roman" w:hAnsi="Times New Roman" w:eastAsia="宋体" w:cs="宋体"/>
                <w:bCs/>
                <w:color w:val="auto"/>
                <w:sz w:val="24"/>
                <w:szCs w:val="24"/>
                <w:highlight w:val="none"/>
                <w:lang w:val="en-US" w:eastAsia="zh-CN"/>
              </w:rPr>
              <w:t>目前运行负荷约70%，</w:t>
            </w:r>
            <w:r>
              <w:rPr>
                <w:rFonts w:hint="eastAsia" w:ascii="Times New Roman" w:hAnsi="Times New Roman" w:eastAsia="宋体" w:cs="宋体"/>
                <w:bCs/>
                <w:color w:val="auto"/>
                <w:sz w:val="24"/>
                <w:szCs w:val="24"/>
                <w:highlight w:val="none"/>
              </w:rPr>
              <w:t>处理工艺为氧化塘+A</w:t>
            </w:r>
            <w:r>
              <w:rPr>
                <w:rFonts w:hint="eastAsia" w:ascii="Times New Roman" w:hAnsi="Times New Roman" w:eastAsia="宋体" w:cs="宋体"/>
                <w:bCs/>
                <w:color w:val="auto"/>
                <w:sz w:val="24"/>
                <w:szCs w:val="24"/>
                <w:highlight w:val="none"/>
                <w:vertAlign w:val="superscript"/>
              </w:rPr>
              <w:t>2</w:t>
            </w:r>
            <w:r>
              <w:rPr>
                <w:rFonts w:hint="eastAsia" w:ascii="Times New Roman" w:hAnsi="Times New Roman" w:eastAsia="宋体" w:cs="宋体"/>
                <w:bCs/>
                <w:color w:val="auto"/>
                <w:sz w:val="24"/>
                <w:szCs w:val="24"/>
                <w:highlight w:val="none"/>
              </w:rPr>
              <w:t>/O+接触氧化生物膜法工艺</w:t>
            </w:r>
            <w:r>
              <w:rPr>
                <w:rFonts w:hint="eastAsia" w:ascii="Times New Roman" w:hAnsi="Times New Roman" w:eastAsia="宋体" w:cs="宋体"/>
                <w:bCs/>
                <w:color w:val="auto"/>
                <w:sz w:val="24"/>
                <w:szCs w:val="24"/>
                <w:highlight w:val="none"/>
                <w:lang w:eastAsia="zh-CN"/>
              </w:rPr>
              <w:t>，</w:t>
            </w:r>
            <w:r>
              <w:rPr>
                <w:rFonts w:hint="eastAsia" w:ascii="Times New Roman" w:hAnsi="Times New Roman" w:eastAsia="宋体" w:cs="宋体"/>
                <w:bCs/>
                <w:color w:val="auto"/>
                <w:sz w:val="24"/>
                <w:szCs w:val="24"/>
                <w:highlight w:val="none"/>
              </w:rPr>
              <w:t>污水处理厂新增主要建筑物：格栅井、调节池、厌氧池、生物接触氧化池（三级生化池）、沉淀池、消毒水池、污泥贮池，配套建设附属用房、附属设施等。</w:t>
            </w:r>
            <w:bookmarkEnd w:id="4"/>
          </w:p>
          <w:p w14:paraId="0EE294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本项目生活污水量较少，生活污水通常BOD</w:t>
            </w:r>
            <w:r>
              <w:rPr>
                <w:rFonts w:hint="eastAsia" w:ascii="Times New Roman" w:hAnsi="Times New Roman" w:eastAsia="宋体" w:cs="宋体"/>
                <w:color w:val="auto"/>
                <w:kern w:val="2"/>
                <w:sz w:val="24"/>
                <w:szCs w:val="24"/>
                <w:highlight w:val="none"/>
                <w:vertAlign w:val="subscript"/>
                <w:lang w:val="en-US" w:eastAsia="zh-CN" w:bidi="ar-SA"/>
              </w:rPr>
              <w:t>5</w:t>
            </w:r>
            <w:r>
              <w:rPr>
                <w:rFonts w:hint="eastAsia" w:ascii="Times New Roman" w:hAnsi="Times New Roman" w:eastAsia="宋体" w:cs="宋体"/>
                <w:color w:val="auto"/>
                <w:kern w:val="2"/>
                <w:sz w:val="24"/>
                <w:szCs w:val="24"/>
                <w:highlight w:val="none"/>
                <w:lang w:val="en-US" w:eastAsia="zh-CN" w:bidi="ar-SA"/>
              </w:rPr>
              <w:t>/COD&gt;0.45，可生化性较好，且不含有毒有害物质，因此，本项目生活污水排入</w:t>
            </w:r>
            <w:r>
              <w:rPr>
                <w:rFonts w:hint="eastAsia" w:ascii="Times New Roman" w:hAnsi="Times New Roman" w:eastAsia="宋体" w:cs="宋体"/>
                <w:bCs/>
                <w:color w:val="auto"/>
                <w:sz w:val="24"/>
                <w:szCs w:val="24"/>
                <w:highlight w:val="none"/>
              </w:rPr>
              <w:t>63团</w:t>
            </w:r>
            <w:r>
              <w:rPr>
                <w:rFonts w:hint="eastAsia" w:ascii="Times New Roman" w:hAnsi="Times New Roman" w:eastAsia="宋体" w:cs="宋体"/>
                <w:bCs/>
                <w:color w:val="auto"/>
                <w:sz w:val="24"/>
                <w:szCs w:val="24"/>
                <w:highlight w:val="none"/>
                <w:lang w:val="en-US" w:eastAsia="zh-CN"/>
              </w:rPr>
              <w:t>生活污水处理厂处理</w:t>
            </w:r>
            <w:r>
              <w:rPr>
                <w:rFonts w:hint="eastAsia" w:ascii="Times New Roman" w:hAnsi="Times New Roman" w:eastAsia="宋体" w:cs="宋体"/>
                <w:color w:val="auto"/>
                <w:kern w:val="2"/>
                <w:sz w:val="24"/>
                <w:szCs w:val="24"/>
                <w:highlight w:val="none"/>
                <w:lang w:val="en-US" w:eastAsia="zh-CN" w:bidi="ar-SA"/>
              </w:rPr>
              <w:t>，不会对其处理工艺造成不良影响，处理工艺可行。</w:t>
            </w:r>
          </w:p>
          <w:p w14:paraId="110EB0BC">
            <w:pPr>
              <w:pStyle w:val="101"/>
              <w:spacing w:line="360" w:lineRule="auto"/>
              <w:ind w:left="0" w:firstLine="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3.运营期声环境影响分析</w:t>
            </w:r>
            <w:r>
              <w:rPr>
                <w:rFonts w:hint="default" w:ascii="Times New Roman" w:hAnsi="Times New Roman" w:cs="Times New Roman"/>
                <w:b/>
                <w:bCs/>
                <w:color w:val="auto"/>
                <w:highlight w:val="none"/>
              </w:rPr>
              <w:t>和污染防治措施</w:t>
            </w:r>
          </w:p>
          <w:p w14:paraId="4BBA3590">
            <w:pPr>
              <w:spacing w:line="480" w:lineRule="exact"/>
              <w:rPr>
                <w:rFonts w:hint="default" w:ascii="Times New Roman" w:hAnsi="Times New Roman" w:cs="Times New Roman"/>
                <w:bCs/>
                <w:color w:val="auto"/>
                <w:spacing w:val="-10"/>
                <w:sz w:val="24"/>
                <w:highlight w:val="none"/>
              </w:rPr>
            </w:pPr>
            <w:r>
              <w:rPr>
                <w:rFonts w:hint="default" w:ascii="Times New Roman" w:hAnsi="Times New Roman" w:cs="Times New Roman"/>
                <w:b/>
                <w:bCs/>
                <w:color w:val="auto"/>
                <w:kern w:val="0"/>
                <w:sz w:val="24"/>
                <w:highlight w:val="none"/>
              </w:rPr>
              <w:t>3.1</w:t>
            </w:r>
            <w:r>
              <w:rPr>
                <w:rFonts w:hint="default" w:ascii="Times New Roman" w:hAnsi="Times New Roman" w:eastAsia="宋体" w:cs="Times New Roman"/>
                <w:b/>
                <w:bCs/>
                <w:color w:val="auto"/>
                <w:kern w:val="0"/>
                <w:sz w:val="24"/>
                <w:highlight w:val="none"/>
              </w:rPr>
              <w:t xml:space="preserve"> 噪声源</w:t>
            </w:r>
          </w:p>
          <w:p w14:paraId="46FF4627">
            <w:pPr>
              <w:spacing w:line="480" w:lineRule="exact"/>
              <w:ind w:firstLine="480" w:firstLineChars="200"/>
              <w:rPr>
                <w:rFonts w:hint="default" w:ascii="Times New Roman" w:hAnsi="Times New Roman" w:cs="Times New Roman"/>
                <w:color w:val="auto"/>
                <w:spacing w:val="6"/>
                <w:sz w:val="24"/>
                <w:highlight w:val="none"/>
              </w:rPr>
            </w:pPr>
            <w:r>
              <w:rPr>
                <w:rFonts w:hint="default" w:ascii="Times New Roman" w:hAnsi="Times New Roman" w:cs="Times New Roman"/>
                <w:bCs/>
                <w:color w:val="auto"/>
                <w:sz w:val="24"/>
                <w:highlight w:val="none"/>
              </w:rPr>
              <w:t>项目运营期主要噪声源为</w:t>
            </w:r>
            <w:r>
              <w:rPr>
                <w:rFonts w:hint="default" w:ascii="Times New Roman" w:hAnsi="Times New Roman" w:cs="Times New Roman"/>
                <w:snapToGrid w:val="0"/>
                <w:color w:val="auto"/>
                <w:sz w:val="24"/>
                <w:highlight w:val="none"/>
              </w:rPr>
              <w:t>设备噪声，</w:t>
            </w:r>
            <w:r>
              <w:rPr>
                <w:rFonts w:hint="default" w:ascii="Times New Roman" w:hAnsi="Times New Roman" w:cs="Times New Roman"/>
                <w:snapToGrid w:val="0"/>
                <w:color w:val="auto"/>
                <w:sz w:val="24"/>
                <w:highlight w:val="none"/>
                <w:lang w:val="en-US" w:eastAsia="zh-CN"/>
              </w:rPr>
              <w:t>其噪声值在85-95dB（A），</w:t>
            </w:r>
            <w:r>
              <w:rPr>
                <w:rFonts w:hint="default" w:ascii="Times New Roman" w:hAnsi="Times New Roman" w:cs="Times New Roman"/>
                <w:color w:val="auto"/>
                <w:kern w:val="0"/>
                <w:sz w:val="24"/>
                <w:highlight w:val="none"/>
              </w:rPr>
              <w:t>情况详见表4-</w:t>
            </w:r>
            <w:r>
              <w:rPr>
                <w:rFonts w:hint="eastAsia" w:cs="Times New Roman"/>
                <w:color w:val="auto"/>
                <w:kern w:val="0"/>
                <w:sz w:val="24"/>
                <w:highlight w:val="none"/>
                <w:lang w:val="en-US" w:eastAsia="zh-CN"/>
              </w:rPr>
              <w:t>7</w:t>
            </w:r>
            <w:r>
              <w:rPr>
                <w:rFonts w:hint="default" w:ascii="Times New Roman" w:hAnsi="Times New Roman" w:cs="Times New Roman"/>
                <w:color w:val="auto"/>
                <w:kern w:val="0"/>
                <w:sz w:val="24"/>
                <w:highlight w:val="none"/>
              </w:rPr>
              <w:t>。</w:t>
            </w:r>
          </w:p>
        </w:tc>
      </w:tr>
    </w:tbl>
    <w:p w14:paraId="0DCB3444">
      <w:pPr>
        <w:rPr>
          <w:rFonts w:hint="default" w:ascii="Times New Roman" w:hAnsi="Times New Roman" w:eastAsia="黑体" w:cs="Times New Roman"/>
          <w:b/>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AF5FCE3">
      <w:pPr>
        <w:pStyle w:val="18"/>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Times New Roman"/>
          <w:b/>
          <w:bCs/>
          <w:color w:val="auto"/>
          <w:kern w:val="2"/>
          <w:sz w:val="21"/>
          <w:szCs w:val="21"/>
          <w:highlight w:val="none"/>
          <w:lang w:val="en-US" w:eastAsia="zh-CN" w:bidi="ar-SA"/>
        </w:rPr>
        <w:t>表</w:t>
      </w:r>
      <w:r>
        <w:rPr>
          <w:rFonts w:hint="default" w:ascii="Times New Roman" w:hAnsi="Times New Roman" w:eastAsia="宋体"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8</w:t>
      </w:r>
      <w:r>
        <w:rPr>
          <w:rFonts w:hint="eastAsia" w:ascii="Times New Roman" w:hAnsi="Times New Roman" w:eastAsia="宋体" w:cs="Times New Roman"/>
          <w:b/>
          <w:bCs/>
          <w:color w:val="auto"/>
          <w:kern w:val="2"/>
          <w:sz w:val="21"/>
          <w:szCs w:val="21"/>
          <w:highlight w:val="none"/>
          <w:lang w:val="en-US" w:eastAsia="zh-CN" w:bidi="ar-SA"/>
        </w:rPr>
        <w:t xml:space="preserve">  本项目噪声源强调查清单（室内声源）</w:t>
      </w:r>
    </w:p>
    <w:tbl>
      <w:tblPr>
        <w:tblStyle w:val="151"/>
        <w:tblW w:w="502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
        <w:gridCol w:w="398"/>
        <w:gridCol w:w="766"/>
        <w:gridCol w:w="699"/>
        <w:gridCol w:w="811"/>
        <w:gridCol w:w="497"/>
        <w:gridCol w:w="410"/>
        <w:gridCol w:w="472"/>
        <w:gridCol w:w="458"/>
        <w:gridCol w:w="480"/>
        <w:gridCol w:w="463"/>
        <w:gridCol w:w="463"/>
        <w:gridCol w:w="463"/>
        <w:gridCol w:w="550"/>
        <w:gridCol w:w="480"/>
        <w:gridCol w:w="514"/>
        <w:gridCol w:w="480"/>
        <w:gridCol w:w="550"/>
        <w:gridCol w:w="449"/>
        <w:gridCol w:w="460"/>
        <w:gridCol w:w="399"/>
        <w:gridCol w:w="463"/>
        <w:gridCol w:w="525"/>
        <w:gridCol w:w="463"/>
        <w:gridCol w:w="500"/>
        <w:gridCol w:w="466"/>
        <w:gridCol w:w="591"/>
        <w:gridCol w:w="501"/>
      </w:tblGrid>
      <w:tr w14:paraId="19DA5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8" w:type="pct"/>
            <w:vMerge w:val="restart"/>
            <w:vAlign w:val="center"/>
          </w:tcPr>
          <w:p w14:paraId="53F1F49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序号</w:t>
            </w:r>
          </w:p>
        </w:tc>
        <w:tc>
          <w:tcPr>
            <w:tcW w:w="141" w:type="pct"/>
            <w:vMerge w:val="restart"/>
            <w:vAlign w:val="center"/>
          </w:tcPr>
          <w:p w14:paraId="0B3C80C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建筑物名称</w:t>
            </w:r>
          </w:p>
        </w:tc>
        <w:tc>
          <w:tcPr>
            <w:tcW w:w="273" w:type="pct"/>
            <w:vMerge w:val="restart"/>
            <w:vAlign w:val="center"/>
          </w:tcPr>
          <w:p w14:paraId="0A5AF5E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声源名称</w:t>
            </w:r>
          </w:p>
        </w:tc>
        <w:tc>
          <w:tcPr>
            <w:tcW w:w="249" w:type="pct"/>
            <w:vMerge w:val="restart"/>
            <w:vAlign w:val="center"/>
          </w:tcPr>
          <w:p w14:paraId="4D02180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型号</w:t>
            </w:r>
          </w:p>
        </w:tc>
        <w:tc>
          <w:tcPr>
            <w:tcW w:w="466" w:type="pct"/>
            <w:gridSpan w:val="2"/>
            <w:vAlign w:val="center"/>
          </w:tcPr>
          <w:p w14:paraId="4521C8F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声源源强（任选一种）</w:t>
            </w:r>
          </w:p>
        </w:tc>
        <w:tc>
          <w:tcPr>
            <w:tcW w:w="146" w:type="pct"/>
            <w:vMerge w:val="restart"/>
            <w:vAlign w:val="center"/>
          </w:tcPr>
          <w:p w14:paraId="024E210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声源控制措施</w:t>
            </w:r>
          </w:p>
        </w:tc>
        <w:tc>
          <w:tcPr>
            <w:tcW w:w="502" w:type="pct"/>
            <w:gridSpan w:val="3"/>
            <w:vAlign w:val="center"/>
          </w:tcPr>
          <w:p w14:paraId="76DA2A5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空间相对位置/m</w:t>
            </w:r>
          </w:p>
        </w:tc>
        <w:tc>
          <w:tcPr>
            <w:tcW w:w="691" w:type="pct"/>
            <w:gridSpan w:val="4"/>
            <w:vAlign w:val="center"/>
          </w:tcPr>
          <w:p w14:paraId="543E509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距室内边界距离/m</w:t>
            </w:r>
          </w:p>
        </w:tc>
        <w:tc>
          <w:tcPr>
            <w:tcW w:w="721" w:type="pct"/>
            <w:gridSpan w:val="4"/>
            <w:vAlign w:val="center"/>
          </w:tcPr>
          <w:p w14:paraId="34CF82A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室内边界声级/dB（A）</w:t>
            </w:r>
          </w:p>
        </w:tc>
        <w:tc>
          <w:tcPr>
            <w:tcW w:w="160" w:type="pct"/>
            <w:vMerge w:val="restart"/>
            <w:vAlign w:val="center"/>
          </w:tcPr>
          <w:p w14:paraId="1C3FDD1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运行时段</w:t>
            </w:r>
          </w:p>
        </w:tc>
        <w:tc>
          <w:tcPr>
            <w:tcW w:w="658" w:type="pct"/>
            <w:gridSpan w:val="4"/>
            <w:vAlign w:val="center"/>
          </w:tcPr>
          <w:p w14:paraId="76182F7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建筑物插入损失/dB（A）</w:t>
            </w:r>
          </w:p>
        </w:tc>
        <w:tc>
          <w:tcPr>
            <w:tcW w:w="899" w:type="pct"/>
            <w:gridSpan w:val="5"/>
            <w:vAlign w:val="center"/>
          </w:tcPr>
          <w:p w14:paraId="0884F41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建筑物外噪声声压级</w:t>
            </w:r>
          </w:p>
          <w:p w14:paraId="3F7222A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/dB（A）</w:t>
            </w:r>
          </w:p>
        </w:tc>
      </w:tr>
      <w:tr w14:paraId="0CFE7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8" w:type="pct"/>
            <w:vMerge w:val="continue"/>
            <w:vAlign w:val="center"/>
          </w:tcPr>
          <w:p w14:paraId="79A4B6B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41" w:type="pct"/>
            <w:vMerge w:val="continue"/>
            <w:vAlign w:val="center"/>
          </w:tcPr>
          <w:p w14:paraId="58234EB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273" w:type="pct"/>
            <w:vMerge w:val="continue"/>
            <w:vAlign w:val="center"/>
          </w:tcPr>
          <w:p w14:paraId="719B4DA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249" w:type="pct"/>
            <w:vMerge w:val="continue"/>
            <w:vAlign w:val="center"/>
          </w:tcPr>
          <w:p w14:paraId="30C8338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289" w:type="pct"/>
            <w:vAlign w:val="center"/>
          </w:tcPr>
          <w:p w14:paraId="5E6E2D9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（声压级/距声源距离）/（dB（A）/m）</w:t>
            </w:r>
          </w:p>
        </w:tc>
        <w:tc>
          <w:tcPr>
            <w:tcW w:w="177" w:type="pct"/>
            <w:vAlign w:val="center"/>
          </w:tcPr>
          <w:p w14:paraId="3158111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声功率级/dB（A）</w:t>
            </w:r>
          </w:p>
        </w:tc>
        <w:tc>
          <w:tcPr>
            <w:tcW w:w="146" w:type="pct"/>
            <w:vMerge w:val="continue"/>
            <w:vAlign w:val="center"/>
          </w:tcPr>
          <w:p w14:paraId="6AF19AC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68" w:type="pct"/>
            <w:vAlign w:val="center"/>
          </w:tcPr>
          <w:p w14:paraId="6C5DBC3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X</w:t>
            </w:r>
          </w:p>
        </w:tc>
        <w:tc>
          <w:tcPr>
            <w:tcW w:w="163" w:type="pct"/>
            <w:vAlign w:val="center"/>
          </w:tcPr>
          <w:p w14:paraId="6F9A0C2F">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Y</w:t>
            </w:r>
          </w:p>
        </w:tc>
        <w:tc>
          <w:tcPr>
            <w:tcW w:w="171" w:type="pct"/>
            <w:vAlign w:val="center"/>
          </w:tcPr>
          <w:p w14:paraId="74F18E2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Z</w:t>
            </w:r>
          </w:p>
        </w:tc>
        <w:tc>
          <w:tcPr>
            <w:tcW w:w="165" w:type="pct"/>
            <w:vAlign w:val="center"/>
          </w:tcPr>
          <w:p w14:paraId="2CC198F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东</w:t>
            </w:r>
          </w:p>
        </w:tc>
        <w:tc>
          <w:tcPr>
            <w:tcW w:w="165" w:type="pct"/>
            <w:vAlign w:val="center"/>
          </w:tcPr>
          <w:p w14:paraId="37F76DD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南</w:t>
            </w:r>
          </w:p>
        </w:tc>
        <w:tc>
          <w:tcPr>
            <w:tcW w:w="165" w:type="pct"/>
            <w:vAlign w:val="center"/>
          </w:tcPr>
          <w:p w14:paraId="22B9231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西</w:t>
            </w:r>
          </w:p>
        </w:tc>
        <w:tc>
          <w:tcPr>
            <w:tcW w:w="196" w:type="pct"/>
            <w:vAlign w:val="center"/>
          </w:tcPr>
          <w:p w14:paraId="7DE53B6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北</w:t>
            </w:r>
          </w:p>
        </w:tc>
        <w:tc>
          <w:tcPr>
            <w:tcW w:w="171" w:type="pct"/>
            <w:vAlign w:val="center"/>
          </w:tcPr>
          <w:p w14:paraId="25FDF60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东</w:t>
            </w:r>
          </w:p>
        </w:tc>
        <w:tc>
          <w:tcPr>
            <w:tcW w:w="183" w:type="pct"/>
            <w:vAlign w:val="center"/>
          </w:tcPr>
          <w:p w14:paraId="4CD2BFAF">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南</w:t>
            </w:r>
          </w:p>
        </w:tc>
        <w:tc>
          <w:tcPr>
            <w:tcW w:w="171" w:type="pct"/>
            <w:vAlign w:val="center"/>
          </w:tcPr>
          <w:p w14:paraId="1928598F">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西</w:t>
            </w:r>
          </w:p>
        </w:tc>
        <w:tc>
          <w:tcPr>
            <w:tcW w:w="196" w:type="pct"/>
            <w:vAlign w:val="center"/>
          </w:tcPr>
          <w:p w14:paraId="3003D0C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北</w:t>
            </w:r>
          </w:p>
        </w:tc>
        <w:tc>
          <w:tcPr>
            <w:tcW w:w="160" w:type="pct"/>
            <w:vMerge w:val="continue"/>
            <w:vAlign w:val="center"/>
          </w:tcPr>
          <w:p w14:paraId="3CA79C4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64" w:type="pct"/>
            <w:vAlign w:val="center"/>
          </w:tcPr>
          <w:p w14:paraId="4238BAF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东</w:t>
            </w:r>
          </w:p>
        </w:tc>
        <w:tc>
          <w:tcPr>
            <w:tcW w:w="142" w:type="pct"/>
            <w:vAlign w:val="center"/>
          </w:tcPr>
          <w:p w14:paraId="4231AD4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南</w:t>
            </w:r>
          </w:p>
        </w:tc>
        <w:tc>
          <w:tcPr>
            <w:tcW w:w="165" w:type="pct"/>
            <w:vAlign w:val="center"/>
          </w:tcPr>
          <w:p w14:paraId="787A1E1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西</w:t>
            </w:r>
          </w:p>
        </w:tc>
        <w:tc>
          <w:tcPr>
            <w:tcW w:w="187" w:type="pct"/>
            <w:vAlign w:val="center"/>
          </w:tcPr>
          <w:p w14:paraId="1FA14AC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北</w:t>
            </w:r>
          </w:p>
        </w:tc>
        <w:tc>
          <w:tcPr>
            <w:tcW w:w="165" w:type="pct"/>
            <w:vAlign w:val="center"/>
          </w:tcPr>
          <w:p w14:paraId="670EB72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东</w:t>
            </w:r>
          </w:p>
        </w:tc>
        <w:tc>
          <w:tcPr>
            <w:tcW w:w="178" w:type="pct"/>
            <w:vAlign w:val="center"/>
          </w:tcPr>
          <w:p w14:paraId="3B9519B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南</w:t>
            </w:r>
          </w:p>
        </w:tc>
        <w:tc>
          <w:tcPr>
            <w:tcW w:w="166" w:type="pct"/>
            <w:vAlign w:val="center"/>
          </w:tcPr>
          <w:p w14:paraId="536358B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西</w:t>
            </w:r>
          </w:p>
        </w:tc>
        <w:tc>
          <w:tcPr>
            <w:tcW w:w="210" w:type="pct"/>
            <w:vAlign w:val="center"/>
          </w:tcPr>
          <w:p w14:paraId="732321E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北</w:t>
            </w:r>
          </w:p>
        </w:tc>
        <w:tc>
          <w:tcPr>
            <w:tcW w:w="178" w:type="pct"/>
            <w:vAlign w:val="center"/>
          </w:tcPr>
          <w:p w14:paraId="7202060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建筑物外距离</w:t>
            </w:r>
          </w:p>
        </w:tc>
      </w:tr>
      <w:tr w14:paraId="7240E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8" w:type="pct"/>
            <w:vAlign w:val="center"/>
          </w:tcPr>
          <w:p w14:paraId="4612A44B">
            <w:pPr>
              <w:keepNext w:val="0"/>
              <w:keepLines w:val="0"/>
              <w:pageBreakBefore w:val="0"/>
              <w:widowControl w:val="0"/>
              <w:numPr>
                <w:ilvl w:val="0"/>
                <w:numId w:val="5"/>
              </w:numPr>
              <w:kinsoku/>
              <w:wordWrap/>
              <w:overflowPunct/>
              <w:topLinePunct w:val="0"/>
              <w:autoSpaceDE w:val="0"/>
              <w:autoSpaceDN w:val="0"/>
              <w:bidi w:val="0"/>
              <w:adjustRightInd w:val="0"/>
              <w:snapToGrid/>
              <w:spacing w:line="240" w:lineRule="exact"/>
              <w:ind w:left="425" w:leftChars="0" w:hanging="425" w:firstLineChars="0"/>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41" w:type="pct"/>
            <w:vMerge w:val="restart"/>
            <w:vAlign w:val="center"/>
          </w:tcPr>
          <w:p w14:paraId="7A51D6B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生产车间</w:t>
            </w:r>
          </w:p>
        </w:tc>
        <w:tc>
          <w:tcPr>
            <w:tcW w:w="273" w:type="pct"/>
            <w:vAlign w:val="center"/>
          </w:tcPr>
          <w:p w14:paraId="52F6D0A6">
            <w:pPr>
              <w:jc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破块机</w:t>
            </w:r>
          </w:p>
        </w:tc>
        <w:tc>
          <w:tcPr>
            <w:tcW w:w="249" w:type="pct"/>
            <w:vAlign w:val="center"/>
          </w:tcPr>
          <w:p w14:paraId="4ABF10E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b w:val="0"/>
                <w:bCs w:val="0"/>
                <w:color w:val="auto"/>
                <w:kern w:val="0"/>
                <w:sz w:val="18"/>
                <w:szCs w:val="18"/>
                <w:highlight w:val="none"/>
                <w:lang w:val="en-US" w:eastAsia="zh-CN"/>
              </w:rPr>
              <w:t>TPSC50X100</w:t>
            </w:r>
          </w:p>
        </w:tc>
        <w:tc>
          <w:tcPr>
            <w:tcW w:w="289" w:type="pct"/>
            <w:vAlign w:val="center"/>
          </w:tcPr>
          <w:p w14:paraId="340207F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85/1</w:t>
            </w:r>
          </w:p>
        </w:tc>
        <w:tc>
          <w:tcPr>
            <w:tcW w:w="177" w:type="pct"/>
            <w:vAlign w:val="center"/>
          </w:tcPr>
          <w:p w14:paraId="450D9C8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w:t>
            </w:r>
          </w:p>
        </w:tc>
        <w:tc>
          <w:tcPr>
            <w:tcW w:w="146" w:type="pct"/>
            <w:vMerge w:val="restart"/>
            <w:vAlign w:val="center"/>
          </w:tcPr>
          <w:p w14:paraId="57F316C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隔声、减震</w:t>
            </w:r>
          </w:p>
        </w:tc>
        <w:tc>
          <w:tcPr>
            <w:tcW w:w="168" w:type="pct"/>
            <w:vAlign w:val="center"/>
          </w:tcPr>
          <w:p w14:paraId="548CEF5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-127.3</w:t>
            </w:r>
          </w:p>
        </w:tc>
        <w:tc>
          <w:tcPr>
            <w:tcW w:w="163" w:type="pct"/>
            <w:vAlign w:val="center"/>
          </w:tcPr>
          <w:p w14:paraId="6D0B694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-53</w:t>
            </w:r>
          </w:p>
        </w:tc>
        <w:tc>
          <w:tcPr>
            <w:tcW w:w="171" w:type="pct"/>
            <w:vAlign w:val="center"/>
          </w:tcPr>
          <w:p w14:paraId="319D639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w:t>
            </w:r>
          </w:p>
        </w:tc>
        <w:tc>
          <w:tcPr>
            <w:tcW w:w="165" w:type="pct"/>
            <w:vAlign w:val="center"/>
          </w:tcPr>
          <w:p w14:paraId="01E5ACA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15.4</w:t>
            </w:r>
          </w:p>
        </w:tc>
        <w:tc>
          <w:tcPr>
            <w:tcW w:w="165" w:type="pct"/>
            <w:vAlign w:val="center"/>
          </w:tcPr>
          <w:p w14:paraId="0891C43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7.6</w:t>
            </w:r>
          </w:p>
        </w:tc>
        <w:tc>
          <w:tcPr>
            <w:tcW w:w="165" w:type="pct"/>
            <w:vAlign w:val="center"/>
          </w:tcPr>
          <w:p w14:paraId="6AC9246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62.0</w:t>
            </w:r>
          </w:p>
        </w:tc>
        <w:tc>
          <w:tcPr>
            <w:tcW w:w="196" w:type="pct"/>
            <w:vAlign w:val="center"/>
          </w:tcPr>
          <w:p w14:paraId="3145F51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w:t>
            </w:r>
          </w:p>
        </w:tc>
        <w:tc>
          <w:tcPr>
            <w:tcW w:w="171" w:type="pct"/>
            <w:vAlign w:val="center"/>
          </w:tcPr>
          <w:p w14:paraId="155B5D7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83" w:type="pct"/>
            <w:vAlign w:val="center"/>
          </w:tcPr>
          <w:p w14:paraId="02E17DF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74.4</w:t>
            </w:r>
          </w:p>
        </w:tc>
        <w:tc>
          <w:tcPr>
            <w:tcW w:w="171" w:type="pct"/>
            <w:vAlign w:val="center"/>
          </w:tcPr>
          <w:p w14:paraId="7C6F304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96" w:type="pct"/>
            <w:vAlign w:val="center"/>
          </w:tcPr>
          <w:p w14:paraId="2788B41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74.4</w:t>
            </w:r>
          </w:p>
        </w:tc>
        <w:tc>
          <w:tcPr>
            <w:tcW w:w="160" w:type="pct"/>
            <w:vAlign w:val="center"/>
          </w:tcPr>
          <w:p w14:paraId="306AEE1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8h</w:t>
            </w:r>
          </w:p>
        </w:tc>
        <w:tc>
          <w:tcPr>
            <w:tcW w:w="164" w:type="pct"/>
            <w:vAlign w:val="center"/>
          </w:tcPr>
          <w:p w14:paraId="73700C0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42" w:type="pct"/>
            <w:vAlign w:val="center"/>
          </w:tcPr>
          <w:p w14:paraId="2C78FF4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480A435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87" w:type="pct"/>
            <w:vAlign w:val="center"/>
          </w:tcPr>
          <w:p w14:paraId="68D6793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71D4777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178" w:type="pct"/>
            <w:vAlign w:val="center"/>
          </w:tcPr>
          <w:p w14:paraId="5781080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33.4</w:t>
            </w:r>
          </w:p>
        </w:tc>
        <w:tc>
          <w:tcPr>
            <w:tcW w:w="166" w:type="pct"/>
            <w:vAlign w:val="center"/>
          </w:tcPr>
          <w:p w14:paraId="54A740C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210" w:type="pct"/>
            <w:vAlign w:val="center"/>
          </w:tcPr>
          <w:p w14:paraId="297D83D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33.4</w:t>
            </w:r>
          </w:p>
        </w:tc>
        <w:tc>
          <w:tcPr>
            <w:tcW w:w="178" w:type="pct"/>
            <w:vAlign w:val="center"/>
          </w:tcPr>
          <w:p w14:paraId="2BEEE3C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w:t>
            </w:r>
          </w:p>
        </w:tc>
      </w:tr>
      <w:tr w14:paraId="522DA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8" w:type="pct"/>
            <w:vAlign w:val="center"/>
          </w:tcPr>
          <w:p w14:paraId="08D53764">
            <w:pPr>
              <w:keepNext w:val="0"/>
              <w:keepLines w:val="0"/>
              <w:pageBreakBefore w:val="0"/>
              <w:widowControl w:val="0"/>
              <w:numPr>
                <w:ilvl w:val="0"/>
                <w:numId w:val="5"/>
              </w:numPr>
              <w:kinsoku/>
              <w:wordWrap/>
              <w:overflowPunct/>
              <w:topLinePunct w:val="0"/>
              <w:autoSpaceDE w:val="0"/>
              <w:autoSpaceDN w:val="0"/>
              <w:bidi w:val="0"/>
              <w:adjustRightInd w:val="0"/>
              <w:snapToGrid/>
              <w:spacing w:line="240" w:lineRule="exact"/>
              <w:ind w:left="425" w:leftChars="0" w:hanging="425" w:firstLineChars="0"/>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41" w:type="pct"/>
            <w:vMerge w:val="continue"/>
            <w:vAlign w:val="center"/>
          </w:tcPr>
          <w:p w14:paraId="3FA9A76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273" w:type="pct"/>
            <w:vAlign w:val="center"/>
          </w:tcPr>
          <w:p w14:paraId="7A70BA0F">
            <w:pPr>
              <w:jc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粗粉碎机</w:t>
            </w:r>
          </w:p>
        </w:tc>
        <w:tc>
          <w:tcPr>
            <w:tcW w:w="249" w:type="pct"/>
            <w:vAlign w:val="center"/>
          </w:tcPr>
          <w:p w14:paraId="6EEBAD1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SFSP56*100</w:t>
            </w:r>
          </w:p>
        </w:tc>
        <w:tc>
          <w:tcPr>
            <w:tcW w:w="289" w:type="pct"/>
            <w:vAlign w:val="center"/>
          </w:tcPr>
          <w:p w14:paraId="4FE968D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85/1</w:t>
            </w:r>
          </w:p>
        </w:tc>
        <w:tc>
          <w:tcPr>
            <w:tcW w:w="177" w:type="pct"/>
            <w:vAlign w:val="center"/>
          </w:tcPr>
          <w:p w14:paraId="56938BC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w:t>
            </w:r>
          </w:p>
        </w:tc>
        <w:tc>
          <w:tcPr>
            <w:tcW w:w="146" w:type="pct"/>
            <w:vMerge w:val="continue"/>
            <w:vAlign w:val="center"/>
          </w:tcPr>
          <w:p w14:paraId="10D3A5E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68" w:type="pct"/>
            <w:vAlign w:val="center"/>
          </w:tcPr>
          <w:p w14:paraId="7BBCC1F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-127.1</w:t>
            </w:r>
          </w:p>
        </w:tc>
        <w:tc>
          <w:tcPr>
            <w:tcW w:w="163" w:type="pct"/>
            <w:vAlign w:val="center"/>
          </w:tcPr>
          <w:p w14:paraId="1DBC25D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-56.6</w:t>
            </w:r>
          </w:p>
        </w:tc>
        <w:tc>
          <w:tcPr>
            <w:tcW w:w="171" w:type="pct"/>
            <w:vAlign w:val="center"/>
          </w:tcPr>
          <w:p w14:paraId="6271E51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w:t>
            </w:r>
          </w:p>
        </w:tc>
        <w:tc>
          <w:tcPr>
            <w:tcW w:w="165" w:type="pct"/>
            <w:vAlign w:val="center"/>
          </w:tcPr>
          <w:p w14:paraId="2AF30C3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15.1</w:t>
            </w:r>
          </w:p>
        </w:tc>
        <w:tc>
          <w:tcPr>
            <w:tcW w:w="165" w:type="pct"/>
            <w:vAlign w:val="center"/>
          </w:tcPr>
          <w:p w14:paraId="05334C1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4.0</w:t>
            </w:r>
          </w:p>
        </w:tc>
        <w:tc>
          <w:tcPr>
            <w:tcW w:w="165" w:type="pct"/>
            <w:vAlign w:val="center"/>
          </w:tcPr>
          <w:p w14:paraId="2A01717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62.2</w:t>
            </w:r>
          </w:p>
        </w:tc>
        <w:tc>
          <w:tcPr>
            <w:tcW w:w="196" w:type="pct"/>
            <w:vAlign w:val="center"/>
          </w:tcPr>
          <w:p w14:paraId="434F460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11.0</w:t>
            </w:r>
          </w:p>
        </w:tc>
        <w:tc>
          <w:tcPr>
            <w:tcW w:w="171" w:type="pct"/>
            <w:vAlign w:val="center"/>
          </w:tcPr>
          <w:p w14:paraId="150AD57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77.3</w:t>
            </w:r>
          </w:p>
        </w:tc>
        <w:tc>
          <w:tcPr>
            <w:tcW w:w="183" w:type="pct"/>
            <w:vAlign w:val="center"/>
          </w:tcPr>
          <w:p w14:paraId="744AC7A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77.8</w:t>
            </w:r>
          </w:p>
        </w:tc>
        <w:tc>
          <w:tcPr>
            <w:tcW w:w="171" w:type="pct"/>
            <w:vAlign w:val="center"/>
          </w:tcPr>
          <w:p w14:paraId="499015D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77.3</w:t>
            </w:r>
          </w:p>
        </w:tc>
        <w:tc>
          <w:tcPr>
            <w:tcW w:w="196" w:type="pct"/>
            <w:vAlign w:val="center"/>
          </w:tcPr>
          <w:p w14:paraId="09E39E0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77.3</w:t>
            </w:r>
          </w:p>
        </w:tc>
        <w:tc>
          <w:tcPr>
            <w:tcW w:w="160" w:type="pct"/>
            <w:vAlign w:val="center"/>
          </w:tcPr>
          <w:p w14:paraId="7AEA5E2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8h</w:t>
            </w:r>
          </w:p>
        </w:tc>
        <w:tc>
          <w:tcPr>
            <w:tcW w:w="164" w:type="pct"/>
            <w:vAlign w:val="center"/>
          </w:tcPr>
          <w:p w14:paraId="182650B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42" w:type="pct"/>
            <w:vAlign w:val="center"/>
          </w:tcPr>
          <w:p w14:paraId="7389C3A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077A75F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87" w:type="pct"/>
            <w:vAlign w:val="center"/>
          </w:tcPr>
          <w:p w14:paraId="5AB883A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0D86F69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36.3</w:t>
            </w:r>
          </w:p>
        </w:tc>
        <w:tc>
          <w:tcPr>
            <w:tcW w:w="178" w:type="pct"/>
            <w:vAlign w:val="center"/>
          </w:tcPr>
          <w:p w14:paraId="6FB0A3F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36.8</w:t>
            </w:r>
          </w:p>
        </w:tc>
        <w:tc>
          <w:tcPr>
            <w:tcW w:w="166" w:type="pct"/>
            <w:vAlign w:val="center"/>
          </w:tcPr>
          <w:p w14:paraId="7C6F810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36.3</w:t>
            </w:r>
          </w:p>
        </w:tc>
        <w:tc>
          <w:tcPr>
            <w:tcW w:w="210" w:type="pct"/>
            <w:vAlign w:val="center"/>
          </w:tcPr>
          <w:p w14:paraId="20258E3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36.3</w:t>
            </w:r>
          </w:p>
        </w:tc>
        <w:tc>
          <w:tcPr>
            <w:tcW w:w="178" w:type="pct"/>
            <w:vAlign w:val="center"/>
          </w:tcPr>
          <w:p w14:paraId="54C1A2D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w:t>
            </w:r>
          </w:p>
        </w:tc>
      </w:tr>
      <w:tr w14:paraId="35F34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8" w:type="pct"/>
            <w:vAlign w:val="center"/>
          </w:tcPr>
          <w:p w14:paraId="6036B0FE">
            <w:pPr>
              <w:keepNext w:val="0"/>
              <w:keepLines w:val="0"/>
              <w:pageBreakBefore w:val="0"/>
              <w:widowControl w:val="0"/>
              <w:numPr>
                <w:ilvl w:val="0"/>
                <w:numId w:val="5"/>
              </w:numPr>
              <w:kinsoku/>
              <w:wordWrap/>
              <w:overflowPunct/>
              <w:topLinePunct w:val="0"/>
              <w:autoSpaceDE w:val="0"/>
              <w:autoSpaceDN w:val="0"/>
              <w:bidi w:val="0"/>
              <w:adjustRightInd w:val="0"/>
              <w:snapToGrid/>
              <w:spacing w:line="240" w:lineRule="exact"/>
              <w:ind w:left="425" w:leftChars="0" w:hanging="425" w:firstLineChars="0"/>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41" w:type="pct"/>
            <w:vMerge w:val="continue"/>
            <w:vAlign w:val="center"/>
          </w:tcPr>
          <w:p w14:paraId="4F7800D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273" w:type="pct"/>
            <w:vAlign w:val="center"/>
          </w:tcPr>
          <w:p w14:paraId="44FE98F8">
            <w:pPr>
              <w:jc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微粉碎机</w:t>
            </w:r>
          </w:p>
        </w:tc>
        <w:tc>
          <w:tcPr>
            <w:tcW w:w="249" w:type="pct"/>
            <w:vAlign w:val="center"/>
          </w:tcPr>
          <w:p w14:paraId="1B0A4E8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SFSP65X100w</w:t>
            </w:r>
          </w:p>
        </w:tc>
        <w:tc>
          <w:tcPr>
            <w:tcW w:w="289" w:type="pct"/>
            <w:vAlign w:val="center"/>
          </w:tcPr>
          <w:p w14:paraId="5CBE1CF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85/1</w:t>
            </w:r>
          </w:p>
        </w:tc>
        <w:tc>
          <w:tcPr>
            <w:tcW w:w="177" w:type="pct"/>
            <w:vAlign w:val="center"/>
          </w:tcPr>
          <w:p w14:paraId="6D1B19C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w:t>
            </w:r>
          </w:p>
        </w:tc>
        <w:tc>
          <w:tcPr>
            <w:tcW w:w="146" w:type="pct"/>
            <w:vMerge w:val="continue"/>
            <w:vAlign w:val="center"/>
          </w:tcPr>
          <w:p w14:paraId="2FEE962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68" w:type="pct"/>
            <w:vAlign w:val="center"/>
          </w:tcPr>
          <w:p w14:paraId="0B91CC9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-127.5</w:t>
            </w:r>
          </w:p>
        </w:tc>
        <w:tc>
          <w:tcPr>
            <w:tcW w:w="163" w:type="pct"/>
            <w:vAlign w:val="center"/>
          </w:tcPr>
          <w:p w14:paraId="3E495A5F">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-49.7</w:t>
            </w:r>
          </w:p>
        </w:tc>
        <w:tc>
          <w:tcPr>
            <w:tcW w:w="171" w:type="pct"/>
            <w:vAlign w:val="center"/>
          </w:tcPr>
          <w:p w14:paraId="302CB91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w:t>
            </w:r>
          </w:p>
        </w:tc>
        <w:tc>
          <w:tcPr>
            <w:tcW w:w="165" w:type="pct"/>
            <w:vAlign w:val="center"/>
          </w:tcPr>
          <w:p w14:paraId="2B2F8AE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15.7</w:t>
            </w:r>
          </w:p>
        </w:tc>
        <w:tc>
          <w:tcPr>
            <w:tcW w:w="165" w:type="pct"/>
            <w:vAlign w:val="center"/>
          </w:tcPr>
          <w:p w14:paraId="1FC47BD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10.9</w:t>
            </w:r>
          </w:p>
        </w:tc>
        <w:tc>
          <w:tcPr>
            <w:tcW w:w="165" w:type="pct"/>
            <w:vAlign w:val="center"/>
          </w:tcPr>
          <w:p w14:paraId="7DA3A26F">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61.7</w:t>
            </w:r>
          </w:p>
        </w:tc>
        <w:tc>
          <w:tcPr>
            <w:tcW w:w="196" w:type="pct"/>
            <w:vAlign w:val="center"/>
          </w:tcPr>
          <w:p w14:paraId="661922AF">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4.1</w:t>
            </w:r>
          </w:p>
        </w:tc>
        <w:tc>
          <w:tcPr>
            <w:tcW w:w="171" w:type="pct"/>
            <w:vAlign w:val="center"/>
          </w:tcPr>
          <w:p w14:paraId="1E10FDB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83" w:type="pct"/>
            <w:vAlign w:val="center"/>
          </w:tcPr>
          <w:p w14:paraId="0D63BAE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71" w:type="pct"/>
            <w:vAlign w:val="center"/>
          </w:tcPr>
          <w:p w14:paraId="42F3BBC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96" w:type="pct"/>
            <w:vAlign w:val="center"/>
          </w:tcPr>
          <w:p w14:paraId="1AF143F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74.7</w:t>
            </w:r>
          </w:p>
        </w:tc>
        <w:tc>
          <w:tcPr>
            <w:tcW w:w="160" w:type="pct"/>
            <w:vAlign w:val="center"/>
          </w:tcPr>
          <w:p w14:paraId="418F17D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8h</w:t>
            </w:r>
          </w:p>
        </w:tc>
        <w:tc>
          <w:tcPr>
            <w:tcW w:w="164" w:type="pct"/>
            <w:vAlign w:val="center"/>
          </w:tcPr>
          <w:p w14:paraId="7D95122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42" w:type="pct"/>
            <w:vAlign w:val="center"/>
          </w:tcPr>
          <w:p w14:paraId="2B49BF9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051349A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87" w:type="pct"/>
            <w:vAlign w:val="center"/>
          </w:tcPr>
          <w:p w14:paraId="4EA066C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5B4798C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178" w:type="pct"/>
            <w:vAlign w:val="center"/>
          </w:tcPr>
          <w:p w14:paraId="03AEEA9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166" w:type="pct"/>
            <w:vAlign w:val="center"/>
          </w:tcPr>
          <w:p w14:paraId="7431396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210" w:type="pct"/>
            <w:vAlign w:val="center"/>
          </w:tcPr>
          <w:p w14:paraId="56A47F8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33.7</w:t>
            </w:r>
          </w:p>
        </w:tc>
        <w:tc>
          <w:tcPr>
            <w:tcW w:w="178" w:type="pct"/>
            <w:vAlign w:val="center"/>
          </w:tcPr>
          <w:p w14:paraId="264E152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w:t>
            </w:r>
          </w:p>
        </w:tc>
      </w:tr>
      <w:tr w14:paraId="68030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8" w:type="pct"/>
            <w:vAlign w:val="center"/>
          </w:tcPr>
          <w:p w14:paraId="69820847">
            <w:pPr>
              <w:keepNext w:val="0"/>
              <w:keepLines w:val="0"/>
              <w:pageBreakBefore w:val="0"/>
              <w:widowControl w:val="0"/>
              <w:numPr>
                <w:ilvl w:val="0"/>
                <w:numId w:val="5"/>
              </w:numPr>
              <w:kinsoku/>
              <w:wordWrap/>
              <w:overflowPunct/>
              <w:topLinePunct w:val="0"/>
              <w:autoSpaceDE w:val="0"/>
              <w:autoSpaceDN w:val="0"/>
              <w:bidi w:val="0"/>
              <w:adjustRightInd w:val="0"/>
              <w:snapToGrid/>
              <w:spacing w:line="240" w:lineRule="exact"/>
              <w:ind w:left="425" w:leftChars="0" w:hanging="425" w:firstLineChars="0"/>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41" w:type="pct"/>
            <w:vMerge w:val="continue"/>
            <w:vAlign w:val="center"/>
          </w:tcPr>
          <w:p w14:paraId="70954F0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273" w:type="pct"/>
            <w:vAlign w:val="center"/>
          </w:tcPr>
          <w:p w14:paraId="484F0C7D">
            <w:pPr>
              <w:jc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粗粉碎机</w:t>
            </w:r>
          </w:p>
        </w:tc>
        <w:tc>
          <w:tcPr>
            <w:tcW w:w="249" w:type="pct"/>
            <w:vAlign w:val="center"/>
          </w:tcPr>
          <w:p w14:paraId="695FBD4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SFSP132*50</w:t>
            </w:r>
          </w:p>
        </w:tc>
        <w:tc>
          <w:tcPr>
            <w:tcW w:w="289" w:type="pct"/>
            <w:vAlign w:val="center"/>
          </w:tcPr>
          <w:p w14:paraId="0AECC70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85/1</w:t>
            </w:r>
          </w:p>
        </w:tc>
        <w:tc>
          <w:tcPr>
            <w:tcW w:w="177" w:type="pct"/>
            <w:vAlign w:val="center"/>
          </w:tcPr>
          <w:p w14:paraId="3E8E06A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w:t>
            </w:r>
          </w:p>
        </w:tc>
        <w:tc>
          <w:tcPr>
            <w:tcW w:w="146" w:type="pct"/>
            <w:vMerge w:val="continue"/>
            <w:vAlign w:val="center"/>
          </w:tcPr>
          <w:p w14:paraId="00A4C75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68" w:type="pct"/>
            <w:vAlign w:val="center"/>
          </w:tcPr>
          <w:p w14:paraId="3F36738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-136.9</w:t>
            </w:r>
          </w:p>
        </w:tc>
        <w:tc>
          <w:tcPr>
            <w:tcW w:w="163" w:type="pct"/>
            <w:vAlign w:val="center"/>
          </w:tcPr>
          <w:p w14:paraId="58C91F3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-53</w:t>
            </w:r>
          </w:p>
        </w:tc>
        <w:tc>
          <w:tcPr>
            <w:tcW w:w="171" w:type="pct"/>
            <w:vAlign w:val="center"/>
          </w:tcPr>
          <w:p w14:paraId="62E1E32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w:t>
            </w:r>
          </w:p>
        </w:tc>
        <w:tc>
          <w:tcPr>
            <w:tcW w:w="165" w:type="pct"/>
            <w:vAlign w:val="center"/>
          </w:tcPr>
          <w:p w14:paraId="508AFAA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25.0</w:t>
            </w:r>
          </w:p>
        </w:tc>
        <w:tc>
          <w:tcPr>
            <w:tcW w:w="165" w:type="pct"/>
            <w:vAlign w:val="center"/>
          </w:tcPr>
          <w:p w14:paraId="3E6C19A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w:t>
            </w:r>
          </w:p>
        </w:tc>
        <w:tc>
          <w:tcPr>
            <w:tcW w:w="165" w:type="pct"/>
            <w:vAlign w:val="center"/>
          </w:tcPr>
          <w:p w14:paraId="1CE8F06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52.4</w:t>
            </w:r>
          </w:p>
        </w:tc>
        <w:tc>
          <w:tcPr>
            <w:tcW w:w="196" w:type="pct"/>
            <w:vAlign w:val="center"/>
          </w:tcPr>
          <w:p w14:paraId="5A8068A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7.6</w:t>
            </w:r>
          </w:p>
        </w:tc>
        <w:tc>
          <w:tcPr>
            <w:tcW w:w="171" w:type="pct"/>
            <w:vAlign w:val="center"/>
          </w:tcPr>
          <w:p w14:paraId="73B224B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83" w:type="pct"/>
            <w:vAlign w:val="center"/>
          </w:tcPr>
          <w:p w14:paraId="4B4DC0D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74.4</w:t>
            </w:r>
          </w:p>
        </w:tc>
        <w:tc>
          <w:tcPr>
            <w:tcW w:w="171" w:type="pct"/>
            <w:vAlign w:val="center"/>
          </w:tcPr>
          <w:p w14:paraId="2D4E419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96" w:type="pct"/>
            <w:vAlign w:val="center"/>
          </w:tcPr>
          <w:p w14:paraId="038C48D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74.4</w:t>
            </w:r>
          </w:p>
        </w:tc>
        <w:tc>
          <w:tcPr>
            <w:tcW w:w="160" w:type="pct"/>
            <w:vAlign w:val="center"/>
          </w:tcPr>
          <w:p w14:paraId="6D13DE0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8h</w:t>
            </w:r>
          </w:p>
        </w:tc>
        <w:tc>
          <w:tcPr>
            <w:tcW w:w="164" w:type="pct"/>
            <w:vAlign w:val="center"/>
          </w:tcPr>
          <w:p w14:paraId="0AE2002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42" w:type="pct"/>
            <w:vAlign w:val="center"/>
          </w:tcPr>
          <w:p w14:paraId="0D4BABD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5137827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87" w:type="pct"/>
            <w:vAlign w:val="center"/>
          </w:tcPr>
          <w:p w14:paraId="05EDA26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7136F69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178" w:type="pct"/>
            <w:vAlign w:val="center"/>
          </w:tcPr>
          <w:p w14:paraId="50143E9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33.4</w:t>
            </w:r>
          </w:p>
        </w:tc>
        <w:tc>
          <w:tcPr>
            <w:tcW w:w="166" w:type="pct"/>
            <w:vAlign w:val="center"/>
          </w:tcPr>
          <w:p w14:paraId="767CDDD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210" w:type="pct"/>
            <w:vAlign w:val="center"/>
          </w:tcPr>
          <w:p w14:paraId="3067650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33.4</w:t>
            </w:r>
          </w:p>
        </w:tc>
        <w:tc>
          <w:tcPr>
            <w:tcW w:w="178" w:type="pct"/>
            <w:vAlign w:val="center"/>
          </w:tcPr>
          <w:p w14:paraId="239F583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w:t>
            </w:r>
          </w:p>
        </w:tc>
      </w:tr>
      <w:tr w14:paraId="6A8B5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8" w:type="pct"/>
            <w:vAlign w:val="center"/>
          </w:tcPr>
          <w:p w14:paraId="2FEE8AB1">
            <w:pPr>
              <w:keepNext w:val="0"/>
              <w:keepLines w:val="0"/>
              <w:pageBreakBefore w:val="0"/>
              <w:widowControl w:val="0"/>
              <w:numPr>
                <w:ilvl w:val="0"/>
                <w:numId w:val="5"/>
              </w:numPr>
              <w:kinsoku/>
              <w:wordWrap/>
              <w:overflowPunct/>
              <w:topLinePunct w:val="0"/>
              <w:autoSpaceDE w:val="0"/>
              <w:autoSpaceDN w:val="0"/>
              <w:bidi w:val="0"/>
              <w:adjustRightInd w:val="0"/>
              <w:snapToGrid/>
              <w:spacing w:line="240" w:lineRule="exact"/>
              <w:ind w:left="425" w:leftChars="0" w:hanging="425" w:firstLineChars="0"/>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41" w:type="pct"/>
            <w:vMerge w:val="continue"/>
            <w:vAlign w:val="center"/>
          </w:tcPr>
          <w:p w14:paraId="47CEFC0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273" w:type="pct"/>
            <w:vAlign w:val="center"/>
          </w:tcPr>
          <w:p w14:paraId="646BDC0D">
            <w:pPr>
              <w:jc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cs="Times New Roman"/>
                <w:color w:val="auto"/>
                <w:kern w:val="0"/>
                <w:sz w:val="18"/>
                <w:szCs w:val="18"/>
                <w:highlight w:val="none"/>
                <w:lang w:val="en-US" w:eastAsia="zh-CN"/>
              </w:rPr>
              <w:t>筛分机</w:t>
            </w:r>
          </w:p>
        </w:tc>
        <w:tc>
          <w:tcPr>
            <w:tcW w:w="249" w:type="pct"/>
            <w:vAlign w:val="center"/>
          </w:tcPr>
          <w:p w14:paraId="04B2DC8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w:t>
            </w:r>
          </w:p>
        </w:tc>
        <w:tc>
          <w:tcPr>
            <w:tcW w:w="289" w:type="pct"/>
            <w:vAlign w:val="center"/>
          </w:tcPr>
          <w:p w14:paraId="08D8CCB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95/1</w:t>
            </w:r>
          </w:p>
        </w:tc>
        <w:tc>
          <w:tcPr>
            <w:tcW w:w="177" w:type="pct"/>
            <w:vAlign w:val="center"/>
          </w:tcPr>
          <w:p w14:paraId="042F5D5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w:t>
            </w:r>
          </w:p>
        </w:tc>
        <w:tc>
          <w:tcPr>
            <w:tcW w:w="146" w:type="pct"/>
            <w:vMerge w:val="continue"/>
            <w:vAlign w:val="center"/>
          </w:tcPr>
          <w:p w14:paraId="090A515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68" w:type="pct"/>
            <w:vAlign w:val="center"/>
          </w:tcPr>
          <w:p w14:paraId="0ACA94E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-136.9</w:t>
            </w:r>
          </w:p>
        </w:tc>
        <w:tc>
          <w:tcPr>
            <w:tcW w:w="163" w:type="pct"/>
            <w:vAlign w:val="center"/>
          </w:tcPr>
          <w:p w14:paraId="6012E27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-49.9</w:t>
            </w:r>
          </w:p>
        </w:tc>
        <w:tc>
          <w:tcPr>
            <w:tcW w:w="171" w:type="pct"/>
            <w:vAlign w:val="center"/>
          </w:tcPr>
          <w:p w14:paraId="0C39CDD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w:t>
            </w:r>
          </w:p>
        </w:tc>
        <w:tc>
          <w:tcPr>
            <w:tcW w:w="165" w:type="pct"/>
            <w:vAlign w:val="center"/>
          </w:tcPr>
          <w:p w14:paraId="495C808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25.1</w:t>
            </w:r>
          </w:p>
        </w:tc>
        <w:tc>
          <w:tcPr>
            <w:tcW w:w="165" w:type="pct"/>
            <w:vAlign w:val="center"/>
          </w:tcPr>
          <w:p w14:paraId="2573CC7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10.5</w:t>
            </w:r>
          </w:p>
        </w:tc>
        <w:tc>
          <w:tcPr>
            <w:tcW w:w="165" w:type="pct"/>
            <w:vAlign w:val="center"/>
          </w:tcPr>
          <w:p w14:paraId="4BD8D1D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52.3</w:t>
            </w:r>
          </w:p>
        </w:tc>
        <w:tc>
          <w:tcPr>
            <w:tcW w:w="196" w:type="pct"/>
            <w:vAlign w:val="center"/>
          </w:tcPr>
          <w:p w14:paraId="7785E3D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4.5</w:t>
            </w:r>
          </w:p>
        </w:tc>
        <w:tc>
          <w:tcPr>
            <w:tcW w:w="171" w:type="pct"/>
            <w:vAlign w:val="center"/>
          </w:tcPr>
          <w:p w14:paraId="23E8A3D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83" w:type="pct"/>
            <w:vAlign w:val="center"/>
          </w:tcPr>
          <w:p w14:paraId="13336C9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71" w:type="pct"/>
            <w:vAlign w:val="center"/>
          </w:tcPr>
          <w:p w14:paraId="1353948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96" w:type="pct"/>
            <w:vAlign w:val="center"/>
          </w:tcPr>
          <w:p w14:paraId="77C1BFA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74.7</w:t>
            </w:r>
          </w:p>
        </w:tc>
        <w:tc>
          <w:tcPr>
            <w:tcW w:w="160" w:type="pct"/>
            <w:vAlign w:val="center"/>
          </w:tcPr>
          <w:p w14:paraId="67B691A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8h</w:t>
            </w:r>
          </w:p>
        </w:tc>
        <w:tc>
          <w:tcPr>
            <w:tcW w:w="164" w:type="pct"/>
            <w:vAlign w:val="center"/>
          </w:tcPr>
          <w:p w14:paraId="1CBFDF0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42" w:type="pct"/>
            <w:vAlign w:val="center"/>
          </w:tcPr>
          <w:p w14:paraId="66109E7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6AC8F4C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87" w:type="pct"/>
            <w:vAlign w:val="center"/>
          </w:tcPr>
          <w:p w14:paraId="5994C20F">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5A51278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178" w:type="pct"/>
            <w:vAlign w:val="center"/>
          </w:tcPr>
          <w:p w14:paraId="6DB4542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166" w:type="pct"/>
            <w:vAlign w:val="center"/>
          </w:tcPr>
          <w:p w14:paraId="0D2947E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210" w:type="pct"/>
            <w:vAlign w:val="center"/>
          </w:tcPr>
          <w:p w14:paraId="5DC80B1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33.7</w:t>
            </w:r>
          </w:p>
        </w:tc>
        <w:tc>
          <w:tcPr>
            <w:tcW w:w="178" w:type="pct"/>
            <w:vAlign w:val="center"/>
          </w:tcPr>
          <w:p w14:paraId="6B3A9B4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w:t>
            </w:r>
          </w:p>
        </w:tc>
      </w:tr>
      <w:tr w14:paraId="7E826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8" w:type="pct"/>
            <w:vAlign w:val="center"/>
          </w:tcPr>
          <w:p w14:paraId="6ED3F6E7">
            <w:pPr>
              <w:keepNext w:val="0"/>
              <w:keepLines w:val="0"/>
              <w:pageBreakBefore w:val="0"/>
              <w:widowControl w:val="0"/>
              <w:numPr>
                <w:ilvl w:val="0"/>
                <w:numId w:val="5"/>
              </w:numPr>
              <w:kinsoku/>
              <w:wordWrap/>
              <w:overflowPunct/>
              <w:topLinePunct w:val="0"/>
              <w:autoSpaceDE w:val="0"/>
              <w:autoSpaceDN w:val="0"/>
              <w:bidi w:val="0"/>
              <w:adjustRightInd w:val="0"/>
              <w:snapToGrid/>
              <w:spacing w:line="240" w:lineRule="exact"/>
              <w:ind w:left="425" w:leftChars="0" w:hanging="425" w:firstLineChars="0"/>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41" w:type="pct"/>
            <w:vMerge w:val="continue"/>
            <w:vAlign w:val="center"/>
          </w:tcPr>
          <w:p w14:paraId="1394174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273" w:type="pct"/>
            <w:vAlign w:val="center"/>
          </w:tcPr>
          <w:p w14:paraId="083D65AB">
            <w:pPr>
              <w:jc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cs="Times New Roman"/>
                <w:color w:val="auto"/>
                <w:kern w:val="0"/>
                <w:sz w:val="18"/>
                <w:szCs w:val="18"/>
                <w:highlight w:val="none"/>
                <w:lang w:val="en-US" w:eastAsia="zh-CN"/>
              </w:rPr>
              <w:t>搅拌机</w:t>
            </w:r>
          </w:p>
        </w:tc>
        <w:tc>
          <w:tcPr>
            <w:tcW w:w="249" w:type="pct"/>
            <w:vAlign w:val="center"/>
          </w:tcPr>
          <w:p w14:paraId="54D7B2F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w:t>
            </w:r>
          </w:p>
        </w:tc>
        <w:tc>
          <w:tcPr>
            <w:tcW w:w="289" w:type="pct"/>
            <w:vAlign w:val="center"/>
          </w:tcPr>
          <w:p w14:paraId="7CA2CE2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95/1</w:t>
            </w:r>
          </w:p>
        </w:tc>
        <w:tc>
          <w:tcPr>
            <w:tcW w:w="177" w:type="pct"/>
            <w:vAlign w:val="center"/>
          </w:tcPr>
          <w:p w14:paraId="5A19DE0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w:t>
            </w:r>
          </w:p>
        </w:tc>
        <w:tc>
          <w:tcPr>
            <w:tcW w:w="146" w:type="pct"/>
            <w:vMerge w:val="continue"/>
            <w:vAlign w:val="center"/>
          </w:tcPr>
          <w:p w14:paraId="2FDD85EF">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68" w:type="pct"/>
            <w:vAlign w:val="center"/>
          </w:tcPr>
          <w:p w14:paraId="668F2C1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-144.2</w:t>
            </w:r>
          </w:p>
        </w:tc>
        <w:tc>
          <w:tcPr>
            <w:tcW w:w="163" w:type="pct"/>
            <w:vAlign w:val="center"/>
          </w:tcPr>
          <w:p w14:paraId="7EBEA54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-52.9</w:t>
            </w:r>
          </w:p>
        </w:tc>
        <w:tc>
          <w:tcPr>
            <w:tcW w:w="171" w:type="pct"/>
            <w:vAlign w:val="center"/>
          </w:tcPr>
          <w:p w14:paraId="2ED564F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w:t>
            </w:r>
          </w:p>
        </w:tc>
        <w:tc>
          <w:tcPr>
            <w:tcW w:w="165" w:type="pct"/>
            <w:vAlign w:val="center"/>
          </w:tcPr>
          <w:p w14:paraId="5C73083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32.3</w:t>
            </w:r>
          </w:p>
        </w:tc>
        <w:tc>
          <w:tcPr>
            <w:tcW w:w="165" w:type="pct"/>
            <w:vAlign w:val="center"/>
          </w:tcPr>
          <w:p w14:paraId="67CA833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w:t>
            </w:r>
          </w:p>
        </w:tc>
        <w:tc>
          <w:tcPr>
            <w:tcW w:w="165" w:type="pct"/>
            <w:vAlign w:val="center"/>
          </w:tcPr>
          <w:p w14:paraId="606AECF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45.1</w:t>
            </w:r>
          </w:p>
        </w:tc>
        <w:tc>
          <w:tcPr>
            <w:tcW w:w="196" w:type="pct"/>
            <w:vAlign w:val="center"/>
          </w:tcPr>
          <w:p w14:paraId="71165A8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7.6</w:t>
            </w:r>
          </w:p>
        </w:tc>
        <w:tc>
          <w:tcPr>
            <w:tcW w:w="171" w:type="pct"/>
            <w:vAlign w:val="center"/>
          </w:tcPr>
          <w:p w14:paraId="6770D35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83" w:type="pct"/>
            <w:vAlign w:val="center"/>
          </w:tcPr>
          <w:p w14:paraId="003AF68B">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74.4</w:t>
            </w:r>
          </w:p>
        </w:tc>
        <w:tc>
          <w:tcPr>
            <w:tcW w:w="171" w:type="pct"/>
            <w:vAlign w:val="center"/>
          </w:tcPr>
          <w:p w14:paraId="45DAB3F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96" w:type="pct"/>
            <w:vAlign w:val="center"/>
          </w:tcPr>
          <w:p w14:paraId="6D531AA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74.4</w:t>
            </w:r>
          </w:p>
        </w:tc>
        <w:tc>
          <w:tcPr>
            <w:tcW w:w="160" w:type="pct"/>
            <w:vAlign w:val="center"/>
          </w:tcPr>
          <w:p w14:paraId="5FF39AE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8h</w:t>
            </w:r>
          </w:p>
        </w:tc>
        <w:tc>
          <w:tcPr>
            <w:tcW w:w="164" w:type="pct"/>
            <w:vAlign w:val="center"/>
          </w:tcPr>
          <w:p w14:paraId="5F6E9F7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42" w:type="pct"/>
            <w:vAlign w:val="center"/>
          </w:tcPr>
          <w:p w14:paraId="123D180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20FE452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87" w:type="pct"/>
            <w:vAlign w:val="center"/>
          </w:tcPr>
          <w:p w14:paraId="52FB712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646B21D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178" w:type="pct"/>
            <w:vAlign w:val="center"/>
          </w:tcPr>
          <w:p w14:paraId="212E429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33.4</w:t>
            </w:r>
          </w:p>
        </w:tc>
        <w:tc>
          <w:tcPr>
            <w:tcW w:w="166" w:type="pct"/>
            <w:vAlign w:val="center"/>
          </w:tcPr>
          <w:p w14:paraId="3389A67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210" w:type="pct"/>
            <w:vAlign w:val="center"/>
          </w:tcPr>
          <w:p w14:paraId="287FF24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33.4</w:t>
            </w:r>
          </w:p>
        </w:tc>
        <w:tc>
          <w:tcPr>
            <w:tcW w:w="178" w:type="pct"/>
            <w:vAlign w:val="center"/>
          </w:tcPr>
          <w:p w14:paraId="1114DA7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w:t>
            </w:r>
          </w:p>
        </w:tc>
      </w:tr>
      <w:tr w14:paraId="3FA91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8" w:type="pct"/>
            <w:vAlign w:val="center"/>
          </w:tcPr>
          <w:p w14:paraId="4DDFA24B">
            <w:pPr>
              <w:keepNext w:val="0"/>
              <w:keepLines w:val="0"/>
              <w:pageBreakBefore w:val="0"/>
              <w:widowControl w:val="0"/>
              <w:numPr>
                <w:ilvl w:val="0"/>
                <w:numId w:val="5"/>
              </w:numPr>
              <w:kinsoku/>
              <w:wordWrap/>
              <w:overflowPunct/>
              <w:topLinePunct w:val="0"/>
              <w:autoSpaceDE w:val="0"/>
              <w:autoSpaceDN w:val="0"/>
              <w:bidi w:val="0"/>
              <w:adjustRightInd w:val="0"/>
              <w:snapToGrid/>
              <w:spacing w:line="240" w:lineRule="exact"/>
              <w:ind w:left="425" w:leftChars="0" w:hanging="425" w:firstLineChars="0"/>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41" w:type="pct"/>
            <w:vMerge w:val="continue"/>
            <w:vAlign w:val="center"/>
          </w:tcPr>
          <w:p w14:paraId="1D0E405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273" w:type="pct"/>
            <w:vAlign w:val="center"/>
          </w:tcPr>
          <w:p w14:paraId="7EB8045F">
            <w:pPr>
              <w:jc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cs="Times New Roman"/>
                <w:color w:val="auto"/>
                <w:kern w:val="0"/>
                <w:sz w:val="18"/>
                <w:szCs w:val="18"/>
                <w:highlight w:val="none"/>
                <w:lang w:val="en-US" w:eastAsia="zh-CN"/>
              </w:rPr>
              <w:t>风机</w:t>
            </w:r>
          </w:p>
        </w:tc>
        <w:tc>
          <w:tcPr>
            <w:tcW w:w="249" w:type="pct"/>
            <w:vAlign w:val="center"/>
          </w:tcPr>
          <w:p w14:paraId="079E23A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b w:val="0"/>
                <w:bCs w:val="0"/>
                <w:color w:val="auto"/>
                <w:kern w:val="0"/>
                <w:sz w:val="18"/>
                <w:szCs w:val="18"/>
                <w:highlight w:val="none"/>
                <w:lang w:val="en-US" w:eastAsia="zh-CN"/>
              </w:rPr>
              <w:t>/</w:t>
            </w:r>
          </w:p>
        </w:tc>
        <w:tc>
          <w:tcPr>
            <w:tcW w:w="289" w:type="pct"/>
            <w:vAlign w:val="center"/>
          </w:tcPr>
          <w:p w14:paraId="085D05D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95/1</w:t>
            </w:r>
          </w:p>
        </w:tc>
        <w:tc>
          <w:tcPr>
            <w:tcW w:w="177" w:type="pct"/>
            <w:vAlign w:val="center"/>
          </w:tcPr>
          <w:p w14:paraId="6FEA4B3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w:t>
            </w:r>
          </w:p>
        </w:tc>
        <w:tc>
          <w:tcPr>
            <w:tcW w:w="146" w:type="pct"/>
            <w:vMerge w:val="continue"/>
            <w:vAlign w:val="center"/>
          </w:tcPr>
          <w:p w14:paraId="5B64263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p>
        </w:tc>
        <w:tc>
          <w:tcPr>
            <w:tcW w:w="168" w:type="pct"/>
            <w:vAlign w:val="center"/>
          </w:tcPr>
          <w:p w14:paraId="1A38201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-159</w:t>
            </w:r>
          </w:p>
        </w:tc>
        <w:tc>
          <w:tcPr>
            <w:tcW w:w="163" w:type="pct"/>
            <w:vAlign w:val="center"/>
          </w:tcPr>
          <w:p w14:paraId="31A6B62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-48.1</w:t>
            </w:r>
          </w:p>
        </w:tc>
        <w:tc>
          <w:tcPr>
            <w:tcW w:w="171" w:type="pct"/>
            <w:vAlign w:val="center"/>
          </w:tcPr>
          <w:p w14:paraId="1464F39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w:t>
            </w:r>
          </w:p>
        </w:tc>
        <w:tc>
          <w:tcPr>
            <w:tcW w:w="165" w:type="pct"/>
            <w:vAlign w:val="center"/>
          </w:tcPr>
          <w:p w14:paraId="228A70E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47.3</w:t>
            </w:r>
          </w:p>
        </w:tc>
        <w:tc>
          <w:tcPr>
            <w:tcW w:w="165" w:type="pct"/>
            <w:vAlign w:val="center"/>
          </w:tcPr>
          <w:p w14:paraId="1D4322F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12.0</w:t>
            </w:r>
          </w:p>
        </w:tc>
        <w:tc>
          <w:tcPr>
            <w:tcW w:w="165" w:type="pct"/>
            <w:vAlign w:val="center"/>
          </w:tcPr>
          <w:p w14:paraId="6E277EF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30.2</w:t>
            </w:r>
          </w:p>
        </w:tc>
        <w:tc>
          <w:tcPr>
            <w:tcW w:w="196" w:type="pct"/>
            <w:vAlign w:val="center"/>
          </w:tcPr>
          <w:p w14:paraId="2757221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3.1</w:t>
            </w:r>
          </w:p>
        </w:tc>
        <w:tc>
          <w:tcPr>
            <w:tcW w:w="171" w:type="pct"/>
            <w:vAlign w:val="center"/>
          </w:tcPr>
          <w:p w14:paraId="13B428D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83" w:type="pct"/>
            <w:vAlign w:val="center"/>
          </w:tcPr>
          <w:p w14:paraId="4FADD78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71" w:type="pct"/>
            <w:vAlign w:val="center"/>
          </w:tcPr>
          <w:p w14:paraId="77D308E0">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74.3</w:t>
            </w:r>
          </w:p>
        </w:tc>
        <w:tc>
          <w:tcPr>
            <w:tcW w:w="196" w:type="pct"/>
            <w:vAlign w:val="center"/>
          </w:tcPr>
          <w:p w14:paraId="55A0419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75.0</w:t>
            </w:r>
          </w:p>
        </w:tc>
        <w:tc>
          <w:tcPr>
            <w:tcW w:w="160" w:type="pct"/>
            <w:vAlign w:val="center"/>
          </w:tcPr>
          <w:p w14:paraId="763C817F">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8h</w:t>
            </w:r>
          </w:p>
        </w:tc>
        <w:tc>
          <w:tcPr>
            <w:tcW w:w="164" w:type="pct"/>
            <w:vAlign w:val="center"/>
          </w:tcPr>
          <w:p w14:paraId="1C9FAD83">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42" w:type="pct"/>
            <w:vAlign w:val="center"/>
          </w:tcPr>
          <w:p w14:paraId="3C27EDD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6487EAB2">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87" w:type="pct"/>
            <w:vAlign w:val="center"/>
          </w:tcPr>
          <w:p w14:paraId="2E00A65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cs="宋体"/>
                <w:i w:val="0"/>
                <w:iCs w:val="0"/>
                <w:color w:val="auto"/>
                <w:kern w:val="0"/>
                <w:sz w:val="18"/>
                <w:szCs w:val="18"/>
                <w:highlight w:val="none"/>
                <w:u w:val="none"/>
                <w:lang w:val="en-US" w:eastAsia="zh-CN" w:bidi="ar"/>
              </w:rPr>
              <w:t>15</w:t>
            </w:r>
            <w:r>
              <w:rPr>
                <w:rFonts w:hint="eastAsia" w:ascii="Times New Roman" w:hAnsi="Times New Roman" w:eastAsia="宋体" w:cs="宋体"/>
                <w:i w:val="0"/>
                <w:iCs w:val="0"/>
                <w:color w:val="auto"/>
                <w:kern w:val="0"/>
                <w:sz w:val="18"/>
                <w:szCs w:val="18"/>
                <w:highlight w:val="none"/>
                <w:u w:val="none"/>
                <w:lang w:val="en-US" w:eastAsia="zh-CN" w:bidi="ar"/>
              </w:rPr>
              <w:t>.0</w:t>
            </w:r>
          </w:p>
        </w:tc>
        <w:tc>
          <w:tcPr>
            <w:tcW w:w="165" w:type="pct"/>
            <w:vAlign w:val="center"/>
          </w:tcPr>
          <w:p w14:paraId="1C7EFC0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178" w:type="pct"/>
            <w:vAlign w:val="center"/>
          </w:tcPr>
          <w:p w14:paraId="6E1D4A5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166" w:type="pct"/>
            <w:vAlign w:val="center"/>
          </w:tcPr>
          <w:p w14:paraId="243E225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33.3</w:t>
            </w:r>
          </w:p>
        </w:tc>
        <w:tc>
          <w:tcPr>
            <w:tcW w:w="210" w:type="pct"/>
            <w:vAlign w:val="center"/>
          </w:tcPr>
          <w:p w14:paraId="48128AC6">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34.0</w:t>
            </w:r>
          </w:p>
        </w:tc>
        <w:tc>
          <w:tcPr>
            <w:tcW w:w="178" w:type="pct"/>
            <w:vAlign w:val="center"/>
          </w:tcPr>
          <w:p w14:paraId="1EBFE9AC">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1</w:t>
            </w:r>
          </w:p>
        </w:tc>
      </w:tr>
    </w:tbl>
    <w:p w14:paraId="7151A4B8">
      <w:pPr>
        <w:pStyle w:val="15"/>
        <w:keepNext w:val="0"/>
        <w:keepLines w:val="0"/>
        <w:pageBreakBefore w:val="0"/>
        <w:widowControl w:val="0"/>
        <w:kinsoku/>
        <w:wordWrap/>
        <w:overflowPunct/>
        <w:topLinePunct w:val="0"/>
        <w:bidi w:val="0"/>
        <w:snapToGrid/>
        <w:textAlignment w:val="auto"/>
        <w:rPr>
          <w:rFonts w:hint="eastAsia"/>
          <w:color w:val="auto"/>
          <w:sz w:val="21"/>
          <w:szCs w:val="21"/>
          <w:highlight w:val="none"/>
          <w:lang w:eastAsia="zh-CN"/>
        </w:rPr>
      </w:pPr>
    </w:p>
    <w:p w14:paraId="42CFD3F4">
      <w:pPr>
        <w:pStyle w:val="14"/>
        <w:keepNext w:val="0"/>
        <w:keepLines w:val="0"/>
        <w:pageBreakBefore w:val="0"/>
        <w:widowControl w:val="0"/>
        <w:kinsoku/>
        <w:wordWrap/>
        <w:overflowPunct/>
        <w:topLinePunct w:val="0"/>
        <w:bidi w:val="0"/>
        <w:snapToGrid/>
        <w:ind w:left="0" w:leftChars="0" w:firstLine="0" w:firstLineChars="0"/>
        <w:textAlignment w:val="auto"/>
        <w:rPr>
          <w:rFonts w:hint="eastAsia" w:eastAsia="宋体"/>
          <w:color w:val="auto"/>
          <w:sz w:val="21"/>
          <w:szCs w:val="21"/>
          <w:highlight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tbl>
      <w:tblPr>
        <w:tblStyle w:val="34"/>
        <w:tblW w:w="9405" w:type="dxa"/>
        <w:tblInd w:w="-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8880"/>
      </w:tblGrid>
      <w:tr w14:paraId="6C0D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3BC32777">
            <w:pPr>
              <w:pStyle w:val="14"/>
              <w:rPr>
                <w:rFonts w:hint="default"/>
                <w:color w:val="auto"/>
                <w:highlight w:val="none"/>
                <w:vertAlign w:val="baseline"/>
              </w:rPr>
            </w:pPr>
          </w:p>
        </w:tc>
        <w:tc>
          <w:tcPr>
            <w:tcW w:w="8580" w:type="dxa"/>
          </w:tcPr>
          <w:p w14:paraId="70F94F30">
            <w:pPr>
              <w:spacing w:line="480" w:lineRule="exact"/>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cs="Times New Roman"/>
                <w:b/>
                <w:bCs/>
                <w:color w:val="auto"/>
                <w:kern w:val="0"/>
                <w:sz w:val="24"/>
                <w:highlight w:val="none"/>
              </w:rPr>
              <w:t>3.</w:t>
            </w:r>
            <w:r>
              <w:rPr>
                <w:rFonts w:hint="default" w:ascii="Times New Roman" w:hAnsi="Times New Roman" w:cs="Times New Roman"/>
                <w:b/>
                <w:bCs/>
                <w:color w:val="auto"/>
                <w:kern w:val="0"/>
                <w:sz w:val="24"/>
                <w:highlight w:val="none"/>
                <w:lang w:val="en-US" w:eastAsia="zh-CN"/>
              </w:rPr>
              <w:t>2</w:t>
            </w:r>
            <w:r>
              <w:rPr>
                <w:rFonts w:hint="default" w:ascii="Times New Roman" w:hAnsi="Times New Roman" w:eastAsia="宋体" w:cs="Times New Roman"/>
                <w:b/>
                <w:bCs/>
                <w:color w:val="auto"/>
                <w:kern w:val="0"/>
                <w:sz w:val="24"/>
                <w:highlight w:val="none"/>
              </w:rPr>
              <w:t xml:space="preserve"> </w:t>
            </w:r>
            <w:r>
              <w:rPr>
                <w:rFonts w:hint="default" w:ascii="Times New Roman" w:hAnsi="Times New Roman" w:eastAsia="宋体" w:cs="Times New Roman"/>
                <w:b/>
                <w:bCs/>
                <w:color w:val="auto"/>
                <w:kern w:val="0"/>
                <w:sz w:val="24"/>
                <w:highlight w:val="none"/>
                <w:lang w:val="en-US" w:eastAsia="zh-CN"/>
              </w:rPr>
              <w:t>噪声预测</w:t>
            </w:r>
          </w:p>
          <w:p w14:paraId="0E1B7575">
            <w:pPr>
              <w:widowControl w:val="0"/>
              <w:kinsoku/>
              <w:overflowPunct/>
              <w:topLinePunct w:val="0"/>
              <w:bidi w:val="0"/>
              <w:snapToGrid/>
              <w:spacing w:before="79" w:beforeLines="25" w:beforeAutospacing="0" w:after="79" w:afterLines="25" w:afterAutospacing="0" w:line="360" w:lineRule="auto"/>
              <w:ind w:firstLine="480" w:firstLineChars="2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（1）点声源衰减公式</w:t>
            </w:r>
          </w:p>
          <w:p w14:paraId="77F3A694">
            <w:pPr>
              <w:widowControl w:val="0"/>
              <w:kinsoku/>
              <w:overflowPunct/>
              <w:topLinePunct w:val="0"/>
              <w:bidi w:val="0"/>
              <w:snapToGrid/>
              <w:spacing w:before="79" w:beforeLines="25" w:beforeAutospacing="0" w:after="79" w:afterLines="25" w:afterAutospacing="0" w:line="360" w:lineRule="auto"/>
              <w:ind w:firstLine="480" w:firstLineChars="2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计算采用《环境影响评价技术导则声环境》（HJ2.4-20</w:t>
            </w:r>
            <w:r>
              <w:rPr>
                <w:rFonts w:hint="default" w:ascii="Times New Roman" w:hAnsi="Times New Roman" w:cs="Times New Roman"/>
                <w:color w:val="auto"/>
                <w:kern w:val="0"/>
                <w:sz w:val="24"/>
                <w:szCs w:val="24"/>
                <w:highlight w:val="none"/>
                <w:lang w:val="en-US" w:eastAsia="zh-CN"/>
              </w:rPr>
              <w:t>21</w:t>
            </w:r>
            <w:r>
              <w:rPr>
                <w:rFonts w:hint="default" w:ascii="Times New Roman" w:hAnsi="Times New Roman" w:cs="Times New Roman"/>
                <w:color w:val="auto"/>
                <w:kern w:val="0"/>
                <w:sz w:val="24"/>
                <w:szCs w:val="24"/>
                <w:highlight w:val="none"/>
              </w:rPr>
              <w:t>）中推荐的点声源衰减模式，计算公式如下：</w:t>
            </w:r>
          </w:p>
          <w:p w14:paraId="0E65E12F">
            <w:pPr>
              <w:widowControl w:val="0"/>
              <w:kinsoku/>
              <w:overflowPunct/>
              <w:topLinePunct w:val="0"/>
              <w:bidi w:val="0"/>
              <w:snapToGrid/>
              <w:spacing w:before="79" w:beforeLines="25" w:beforeAutospacing="0" w:after="79" w:afterLines="25" w:afterAutospacing="0" w:line="360" w:lineRule="auto"/>
              <w:contextualSpacing/>
              <w:rPr>
                <w:rFonts w:hint="default" w:ascii="Times New Roman" w:hAnsi="Times New Roman" w:cs="Times New Roman"/>
                <w:color w:val="auto"/>
                <w:kern w:val="0"/>
                <w:sz w:val="24"/>
                <w:szCs w:val="24"/>
                <w:highlight w:val="none"/>
              </w:rPr>
            </w:pPr>
            <m:oMathPara>
              <m:oMath>
                <m:sSub>
                  <m:sSubPr>
                    <m:ctrlPr>
                      <w:rPr>
                        <w:rFonts w:hint="default" w:ascii="Cambria Math" w:hAnsi="Cambria Math" w:cs="Times New Roman"/>
                        <w:color w:val="auto"/>
                        <w:kern w:val="0"/>
                        <w:sz w:val="24"/>
                        <w:szCs w:val="24"/>
                        <w:highlight w:val="none"/>
                      </w:rPr>
                    </m:ctrlPr>
                  </m:sSubPr>
                  <m:e>
                    <m:r>
                      <m:rPr/>
                      <w:rPr>
                        <w:rFonts w:hint="default" w:ascii="Cambria Math" w:hAnsi="Cambria Math" w:cs="Times New Roman"/>
                        <w:color w:val="auto"/>
                        <w:kern w:val="0"/>
                        <w:sz w:val="24"/>
                        <w:szCs w:val="24"/>
                        <w:highlight w:val="none"/>
                      </w:rPr>
                      <m:t>L</m:t>
                    </m:r>
                    <m:ctrlPr>
                      <w:rPr>
                        <w:rFonts w:hint="default" w:ascii="Cambria Math" w:hAnsi="Cambria Math" w:cs="Times New Roman"/>
                        <w:color w:val="auto"/>
                        <w:kern w:val="0"/>
                        <w:sz w:val="24"/>
                        <w:szCs w:val="24"/>
                        <w:highlight w:val="none"/>
                      </w:rPr>
                    </m:ctrlPr>
                  </m:e>
                  <m:sub>
                    <m:d>
                      <m:dPr>
                        <m:begChr m:val="（"/>
                        <m:endChr m:val="）"/>
                        <m:ctrlPr>
                          <w:rPr>
                            <w:rFonts w:hint="default" w:ascii="Cambria Math" w:hAnsi="Cambria Math" w:cs="Times New Roman"/>
                            <w:color w:val="auto"/>
                            <w:kern w:val="0"/>
                            <w:sz w:val="24"/>
                            <w:szCs w:val="24"/>
                            <w:highlight w:val="none"/>
                          </w:rPr>
                        </m:ctrlPr>
                      </m:dPr>
                      <m:e>
                        <m:r>
                          <m:rPr>
                            <m:sty m:val="p"/>
                          </m:rPr>
                          <w:rPr>
                            <w:rFonts w:hint="default" w:ascii="Cambria Math" w:hAnsi="Cambria Math" w:cs="Times New Roman"/>
                            <w:color w:val="auto"/>
                            <w:kern w:val="0"/>
                            <w:sz w:val="24"/>
                            <w:szCs w:val="24"/>
                            <w:highlight w:val="none"/>
                          </w:rPr>
                          <m:t>r</m:t>
                        </m:r>
                        <m:ctrlPr>
                          <w:rPr>
                            <w:rFonts w:hint="default" w:ascii="Cambria Math" w:hAnsi="Cambria Math" w:cs="Times New Roman"/>
                            <w:color w:val="auto"/>
                            <w:kern w:val="0"/>
                            <w:sz w:val="24"/>
                            <w:szCs w:val="24"/>
                            <w:highlight w:val="none"/>
                          </w:rPr>
                        </m:ctrlPr>
                      </m:e>
                    </m:d>
                    <m:r>
                      <m:rPr>
                        <m:sty m:val="p"/>
                      </m:rPr>
                      <w:rPr>
                        <w:rFonts w:hint="default" w:ascii="Cambria Math" w:hAnsi="Cambria Math" w:cs="Times New Roman"/>
                        <w:color w:val="auto"/>
                        <w:kern w:val="0"/>
                        <w:sz w:val="24"/>
                        <w:szCs w:val="24"/>
                        <w:highlight w:val="none"/>
                      </w:rPr>
                      <m:t>=</m:t>
                    </m:r>
                    <m:ctrlPr>
                      <w:rPr>
                        <w:rFonts w:hint="default" w:ascii="Cambria Math" w:hAnsi="Cambria Math" w:cs="Times New Roman"/>
                        <w:color w:val="auto"/>
                        <w:kern w:val="0"/>
                        <w:sz w:val="24"/>
                        <w:szCs w:val="24"/>
                        <w:highlight w:val="none"/>
                      </w:rPr>
                    </m:ctrlPr>
                  </m:sub>
                </m:sSub>
                <m:sSub>
                  <m:sSubPr>
                    <m:ctrlPr>
                      <w:rPr>
                        <w:rFonts w:hint="default" w:ascii="Cambria Math" w:hAnsi="Cambria Math" w:cs="Times New Roman"/>
                        <w:i/>
                        <w:color w:val="auto"/>
                        <w:kern w:val="0"/>
                        <w:sz w:val="24"/>
                        <w:szCs w:val="24"/>
                        <w:highlight w:val="none"/>
                      </w:rPr>
                    </m:ctrlPr>
                  </m:sSubPr>
                  <m:e>
                    <m:r>
                      <m:rPr/>
                      <w:rPr>
                        <w:rFonts w:hint="default" w:ascii="Cambria Math" w:hAnsi="Cambria Math" w:cs="Times New Roman"/>
                        <w:color w:val="auto"/>
                        <w:kern w:val="0"/>
                        <w:sz w:val="24"/>
                        <w:szCs w:val="24"/>
                        <w:highlight w:val="none"/>
                      </w:rPr>
                      <m:t>L</m:t>
                    </m:r>
                    <m:ctrlPr>
                      <w:rPr>
                        <w:rFonts w:hint="default" w:ascii="Cambria Math" w:hAnsi="Cambria Math" w:cs="Times New Roman"/>
                        <w:i/>
                        <w:color w:val="auto"/>
                        <w:kern w:val="0"/>
                        <w:sz w:val="24"/>
                        <w:szCs w:val="24"/>
                        <w:highlight w:val="none"/>
                      </w:rPr>
                    </m:ctrlPr>
                  </m:e>
                  <m:sub>
                    <m:d>
                      <m:dPr>
                        <m:begChr m:val="（"/>
                        <m:endChr m:val="）"/>
                        <m:ctrlPr>
                          <w:rPr>
                            <w:rFonts w:hint="default" w:ascii="Cambria Math" w:hAnsi="Cambria Math" w:cs="Times New Roman"/>
                            <w:color w:val="auto"/>
                            <w:kern w:val="0"/>
                            <w:sz w:val="24"/>
                            <w:szCs w:val="24"/>
                            <w:highlight w:val="none"/>
                          </w:rPr>
                        </m:ctrlPr>
                      </m:dPr>
                      <m:e>
                        <m:sSub>
                          <m:sSubPr>
                            <m:ctrlPr>
                              <w:rPr>
                                <w:rFonts w:hint="default" w:ascii="Cambria Math" w:hAnsi="Cambria Math" w:cs="Times New Roman"/>
                                <w:color w:val="auto"/>
                                <w:kern w:val="0"/>
                                <w:sz w:val="24"/>
                                <w:szCs w:val="24"/>
                                <w:highlight w:val="none"/>
                              </w:rPr>
                            </m:ctrlPr>
                          </m:sSubPr>
                          <m:e>
                            <m:r>
                              <m:rPr/>
                              <w:rPr>
                                <w:rFonts w:hint="default" w:ascii="Cambria Math" w:hAnsi="Cambria Math" w:cs="Times New Roman"/>
                                <w:color w:val="auto"/>
                                <w:kern w:val="0"/>
                                <w:sz w:val="24"/>
                                <w:szCs w:val="24"/>
                                <w:highlight w:val="none"/>
                              </w:rPr>
                              <m:t>r</m:t>
                            </m:r>
                            <m:ctrlPr>
                              <w:rPr>
                                <w:rFonts w:hint="default" w:ascii="Cambria Math" w:hAnsi="Cambria Math" w:cs="Times New Roman"/>
                                <w:color w:val="auto"/>
                                <w:kern w:val="0"/>
                                <w:sz w:val="24"/>
                                <w:szCs w:val="24"/>
                                <w:highlight w:val="none"/>
                              </w:rPr>
                            </m:ctrlPr>
                          </m:e>
                          <m:sub>
                            <m:r>
                              <m:rPr/>
                              <w:rPr>
                                <w:rFonts w:hint="default" w:ascii="Cambria Math" w:hAnsi="Cambria Math" w:cs="Times New Roman"/>
                                <w:color w:val="auto"/>
                                <w:kern w:val="0"/>
                                <w:sz w:val="24"/>
                                <w:szCs w:val="24"/>
                                <w:highlight w:val="none"/>
                              </w:rPr>
                              <m:t>0</m:t>
                            </m:r>
                            <m:ctrlPr>
                              <w:rPr>
                                <w:rFonts w:hint="default" w:ascii="Cambria Math" w:hAnsi="Cambria Math" w:cs="Times New Roman"/>
                                <w:color w:val="auto"/>
                                <w:kern w:val="0"/>
                                <w:sz w:val="24"/>
                                <w:szCs w:val="24"/>
                                <w:highlight w:val="none"/>
                              </w:rPr>
                            </m:ctrlPr>
                          </m:sub>
                        </m:sSub>
                        <m:ctrlPr>
                          <w:rPr>
                            <w:rFonts w:hint="default" w:ascii="Cambria Math" w:hAnsi="Cambria Math" w:cs="Times New Roman"/>
                            <w:color w:val="auto"/>
                            <w:kern w:val="0"/>
                            <w:sz w:val="24"/>
                            <w:szCs w:val="24"/>
                            <w:highlight w:val="none"/>
                          </w:rPr>
                        </m:ctrlPr>
                      </m:e>
                    </m:d>
                    <m:ctrlPr>
                      <w:rPr>
                        <w:rFonts w:hint="default" w:ascii="Cambria Math" w:hAnsi="Cambria Math" w:cs="Times New Roman"/>
                        <w:i/>
                        <w:color w:val="auto"/>
                        <w:kern w:val="0"/>
                        <w:sz w:val="24"/>
                        <w:szCs w:val="24"/>
                        <w:highlight w:val="none"/>
                      </w:rPr>
                    </m:ctrlPr>
                  </m:sub>
                </m:sSub>
                <m:r>
                  <m:rPr/>
                  <w:rPr>
                    <w:rFonts w:hint="default" w:ascii="Cambria Math" w:hAnsi="Cambria Math" w:cs="Times New Roman"/>
                    <w:color w:val="auto"/>
                    <w:kern w:val="0"/>
                    <w:sz w:val="24"/>
                    <w:szCs w:val="24"/>
                    <w:highlight w:val="none"/>
                  </w:rPr>
                  <m:t>−20</m:t>
                </m:r>
                <m:func>
                  <m:funcPr>
                    <m:ctrlPr>
                      <w:rPr>
                        <w:rFonts w:hint="default" w:ascii="Cambria Math" w:hAnsi="Cambria Math" w:cs="Times New Roman"/>
                        <w:color w:val="auto"/>
                        <w:kern w:val="0"/>
                        <w:sz w:val="24"/>
                        <w:szCs w:val="24"/>
                        <w:highlight w:val="none"/>
                      </w:rPr>
                    </m:ctrlPr>
                  </m:funcPr>
                  <m:fName>
                    <m:r>
                      <m:rPr>
                        <m:sty m:val="p"/>
                      </m:rPr>
                      <w:rPr>
                        <w:rFonts w:hint="default" w:ascii="Cambria Math" w:hAnsi="Cambria Math" w:cs="Times New Roman"/>
                        <w:color w:val="auto"/>
                        <w:kern w:val="0"/>
                        <w:sz w:val="24"/>
                        <w:szCs w:val="24"/>
                        <w:highlight w:val="none"/>
                      </w:rPr>
                      <m:t>lg</m:t>
                    </m:r>
                    <m:ctrlPr>
                      <w:rPr>
                        <w:rFonts w:hint="default" w:ascii="Cambria Math" w:hAnsi="Cambria Math" w:cs="Times New Roman"/>
                        <w:color w:val="auto"/>
                        <w:kern w:val="0"/>
                        <w:sz w:val="24"/>
                        <w:szCs w:val="24"/>
                        <w:highlight w:val="none"/>
                      </w:rPr>
                    </m:ctrlPr>
                  </m:fName>
                  <m:e>
                    <m:d>
                      <m:dPr>
                        <m:ctrlPr>
                          <w:rPr>
                            <w:rFonts w:hint="default" w:ascii="Cambria Math" w:hAnsi="Cambria Math" w:cs="Times New Roman"/>
                            <w:i/>
                            <w:color w:val="auto"/>
                            <w:kern w:val="0"/>
                            <w:sz w:val="24"/>
                            <w:szCs w:val="24"/>
                            <w:highlight w:val="none"/>
                          </w:rPr>
                        </m:ctrlPr>
                      </m:dPr>
                      <m:e>
                        <m:f>
                          <m:fPr>
                            <m:type m:val="skw"/>
                            <m:ctrlPr>
                              <w:rPr>
                                <w:rFonts w:hint="default" w:ascii="Cambria Math" w:hAnsi="Cambria Math" w:cs="Times New Roman"/>
                                <w:i/>
                                <w:color w:val="auto"/>
                                <w:kern w:val="0"/>
                                <w:sz w:val="24"/>
                                <w:szCs w:val="24"/>
                                <w:highlight w:val="none"/>
                              </w:rPr>
                            </m:ctrlPr>
                          </m:fPr>
                          <m:num>
                            <m:r>
                              <m:rPr/>
                              <w:rPr>
                                <w:rFonts w:hint="default" w:ascii="Cambria Math" w:hAnsi="Cambria Math" w:cs="Times New Roman"/>
                                <w:color w:val="auto"/>
                                <w:kern w:val="0"/>
                                <w:sz w:val="24"/>
                                <w:szCs w:val="24"/>
                                <w:highlight w:val="none"/>
                              </w:rPr>
                              <m:t>r</m:t>
                            </m:r>
                            <m:ctrlPr>
                              <w:rPr>
                                <w:rFonts w:hint="default" w:ascii="Cambria Math" w:hAnsi="Cambria Math" w:cs="Times New Roman"/>
                                <w:i/>
                                <w:color w:val="auto"/>
                                <w:kern w:val="0"/>
                                <w:sz w:val="24"/>
                                <w:szCs w:val="24"/>
                                <w:highlight w:val="none"/>
                              </w:rPr>
                            </m:ctrlPr>
                          </m:num>
                          <m:den>
                            <m:sSub>
                              <m:sSubPr>
                                <m:ctrlPr>
                                  <w:rPr>
                                    <w:rFonts w:hint="default" w:ascii="Cambria Math" w:hAnsi="Cambria Math" w:cs="Times New Roman"/>
                                    <w:i/>
                                    <w:color w:val="auto"/>
                                    <w:kern w:val="0"/>
                                    <w:sz w:val="24"/>
                                    <w:szCs w:val="24"/>
                                    <w:highlight w:val="none"/>
                                  </w:rPr>
                                </m:ctrlPr>
                              </m:sSubPr>
                              <m:e>
                                <m:r>
                                  <m:rPr/>
                                  <w:rPr>
                                    <w:rFonts w:hint="default" w:ascii="Cambria Math" w:hAnsi="Cambria Math" w:cs="Times New Roman"/>
                                    <w:color w:val="auto"/>
                                    <w:kern w:val="0"/>
                                    <w:sz w:val="24"/>
                                    <w:szCs w:val="24"/>
                                    <w:highlight w:val="none"/>
                                  </w:rPr>
                                  <m:t>r</m:t>
                                </m:r>
                                <m:ctrlPr>
                                  <w:rPr>
                                    <w:rFonts w:hint="default" w:ascii="Cambria Math" w:hAnsi="Cambria Math" w:cs="Times New Roman"/>
                                    <w:i/>
                                    <w:color w:val="auto"/>
                                    <w:kern w:val="0"/>
                                    <w:sz w:val="24"/>
                                    <w:szCs w:val="24"/>
                                    <w:highlight w:val="none"/>
                                  </w:rPr>
                                </m:ctrlPr>
                              </m:e>
                              <m:sub>
                                <m:r>
                                  <m:rPr/>
                                  <w:rPr>
                                    <w:rFonts w:hint="default" w:ascii="Cambria Math" w:hAnsi="Cambria Math" w:cs="Times New Roman"/>
                                    <w:color w:val="auto"/>
                                    <w:kern w:val="0"/>
                                    <w:sz w:val="24"/>
                                    <w:szCs w:val="24"/>
                                    <w:highlight w:val="none"/>
                                  </w:rPr>
                                  <m:t>0</m:t>
                                </m:r>
                                <m:ctrlPr>
                                  <w:rPr>
                                    <w:rFonts w:hint="default" w:ascii="Cambria Math" w:hAnsi="Cambria Math" w:cs="Times New Roman"/>
                                    <w:i/>
                                    <w:color w:val="auto"/>
                                    <w:kern w:val="0"/>
                                    <w:sz w:val="24"/>
                                    <w:szCs w:val="24"/>
                                    <w:highlight w:val="none"/>
                                  </w:rPr>
                                </m:ctrlPr>
                              </m:sub>
                            </m:sSub>
                            <m:ctrlPr>
                              <w:rPr>
                                <w:rFonts w:hint="default" w:ascii="Cambria Math" w:hAnsi="Cambria Math" w:cs="Times New Roman"/>
                                <w:i/>
                                <w:color w:val="auto"/>
                                <w:kern w:val="0"/>
                                <w:sz w:val="24"/>
                                <w:szCs w:val="24"/>
                                <w:highlight w:val="none"/>
                              </w:rPr>
                            </m:ctrlPr>
                          </m:den>
                        </m:f>
                        <m:ctrlPr>
                          <w:rPr>
                            <w:rFonts w:hint="default" w:ascii="Cambria Math" w:hAnsi="Cambria Math" w:cs="Times New Roman"/>
                            <w:i/>
                            <w:color w:val="auto"/>
                            <w:kern w:val="0"/>
                            <w:sz w:val="24"/>
                            <w:szCs w:val="24"/>
                            <w:highlight w:val="none"/>
                          </w:rPr>
                        </m:ctrlPr>
                      </m:e>
                    </m:d>
                    <m:ctrlPr>
                      <w:rPr>
                        <w:rFonts w:hint="default" w:ascii="Cambria Math" w:hAnsi="Cambria Math" w:cs="Times New Roman"/>
                        <w:color w:val="auto"/>
                        <w:kern w:val="0"/>
                        <w:sz w:val="24"/>
                        <w:szCs w:val="24"/>
                        <w:highlight w:val="none"/>
                      </w:rPr>
                    </m:ctrlPr>
                  </m:e>
                </m:func>
                <m:r>
                  <m:rPr/>
                  <w:rPr>
                    <w:rFonts w:hint="default" w:ascii="Cambria Math" w:hAnsi="Cambria Math" w:cs="Times New Roman"/>
                    <w:color w:val="auto"/>
                    <w:kern w:val="0"/>
                    <w:sz w:val="24"/>
                    <w:szCs w:val="24"/>
                    <w:highlight w:val="none"/>
                  </w:rPr>
                  <m:t>−∆L</m:t>
                </m:r>
              </m:oMath>
            </m:oMathPara>
          </w:p>
          <w:p w14:paraId="1F3D092A">
            <w:pPr>
              <w:widowControl w:val="0"/>
              <w:kinsoku/>
              <w:overflowPunct/>
              <w:topLinePunct w:val="0"/>
              <w:bidi w:val="0"/>
              <w:snapToGrid/>
              <w:spacing w:before="79" w:beforeLines="25" w:beforeAutospacing="0" w:after="79" w:afterLines="25" w:afterAutospacing="0" w:line="360" w:lineRule="auto"/>
              <w:ind w:firstLine="480" w:firstLineChars="2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式中：L</w:t>
            </w:r>
            <w:r>
              <w:rPr>
                <w:rFonts w:hint="default" w:ascii="Times New Roman" w:hAnsi="Times New Roman" w:cs="Times New Roman"/>
                <w:color w:val="auto"/>
                <w:kern w:val="0"/>
                <w:sz w:val="24"/>
                <w:szCs w:val="24"/>
                <w:highlight w:val="none"/>
                <w:vertAlign w:val="subscript"/>
              </w:rPr>
              <w:t>（r）</w:t>
            </w:r>
            <w:r>
              <w:rPr>
                <w:rFonts w:hint="default" w:ascii="Times New Roman" w:hAnsi="Times New Roman" w:cs="Times New Roman"/>
                <w:color w:val="auto"/>
                <w:kern w:val="0"/>
                <w:sz w:val="24"/>
                <w:szCs w:val="24"/>
                <w:highlight w:val="none"/>
              </w:rPr>
              <w:t>——距声源r距离上的A声压级；</w:t>
            </w:r>
          </w:p>
          <w:p w14:paraId="0C3F1E5B">
            <w:pPr>
              <w:widowControl w:val="0"/>
              <w:kinsoku/>
              <w:overflowPunct/>
              <w:topLinePunct w:val="0"/>
              <w:bidi w:val="0"/>
              <w:snapToGrid/>
              <w:spacing w:before="79" w:beforeLines="25" w:beforeAutospacing="0" w:after="79" w:afterLines="25" w:afterAutospacing="0" w:line="360" w:lineRule="auto"/>
              <w:ind w:firstLine="1200" w:firstLineChars="5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L</w:t>
            </w:r>
            <w:r>
              <w:rPr>
                <w:rFonts w:hint="default" w:ascii="Times New Roman" w:hAnsi="Times New Roman" w:cs="Times New Roman"/>
                <w:color w:val="auto"/>
                <w:kern w:val="0"/>
                <w:sz w:val="24"/>
                <w:szCs w:val="24"/>
                <w:highlight w:val="none"/>
                <w:vertAlign w:val="subscript"/>
              </w:rPr>
              <w:t>（r0）</w:t>
            </w:r>
            <w:r>
              <w:rPr>
                <w:rFonts w:hint="default" w:ascii="Times New Roman" w:hAnsi="Times New Roman" w:cs="Times New Roman"/>
                <w:color w:val="auto"/>
                <w:kern w:val="0"/>
                <w:sz w:val="24"/>
                <w:szCs w:val="24"/>
                <w:highlight w:val="none"/>
              </w:rPr>
              <w:t>——距声源r距离上的A声压级；</w:t>
            </w:r>
          </w:p>
          <w:p w14:paraId="5FCBB37C">
            <w:pPr>
              <w:widowControl w:val="0"/>
              <w:kinsoku/>
              <w:overflowPunct/>
              <w:topLinePunct w:val="0"/>
              <w:bidi w:val="0"/>
              <w:snapToGrid/>
              <w:spacing w:before="79" w:beforeLines="25" w:beforeAutospacing="0" w:after="79" w:afterLines="25" w:afterAutospacing="0" w:line="360" w:lineRule="auto"/>
              <w:ind w:firstLine="1200" w:firstLineChars="5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ΔL——声屏障、遮挡物、空气吸收地面效应引起的衰减量；</w:t>
            </w:r>
          </w:p>
          <w:p w14:paraId="2B93A20E">
            <w:pPr>
              <w:widowControl w:val="0"/>
              <w:kinsoku/>
              <w:overflowPunct/>
              <w:topLinePunct w:val="0"/>
              <w:bidi w:val="0"/>
              <w:snapToGrid/>
              <w:spacing w:before="79" w:beforeLines="25" w:beforeAutospacing="0" w:after="79" w:afterLines="25" w:afterAutospacing="0" w:line="360" w:lineRule="auto"/>
              <w:ind w:firstLine="1200" w:firstLineChars="5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r</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r</w:t>
            </w:r>
            <w:r>
              <w:rPr>
                <w:rFonts w:hint="default" w:ascii="Times New Roman" w:hAnsi="Times New Roman" w:cs="Times New Roman"/>
                <w:color w:val="auto"/>
                <w:kern w:val="0"/>
                <w:sz w:val="24"/>
                <w:szCs w:val="24"/>
                <w:highlight w:val="none"/>
                <w:vertAlign w:val="subscript"/>
              </w:rPr>
              <w:t>0</w:t>
            </w:r>
            <w:r>
              <w:rPr>
                <w:rFonts w:hint="default" w:ascii="Times New Roman" w:hAnsi="Times New Roman" w:cs="Times New Roman"/>
                <w:color w:val="auto"/>
                <w:kern w:val="0"/>
                <w:sz w:val="24"/>
                <w:szCs w:val="24"/>
                <w:highlight w:val="none"/>
              </w:rPr>
              <w:t>——距声源距离（m）。</w:t>
            </w:r>
          </w:p>
          <w:p w14:paraId="77D48F9C">
            <w:pPr>
              <w:widowControl w:val="0"/>
              <w:kinsoku/>
              <w:overflowPunct/>
              <w:topLinePunct w:val="0"/>
              <w:bidi w:val="0"/>
              <w:snapToGrid/>
              <w:spacing w:before="79" w:beforeLines="25" w:beforeAutospacing="0" w:after="79" w:afterLines="25" w:afterAutospacing="0" w:line="360" w:lineRule="auto"/>
              <w:ind w:firstLine="480" w:firstLineChars="2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（2）多源叠加计算总声压级</w:t>
            </w:r>
          </w:p>
          <w:p w14:paraId="57F11B24">
            <w:pPr>
              <w:widowControl w:val="0"/>
              <w:kinsoku/>
              <w:overflowPunct/>
              <w:topLinePunct w:val="0"/>
              <w:bidi w:val="0"/>
              <w:snapToGrid/>
              <w:spacing w:before="79" w:beforeLines="25" w:beforeAutospacing="0" w:after="79" w:afterLines="25" w:afterAutospacing="0" w:line="360" w:lineRule="auto"/>
              <w:ind w:firstLine="480" w:firstLineChars="2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各受声点上受到多个声源的影响叠加，计算公式如下：</w:t>
            </w:r>
          </w:p>
          <w:p w14:paraId="471DB94F">
            <w:pPr>
              <w:widowControl w:val="0"/>
              <w:kinsoku/>
              <w:overflowPunct/>
              <w:topLinePunct w:val="0"/>
              <w:bidi w:val="0"/>
              <w:snapToGrid/>
              <w:spacing w:before="79" w:beforeLines="25" w:beforeAutospacing="0" w:after="79" w:afterLines="25" w:afterAutospacing="0" w:line="360" w:lineRule="auto"/>
              <w:ind w:firstLine="480" w:firstLineChars="200"/>
              <w:contextualSpacing/>
              <w:rPr>
                <w:rFonts w:hint="default" w:ascii="Times New Roman" w:hAnsi="Times New Roman" w:cs="Times New Roman"/>
                <w:color w:val="auto"/>
                <w:kern w:val="0"/>
                <w:sz w:val="24"/>
                <w:szCs w:val="24"/>
                <w:highlight w:val="none"/>
              </w:rPr>
            </w:pPr>
            <m:oMathPara>
              <m:oMath>
                <m:r>
                  <m:rPr/>
                  <w:rPr>
                    <w:rFonts w:hint="default" w:ascii="Cambria Math" w:hAnsi="Cambria Math" w:cs="Times New Roman"/>
                    <w:color w:val="auto"/>
                    <w:kern w:val="0"/>
                    <w:sz w:val="24"/>
                    <w:szCs w:val="24"/>
                    <w:highlight w:val="none"/>
                  </w:rPr>
                  <m:t>Leq</m:t>
                </m:r>
                <m:r>
                  <m:rPr>
                    <m:sty m:val="p"/>
                  </m:rPr>
                  <w:rPr>
                    <w:rFonts w:hint="default" w:ascii="Cambria Math" w:hAnsi="Cambria Math" w:cs="Times New Roman"/>
                    <w:color w:val="auto"/>
                    <w:kern w:val="0"/>
                    <w:sz w:val="24"/>
                    <w:szCs w:val="24"/>
                    <w:highlight w:val="none"/>
                  </w:rPr>
                  <m:t>总=10lg⁡[</m:t>
                </m:r>
                <m:nary>
                  <m:naryPr>
                    <m:chr m:val="∑"/>
                    <m:limLoc m:val="undOvr"/>
                    <m:ctrlPr>
                      <w:rPr>
                        <w:rFonts w:hint="default" w:ascii="Cambria Math" w:hAnsi="Cambria Math" w:cs="Times New Roman"/>
                        <w:color w:val="auto"/>
                        <w:kern w:val="0"/>
                        <w:sz w:val="24"/>
                        <w:szCs w:val="24"/>
                        <w:highlight w:val="none"/>
                      </w:rPr>
                    </m:ctrlPr>
                  </m:naryPr>
                  <m:sub>
                    <m:r>
                      <m:rPr/>
                      <w:rPr>
                        <w:rFonts w:hint="default" w:ascii="Cambria Math" w:hAnsi="Cambria Math" w:cs="Times New Roman"/>
                        <w:color w:val="auto"/>
                        <w:kern w:val="0"/>
                        <w:sz w:val="24"/>
                        <w:szCs w:val="24"/>
                        <w:highlight w:val="none"/>
                      </w:rPr>
                      <m:t>i=1</m:t>
                    </m:r>
                    <m:ctrlPr>
                      <w:rPr>
                        <w:rFonts w:hint="default" w:ascii="Cambria Math" w:hAnsi="Cambria Math" w:cs="Times New Roman"/>
                        <w:color w:val="auto"/>
                        <w:kern w:val="0"/>
                        <w:sz w:val="24"/>
                        <w:szCs w:val="24"/>
                        <w:highlight w:val="none"/>
                      </w:rPr>
                    </m:ctrlPr>
                  </m:sub>
                  <m:sup>
                    <m:r>
                      <m:rPr/>
                      <w:rPr>
                        <w:rFonts w:hint="default" w:ascii="Cambria Math" w:hAnsi="Cambria Math" w:cs="Times New Roman"/>
                        <w:color w:val="auto"/>
                        <w:kern w:val="0"/>
                        <w:sz w:val="24"/>
                        <w:szCs w:val="24"/>
                        <w:highlight w:val="none"/>
                      </w:rPr>
                      <m:t>n</m:t>
                    </m:r>
                    <m:ctrlPr>
                      <w:rPr>
                        <w:rFonts w:hint="default" w:ascii="Cambria Math" w:hAnsi="Cambria Math" w:cs="Times New Roman"/>
                        <w:color w:val="auto"/>
                        <w:kern w:val="0"/>
                        <w:sz w:val="24"/>
                        <w:szCs w:val="24"/>
                        <w:highlight w:val="none"/>
                      </w:rPr>
                    </m:ctrlPr>
                  </m:sup>
                  <m:e>
                    <m:sSup>
                      <m:sSupPr>
                        <m:ctrlPr>
                          <w:rPr>
                            <w:rFonts w:hint="default" w:ascii="Cambria Math" w:hAnsi="Cambria Math" w:cs="Times New Roman"/>
                            <w:i/>
                            <w:color w:val="auto"/>
                            <w:kern w:val="0"/>
                            <w:sz w:val="24"/>
                            <w:szCs w:val="24"/>
                            <w:highlight w:val="none"/>
                          </w:rPr>
                        </m:ctrlPr>
                      </m:sSupPr>
                      <m:e>
                        <m:r>
                          <m:rPr/>
                          <w:rPr>
                            <w:rFonts w:hint="default" w:ascii="Cambria Math" w:hAnsi="Cambria Math" w:cs="Times New Roman"/>
                            <w:color w:val="auto"/>
                            <w:kern w:val="0"/>
                            <w:sz w:val="24"/>
                            <w:szCs w:val="24"/>
                            <w:highlight w:val="none"/>
                          </w:rPr>
                          <m:t>10</m:t>
                        </m:r>
                        <m:ctrlPr>
                          <w:rPr>
                            <w:rFonts w:hint="default" w:ascii="Cambria Math" w:hAnsi="Cambria Math" w:cs="Times New Roman"/>
                            <w:i/>
                            <w:color w:val="auto"/>
                            <w:kern w:val="0"/>
                            <w:sz w:val="24"/>
                            <w:szCs w:val="24"/>
                            <w:highlight w:val="none"/>
                          </w:rPr>
                        </m:ctrlPr>
                      </m:e>
                      <m:sup>
                        <m:r>
                          <m:rPr/>
                          <w:rPr>
                            <w:rFonts w:hint="default" w:ascii="Cambria Math" w:hAnsi="Cambria Math" w:cs="Times New Roman"/>
                            <w:color w:val="auto"/>
                            <w:kern w:val="0"/>
                            <w:sz w:val="24"/>
                            <w:szCs w:val="24"/>
                            <w:highlight w:val="none"/>
                          </w:rPr>
                          <m:t>0.1</m:t>
                        </m:r>
                        <m:sSub>
                          <m:sSubPr>
                            <m:ctrlPr>
                              <w:rPr>
                                <w:rFonts w:hint="default" w:ascii="Cambria Math" w:hAnsi="Cambria Math" w:cs="Times New Roman"/>
                                <w:i/>
                                <w:color w:val="auto"/>
                                <w:kern w:val="0"/>
                                <w:sz w:val="24"/>
                                <w:szCs w:val="24"/>
                                <w:highlight w:val="none"/>
                              </w:rPr>
                            </m:ctrlPr>
                          </m:sSubPr>
                          <m:e>
                            <m:r>
                              <m:rPr/>
                              <w:rPr>
                                <w:rFonts w:hint="default" w:ascii="Cambria Math" w:hAnsi="Cambria Math" w:cs="Times New Roman"/>
                                <w:color w:val="auto"/>
                                <w:kern w:val="0"/>
                                <w:sz w:val="24"/>
                                <w:szCs w:val="24"/>
                                <w:highlight w:val="none"/>
                              </w:rPr>
                              <m:t>Leq</m:t>
                            </m:r>
                            <m:ctrlPr>
                              <w:rPr>
                                <w:rFonts w:hint="default" w:ascii="Cambria Math" w:hAnsi="Cambria Math" w:cs="Times New Roman"/>
                                <w:i/>
                                <w:color w:val="auto"/>
                                <w:kern w:val="0"/>
                                <w:sz w:val="24"/>
                                <w:szCs w:val="24"/>
                                <w:highlight w:val="none"/>
                              </w:rPr>
                            </m:ctrlPr>
                          </m:e>
                          <m:sub>
                            <m:r>
                              <m:rPr/>
                              <w:rPr>
                                <w:rFonts w:hint="default" w:ascii="Cambria Math" w:hAnsi="Cambria Math" w:cs="Times New Roman"/>
                                <w:color w:val="auto"/>
                                <w:kern w:val="0"/>
                                <w:sz w:val="24"/>
                                <w:szCs w:val="24"/>
                                <w:highlight w:val="none"/>
                              </w:rPr>
                              <m:t>i</m:t>
                            </m:r>
                            <m:ctrlPr>
                              <w:rPr>
                                <w:rFonts w:hint="default" w:ascii="Cambria Math" w:hAnsi="Cambria Math" w:cs="Times New Roman"/>
                                <w:i/>
                                <w:color w:val="auto"/>
                                <w:kern w:val="0"/>
                                <w:sz w:val="24"/>
                                <w:szCs w:val="24"/>
                                <w:highlight w:val="none"/>
                              </w:rPr>
                            </m:ctrlPr>
                          </m:sub>
                        </m:sSub>
                        <m:ctrlPr>
                          <w:rPr>
                            <w:rFonts w:hint="default" w:ascii="Cambria Math" w:hAnsi="Cambria Math" w:cs="Times New Roman"/>
                            <w:i/>
                            <w:color w:val="auto"/>
                            <w:kern w:val="0"/>
                            <w:sz w:val="24"/>
                            <w:szCs w:val="24"/>
                            <w:highlight w:val="none"/>
                          </w:rPr>
                        </m:ctrlPr>
                      </m:sup>
                    </m:sSup>
                    <m:ctrlPr>
                      <w:rPr>
                        <w:rFonts w:hint="default" w:ascii="Cambria Math" w:hAnsi="Cambria Math" w:cs="Times New Roman"/>
                        <w:color w:val="auto"/>
                        <w:kern w:val="0"/>
                        <w:sz w:val="24"/>
                        <w:szCs w:val="24"/>
                        <w:highlight w:val="none"/>
                      </w:rPr>
                    </m:ctrlPr>
                  </m:e>
                </m:nary>
                <m:r>
                  <m:rPr>
                    <m:sty m:val="p"/>
                  </m:rPr>
                  <w:rPr>
                    <w:rFonts w:hint="default" w:ascii="Cambria Math" w:hAnsi="Cambria Math" w:cs="Times New Roman"/>
                    <w:color w:val="auto"/>
                    <w:kern w:val="0"/>
                    <w:sz w:val="24"/>
                    <w:szCs w:val="24"/>
                    <w:highlight w:val="none"/>
                  </w:rPr>
                  <m:t>]</m:t>
                </m:r>
              </m:oMath>
            </m:oMathPara>
          </w:p>
          <w:p w14:paraId="300774C5">
            <w:pPr>
              <w:widowControl w:val="0"/>
              <w:kinsoku/>
              <w:overflowPunct/>
              <w:topLinePunct w:val="0"/>
              <w:bidi w:val="0"/>
              <w:snapToGrid/>
              <w:spacing w:before="79" w:beforeLines="25" w:beforeAutospacing="0" w:after="79" w:afterLines="25" w:afterAutospacing="0" w:line="360" w:lineRule="auto"/>
              <w:ind w:firstLine="480" w:firstLineChars="2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式中：Leq</w:t>
            </w:r>
            <w:r>
              <w:rPr>
                <w:rFonts w:hint="default" w:ascii="Times New Roman" w:hAnsi="Times New Roman" w:cs="Times New Roman"/>
                <w:color w:val="auto"/>
                <w:kern w:val="0"/>
                <w:sz w:val="24"/>
                <w:szCs w:val="24"/>
                <w:highlight w:val="none"/>
                <w:vertAlign w:val="subscript"/>
              </w:rPr>
              <w:t>总</w:t>
            </w:r>
            <w:r>
              <w:rPr>
                <w:rFonts w:hint="default" w:ascii="Times New Roman" w:hAnsi="Times New Roman" w:cs="Times New Roman"/>
                <w:color w:val="auto"/>
                <w:kern w:val="0"/>
                <w:sz w:val="24"/>
                <w:szCs w:val="24"/>
                <w:highlight w:val="none"/>
              </w:rPr>
              <w:t>——总等效声级，dB（A）；</w:t>
            </w:r>
          </w:p>
          <w:p w14:paraId="53CCCE6F">
            <w:pPr>
              <w:widowControl w:val="0"/>
              <w:kinsoku/>
              <w:overflowPunct/>
              <w:topLinePunct w:val="0"/>
              <w:bidi w:val="0"/>
              <w:snapToGrid/>
              <w:spacing w:before="79" w:beforeLines="25" w:beforeAutospacing="0" w:after="79" w:afterLines="25" w:afterAutospacing="0" w:line="360" w:lineRule="auto"/>
              <w:ind w:firstLine="1200" w:firstLineChars="500"/>
              <w:contextualSpacing/>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Leq</w:t>
            </w:r>
            <w:r>
              <w:rPr>
                <w:rFonts w:hint="default" w:ascii="Times New Roman" w:hAnsi="Times New Roman" w:cs="Times New Roman"/>
                <w:color w:val="auto"/>
                <w:kern w:val="0"/>
                <w:sz w:val="24"/>
                <w:szCs w:val="24"/>
                <w:highlight w:val="none"/>
                <w:vertAlign w:val="subscript"/>
              </w:rPr>
              <w:t>i</w:t>
            </w:r>
            <w:r>
              <w:rPr>
                <w:rFonts w:hint="default" w:ascii="Times New Roman" w:hAnsi="Times New Roman" w:cs="Times New Roman"/>
                <w:color w:val="auto"/>
                <w:kern w:val="0"/>
                <w:sz w:val="24"/>
                <w:szCs w:val="24"/>
                <w:highlight w:val="none"/>
              </w:rPr>
              <w:t>——第i声源对某预测点的等效声级，dB（A）；</w:t>
            </w:r>
          </w:p>
          <w:p w14:paraId="0C72178E">
            <w:pPr>
              <w:widowControl/>
              <w:spacing w:line="360" w:lineRule="auto"/>
              <w:ind w:firstLine="1200" w:firstLineChars="500"/>
              <w:jc w:val="left"/>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cs="Times New Roman"/>
                <w:color w:val="auto"/>
                <w:kern w:val="0"/>
                <w:sz w:val="24"/>
                <w:szCs w:val="24"/>
                <w:highlight w:val="none"/>
              </w:rPr>
              <w:t>n——声源总数。</w:t>
            </w:r>
          </w:p>
          <w:p w14:paraId="1219A4E6">
            <w:pPr>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本项目夜间不生产，因此噪声预测仅预测昼间贡献值，</w:t>
            </w:r>
            <w:r>
              <w:rPr>
                <w:rFonts w:hint="default" w:ascii="Times New Roman" w:hAnsi="Times New Roman" w:eastAsia="宋体" w:cs="Times New Roman"/>
                <w:color w:val="auto"/>
                <w:sz w:val="24"/>
                <w:szCs w:val="24"/>
                <w:highlight w:val="none"/>
                <w:lang w:eastAsia="zh-CN"/>
              </w:rPr>
              <w:t>通过预测模型计算，项目厂界噪声预测结果与达标分析见</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eastAsia="zh-CN"/>
              </w:rPr>
              <w:t>表。</w:t>
            </w:r>
          </w:p>
          <w:p w14:paraId="0A475B08">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厂界噪声预测结果与达标分析表</w:t>
            </w:r>
            <w:bookmarkStart w:id="5" w:name="PT_7"/>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1381"/>
              <w:gridCol w:w="2048"/>
              <w:gridCol w:w="2050"/>
              <w:gridCol w:w="1645"/>
            </w:tblGrid>
            <w:tr w14:paraId="371E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882" w:type="pct"/>
                  <w:vMerge w:val="restart"/>
                  <w:noWrap w:val="0"/>
                  <w:vAlign w:val="center"/>
                </w:tcPr>
                <w:p w14:paraId="219182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798" w:type="pct"/>
                  <w:vMerge w:val="restart"/>
                  <w:noWrap w:val="0"/>
                  <w:vAlign w:val="center"/>
                </w:tcPr>
                <w:p w14:paraId="4FE880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183" w:type="pct"/>
                  <w:vMerge w:val="restart"/>
                  <w:noWrap w:val="0"/>
                  <w:vAlign w:val="center"/>
                </w:tcPr>
                <w:p w14:paraId="3122CA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预测值（dB(A)）</w:t>
                  </w:r>
                </w:p>
              </w:tc>
              <w:tc>
                <w:tcPr>
                  <w:tcW w:w="1184" w:type="pct"/>
                  <w:vMerge w:val="restart"/>
                  <w:noWrap w:val="0"/>
                  <w:vAlign w:val="center"/>
                </w:tcPr>
                <w:p w14:paraId="28FE6E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标准限值（dB(A)）</w:t>
                  </w:r>
                </w:p>
              </w:tc>
              <w:tc>
                <w:tcPr>
                  <w:tcW w:w="950" w:type="pct"/>
                  <w:vMerge w:val="restart"/>
                  <w:noWrap w:val="0"/>
                  <w:vAlign w:val="center"/>
                </w:tcPr>
                <w:p w14:paraId="1E3022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14:paraId="77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2" w:type="pct"/>
                  <w:vMerge w:val="continue"/>
                  <w:shd w:val="clear" w:color="auto" w:fill="FFFFFF"/>
                  <w:noWrap w:val="0"/>
                  <w:vAlign w:val="center"/>
                </w:tcPr>
                <w:p w14:paraId="31C65F74">
                  <w:pPr>
                    <w:jc w:val="center"/>
                    <w:rPr>
                      <w:rFonts w:hint="default" w:ascii="Times New Roman" w:hAnsi="Times New Roman" w:eastAsia="宋体" w:cs="Times New Roman"/>
                      <w:color w:val="auto"/>
                      <w:sz w:val="21"/>
                      <w:szCs w:val="21"/>
                      <w:highlight w:val="none"/>
                    </w:rPr>
                  </w:pPr>
                </w:p>
              </w:tc>
              <w:tc>
                <w:tcPr>
                  <w:tcW w:w="798" w:type="pct"/>
                  <w:vMerge w:val="continue"/>
                  <w:shd w:val="clear" w:color="auto" w:fill="FFFFFF"/>
                  <w:noWrap w:val="0"/>
                  <w:vAlign w:val="center"/>
                </w:tcPr>
                <w:p w14:paraId="2EC87F47">
                  <w:pPr>
                    <w:jc w:val="center"/>
                    <w:rPr>
                      <w:rFonts w:hint="default" w:ascii="Times New Roman" w:hAnsi="Times New Roman" w:eastAsia="宋体" w:cs="Times New Roman"/>
                      <w:color w:val="auto"/>
                      <w:sz w:val="21"/>
                      <w:szCs w:val="21"/>
                      <w:highlight w:val="none"/>
                    </w:rPr>
                  </w:pPr>
                </w:p>
              </w:tc>
              <w:tc>
                <w:tcPr>
                  <w:tcW w:w="1183" w:type="pct"/>
                  <w:vMerge w:val="continue"/>
                  <w:shd w:val="clear" w:color="auto" w:fill="FFFFFF"/>
                  <w:noWrap w:val="0"/>
                  <w:vAlign w:val="center"/>
                </w:tcPr>
                <w:p w14:paraId="5167FCFE">
                  <w:pPr>
                    <w:jc w:val="center"/>
                    <w:rPr>
                      <w:rFonts w:hint="default" w:ascii="Times New Roman" w:hAnsi="Times New Roman" w:eastAsia="宋体" w:cs="Times New Roman"/>
                      <w:color w:val="auto"/>
                      <w:sz w:val="21"/>
                      <w:szCs w:val="21"/>
                      <w:highlight w:val="none"/>
                    </w:rPr>
                  </w:pPr>
                </w:p>
              </w:tc>
              <w:tc>
                <w:tcPr>
                  <w:tcW w:w="1184" w:type="pct"/>
                  <w:vMerge w:val="continue"/>
                  <w:shd w:val="clear" w:color="auto" w:fill="FFFFFF"/>
                  <w:noWrap w:val="0"/>
                  <w:vAlign w:val="center"/>
                </w:tcPr>
                <w:p w14:paraId="4E24752D">
                  <w:pPr>
                    <w:jc w:val="center"/>
                    <w:rPr>
                      <w:rFonts w:hint="default" w:ascii="Times New Roman" w:hAnsi="Times New Roman" w:eastAsia="宋体" w:cs="Times New Roman"/>
                      <w:color w:val="auto"/>
                      <w:sz w:val="21"/>
                      <w:szCs w:val="21"/>
                      <w:highlight w:val="none"/>
                    </w:rPr>
                  </w:pPr>
                </w:p>
              </w:tc>
              <w:tc>
                <w:tcPr>
                  <w:tcW w:w="950" w:type="pct"/>
                  <w:vMerge w:val="continue"/>
                  <w:shd w:val="clear" w:color="auto" w:fill="FFFFFF"/>
                  <w:noWrap w:val="0"/>
                  <w:vAlign w:val="center"/>
                </w:tcPr>
                <w:p w14:paraId="2D1C7E73">
                  <w:pPr>
                    <w:jc w:val="center"/>
                    <w:rPr>
                      <w:rFonts w:hint="default" w:ascii="Times New Roman" w:hAnsi="Times New Roman" w:eastAsia="宋体" w:cs="Times New Roman"/>
                      <w:color w:val="auto"/>
                      <w:sz w:val="21"/>
                      <w:szCs w:val="21"/>
                      <w:highlight w:val="none"/>
                    </w:rPr>
                  </w:pPr>
                </w:p>
              </w:tc>
            </w:tr>
            <w:tr w14:paraId="43CB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2" w:type="pct"/>
                  <w:noWrap w:val="0"/>
                  <w:vAlign w:val="center"/>
                </w:tcPr>
                <w:p w14:paraId="3959CC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798" w:type="pct"/>
                  <w:noWrap w:val="0"/>
                  <w:vAlign w:val="center"/>
                </w:tcPr>
                <w:p w14:paraId="09013C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183" w:type="pct"/>
                  <w:noWrap w:val="0"/>
                  <w:vAlign w:val="center"/>
                </w:tcPr>
                <w:p w14:paraId="1694FC2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30.9</w:t>
                  </w:r>
                </w:p>
              </w:tc>
              <w:tc>
                <w:tcPr>
                  <w:tcW w:w="1184" w:type="pct"/>
                  <w:noWrap w:val="0"/>
                  <w:vAlign w:val="center"/>
                </w:tcPr>
                <w:p w14:paraId="5022B99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950" w:type="pct"/>
                  <w:noWrap w:val="0"/>
                  <w:vAlign w:val="center"/>
                </w:tcPr>
                <w:p w14:paraId="49AE7E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48E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2" w:type="pct"/>
                  <w:noWrap w:val="0"/>
                  <w:vAlign w:val="center"/>
                </w:tcPr>
                <w:p w14:paraId="6430C0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798" w:type="pct"/>
                  <w:noWrap w:val="0"/>
                  <w:vAlign w:val="center"/>
                </w:tcPr>
                <w:p w14:paraId="75B5C8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183" w:type="pct"/>
                  <w:noWrap w:val="0"/>
                  <w:vAlign w:val="center"/>
                </w:tcPr>
                <w:p w14:paraId="66E663D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38.6</w:t>
                  </w:r>
                </w:p>
              </w:tc>
              <w:tc>
                <w:tcPr>
                  <w:tcW w:w="1184" w:type="pct"/>
                  <w:noWrap w:val="0"/>
                  <w:vAlign w:val="center"/>
                </w:tcPr>
                <w:p w14:paraId="20B38F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65</w:t>
                  </w:r>
                </w:p>
              </w:tc>
              <w:tc>
                <w:tcPr>
                  <w:tcW w:w="950" w:type="pct"/>
                  <w:noWrap w:val="0"/>
                  <w:vAlign w:val="center"/>
                </w:tcPr>
                <w:p w14:paraId="5F5AD1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4603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2" w:type="pct"/>
                  <w:noWrap w:val="0"/>
                  <w:vAlign w:val="center"/>
                </w:tcPr>
                <w:p w14:paraId="41DE57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798" w:type="pct"/>
                  <w:noWrap w:val="0"/>
                  <w:vAlign w:val="center"/>
                </w:tcPr>
                <w:p w14:paraId="2A30C1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183" w:type="pct"/>
                  <w:noWrap w:val="0"/>
                  <w:vAlign w:val="center"/>
                </w:tcPr>
                <w:p w14:paraId="5350C7C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45.5</w:t>
                  </w:r>
                </w:p>
              </w:tc>
              <w:tc>
                <w:tcPr>
                  <w:tcW w:w="1184" w:type="pct"/>
                  <w:noWrap w:val="0"/>
                  <w:vAlign w:val="center"/>
                </w:tcPr>
                <w:p w14:paraId="45C982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65</w:t>
                  </w:r>
                </w:p>
              </w:tc>
              <w:tc>
                <w:tcPr>
                  <w:tcW w:w="950" w:type="pct"/>
                  <w:noWrap w:val="0"/>
                  <w:vAlign w:val="center"/>
                </w:tcPr>
                <w:p w14:paraId="4B33FC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564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2" w:type="pct"/>
                  <w:noWrap w:val="0"/>
                  <w:vAlign w:val="center"/>
                </w:tcPr>
                <w:p w14:paraId="393745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798" w:type="pct"/>
                  <w:noWrap w:val="0"/>
                  <w:vAlign w:val="center"/>
                </w:tcPr>
                <w:p w14:paraId="3A4D32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183" w:type="pct"/>
                  <w:noWrap w:val="0"/>
                  <w:vAlign w:val="center"/>
                </w:tcPr>
                <w:p w14:paraId="3CAD692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30.9</w:t>
                  </w:r>
                </w:p>
              </w:tc>
              <w:tc>
                <w:tcPr>
                  <w:tcW w:w="1184" w:type="pct"/>
                  <w:noWrap w:val="0"/>
                  <w:vAlign w:val="center"/>
                </w:tcPr>
                <w:p w14:paraId="1714AA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65</w:t>
                  </w:r>
                </w:p>
              </w:tc>
              <w:tc>
                <w:tcPr>
                  <w:tcW w:w="950" w:type="pct"/>
                  <w:noWrap w:val="0"/>
                  <w:vAlign w:val="center"/>
                </w:tcPr>
                <w:p w14:paraId="12329F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bookmarkEnd w:id="5"/>
          </w:tbl>
          <w:p w14:paraId="076F36A7">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eastAsia="zh-CN" w:bidi="ar"/>
              </w:rPr>
              <w:t>由上表可知，正常工况下，项目厂界</w:t>
            </w:r>
            <w:r>
              <w:rPr>
                <w:rFonts w:hint="eastAsia" w:ascii="Times New Roman" w:hAnsi="Times New Roman" w:eastAsia="宋体" w:cs="Times New Roman"/>
                <w:color w:val="auto"/>
                <w:kern w:val="0"/>
                <w:sz w:val="24"/>
                <w:highlight w:val="none"/>
                <w:lang w:val="en-US" w:eastAsia="zh-CN" w:bidi="ar"/>
              </w:rPr>
              <w:t>昼间</w:t>
            </w:r>
            <w:r>
              <w:rPr>
                <w:rFonts w:hint="default" w:ascii="Times New Roman" w:hAnsi="Times New Roman" w:eastAsia="宋体" w:cs="Times New Roman"/>
                <w:color w:val="auto"/>
                <w:kern w:val="0"/>
                <w:sz w:val="24"/>
                <w:highlight w:val="none"/>
                <w:lang w:eastAsia="zh-CN" w:bidi="ar"/>
              </w:rPr>
              <w:t>噪声满足《工业企业厂界环境噪声排放标准》(GB12348.2008)</w:t>
            </w:r>
            <w:r>
              <w:rPr>
                <w:rFonts w:hint="eastAsia" w:cs="Times New Roman"/>
                <w:color w:val="auto"/>
                <w:kern w:val="0"/>
                <w:sz w:val="24"/>
                <w:highlight w:val="none"/>
                <w:lang w:val="en-US" w:eastAsia="zh-CN" w:bidi="ar"/>
              </w:rPr>
              <w:t>中</w:t>
            </w:r>
            <w:r>
              <w:rPr>
                <w:rFonts w:hint="default" w:ascii="Times New Roman" w:hAnsi="Times New Roman" w:eastAsia="宋体" w:cs="Times New Roman"/>
                <w:color w:val="auto"/>
                <w:kern w:val="0"/>
                <w:sz w:val="24"/>
                <w:highlight w:val="none"/>
                <w:lang w:val="en-US" w:eastAsia="zh-CN" w:bidi="ar"/>
              </w:rPr>
              <w:t>3</w:t>
            </w:r>
            <w:r>
              <w:rPr>
                <w:rFonts w:hint="default" w:ascii="Times New Roman" w:hAnsi="Times New Roman" w:eastAsia="宋体" w:cs="Times New Roman"/>
                <w:color w:val="auto"/>
                <w:kern w:val="0"/>
                <w:sz w:val="24"/>
                <w:highlight w:val="none"/>
                <w:lang w:eastAsia="zh-CN" w:bidi="ar"/>
              </w:rPr>
              <w:t>类标准。</w:t>
            </w:r>
          </w:p>
          <w:p w14:paraId="475FBCBB">
            <w:pPr>
              <w:widowControl/>
              <w:spacing w:line="360" w:lineRule="auto"/>
              <w:jc w:val="left"/>
              <w:rPr>
                <w:rFonts w:hint="default" w:ascii="Times New Roman" w:hAnsi="Times New Roman" w:cs="Times New Roman"/>
                <w:color w:val="auto"/>
                <w:kern w:val="0"/>
                <w:sz w:val="24"/>
                <w:highlight w:val="none"/>
                <w:lang w:bidi="ar"/>
              </w:rPr>
            </w:pPr>
            <w:r>
              <w:rPr>
                <w:rFonts w:hint="default" w:ascii="Times New Roman" w:hAnsi="Times New Roman" w:eastAsia="宋体" w:cs="Times New Roman"/>
                <w:b/>
                <w:bCs/>
                <w:color w:val="auto"/>
                <w:kern w:val="0"/>
                <w:sz w:val="24"/>
                <w:highlight w:val="none"/>
                <w:lang w:val="en-US" w:eastAsia="zh-CN"/>
              </w:rPr>
              <w:t>3.3</w:t>
            </w:r>
            <w:r>
              <w:rPr>
                <w:rFonts w:hint="default" w:ascii="Times New Roman" w:hAnsi="Times New Roman" w:cs="Times New Roman"/>
                <w:b/>
                <w:bCs/>
                <w:color w:val="auto"/>
                <w:kern w:val="0"/>
                <w:sz w:val="24"/>
                <w:highlight w:val="none"/>
              </w:rPr>
              <w:t>运营期噪声防治措施</w:t>
            </w:r>
          </w:p>
          <w:p w14:paraId="5F7F85E5">
            <w:pPr>
              <w:widowControl/>
              <w:spacing w:line="360" w:lineRule="auto"/>
              <w:ind w:firstLine="480" w:firstLineChars="200"/>
              <w:jc w:val="left"/>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 xml:space="preserve">（1）在项目的设计和设备采购阶段，尽量选用先进的低噪动力设备，并要求制造厂家采取隔音、消声和减震等措施，以降低噪声源强。 </w:t>
            </w:r>
          </w:p>
          <w:p w14:paraId="60330DB5">
            <w:pPr>
              <w:widowControl/>
              <w:spacing w:line="360" w:lineRule="auto"/>
              <w:ind w:firstLine="480" w:firstLineChars="200"/>
              <w:jc w:val="left"/>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（2）各类泵均应采用阻尼、隔振、吸声和隔声</w:t>
            </w:r>
            <w:r>
              <w:rPr>
                <w:rFonts w:hint="default" w:ascii="Times New Roman" w:hAnsi="Times New Roman" w:cs="Times New Roman"/>
                <w:color w:val="auto"/>
                <w:kern w:val="0"/>
                <w:sz w:val="24"/>
                <w:highlight w:val="none"/>
                <w:lang w:eastAsia="zh-CN" w:bidi="ar"/>
              </w:rPr>
              <w:t>综合治理</w:t>
            </w:r>
            <w:r>
              <w:rPr>
                <w:rFonts w:hint="default" w:ascii="Times New Roman" w:hAnsi="Times New Roman" w:cs="Times New Roman"/>
                <w:color w:val="auto"/>
                <w:kern w:val="0"/>
                <w:sz w:val="24"/>
                <w:highlight w:val="none"/>
                <w:lang w:bidi="ar"/>
              </w:rPr>
              <w:t xml:space="preserve">手段，以减少高频噪声对周围环境的污染。 </w:t>
            </w:r>
          </w:p>
          <w:p w14:paraId="4C249F2C">
            <w:pPr>
              <w:widowControl/>
              <w:spacing w:line="360" w:lineRule="auto"/>
              <w:ind w:firstLine="480" w:firstLineChars="200"/>
              <w:jc w:val="left"/>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 xml:space="preserve">（3）加强设备维护，确保设备运行状态良好，避免设备不正常运转产生的高噪声现象。 </w:t>
            </w:r>
          </w:p>
          <w:p w14:paraId="3116D6F7">
            <w:pPr>
              <w:widowControl/>
              <w:spacing w:line="360" w:lineRule="auto"/>
              <w:ind w:firstLine="480" w:firstLineChars="200"/>
              <w:jc w:val="left"/>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 xml:space="preserve">（4）在总图布置时，采取“闹静分开”的原则进行合理布局，尽量将高噪声源远离噪声敏感区域，高噪声源与厂外道路之间布置一些低噪公建设施。 </w:t>
            </w:r>
          </w:p>
          <w:p w14:paraId="3ACFDA05">
            <w:pPr>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上述噪声防治措施符合项目设备噪声的特点，使用普遍，根据前文噪声预测结果，落实噪声治理措施后，项目运营期的边界噪声排放可符合</w:t>
            </w:r>
            <w:r>
              <w:rPr>
                <w:rFonts w:hint="default" w:ascii="Times New Roman" w:hAnsi="Times New Roman" w:cs="Times New Roman"/>
                <w:color w:val="auto"/>
                <w:sz w:val="24"/>
                <w:highlight w:val="none"/>
              </w:rPr>
              <w:t>《工业企业厂界环境噪声排放标准》（GB12348-2008）中</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类功能区标准的要求</w:t>
            </w:r>
            <w:r>
              <w:rPr>
                <w:rFonts w:hint="default" w:ascii="Times New Roman" w:hAnsi="Times New Roman" w:cs="Times New Roman"/>
                <w:color w:val="auto"/>
                <w:kern w:val="0"/>
                <w:sz w:val="24"/>
                <w:highlight w:val="none"/>
                <w:lang w:bidi="ar"/>
              </w:rPr>
              <w:t>，可见项目设备噪声防治措施可行。</w:t>
            </w:r>
          </w:p>
          <w:p w14:paraId="5EC4D6AF">
            <w:pPr>
              <w:widowControl/>
              <w:spacing w:line="360" w:lineRule="auto"/>
              <w:jc w:val="left"/>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3.</w:t>
            </w:r>
            <w:r>
              <w:rPr>
                <w:rFonts w:hint="default" w:ascii="Times New Roman" w:hAnsi="Times New Roman" w:cs="Times New Roman"/>
                <w:b/>
                <w:bCs/>
                <w:color w:val="auto"/>
                <w:kern w:val="0"/>
                <w:sz w:val="24"/>
                <w:highlight w:val="none"/>
                <w:lang w:val="en-US" w:eastAsia="zh-CN"/>
              </w:rPr>
              <w:t>3</w:t>
            </w:r>
            <w:r>
              <w:rPr>
                <w:rFonts w:hint="default" w:ascii="Times New Roman" w:hAnsi="Times New Roman" w:cs="Times New Roman"/>
                <w:b/>
                <w:bCs/>
                <w:color w:val="auto"/>
                <w:kern w:val="0"/>
                <w:sz w:val="24"/>
                <w:highlight w:val="none"/>
              </w:rPr>
              <w:t>自行监测计划</w:t>
            </w:r>
          </w:p>
          <w:p w14:paraId="48AA094F">
            <w:pPr>
              <w:pStyle w:val="15"/>
              <w:spacing w:line="360" w:lineRule="auto"/>
              <w:ind w:firstLine="480" w:firstLineChars="20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根据《排污单位自行监测技术指南 总则》制定本项目噪声自行监测方案，见下表。</w:t>
            </w:r>
          </w:p>
          <w:p w14:paraId="763F486D">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 xml:space="preserve">  项目噪声自行监测方案</w:t>
            </w:r>
          </w:p>
          <w:tbl>
            <w:tblPr>
              <w:tblStyle w:val="3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2050"/>
              <w:gridCol w:w="2084"/>
              <w:gridCol w:w="3057"/>
            </w:tblGrid>
            <w:tr w14:paraId="1E54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noWrap w:val="0"/>
                  <w:vAlign w:val="center"/>
                </w:tcPr>
                <w:p w14:paraId="3E1A9F33">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类型</w:t>
                  </w:r>
                </w:p>
              </w:tc>
              <w:tc>
                <w:tcPr>
                  <w:tcW w:w="2050" w:type="dxa"/>
                  <w:noWrap w:val="0"/>
                  <w:vAlign w:val="center"/>
                </w:tcPr>
                <w:p w14:paraId="6B4C6B97">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监测点位</w:t>
                  </w:r>
                </w:p>
              </w:tc>
              <w:tc>
                <w:tcPr>
                  <w:tcW w:w="2084" w:type="dxa"/>
                  <w:noWrap w:val="0"/>
                  <w:vAlign w:val="center"/>
                </w:tcPr>
                <w:p w14:paraId="036B90FF">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监测项目</w:t>
                  </w:r>
                </w:p>
              </w:tc>
              <w:tc>
                <w:tcPr>
                  <w:tcW w:w="3057" w:type="dxa"/>
                  <w:noWrap w:val="0"/>
                  <w:vAlign w:val="center"/>
                </w:tcPr>
                <w:p w14:paraId="51B3A06A">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监测频次</w:t>
                  </w:r>
                </w:p>
              </w:tc>
            </w:tr>
            <w:tr w14:paraId="3CE2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noWrap w:val="0"/>
                  <w:vAlign w:val="center"/>
                </w:tcPr>
                <w:p w14:paraId="43624C86">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噪声</w:t>
                  </w:r>
                </w:p>
              </w:tc>
              <w:tc>
                <w:tcPr>
                  <w:tcW w:w="2050" w:type="dxa"/>
                  <w:noWrap w:val="0"/>
                  <w:vAlign w:val="center"/>
                </w:tcPr>
                <w:p w14:paraId="0ED9D8D2">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厂界外1米</w:t>
                  </w:r>
                </w:p>
              </w:tc>
              <w:tc>
                <w:tcPr>
                  <w:tcW w:w="2084" w:type="dxa"/>
                  <w:noWrap w:val="0"/>
                  <w:vAlign w:val="center"/>
                </w:tcPr>
                <w:p w14:paraId="0C9C6BC2">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等效连续A声级</w:t>
                  </w:r>
                </w:p>
              </w:tc>
              <w:tc>
                <w:tcPr>
                  <w:tcW w:w="3057" w:type="dxa"/>
                  <w:noWrap w:val="0"/>
                  <w:vAlign w:val="center"/>
                </w:tcPr>
                <w:p w14:paraId="638AA263">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1次/</w:t>
                  </w:r>
                  <w:r>
                    <w:rPr>
                      <w:rFonts w:hint="default" w:ascii="Times New Roman" w:hAnsi="Times New Roman" w:cs="Times New Roman"/>
                      <w:color w:val="auto"/>
                      <w:kern w:val="0"/>
                      <w:sz w:val="21"/>
                      <w:szCs w:val="21"/>
                      <w:highlight w:val="none"/>
                      <w:lang w:val="en-US" w:eastAsia="zh-CN" w:bidi="ar"/>
                    </w:rPr>
                    <w:t>季度</w:t>
                  </w:r>
                  <w:r>
                    <w:rPr>
                      <w:rFonts w:hint="default" w:ascii="Times New Roman" w:hAnsi="Times New Roman" w:cs="Times New Roman"/>
                      <w:color w:val="auto"/>
                      <w:kern w:val="0"/>
                      <w:sz w:val="21"/>
                      <w:szCs w:val="21"/>
                      <w:highlight w:val="none"/>
                      <w:lang w:bidi="ar"/>
                    </w:rPr>
                    <w:t>（昼夜分别监测）</w:t>
                  </w:r>
                </w:p>
              </w:tc>
            </w:tr>
          </w:tbl>
          <w:p w14:paraId="3F2506F3">
            <w:pPr>
              <w:pStyle w:val="101"/>
              <w:spacing w:line="360" w:lineRule="auto"/>
              <w:ind w:left="0" w:firstLine="0"/>
              <w:rPr>
                <w:rFonts w:hint="default" w:ascii="Times New Roman" w:hAnsi="Times New Roman" w:cs="Times New Roman"/>
                <w:b/>
                <w:bCs/>
                <w:color w:val="auto"/>
                <w:highlight w:val="none"/>
              </w:rPr>
            </w:pPr>
            <w:r>
              <w:rPr>
                <w:rFonts w:hint="default" w:ascii="Times New Roman" w:hAnsi="Times New Roman" w:cs="Times New Roman"/>
                <w:b/>
                <w:bCs/>
                <w:color w:val="auto"/>
                <w:szCs w:val="24"/>
                <w:highlight w:val="none"/>
              </w:rPr>
              <w:t>4.运营期固体废物环境影响分析</w:t>
            </w:r>
            <w:r>
              <w:rPr>
                <w:rFonts w:hint="default" w:ascii="Times New Roman" w:hAnsi="Times New Roman" w:cs="Times New Roman"/>
                <w:b/>
                <w:bCs/>
                <w:color w:val="auto"/>
                <w:highlight w:val="none"/>
              </w:rPr>
              <w:t>和污染防治措施</w:t>
            </w:r>
          </w:p>
          <w:p w14:paraId="1A216053">
            <w:pPr>
              <w:widowControl/>
              <w:spacing w:line="360" w:lineRule="auto"/>
              <w:jc w:val="left"/>
              <w:rPr>
                <w:rFonts w:hint="default" w:ascii="Times New Roman" w:hAnsi="Times New Roman" w:cs="Times New Roman"/>
                <w:b/>
                <w:bCs/>
                <w:color w:val="auto"/>
                <w:kern w:val="0"/>
                <w:sz w:val="24"/>
                <w:szCs w:val="20"/>
                <w:highlight w:val="none"/>
              </w:rPr>
            </w:pPr>
            <w:r>
              <w:rPr>
                <w:rFonts w:hint="default" w:ascii="Times New Roman" w:hAnsi="Times New Roman" w:cs="Times New Roman"/>
                <w:b/>
                <w:bCs/>
                <w:color w:val="auto"/>
                <w:kern w:val="0"/>
                <w:sz w:val="24"/>
                <w:szCs w:val="20"/>
                <w:highlight w:val="none"/>
              </w:rPr>
              <w:t>4.1运营期固废物源强核算</w:t>
            </w:r>
          </w:p>
          <w:p w14:paraId="13461B3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本项目产生的固体废弃物主要为生活垃圾、</w:t>
            </w:r>
            <w:r>
              <w:rPr>
                <w:rFonts w:hint="default" w:ascii="Times New Roman" w:hAnsi="Times New Roman" w:cs="Times New Roman"/>
                <w:color w:val="auto"/>
                <w:sz w:val="24"/>
                <w:highlight w:val="none"/>
                <w:lang w:val="en-US" w:eastAsia="zh-CN"/>
              </w:rPr>
              <w:t>边角料及不合格品、除尘器收集粉尘、危险废物</w:t>
            </w:r>
            <w:r>
              <w:rPr>
                <w:rFonts w:hint="default" w:ascii="Times New Roman" w:hAnsi="Times New Roman" w:cs="Times New Roman"/>
                <w:color w:val="auto"/>
                <w:sz w:val="24"/>
                <w:highlight w:val="none"/>
              </w:rPr>
              <w:t>。</w:t>
            </w:r>
          </w:p>
          <w:p w14:paraId="5D4B821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（1）生活垃圾</w:t>
            </w:r>
          </w:p>
          <w:p w14:paraId="49F38AB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本项目劳动定员</w:t>
            </w:r>
            <w:r>
              <w:rPr>
                <w:rFonts w:hint="default"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人，工作人员生活垃圾按</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kg/人·天计，则生活垃圾产生量为</w:t>
            </w:r>
            <w:r>
              <w:rPr>
                <w:rFonts w:hint="eastAsia" w:cs="Times New Roman"/>
                <w:color w:val="auto"/>
                <w:sz w:val="24"/>
                <w:highlight w:val="none"/>
                <w:lang w:val="en-US" w:eastAsia="zh-CN"/>
              </w:rPr>
              <w:t>8.25</w:t>
            </w:r>
            <w:r>
              <w:rPr>
                <w:rFonts w:hint="default" w:ascii="Times New Roman" w:hAnsi="Times New Roman" w:cs="Times New Roman"/>
                <w:color w:val="auto"/>
                <w:sz w:val="24"/>
                <w:highlight w:val="none"/>
              </w:rPr>
              <w:t>t/a。</w:t>
            </w:r>
          </w:p>
          <w:p w14:paraId="68579960">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除尘器收集粉尘</w:t>
            </w:r>
          </w:p>
          <w:p w14:paraId="72F8A86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根据前文核算结果</w:t>
            </w:r>
            <w:r>
              <w:rPr>
                <w:rFonts w:hint="default" w:ascii="Times New Roman" w:hAnsi="Times New Roman" w:eastAsia="宋体" w:cs="Times New Roman"/>
                <w:color w:val="auto"/>
                <w:sz w:val="24"/>
                <w:highlight w:val="none"/>
                <w:lang w:val="en-US" w:eastAsia="zh-CN"/>
              </w:rPr>
              <w:t>，除尘器收集粉尘为</w:t>
            </w:r>
            <w:r>
              <w:rPr>
                <w:rFonts w:hint="eastAsia" w:cs="Times New Roman"/>
                <w:color w:val="auto"/>
                <w:sz w:val="24"/>
                <w:highlight w:val="none"/>
                <w:lang w:val="en-US" w:eastAsia="zh-CN"/>
              </w:rPr>
              <w:t>原料粉末</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除尘器下方设置塑料编织袋，</w:t>
            </w:r>
            <w:r>
              <w:rPr>
                <w:rFonts w:hint="default" w:ascii="Times New Roman" w:hAnsi="Times New Roman" w:eastAsia="宋体" w:cs="Times New Roman"/>
                <w:color w:val="auto"/>
                <w:sz w:val="24"/>
                <w:highlight w:val="none"/>
                <w:lang w:val="en-US" w:eastAsia="zh-CN"/>
              </w:rPr>
              <w:t>收集后回用，</w:t>
            </w:r>
            <w:r>
              <w:rPr>
                <w:rFonts w:hint="eastAsia" w:ascii="Times New Roman" w:hAnsi="Times New Roman" w:eastAsia="宋体" w:cs="Times New Roman"/>
                <w:color w:val="auto"/>
                <w:sz w:val="24"/>
                <w:highlight w:val="none"/>
                <w:lang w:val="en-US" w:eastAsia="zh-CN"/>
              </w:rPr>
              <w:t>不进行暂存，</w:t>
            </w:r>
            <w:r>
              <w:rPr>
                <w:rFonts w:hint="default" w:ascii="Times New Roman" w:hAnsi="Times New Roman" w:eastAsia="宋体" w:cs="Times New Roman"/>
                <w:color w:val="auto"/>
                <w:sz w:val="24"/>
                <w:highlight w:val="none"/>
                <w:lang w:val="en-US" w:eastAsia="zh-CN"/>
              </w:rPr>
              <w:t>产生量为</w:t>
            </w:r>
            <w:r>
              <w:rPr>
                <w:rFonts w:hint="eastAsia" w:cs="Times New Roman"/>
                <w:color w:val="auto"/>
                <w:sz w:val="24"/>
                <w:highlight w:val="none"/>
                <w:lang w:val="en-US" w:eastAsia="zh-CN"/>
              </w:rPr>
              <w:t>55.61</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（168.5kg/d）</w:t>
            </w:r>
            <w:r>
              <w:rPr>
                <w:rFonts w:hint="default" w:ascii="Times New Roman" w:hAnsi="Times New Roman" w:eastAsia="宋体" w:cs="Times New Roman"/>
                <w:color w:val="auto"/>
                <w:sz w:val="24"/>
                <w:highlight w:val="none"/>
                <w:lang w:val="en-US" w:eastAsia="zh-CN"/>
              </w:rPr>
              <w:t>。</w:t>
            </w:r>
          </w:p>
          <w:p w14:paraId="0C1294F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（3）锅炉炉渣</w:t>
            </w:r>
          </w:p>
          <w:p w14:paraId="769FD7F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本项目生物质锅炉年消耗生物质燃料400t/a，炉渣主要为生物质燃烧后的灰分，按最大灰分占比5%估算，炉渣产生量约为：400t/a（燃料用量）×5%（灰分占比）=20t/a（60.6kg/d），炉渣采用人工手推车收集后进行回用，</w:t>
            </w:r>
            <w:r>
              <w:rPr>
                <w:rFonts w:hint="eastAsia" w:ascii="Times New Roman" w:hAnsi="Times New Roman" w:eastAsia="宋体" w:cs="Times New Roman"/>
                <w:color w:val="auto"/>
                <w:sz w:val="24"/>
                <w:highlight w:val="none"/>
                <w:lang w:val="en-US" w:eastAsia="zh-CN"/>
              </w:rPr>
              <w:t>不进行暂存。</w:t>
            </w:r>
          </w:p>
          <w:p w14:paraId="12F2D66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sz w:val="24"/>
                <w:highlight w:val="none"/>
                <w:lang w:val="en-US" w:eastAsia="zh-CN"/>
              </w:rPr>
              <w:t>危险废物</w:t>
            </w:r>
          </w:p>
          <w:p w14:paraId="10BE279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eastAsia="宋体" w:cs="Times New Roman"/>
                <w:color w:val="auto"/>
                <w:spacing w:val="0"/>
                <w:sz w:val="24"/>
                <w:highlight w:val="none"/>
                <w:lang w:val="en-US" w:eastAsia="zh-CN"/>
              </w:rPr>
              <w:t>①废机油</w:t>
            </w:r>
          </w:p>
          <w:p w14:paraId="506C21C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本项目大部分机械设备运行过程中会产生</w:t>
            </w:r>
            <w:r>
              <w:rPr>
                <w:rFonts w:hint="default" w:ascii="Times New Roman" w:hAnsi="Times New Roman" w:eastAsia="宋体" w:cs="Times New Roman"/>
                <w:color w:val="auto"/>
                <w:spacing w:val="0"/>
                <w:sz w:val="24"/>
                <w:highlight w:val="none"/>
                <w:lang w:val="en-US" w:eastAsia="zh-CN"/>
              </w:rPr>
              <w:t>废机油</w:t>
            </w:r>
            <w:r>
              <w:rPr>
                <w:rFonts w:hint="default" w:ascii="Times New Roman" w:hAnsi="Times New Roman" w:eastAsia="宋体" w:cs="Times New Roman"/>
                <w:color w:val="auto"/>
                <w:spacing w:val="0"/>
                <w:sz w:val="24"/>
                <w:highlight w:val="none"/>
              </w:rPr>
              <w:t>。本项目</w:t>
            </w:r>
            <w:r>
              <w:rPr>
                <w:rFonts w:hint="default" w:ascii="Times New Roman" w:hAnsi="Times New Roman" w:eastAsia="宋体" w:cs="Times New Roman"/>
                <w:color w:val="auto"/>
                <w:spacing w:val="0"/>
                <w:sz w:val="24"/>
                <w:highlight w:val="none"/>
                <w:lang w:val="en-US" w:eastAsia="zh-CN"/>
              </w:rPr>
              <w:t>废机油</w:t>
            </w:r>
            <w:r>
              <w:rPr>
                <w:rFonts w:hint="default" w:ascii="Times New Roman" w:hAnsi="Times New Roman" w:eastAsia="宋体" w:cs="Times New Roman"/>
                <w:color w:val="auto"/>
                <w:spacing w:val="0"/>
                <w:sz w:val="24"/>
                <w:highlight w:val="none"/>
              </w:rPr>
              <w:t>产生量约为0.</w:t>
            </w:r>
            <w:r>
              <w:rPr>
                <w:rFonts w:hint="default" w:ascii="Times New Roman" w:hAnsi="Times New Roman" w:eastAsia="宋体" w:cs="Times New Roman"/>
                <w:color w:val="auto"/>
                <w:spacing w:val="0"/>
                <w:sz w:val="24"/>
                <w:highlight w:val="none"/>
                <w:lang w:val="en-US" w:eastAsia="zh-CN"/>
              </w:rPr>
              <w:t>1</w:t>
            </w:r>
            <w:r>
              <w:rPr>
                <w:rFonts w:hint="default" w:ascii="Times New Roman" w:hAnsi="Times New Roman" w:eastAsia="宋体" w:cs="Times New Roman"/>
                <w:color w:val="auto"/>
                <w:spacing w:val="0"/>
                <w:sz w:val="24"/>
                <w:highlight w:val="none"/>
              </w:rPr>
              <w:t>t/a，该部分固体废物为危险固废。</w:t>
            </w:r>
            <w:r>
              <w:rPr>
                <w:rFonts w:hint="default" w:ascii="Times New Roman" w:hAnsi="Times New Roman" w:eastAsia="宋体" w:cs="Times New Roman"/>
                <w:color w:val="auto"/>
                <w:spacing w:val="0"/>
                <w:sz w:val="24"/>
                <w:highlight w:val="none"/>
                <w:lang w:val="en-US" w:eastAsia="zh-CN"/>
              </w:rPr>
              <w:t>废机油</w:t>
            </w:r>
            <w:r>
              <w:rPr>
                <w:rFonts w:hint="default" w:ascii="Times New Roman" w:hAnsi="Times New Roman" w:eastAsia="宋体" w:cs="Times New Roman"/>
                <w:color w:val="auto"/>
                <w:spacing w:val="0"/>
                <w:sz w:val="24"/>
                <w:highlight w:val="none"/>
              </w:rPr>
              <w:t>属于</w:t>
            </w:r>
            <w:r>
              <w:rPr>
                <w:rFonts w:hint="default" w:ascii="Times New Roman" w:hAnsi="Times New Roman" w:eastAsia="宋体" w:cs="Times New Roman"/>
                <w:b w:val="0"/>
                <w:bCs/>
                <w:color w:val="auto"/>
                <w:sz w:val="24"/>
                <w:szCs w:val="24"/>
                <w:highlight w:val="none"/>
                <w:lang w:val="en-US" w:eastAsia="zh-CN"/>
              </w:rPr>
              <w:t>《国家危险废物名录》（2025版）</w:t>
            </w:r>
            <w:r>
              <w:rPr>
                <w:rFonts w:hint="default" w:ascii="Times New Roman" w:hAnsi="Times New Roman" w:eastAsia="宋体" w:cs="Times New Roman"/>
                <w:color w:val="auto"/>
                <w:spacing w:val="0"/>
                <w:sz w:val="24"/>
                <w:highlight w:val="none"/>
              </w:rPr>
              <w:t>中HW08号：</w:t>
            </w:r>
            <w:r>
              <w:rPr>
                <w:rFonts w:hint="default" w:ascii="Times New Roman" w:hAnsi="Times New Roman" w:eastAsia="宋体" w:cs="Times New Roman"/>
                <w:color w:val="auto"/>
                <w:spacing w:val="0"/>
                <w:sz w:val="24"/>
                <w:highlight w:val="none"/>
                <w:lang w:val="en-US" w:eastAsia="zh-CN"/>
              </w:rPr>
              <w:t>使用工业齿轮油进行机械设备润滑过程中产生的废润滑油，危废代码为900-217-08</w:t>
            </w:r>
            <w:r>
              <w:rPr>
                <w:rFonts w:hint="default" w:ascii="Times New Roman" w:hAnsi="Times New Roman" w:eastAsia="宋体" w:cs="Times New Roman"/>
                <w:color w:val="auto"/>
                <w:spacing w:val="0"/>
                <w:sz w:val="24"/>
                <w:highlight w:val="none"/>
              </w:rPr>
              <w:t>。</w:t>
            </w:r>
          </w:p>
          <w:p w14:paraId="35465F2A">
            <w:pPr>
              <w:widowControl/>
              <w:spacing w:line="360" w:lineRule="auto"/>
              <w:ind w:firstLine="480" w:firstLineChars="200"/>
              <w:jc w:val="left"/>
              <w:rPr>
                <w:rFonts w:hint="default" w:ascii="Times New Roman" w:hAnsi="Times New Roman" w:cs="Times New Roman"/>
                <w:color w:val="auto"/>
                <w:spacing w:val="0"/>
                <w:kern w:val="0"/>
                <w:sz w:val="24"/>
                <w:highlight w:val="none"/>
                <w:lang w:bidi="ar"/>
              </w:rPr>
            </w:pPr>
            <w:r>
              <w:rPr>
                <w:rFonts w:hint="default" w:ascii="Times New Roman" w:hAnsi="Times New Roman" w:cs="Times New Roman"/>
                <w:color w:val="auto"/>
                <w:spacing w:val="0"/>
                <w:kern w:val="0"/>
                <w:sz w:val="24"/>
                <w:highlight w:val="none"/>
                <w:lang w:bidi="ar"/>
              </w:rPr>
              <w:t>综合上述分析，项目固废产生情况汇总如表4-</w:t>
            </w:r>
            <w:r>
              <w:rPr>
                <w:rFonts w:hint="eastAsia" w:ascii="Times New Roman" w:hAnsi="Times New Roman" w:cs="Times New Roman"/>
                <w:color w:val="auto"/>
                <w:spacing w:val="0"/>
                <w:kern w:val="0"/>
                <w:sz w:val="24"/>
                <w:highlight w:val="none"/>
                <w:lang w:val="en-US" w:eastAsia="zh-CN" w:bidi="ar"/>
              </w:rPr>
              <w:t>11</w:t>
            </w:r>
            <w:r>
              <w:rPr>
                <w:rFonts w:hint="default" w:ascii="Times New Roman" w:hAnsi="Times New Roman" w:cs="Times New Roman"/>
                <w:color w:val="auto"/>
                <w:spacing w:val="0"/>
                <w:kern w:val="0"/>
                <w:sz w:val="24"/>
                <w:highlight w:val="none"/>
                <w:lang w:bidi="ar"/>
              </w:rPr>
              <w:t>。</w:t>
            </w:r>
          </w:p>
          <w:p w14:paraId="6B7AB4F5">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lang w:val="en-US" w:eastAsia="zh-CN"/>
              </w:rPr>
              <w:t xml:space="preserve">    项目固废产生量及防治措施情况表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438"/>
              <w:gridCol w:w="1576"/>
              <w:gridCol w:w="1395"/>
              <w:gridCol w:w="982"/>
              <w:gridCol w:w="1505"/>
              <w:gridCol w:w="914"/>
            </w:tblGrid>
            <w:tr w14:paraId="2A8E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279" w:type="dxa"/>
                  <w:gridSpan w:val="2"/>
                  <w:tcBorders>
                    <w:top w:val="single" w:color="auto" w:sz="4" w:space="0"/>
                    <w:left w:val="single" w:color="auto" w:sz="4" w:space="0"/>
                    <w:bottom w:val="single" w:color="auto" w:sz="4" w:space="0"/>
                    <w:right w:val="single" w:color="auto" w:sz="4" w:space="0"/>
                  </w:tcBorders>
                  <w:noWrap w:val="0"/>
                  <w:vAlign w:val="center"/>
                </w:tcPr>
                <w:p w14:paraId="5CA34F07">
                  <w:pPr>
                    <w:pStyle w:val="148"/>
                    <w:spacing w:line="240" w:lineRule="auto"/>
                    <w:ind w:firstLine="0" w:firstLineChars="0"/>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污染源名称</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3A6D1C6B">
                  <w:pPr>
                    <w:pStyle w:val="148"/>
                    <w:spacing w:line="240" w:lineRule="auto"/>
                    <w:ind w:firstLine="0" w:firstLineChars="0"/>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产生环节</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2A9BEE94">
                  <w:pPr>
                    <w:pStyle w:val="148"/>
                    <w:spacing w:line="240" w:lineRule="auto"/>
                    <w:ind w:firstLine="0" w:firstLineChars="0"/>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编号</w:t>
                  </w:r>
                </w:p>
              </w:tc>
              <w:tc>
                <w:tcPr>
                  <w:tcW w:w="982" w:type="dxa"/>
                  <w:tcBorders>
                    <w:top w:val="single" w:color="auto" w:sz="4" w:space="0"/>
                    <w:left w:val="single" w:color="auto" w:sz="4" w:space="0"/>
                    <w:bottom w:val="single" w:color="auto" w:sz="4" w:space="0"/>
                    <w:right w:val="single" w:color="auto" w:sz="4" w:space="0"/>
                  </w:tcBorders>
                  <w:noWrap w:val="0"/>
                  <w:vAlign w:val="center"/>
                </w:tcPr>
                <w:p w14:paraId="43E75712">
                  <w:pPr>
                    <w:pStyle w:val="148"/>
                    <w:spacing w:line="240" w:lineRule="auto"/>
                    <w:ind w:firstLine="0" w:firstLineChars="0"/>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产生量（t/a）</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FB948DC">
                  <w:pPr>
                    <w:pStyle w:val="148"/>
                    <w:spacing w:line="240" w:lineRule="auto"/>
                    <w:ind w:firstLine="0" w:firstLineChars="0"/>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处理措施</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54545087">
                  <w:pPr>
                    <w:pStyle w:val="148"/>
                    <w:spacing w:line="240" w:lineRule="auto"/>
                    <w:ind w:firstLine="0" w:firstLineChars="0"/>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排放量（t/a）</w:t>
                  </w:r>
                </w:p>
              </w:tc>
            </w:tr>
            <w:tr w14:paraId="19D7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1" w:type="dxa"/>
                  <w:tcBorders>
                    <w:left w:val="single" w:color="auto" w:sz="4" w:space="0"/>
                    <w:right w:val="single" w:color="auto" w:sz="4" w:space="0"/>
                  </w:tcBorders>
                  <w:noWrap w:val="0"/>
                  <w:vAlign w:val="center"/>
                </w:tcPr>
                <w:p w14:paraId="7101B7EF">
                  <w:pPr>
                    <w:pStyle w:val="148"/>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危险废物</w:t>
                  </w:r>
                </w:p>
              </w:tc>
              <w:tc>
                <w:tcPr>
                  <w:tcW w:w="1438" w:type="dxa"/>
                  <w:tcBorders>
                    <w:top w:val="single" w:color="auto" w:sz="4" w:space="0"/>
                    <w:left w:val="single" w:color="auto" w:sz="4" w:space="0"/>
                    <w:bottom w:val="single" w:color="auto" w:sz="4" w:space="0"/>
                    <w:right w:val="single" w:color="auto" w:sz="4" w:space="0"/>
                  </w:tcBorders>
                  <w:noWrap w:val="0"/>
                  <w:vAlign w:val="center"/>
                </w:tcPr>
                <w:p w14:paraId="109B5625">
                  <w:pPr>
                    <w:pStyle w:val="148"/>
                    <w:spacing w:line="240" w:lineRule="auto"/>
                    <w:ind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废</w:t>
                  </w:r>
                  <w:r>
                    <w:rPr>
                      <w:rFonts w:hint="default" w:ascii="Times New Roman" w:hAnsi="Times New Roman" w:cs="Times New Roman"/>
                      <w:b w:val="0"/>
                      <w:bCs/>
                      <w:color w:val="auto"/>
                      <w:sz w:val="21"/>
                      <w:szCs w:val="21"/>
                      <w:highlight w:val="none"/>
                      <w:lang w:val="en-US" w:eastAsia="zh-CN"/>
                    </w:rPr>
                    <w:t>机油</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11BFDA0B">
                  <w:pPr>
                    <w:pStyle w:val="148"/>
                    <w:spacing w:line="240" w:lineRule="auto"/>
                    <w:ind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机械设备运行</w:t>
                  </w:r>
                  <w:r>
                    <w:rPr>
                      <w:rFonts w:hint="default" w:ascii="Times New Roman" w:hAnsi="Times New Roman" w:cs="Times New Roman"/>
                      <w:b w:val="0"/>
                      <w:bCs/>
                      <w:color w:val="auto"/>
                      <w:sz w:val="21"/>
                      <w:szCs w:val="21"/>
                      <w:highlight w:val="none"/>
                      <w:lang w:val="en-US" w:eastAsia="zh-CN"/>
                    </w:rPr>
                    <w:t>维护</w:t>
                  </w:r>
                </w:p>
              </w:tc>
              <w:tc>
                <w:tcPr>
                  <w:tcW w:w="1395" w:type="dxa"/>
                  <w:tcBorders>
                    <w:left w:val="single" w:color="auto" w:sz="4" w:space="0"/>
                    <w:right w:val="single" w:color="auto" w:sz="4" w:space="0"/>
                  </w:tcBorders>
                  <w:noWrap w:val="0"/>
                  <w:vAlign w:val="center"/>
                </w:tcPr>
                <w:p w14:paraId="3589A9AD">
                  <w:pPr>
                    <w:pStyle w:val="148"/>
                    <w:spacing w:line="240" w:lineRule="auto"/>
                    <w:ind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900-217-08</w:t>
                  </w:r>
                </w:p>
              </w:tc>
              <w:tc>
                <w:tcPr>
                  <w:tcW w:w="982" w:type="dxa"/>
                  <w:tcBorders>
                    <w:left w:val="single" w:color="auto" w:sz="4" w:space="0"/>
                    <w:right w:val="single" w:color="auto" w:sz="4" w:space="0"/>
                  </w:tcBorders>
                  <w:noWrap w:val="0"/>
                  <w:vAlign w:val="center"/>
                </w:tcPr>
                <w:p w14:paraId="168A7780">
                  <w:pPr>
                    <w:pStyle w:val="148"/>
                    <w:spacing w:line="240" w:lineRule="auto"/>
                    <w:ind w:firstLine="0" w:firstLineChars="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rPr>
                    <w:t>0.</w:t>
                  </w:r>
                  <w:r>
                    <w:rPr>
                      <w:rFonts w:hint="default" w:ascii="Times New Roman" w:hAnsi="Times New Roman" w:cs="Times New Roman"/>
                      <w:b w:val="0"/>
                      <w:bCs/>
                      <w:color w:val="auto"/>
                      <w:sz w:val="21"/>
                      <w:szCs w:val="21"/>
                      <w:highlight w:val="none"/>
                      <w:lang w:val="en-US" w:eastAsia="zh-CN"/>
                    </w:rPr>
                    <w:t>1</w:t>
                  </w:r>
                </w:p>
              </w:tc>
              <w:tc>
                <w:tcPr>
                  <w:tcW w:w="1505" w:type="dxa"/>
                  <w:tcBorders>
                    <w:left w:val="single" w:color="auto" w:sz="4" w:space="0"/>
                    <w:right w:val="single" w:color="auto" w:sz="4" w:space="0"/>
                  </w:tcBorders>
                  <w:noWrap w:val="0"/>
                  <w:vAlign w:val="center"/>
                </w:tcPr>
                <w:p w14:paraId="4C0D8AA7">
                  <w:pPr>
                    <w:pStyle w:val="148"/>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暂存于危废暂存间内，</w:t>
                  </w:r>
                  <w:r>
                    <w:rPr>
                      <w:rFonts w:hint="default" w:ascii="Times New Roman" w:hAnsi="Times New Roman" w:cs="Times New Roman"/>
                      <w:b w:val="0"/>
                      <w:bCs/>
                      <w:color w:val="auto"/>
                      <w:sz w:val="21"/>
                      <w:szCs w:val="21"/>
                      <w:highlight w:val="none"/>
                    </w:rPr>
                    <w:t>交由有资质单位清运处理</w:t>
                  </w:r>
                </w:p>
              </w:tc>
              <w:tc>
                <w:tcPr>
                  <w:tcW w:w="914" w:type="dxa"/>
                  <w:tcBorders>
                    <w:left w:val="single" w:color="auto" w:sz="4" w:space="0"/>
                    <w:bottom w:val="single" w:color="auto" w:sz="4" w:space="0"/>
                    <w:right w:val="single" w:color="auto" w:sz="4" w:space="0"/>
                  </w:tcBorders>
                  <w:noWrap w:val="0"/>
                  <w:vAlign w:val="center"/>
                </w:tcPr>
                <w:p w14:paraId="4EF6753C">
                  <w:pPr>
                    <w:pStyle w:val="148"/>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0</w:t>
                  </w:r>
                </w:p>
              </w:tc>
            </w:tr>
            <w:tr w14:paraId="2927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 w:type="dxa"/>
                  <w:vMerge w:val="restart"/>
                  <w:tcBorders>
                    <w:left w:val="single" w:color="auto" w:sz="4" w:space="0"/>
                    <w:right w:val="single" w:color="auto" w:sz="4" w:space="0"/>
                  </w:tcBorders>
                  <w:noWrap w:val="0"/>
                  <w:vAlign w:val="center"/>
                </w:tcPr>
                <w:p w14:paraId="3D3B7B9B">
                  <w:pPr>
                    <w:pStyle w:val="148"/>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一般固废</w:t>
                  </w:r>
                </w:p>
              </w:tc>
              <w:tc>
                <w:tcPr>
                  <w:tcW w:w="1438" w:type="dxa"/>
                  <w:tcBorders>
                    <w:top w:val="single" w:color="auto" w:sz="4" w:space="0"/>
                    <w:left w:val="single" w:color="auto" w:sz="4" w:space="0"/>
                    <w:bottom w:val="single" w:color="auto" w:sz="4" w:space="0"/>
                    <w:right w:val="single" w:color="auto" w:sz="4" w:space="0"/>
                  </w:tcBorders>
                  <w:noWrap w:val="0"/>
                  <w:vAlign w:val="center"/>
                </w:tcPr>
                <w:p w14:paraId="1C47E4AA">
                  <w:pPr>
                    <w:pStyle w:val="148"/>
                    <w:spacing w:line="240" w:lineRule="auto"/>
                    <w:ind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除尘器收集粉尘</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28EC8230">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产品</w:t>
                  </w:r>
                  <w:r>
                    <w:rPr>
                      <w:rFonts w:hint="default" w:ascii="Times New Roman" w:hAnsi="Times New Roman" w:cs="Times New Roman"/>
                      <w:b w:val="0"/>
                      <w:bCs/>
                      <w:color w:val="auto"/>
                      <w:sz w:val="21"/>
                      <w:szCs w:val="21"/>
                      <w:highlight w:val="none"/>
                    </w:rPr>
                    <w:t>生产</w:t>
                  </w:r>
                </w:p>
              </w:tc>
              <w:tc>
                <w:tcPr>
                  <w:tcW w:w="1395" w:type="dxa"/>
                  <w:tcBorders>
                    <w:top w:val="single" w:color="auto" w:sz="4" w:space="0"/>
                    <w:left w:val="single" w:color="auto" w:sz="4" w:space="0"/>
                    <w:right w:val="single" w:color="auto" w:sz="4" w:space="0"/>
                  </w:tcBorders>
                  <w:noWrap w:val="0"/>
                  <w:vAlign w:val="center"/>
                </w:tcPr>
                <w:p w14:paraId="065E1882">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900-099-S59</w:t>
                  </w:r>
                </w:p>
              </w:tc>
              <w:tc>
                <w:tcPr>
                  <w:tcW w:w="982" w:type="dxa"/>
                  <w:tcBorders>
                    <w:top w:val="single" w:color="auto" w:sz="4" w:space="0"/>
                    <w:left w:val="single" w:color="auto" w:sz="4" w:space="0"/>
                    <w:right w:val="single" w:color="auto" w:sz="4" w:space="0"/>
                  </w:tcBorders>
                  <w:noWrap w:val="0"/>
                  <w:vAlign w:val="center"/>
                </w:tcPr>
                <w:p w14:paraId="4BC4F08D">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55.61</w:t>
                  </w:r>
                </w:p>
              </w:tc>
              <w:tc>
                <w:tcPr>
                  <w:tcW w:w="1505" w:type="dxa"/>
                  <w:tcBorders>
                    <w:top w:val="single" w:color="auto" w:sz="4" w:space="0"/>
                    <w:left w:val="single" w:color="auto" w:sz="4" w:space="0"/>
                    <w:right w:val="single" w:color="auto" w:sz="4" w:space="0"/>
                  </w:tcBorders>
                  <w:noWrap w:val="0"/>
                  <w:vAlign w:val="center"/>
                </w:tcPr>
                <w:p w14:paraId="03441F54">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回用</w:t>
                  </w:r>
                </w:p>
              </w:tc>
              <w:tc>
                <w:tcPr>
                  <w:tcW w:w="914" w:type="dxa"/>
                  <w:tcBorders>
                    <w:top w:val="single" w:color="auto" w:sz="4" w:space="0"/>
                    <w:left w:val="single" w:color="auto" w:sz="4" w:space="0"/>
                    <w:right w:val="single" w:color="auto" w:sz="4" w:space="0"/>
                  </w:tcBorders>
                  <w:noWrap w:val="0"/>
                  <w:vAlign w:val="center"/>
                </w:tcPr>
                <w:p w14:paraId="7CF4E696">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r>
            <w:tr w14:paraId="1933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 w:type="dxa"/>
                  <w:vMerge w:val="continue"/>
                  <w:tcBorders>
                    <w:left w:val="single" w:color="auto" w:sz="4" w:space="0"/>
                    <w:right w:val="single" w:color="auto" w:sz="4" w:space="0"/>
                  </w:tcBorders>
                  <w:noWrap w:val="0"/>
                  <w:vAlign w:val="center"/>
                </w:tcPr>
                <w:p w14:paraId="156A740F">
                  <w:pPr>
                    <w:pStyle w:val="148"/>
                    <w:spacing w:line="240" w:lineRule="auto"/>
                    <w:ind w:firstLine="0" w:firstLineChars="0"/>
                    <w:rPr>
                      <w:rFonts w:hint="default" w:ascii="Times New Roman" w:hAnsi="Times New Roman" w:cs="Times New Roman"/>
                      <w:b w:val="0"/>
                      <w:bCs/>
                      <w:color w:val="auto"/>
                      <w:sz w:val="21"/>
                      <w:szCs w:val="21"/>
                      <w:highlight w:val="none"/>
                    </w:rPr>
                  </w:pPr>
                </w:p>
              </w:tc>
              <w:tc>
                <w:tcPr>
                  <w:tcW w:w="1438" w:type="dxa"/>
                  <w:tcBorders>
                    <w:top w:val="single" w:color="auto" w:sz="4" w:space="0"/>
                    <w:left w:val="single" w:color="auto" w:sz="4" w:space="0"/>
                    <w:bottom w:val="single" w:color="auto" w:sz="4" w:space="0"/>
                    <w:right w:val="single" w:color="auto" w:sz="4" w:space="0"/>
                  </w:tcBorders>
                  <w:noWrap w:val="0"/>
                  <w:vAlign w:val="center"/>
                </w:tcPr>
                <w:p w14:paraId="227BBDF8">
                  <w:pPr>
                    <w:pStyle w:val="148"/>
                    <w:spacing w:line="240" w:lineRule="auto"/>
                    <w:ind w:firstLine="0" w:firstLineChars="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锅炉炉渣</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4EBEF378">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供热</w:t>
                  </w:r>
                </w:p>
              </w:tc>
              <w:tc>
                <w:tcPr>
                  <w:tcW w:w="1395" w:type="dxa"/>
                  <w:tcBorders>
                    <w:top w:val="single" w:color="auto" w:sz="4" w:space="0"/>
                    <w:left w:val="single" w:color="auto" w:sz="4" w:space="0"/>
                    <w:right w:val="single" w:color="auto" w:sz="4" w:space="0"/>
                  </w:tcBorders>
                  <w:noWrap w:val="0"/>
                  <w:vAlign w:val="center"/>
                </w:tcPr>
                <w:p w14:paraId="2A751216">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900-099-S03</w:t>
                  </w:r>
                </w:p>
              </w:tc>
              <w:tc>
                <w:tcPr>
                  <w:tcW w:w="982" w:type="dxa"/>
                  <w:tcBorders>
                    <w:top w:val="single" w:color="auto" w:sz="4" w:space="0"/>
                    <w:left w:val="single" w:color="auto" w:sz="4" w:space="0"/>
                    <w:right w:val="single" w:color="auto" w:sz="4" w:space="0"/>
                  </w:tcBorders>
                  <w:noWrap w:val="0"/>
                  <w:vAlign w:val="center"/>
                </w:tcPr>
                <w:p w14:paraId="1B87AAB0">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20</w:t>
                  </w:r>
                </w:p>
              </w:tc>
              <w:tc>
                <w:tcPr>
                  <w:tcW w:w="1505" w:type="dxa"/>
                  <w:tcBorders>
                    <w:top w:val="single" w:color="auto" w:sz="4" w:space="0"/>
                    <w:left w:val="single" w:color="auto" w:sz="4" w:space="0"/>
                    <w:right w:val="single" w:color="auto" w:sz="4" w:space="0"/>
                  </w:tcBorders>
                  <w:noWrap w:val="0"/>
                  <w:vAlign w:val="center"/>
                </w:tcPr>
                <w:p w14:paraId="6CCBCF66">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回用</w:t>
                  </w:r>
                </w:p>
              </w:tc>
              <w:tc>
                <w:tcPr>
                  <w:tcW w:w="914" w:type="dxa"/>
                  <w:tcBorders>
                    <w:top w:val="single" w:color="auto" w:sz="4" w:space="0"/>
                    <w:left w:val="single" w:color="auto" w:sz="4" w:space="0"/>
                    <w:right w:val="single" w:color="auto" w:sz="4" w:space="0"/>
                  </w:tcBorders>
                  <w:noWrap w:val="0"/>
                  <w:vAlign w:val="center"/>
                </w:tcPr>
                <w:p w14:paraId="0AFE4275">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r>
            <w:tr w14:paraId="3262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79" w:type="dxa"/>
                  <w:gridSpan w:val="2"/>
                  <w:tcBorders>
                    <w:left w:val="single" w:color="auto" w:sz="4" w:space="0"/>
                    <w:right w:val="single" w:color="auto" w:sz="4" w:space="0"/>
                  </w:tcBorders>
                  <w:noWrap w:val="0"/>
                  <w:vAlign w:val="center"/>
                </w:tcPr>
                <w:p w14:paraId="76B9A8FB">
                  <w:pPr>
                    <w:pStyle w:val="148"/>
                    <w:spacing w:line="240" w:lineRule="auto"/>
                    <w:ind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生活垃圾</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44CE21F9">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生活</w:t>
                  </w:r>
                </w:p>
              </w:tc>
              <w:tc>
                <w:tcPr>
                  <w:tcW w:w="1395" w:type="dxa"/>
                  <w:tcBorders>
                    <w:top w:val="single" w:color="auto" w:sz="4" w:space="0"/>
                    <w:left w:val="single" w:color="auto" w:sz="4" w:space="0"/>
                    <w:right w:val="single" w:color="auto" w:sz="4" w:space="0"/>
                  </w:tcBorders>
                  <w:noWrap w:val="0"/>
                  <w:vAlign w:val="center"/>
                </w:tcPr>
                <w:p w14:paraId="52FB26DE">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900-099-S64</w:t>
                  </w:r>
                </w:p>
              </w:tc>
              <w:tc>
                <w:tcPr>
                  <w:tcW w:w="982" w:type="dxa"/>
                  <w:tcBorders>
                    <w:top w:val="single" w:color="auto" w:sz="4" w:space="0"/>
                    <w:left w:val="single" w:color="auto" w:sz="4" w:space="0"/>
                    <w:right w:val="single" w:color="auto" w:sz="4" w:space="0"/>
                  </w:tcBorders>
                  <w:noWrap w:val="0"/>
                  <w:vAlign w:val="center"/>
                </w:tcPr>
                <w:p w14:paraId="2D0C1896">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8.25</w:t>
                  </w:r>
                </w:p>
              </w:tc>
              <w:tc>
                <w:tcPr>
                  <w:tcW w:w="1505" w:type="dxa"/>
                  <w:tcBorders>
                    <w:top w:val="single" w:color="auto" w:sz="4" w:space="0"/>
                    <w:left w:val="single" w:color="auto" w:sz="4" w:space="0"/>
                    <w:right w:val="single" w:color="auto" w:sz="4" w:space="0"/>
                  </w:tcBorders>
                  <w:noWrap w:val="0"/>
                  <w:vAlign w:val="center"/>
                </w:tcPr>
                <w:p w14:paraId="0BC2D9C8">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收集后由</w:t>
                  </w:r>
                  <w:r>
                    <w:rPr>
                      <w:rFonts w:hint="eastAsia" w:cs="Times New Roman"/>
                      <w:b w:val="0"/>
                      <w:bCs/>
                      <w:color w:val="auto"/>
                      <w:sz w:val="21"/>
                      <w:szCs w:val="21"/>
                      <w:highlight w:val="none"/>
                      <w:lang w:val="en-US" w:eastAsia="zh-CN"/>
                    </w:rPr>
                    <w:t>市政</w:t>
                  </w:r>
                  <w:r>
                    <w:rPr>
                      <w:rFonts w:hint="default" w:ascii="Times New Roman" w:hAnsi="Times New Roman" w:cs="Times New Roman"/>
                      <w:b w:val="0"/>
                      <w:bCs/>
                      <w:color w:val="auto"/>
                      <w:sz w:val="21"/>
                      <w:szCs w:val="21"/>
                      <w:highlight w:val="none"/>
                      <w:lang w:val="en-US" w:eastAsia="zh-CN"/>
                    </w:rPr>
                    <w:t>环卫部门统一清运</w:t>
                  </w:r>
                </w:p>
              </w:tc>
              <w:tc>
                <w:tcPr>
                  <w:tcW w:w="914" w:type="dxa"/>
                  <w:tcBorders>
                    <w:top w:val="single" w:color="auto" w:sz="4" w:space="0"/>
                    <w:left w:val="single" w:color="auto" w:sz="4" w:space="0"/>
                    <w:right w:val="single" w:color="auto" w:sz="4" w:space="0"/>
                  </w:tcBorders>
                  <w:noWrap w:val="0"/>
                  <w:vAlign w:val="center"/>
                </w:tcPr>
                <w:p w14:paraId="788920D1">
                  <w:pPr>
                    <w:pStyle w:val="148"/>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r>
          </w:tbl>
          <w:p w14:paraId="1A0462E1">
            <w:pPr>
              <w:pStyle w:val="15"/>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由上表可知项目所产生的</w:t>
            </w:r>
            <w:r>
              <w:rPr>
                <w:rFonts w:hint="default" w:ascii="Times New Roman" w:hAnsi="Times New Roman" w:eastAsia="宋体" w:cs="Times New Roman"/>
                <w:color w:val="auto"/>
                <w:highlight w:val="none"/>
              </w:rPr>
              <w:t>固体废物均具有良好的处置方法，处置率100%，符合固体废物减量化、资源化、无害化要求，防治措施可行，对周边生态环境影响不大。</w:t>
            </w:r>
          </w:p>
          <w:p w14:paraId="7A6533F5">
            <w:pPr>
              <w:widowControl/>
              <w:jc w:val="left"/>
              <w:rPr>
                <w:rFonts w:hint="default" w:ascii="Times New Roman" w:hAnsi="Times New Roman" w:eastAsia="宋体" w:cs="Times New Roman"/>
                <w:b/>
                <w:bCs/>
                <w:color w:val="auto"/>
                <w:kern w:val="0"/>
                <w:sz w:val="24"/>
                <w:szCs w:val="20"/>
                <w:highlight w:val="none"/>
                <w:lang w:val="en-US" w:eastAsia="zh-CN"/>
              </w:rPr>
            </w:pPr>
            <w:r>
              <w:rPr>
                <w:rFonts w:hint="default" w:ascii="Times New Roman" w:hAnsi="Times New Roman" w:cs="Times New Roman"/>
                <w:b/>
                <w:bCs/>
                <w:color w:val="auto"/>
                <w:kern w:val="0"/>
                <w:sz w:val="24"/>
                <w:szCs w:val="20"/>
                <w:highlight w:val="none"/>
              </w:rPr>
              <w:t xml:space="preserve">4.2 </w:t>
            </w:r>
            <w:r>
              <w:rPr>
                <w:rFonts w:hint="default" w:ascii="Times New Roman" w:hAnsi="Times New Roman" w:cs="Times New Roman"/>
                <w:b/>
                <w:bCs/>
                <w:color w:val="auto"/>
                <w:kern w:val="0"/>
                <w:sz w:val="24"/>
                <w:szCs w:val="20"/>
                <w:highlight w:val="none"/>
                <w:lang w:val="en-US" w:eastAsia="zh-CN"/>
              </w:rPr>
              <w:t>危废暂存间建设要求</w:t>
            </w:r>
          </w:p>
          <w:p w14:paraId="0764D875">
            <w:pPr>
              <w:widowControl/>
              <w:spacing w:line="360" w:lineRule="auto"/>
              <w:ind w:firstLine="480" w:firstLineChars="200"/>
              <w:jc w:val="left"/>
              <w:rPr>
                <w:rFonts w:hint="default" w:ascii="Times New Roman" w:hAnsi="Times New Roman" w:eastAsia="宋体" w:cs="Times New Roman"/>
                <w:color w:val="auto"/>
                <w:spacing w:val="0"/>
                <w:kern w:val="0"/>
                <w:sz w:val="24"/>
                <w:highlight w:val="none"/>
                <w:lang w:bidi="ar"/>
              </w:rPr>
            </w:pPr>
            <w:r>
              <w:rPr>
                <w:rFonts w:hint="default" w:ascii="Times New Roman" w:hAnsi="Times New Roman" w:cs="Times New Roman"/>
                <w:color w:val="auto"/>
                <w:spacing w:val="0"/>
                <w:kern w:val="0"/>
                <w:sz w:val="24"/>
                <w:highlight w:val="none"/>
                <w:lang w:val="en-US" w:eastAsia="zh-CN" w:bidi="ar"/>
              </w:rPr>
              <w:t>本项目</w:t>
            </w:r>
            <w:r>
              <w:rPr>
                <w:rFonts w:hint="eastAsia" w:cs="Times New Roman"/>
                <w:color w:val="auto"/>
                <w:spacing w:val="0"/>
                <w:kern w:val="0"/>
                <w:sz w:val="24"/>
                <w:highlight w:val="none"/>
                <w:lang w:val="en-US" w:eastAsia="zh-CN" w:bidi="ar"/>
              </w:rPr>
              <w:t>在1#生产车间内</w:t>
            </w:r>
            <w:r>
              <w:rPr>
                <w:rFonts w:hint="default" w:ascii="Times New Roman" w:hAnsi="Times New Roman" w:cs="Times New Roman"/>
                <w:color w:val="auto"/>
                <w:spacing w:val="0"/>
                <w:kern w:val="0"/>
                <w:sz w:val="24"/>
                <w:highlight w:val="none"/>
                <w:lang w:val="en-US" w:eastAsia="zh-CN" w:bidi="ar"/>
              </w:rPr>
              <w:t>建设一座10m</w:t>
            </w:r>
            <w:r>
              <w:rPr>
                <w:rFonts w:hint="default" w:ascii="Times New Roman" w:hAnsi="Times New Roman" w:cs="Times New Roman"/>
                <w:color w:val="auto"/>
                <w:spacing w:val="0"/>
                <w:kern w:val="0"/>
                <w:sz w:val="24"/>
                <w:highlight w:val="none"/>
                <w:vertAlign w:val="superscript"/>
                <w:lang w:val="en-US" w:eastAsia="zh-CN" w:bidi="ar"/>
              </w:rPr>
              <w:t>2</w:t>
            </w:r>
            <w:r>
              <w:rPr>
                <w:rFonts w:hint="default" w:ascii="Times New Roman" w:hAnsi="Times New Roman" w:cs="Times New Roman"/>
                <w:color w:val="auto"/>
                <w:spacing w:val="0"/>
                <w:kern w:val="0"/>
                <w:sz w:val="24"/>
                <w:highlight w:val="none"/>
                <w:lang w:val="en-US" w:eastAsia="zh-CN" w:bidi="ar"/>
              </w:rPr>
              <w:t>危废暂存间。危废</w:t>
            </w:r>
            <w:r>
              <w:rPr>
                <w:rFonts w:hint="default" w:ascii="Times New Roman" w:hAnsi="Times New Roman" w:eastAsia="宋体" w:cs="Times New Roman"/>
                <w:color w:val="auto"/>
                <w:spacing w:val="0"/>
                <w:kern w:val="0"/>
                <w:sz w:val="24"/>
                <w:highlight w:val="none"/>
                <w:lang w:val="en-US" w:eastAsia="zh-CN" w:bidi="ar"/>
              </w:rPr>
              <w:t>暂存间的建设需严格按照《危险废物贮存污染控制标准》（GB18597-2023）要求实施。贮存设施应根据危险废物的形态、物理化学性质、包装形式和污染物迁移途径，采取必要的防风、防晒、防雨、防漏、防渗、防腐以及其他环境污染防治措施，不应露天堆放危险废物。</w:t>
            </w:r>
          </w:p>
          <w:p w14:paraId="4D215EA4">
            <w:pPr>
              <w:widowControl/>
              <w:spacing w:line="360" w:lineRule="auto"/>
              <w:ind w:firstLine="480" w:firstLineChars="200"/>
              <w:jc w:val="left"/>
              <w:rPr>
                <w:rFonts w:hint="default" w:ascii="Times New Roman" w:hAnsi="Times New Roman" w:eastAsia="宋体" w:cs="Times New Roman"/>
                <w:color w:val="auto"/>
                <w:spacing w:val="0"/>
                <w:kern w:val="0"/>
                <w:sz w:val="24"/>
                <w:highlight w:val="none"/>
                <w:lang w:bidi="ar"/>
              </w:rPr>
            </w:pPr>
            <w:r>
              <w:rPr>
                <w:rFonts w:hint="default" w:ascii="Times New Roman" w:hAnsi="Times New Roman" w:eastAsia="宋体" w:cs="Times New Roman"/>
                <w:color w:val="auto"/>
                <w:spacing w:val="0"/>
                <w:kern w:val="0"/>
                <w:sz w:val="24"/>
                <w:highlight w:val="none"/>
                <w:lang w:val="en-US" w:eastAsia="zh-CN" w:bidi="ar"/>
              </w:rPr>
              <w:t>贮存设施应根据危险废物的类别、数量、形态、物理化学性质和污染防治等要求设置必要的贮存分区，避免不相容的危险废物接触、混合。</w:t>
            </w:r>
          </w:p>
          <w:p w14:paraId="7C37272B">
            <w:pPr>
              <w:widowControl/>
              <w:spacing w:line="360" w:lineRule="auto"/>
              <w:ind w:firstLine="480" w:firstLineChars="200"/>
              <w:jc w:val="left"/>
              <w:rPr>
                <w:rFonts w:hint="default" w:ascii="Times New Roman" w:hAnsi="Times New Roman" w:eastAsia="宋体" w:cs="Times New Roman"/>
                <w:color w:val="auto"/>
                <w:spacing w:val="0"/>
                <w:kern w:val="0"/>
                <w:sz w:val="24"/>
                <w:highlight w:val="none"/>
                <w:lang w:bidi="ar"/>
              </w:rPr>
            </w:pPr>
            <w:r>
              <w:rPr>
                <w:rFonts w:hint="default" w:ascii="Times New Roman" w:hAnsi="Times New Roman" w:eastAsia="宋体" w:cs="Times New Roman"/>
                <w:color w:val="auto"/>
                <w:spacing w:val="0"/>
                <w:kern w:val="0"/>
                <w:sz w:val="24"/>
                <w:highlight w:val="none"/>
                <w:lang w:val="en-US" w:eastAsia="zh-CN" w:bidi="ar"/>
              </w:rPr>
              <w:t>贮存设施或贮存分区内地面、墙面裙脚、堵截泄漏的围堰、接触危险废物的隔板和墙体等应采用坚固的材料建造，表面无裂缝。</w:t>
            </w:r>
          </w:p>
          <w:p w14:paraId="5B630E02">
            <w:pPr>
              <w:widowControl/>
              <w:spacing w:line="360" w:lineRule="auto"/>
              <w:ind w:firstLine="480" w:firstLineChars="200"/>
              <w:jc w:val="left"/>
              <w:rPr>
                <w:rFonts w:hint="default" w:ascii="Times New Roman" w:hAnsi="Times New Roman" w:eastAsia="宋体" w:cs="Times New Roman"/>
                <w:color w:val="auto"/>
                <w:spacing w:val="0"/>
                <w:kern w:val="0"/>
                <w:sz w:val="24"/>
                <w:highlight w:val="none"/>
                <w:lang w:bidi="ar"/>
              </w:rPr>
            </w:pPr>
            <w:r>
              <w:rPr>
                <w:rFonts w:hint="default" w:ascii="Times New Roman" w:hAnsi="Times New Roman" w:eastAsia="宋体" w:cs="Times New Roman"/>
                <w:color w:val="auto"/>
                <w:spacing w:val="0"/>
                <w:kern w:val="0"/>
                <w:sz w:val="24"/>
                <w:highlight w:val="none"/>
                <w:lang w:val="en-US" w:eastAsia="zh-CN" w:bidi="ar"/>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pacing w:val="0"/>
                <w:kern w:val="0"/>
                <w:sz w:val="24"/>
                <w:highlight w:val="none"/>
                <w:vertAlign w:val="superscript"/>
                <w:lang w:val="en-US" w:eastAsia="zh-CN" w:bidi="ar"/>
              </w:rPr>
              <w:t>-7</w:t>
            </w:r>
            <w:r>
              <w:rPr>
                <w:rFonts w:hint="default" w:ascii="Times New Roman" w:hAnsi="Times New Roman" w:eastAsia="宋体" w:cs="Times New Roman"/>
                <w:color w:val="auto"/>
                <w:spacing w:val="0"/>
                <w:kern w:val="0"/>
                <w:sz w:val="24"/>
                <w:highlight w:val="none"/>
                <w:lang w:val="en-US" w:eastAsia="zh-CN" w:bidi="ar"/>
              </w:rPr>
              <w:t>cm/s），或至少2mm厚高密度聚乙烯膜等人工防渗材料（渗透系数不大于10</w:t>
            </w:r>
            <w:r>
              <w:rPr>
                <w:rFonts w:hint="default" w:ascii="Times New Roman" w:hAnsi="Times New Roman" w:eastAsia="宋体" w:cs="Times New Roman"/>
                <w:color w:val="auto"/>
                <w:spacing w:val="0"/>
                <w:kern w:val="0"/>
                <w:sz w:val="24"/>
                <w:highlight w:val="none"/>
                <w:vertAlign w:val="superscript"/>
                <w:lang w:val="en-US" w:eastAsia="zh-CN" w:bidi="ar"/>
              </w:rPr>
              <w:t>-10</w:t>
            </w:r>
            <w:r>
              <w:rPr>
                <w:rFonts w:hint="default" w:ascii="Times New Roman" w:hAnsi="Times New Roman" w:eastAsia="宋体" w:cs="Times New Roman"/>
                <w:color w:val="auto"/>
                <w:spacing w:val="0"/>
                <w:kern w:val="0"/>
                <w:sz w:val="24"/>
                <w:highlight w:val="none"/>
                <w:lang w:val="en-US" w:eastAsia="zh-CN" w:bidi="ar"/>
              </w:rPr>
              <w:t>cm/s），或其他防渗性能等效的材料。</w:t>
            </w:r>
          </w:p>
          <w:p w14:paraId="4BAB0A2A">
            <w:pPr>
              <w:widowControl/>
              <w:jc w:val="left"/>
              <w:rPr>
                <w:rFonts w:hint="default" w:ascii="Times New Roman" w:hAnsi="Times New Roman" w:cs="Times New Roman"/>
                <w:b/>
                <w:bCs/>
                <w:color w:val="auto"/>
                <w:kern w:val="0"/>
                <w:sz w:val="24"/>
                <w:szCs w:val="20"/>
                <w:highlight w:val="none"/>
              </w:rPr>
            </w:pPr>
            <w:r>
              <w:rPr>
                <w:rFonts w:hint="default" w:ascii="Times New Roman" w:hAnsi="Times New Roman" w:cs="Times New Roman"/>
                <w:b/>
                <w:bCs/>
                <w:color w:val="auto"/>
                <w:kern w:val="0"/>
                <w:sz w:val="24"/>
                <w:szCs w:val="20"/>
                <w:highlight w:val="none"/>
              </w:rPr>
              <w:t>4.</w:t>
            </w:r>
            <w:r>
              <w:rPr>
                <w:rFonts w:hint="default" w:ascii="Times New Roman" w:hAnsi="Times New Roman" w:cs="Times New Roman"/>
                <w:b/>
                <w:bCs/>
                <w:color w:val="auto"/>
                <w:kern w:val="0"/>
                <w:sz w:val="24"/>
                <w:szCs w:val="20"/>
                <w:highlight w:val="none"/>
                <w:lang w:val="en-US" w:eastAsia="zh-CN"/>
              </w:rPr>
              <w:t>3</w:t>
            </w:r>
            <w:r>
              <w:rPr>
                <w:rFonts w:hint="default" w:ascii="Times New Roman" w:hAnsi="Times New Roman" w:cs="Times New Roman"/>
                <w:b/>
                <w:bCs/>
                <w:color w:val="auto"/>
                <w:kern w:val="0"/>
                <w:sz w:val="24"/>
                <w:szCs w:val="20"/>
                <w:highlight w:val="none"/>
              </w:rPr>
              <w:t xml:space="preserve"> 日常环境管理要求</w:t>
            </w:r>
          </w:p>
          <w:p w14:paraId="76A0E8FD">
            <w:pPr>
              <w:pStyle w:val="15"/>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项目产生的危险废物如果在周转及临时贮存过程中处置不当，可能会对周围环境造成影响，对危险废物的收集、外运应采取下述措施：</w:t>
            </w:r>
          </w:p>
          <w:p w14:paraId="02956E0C">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①危险废物的收集</w:t>
            </w:r>
          </w:p>
          <w:p w14:paraId="28368F10">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a.危险废物产生单位进行的危险废物收集包括两个方面，一是在危险废物产生节点将危险废物集中到适当的包装容器中或运输车辆上的活动；二是将已包装或装到运输车辆上的危险废物集中到危险废物产生单位内部临时贮存设施的内部转运。</w:t>
            </w:r>
          </w:p>
          <w:p w14:paraId="3E19A3D0">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b.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14:paraId="232FDDDA">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c.危险废物的收集应制定详细的操作规程，内容至少应包括适用范围、操作程序和方法、专用设备和工具、转移和交接、安全保障和应急防护等。</w:t>
            </w:r>
          </w:p>
          <w:p w14:paraId="2B375EA9">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d.危险废物收集和转运作业人员应根据工作需要配备必要的个人防护装备，如手套、防护镜、防护服、防毒面具或口罩等。</w:t>
            </w:r>
          </w:p>
          <w:p w14:paraId="0CF02706">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e.在危险废物的收集和转运过程中，应采取相应的安全防护和污染防治措施，包括防爆、防火、防中毒、防感染、防泄露、防飞扬、防雨</w:t>
            </w:r>
            <w:r>
              <w:rPr>
                <w:rFonts w:hint="default" w:ascii="Times New Roman" w:hAnsi="Times New Roman" w:cs="Times New Roman"/>
                <w:color w:val="auto"/>
                <w:kern w:val="0"/>
                <w:highlight w:val="none"/>
                <w:lang w:eastAsia="zh-CN"/>
              </w:rPr>
              <w:t>或其他</w:t>
            </w:r>
            <w:r>
              <w:rPr>
                <w:rFonts w:hint="default" w:ascii="Times New Roman" w:hAnsi="Times New Roman" w:cs="Times New Roman"/>
                <w:color w:val="auto"/>
                <w:kern w:val="0"/>
                <w:highlight w:val="none"/>
              </w:rPr>
              <w:t>防止污染环境的措施。</w:t>
            </w:r>
          </w:p>
          <w:p w14:paraId="6EE09803">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f.危险废物收集时应根据危险废物的种类、数量、危险特性、物理形态、运输要求等因素确定包装形式，具体包装应符合如下要求：</w:t>
            </w:r>
          </w:p>
          <w:p w14:paraId="1E12FF50">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1</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包装材质要与危险废物相容，可根据废物特性选择钢、铝、塑料等材质。</w:t>
            </w:r>
          </w:p>
          <w:p w14:paraId="101FB478">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2</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性质类似的废物可收集到同一容器中，性质不相容的危险废物不应混合包装。</w:t>
            </w:r>
          </w:p>
          <w:p w14:paraId="2F991A30">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3</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危险废物包装应能有效隔断危险废物迁移扩散途径，并达到防渗、防漏要求。</w:t>
            </w:r>
          </w:p>
          <w:p w14:paraId="4D5B07DA">
            <w:pPr>
              <w:pStyle w:val="96"/>
              <w:overflowPunct w:val="0"/>
              <w:autoSpaceDE w:val="0"/>
              <w:autoSpaceDN w:val="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4</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包装好的危险废物应设置相应的标签，标签信息应填写完整</w:t>
            </w:r>
            <w:r>
              <w:rPr>
                <w:rFonts w:hint="default" w:ascii="Times New Roman" w:hAnsi="Times New Roman" w:cs="Times New Roman"/>
                <w:color w:val="auto"/>
                <w:kern w:val="0"/>
                <w:highlight w:val="none"/>
                <w:lang w:eastAsia="zh-CN"/>
              </w:rPr>
              <w:t>详实</w:t>
            </w:r>
            <w:r>
              <w:rPr>
                <w:rFonts w:hint="default" w:ascii="Times New Roman" w:hAnsi="Times New Roman" w:cs="Times New Roman"/>
                <w:color w:val="auto"/>
                <w:kern w:val="0"/>
                <w:highlight w:val="none"/>
              </w:rPr>
              <w:t>。</w:t>
            </w:r>
          </w:p>
          <w:p w14:paraId="7EAC84A9">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盛装过危险废物的包装袋或包装容器破损后应按危险废物进行管理和处置。</w:t>
            </w:r>
          </w:p>
          <w:p w14:paraId="7FDE042B">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危险废物还应根据GB12463的有关要求进行运输包装。</w:t>
            </w:r>
          </w:p>
          <w:p w14:paraId="36DCFA10">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g.危险废物的收集作业应满足如下要求：</w:t>
            </w:r>
          </w:p>
          <w:p w14:paraId="201BA79C">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应根据收集设备、转运车辆以及现场人员等实际情况确定相应作业区域，同时要设置作业界限标志和警示牌。</w:t>
            </w:r>
          </w:p>
          <w:p w14:paraId="61A84CC5">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作业区域内应设置危险废物收集专用通道和人员避险通道。</w:t>
            </w:r>
          </w:p>
          <w:p w14:paraId="2CA0AF55">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收集时应配备必要的收集工具和包装物，以及必要的应急监测设备及应急装备。</w:t>
            </w:r>
          </w:p>
          <w:p w14:paraId="4A7504D5">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危险废物收集应参照本标准附录A填写记录表，并将记录表作为危险废物管理的重要档案妥善保存。</w:t>
            </w:r>
          </w:p>
          <w:p w14:paraId="57B328AD">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收集结束后应清理和恢复收集作业区域，确保作业区域环境整洁安全。</w:t>
            </w:r>
          </w:p>
          <w:p w14:paraId="20749B8C">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收集过危险废物的容器、设备、设施、场所</w:t>
            </w:r>
            <w:r>
              <w:rPr>
                <w:rFonts w:hint="default" w:ascii="Times New Roman" w:hAnsi="Times New Roman" w:cs="Times New Roman"/>
                <w:color w:val="auto"/>
                <w:highlight w:val="none"/>
                <w:lang w:eastAsia="zh-CN"/>
              </w:rPr>
              <w:t>及其他</w:t>
            </w:r>
            <w:r>
              <w:rPr>
                <w:rFonts w:hint="default" w:ascii="Times New Roman" w:hAnsi="Times New Roman" w:cs="Times New Roman"/>
                <w:color w:val="auto"/>
                <w:highlight w:val="none"/>
              </w:rPr>
              <w:t>物品转作它用时，应消除污染，确保其使用安全。</w:t>
            </w:r>
          </w:p>
          <w:p w14:paraId="10367311">
            <w:pPr>
              <w:pStyle w:val="96"/>
              <w:overflowPunct w:val="0"/>
              <w:autoSpaceDE w:val="0"/>
              <w:autoSpaceDN w:val="0"/>
              <w:rPr>
                <w:rFonts w:hint="default" w:ascii="Times New Roman" w:hAnsi="Times New Roman" w:cs="Times New Roman"/>
                <w:color w:val="auto"/>
                <w:highlight w:val="none"/>
              </w:rPr>
            </w:pPr>
            <w:r>
              <w:rPr>
                <w:rFonts w:hint="default" w:ascii="Times New Roman" w:hAnsi="Times New Roman" w:cs="Times New Roman"/>
                <w:color w:val="auto"/>
                <w:highlight w:val="none"/>
              </w:rPr>
              <w:t>h.危险废物内部转运作业应满足如下要求：</w:t>
            </w:r>
          </w:p>
          <w:p w14:paraId="3572D53A">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危险废物内部转运应综合考虑厂区的实际情况确定转运路线，尽量避开办公区和生活区。</w:t>
            </w:r>
          </w:p>
          <w:p w14:paraId="6EC072AE">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危险废物内部转运作业应采用专用的工具，危险废物内部转运应填写《危险废物厂内转运记录表》。</w:t>
            </w:r>
          </w:p>
          <w:p w14:paraId="79FCB5F0">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危险废物内部</w:t>
            </w:r>
            <w:r>
              <w:rPr>
                <w:rFonts w:hint="default" w:ascii="Times New Roman" w:hAnsi="Times New Roman" w:eastAsia="宋体" w:cs="Times New Roman"/>
                <w:color w:val="auto"/>
                <w:highlight w:val="none"/>
              </w:rPr>
              <w:t>转运结束后，应对转运路线进行检查和清理，确保无危险废物遗失在转运路线上，并对转运工具进行清洗。</w:t>
            </w:r>
          </w:p>
          <w:p w14:paraId="293ED9E6">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i.</w:t>
            </w:r>
            <w:r>
              <w:rPr>
                <w:rFonts w:hint="default" w:ascii="Times New Roman" w:hAnsi="Times New Roman" w:eastAsia="宋体" w:cs="Times New Roman"/>
                <w:color w:val="auto"/>
                <w:highlight w:val="none"/>
                <w:lang w:val="en-US" w:eastAsia="zh-CN"/>
              </w:rPr>
              <w:t>危险废物执行《危险废物贮存污染控制标准》（GB 18597—2023）；按《环境保护图形标志－固体废物贮存（处置）场》（GB15562.2-1995）修改单（2023.7.1）《危险废物识别标志设置技术规范》（HJ 1276-2022）规定的图形，在各气、水、声排污口（源）挂牌标识，做到各排污口（源）的环保标志明显，便于企业管理和公众监督</w:t>
            </w:r>
            <w:r>
              <w:rPr>
                <w:rFonts w:hint="default" w:ascii="Times New Roman" w:hAnsi="Times New Roman" w:eastAsia="宋体" w:cs="Times New Roman"/>
                <w:color w:val="auto"/>
                <w:highlight w:val="none"/>
              </w:rPr>
              <w:t>。</w:t>
            </w:r>
          </w:p>
          <w:p w14:paraId="4C7B1867">
            <w:pPr>
              <w:pStyle w:val="96"/>
              <w:overflowPunct w:val="0"/>
              <w:autoSpaceDE w:val="0"/>
              <w:autoSpaceDN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②危险废物的转运</w:t>
            </w:r>
          </w:p>
          <w:p w14:paraId="0B4C0852">
            <w:pPr>
              <w:pStyle w:val="96"/>
              <w:overflowPunct w:val="0"/>
              <w:autoSpaceDE w:val="0"/>
              <w:autoSpaceDN w:val="0"/>
              <w:rPr>
                <w:rFonts w:hint="default" w:ascii="Times New Roman" w:hAnsi="Times New Roman" w:cs="Times New Roman"/>
                <w:color w:val="auto"/>
                <w:highlight w:val="none"/>
              </w:rPr>
            </w:pPr>
            <w:r>
              <w:rPr>
                <w:rFonts w:hint="default" w:ascii="Times New Roman" w:hAnsi="Times New Roman" w:eastAsia="宋体" w:cs="Times New Roman"/>
                <w:bCs/>
                <w:color w:val="auto"/>
                <w:highlight w:val="none"/>
                <w:lang w:val="en-US" w:eastAsia="zh-CN"/>
              </w:rPr>
              <w:t>做好危险废物情况的记录，企业应按国家有关规定办理危险废物申报转移的“五联单”手续，做好危险废物情况的记录，记录上须注明危险废物的名称、来源、数量、特性和包装容器的类别、废物出库日期及接收单位名称。在交由具有相应危险废物资质单位处理时，应严格按照《危险废物管理计划和管理台账制定技术导则》（HJ1259-2022）填写危险废物转移联单，并由双方单位保留备查，所有废物收集和封装容器应得到接收企业及当地环保部门的认可。</w:t>
            </w:r>
          </w:p>
          <w:p w14:paraId="52ECD221">
            <w:pPr>
              <w:pStyle w:val="96"/>
              <w:overflowPunct w:val="0"/>
              <w:autoSpaceDE w:val="0"/>
              <w:autoSpaceDN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应按照国家有关规定向当地环境保护行政主管部门申报登记，接受当地环境保护行政主管部门监督管理。同时，根据国务院令第344号《危险化学品安全管理条例》、《危险废物收集贮存运输技术规范》（HJ2025-2012）和《危险废物管理计划和管理台账制定技术导则》（HJ1259-2022）的有关规定，在危险废物外运至处置单位时必须严格遵守以下要求：</w:t>
            </w:r>
          </w:p>
          <w:p w14:paraId="0E063228">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a.危险废物运输应由持有危险废物经营许可证的单位按照其许可证的经营范围组织实施，承担危险废物运输的单位应获得交通运输部门颁发的危险货物运输资质；危险废物公路运输应按照《道路危险货物运输管理规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交通部令[2005年]第9号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JT617以及JT618执行；废弃危险化学品的运输应执行《危险化学品安全管理条例》有关运输的规定；运输单位承运危险废物时，应在危险废物包装上按照GB18597附录A设置标志；危险废物公路运输时，运输车辆应按GB13392设置车辆标志；危险废物运输时的中转、装卸过程应遵守如下技术要求：</w:t>
            </w:r>
          </w:p>
          <w:p w14:paraId="449AE200">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卸载区的工作人员应熟悉废物的危险特性，并配备适当的个人防护装备，装卸剧毒废物应配备特殊的防护装备。</w:t>
            </w:r>
          </w:p>
          <w:p w14:paraId="134DE447">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卸载区应配备必要的消防设备和设施，并设置明显的指示标志。</w:t>
            </w:r>
          </w:p>
          <w:p w14:paraId="58761AB1">
            <w:pPr>
              <w:pStyle w:val="96"/>
              <w:overflowPunct w:val="0"/>
              <w:autoSpaceDE w:val="0"/>
              <w:autoSpaceDN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危险废物装卸区应设置隔离设施，液态废物卸载区应设置收集槽和缓冲罐。</w:t>
            </w:r>
          </w:p>
          <w:p w14:paraId="2EB42C97">
            <w:pPr>
              <w:pStyle w:val="96"/>
              <w:overflowPunct w:val="0"/>
              <w:autoSpaceDE w:val="0"/>
              <w:autoSpaceDN w:val="0"/>
              <w:rPr>
                <w:rFonts w:hint="default" w:ascii="Times New Roman" w:hAnsi="Times New Roman" w:cs="Times New Roman"/>
                <w:color w:val="auto"/>
                <w:highlight w:val="none"/>
              </w:rPr>
            </w:pPr>
            <w:r>
              <w:rPr>
                <w:rFonts w:hint="default" w:ascii="Times New Roman" w:hAnsi="Times New Roman" w:cs="Times New Roman"/>
                <w:color w:val="auto"/>
                <w:highlight w:val="none"/>
              </w:rPr>
              <w:t>b.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收单位，第五联交接收地环保局。</w:t>
            </w:r>
          </w:p>
          <w:p w14:paraId="62D429B9">
            <w:pPr>
              <w:pStyle w:val="96"/>
              <w:overflowPunct w:val="0"/>
              <w:autoSpaceDE w:val="0"/>
              <w:autoSpaceDN w:val="0"/>
              <w:rPr>
                <w:rFonts w:hint="default" w:ascii="Times New Roman" w:hAnsi="Times New Roman" w:cs="Times New Roman"/>
                <w:color w:val="auto"/>
                <w:highlight w:val="none"/>
              </w:rPr>
            </w:pPr>
            <w:r>
              <w:rPr>
                <w:rFonts w:hint="default" w:ascii="Times New Roman" w:hAnsi="Times New Roman" w:cs="Times New Roman"/>
                <w:color w:val="auto"/>
                <w:highlight w:val="none"/>
              </w:rPr>
              <w:t>c.废弃物处置单位的运输人员必须掌握危险化学品运输的安全知识，化学品的性质、危害特性、包装容器的使用特性和发生意外时的应急措施了解所运载的危险。运输车辆必须具有车辆危险货物运输许可证。驾驶人员必须由取得驾驶执照的熟练人员担任。</w:t>
            </w:r>
          </w:p>
          <w:p w14:paraId="5BE2A465">
            <w:pPr>
              <w:pStyle w:val="96"/>
              <w:overflowPunct w:val="0"/>
              <w:autoSpaceDE w:val="0"/>
              <w:autoSpaceDN w:val="0"/>
              <w:rPr>
                <w:rFonts w:hint="default" w:ascii="Times New Roman" w:hAnsi="Times New Roman" w:cs="Times New Roman"/>
                <w:color w:val="auto"/>
                <w:highlight w:val="none"/>
              </w:rPr>
            </w:pPr>
            <w:r>
              <w:rPr>
                <w:rFonts w:hint="default" w:ascii="Times New Roman" w:hAnsi="Times New Roman" w:cs="Times New Roman"/>
                <w:color w:val="auto"/>
                <w:highlight w:val="none"/>
              </w:rPr>
              <w:t>d.处置单位在运输危险废物时必须配备押运人员，并随时处于押运人员的监管之下，不得超装、超载，严格按照所在城市规定的行车时间和行车路线行驶，不得进入危险化学品运输车辆禁止通行的区域。</w:t>
            </w:r>
          </w:p>
          <w:p w14:paraId="7418146A">
            <w:pPr>
              <w:pStyle w:val="96"/>
              <w:overflowPunct w:val="0"/>
              <w:autoSpaceDE w:val="0"/>
              <w:autoSpaceDN w:val="0"/>
              <w:rPr>
                <w:rFonts w:hint="default" w:ascii="Times New Roman" w:hAnsi="Times New Roman" w:cs="Times New Roman"/>
                <w:color w:val="auto"/>
                <w:highlight w:val="none"/>
              </w:rPr>
            </w:pPr>
            <w:r>
              <w:rPr>
                <w:rFonts w:hint="default" w:ascii="Times New Roman" w:hAnsi="Times New Roman" w:cs="Times New Roman"/>
                <w:color w:val="auto"/>
                <w:highlight w:val="none"/>
              </w:rPr>
              <w:t>e.危险废物在运输途中若发生被盗、丢失、流散、泄漏等情况时，公司及押运人员必须立即向当地公安部门报告，并采取一切可能的警示措施。</w:t>
            </w:r>
          </w:p>
          <w:p w14:paraId="3AEF8F2C">
            <w:pPr>
              <w:pStyle w:val="96"/>
              <w:overflowPunct w:val="0"/>
              <w:autoSpaceDE w:val="0"/>
              <w:autoSpaceDN w:val="0"/>
              <w:rPr>
                <w:rFonts w:hint="default" w:ascii="Times New Roman" w:hAnsi="Times New Roman" w:cs="Times New Roman"/>
                <w:color w:val="auto"/>
                <w:highlight w:val="none"/>
              </w:rPr>
            </w:pPr>
            <w:r>
              <w:rPr>
                <w:rFonts w:hint="default" w:ascii="Times New Roman" w:hAnsi="Times New Roman" w:cs="Times New Roman"/>
                <w:color w:val="auto"/>
                <w:highlight w:val="none"/>
              </w:rPr>
              <w:t>f.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5B2A9E1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危险废物的收集处理在采取以上措施后，能够满足《危险废物贮存污染控制标准》(</w:t>
            </w:r>
            <w:r>
              <w:rPr>
                <w:rFonts w:hint="default" w:ascii="Times New Roman" w:hAnsi="Times New Roman" w:cs="Times New Roman"/>
                <w:color w:val="auto"/>
                <w:sz w:val="24"/>
                <w:highlight w:val="none"/>
                <w:lang w:eastAsia="zh-CN"/>
              </w:rPr>
              <w:t>GB18597-2023）</w:t>
            </w:r>
            <w:r>
              <w:rPr>
                <w:rFonts w:hint="default" w:ascii="Times New Roman" w:hAnsi="Times New Roman" w:cs="Times New Roman"/>
                <w:color w:val="auto"/>
                <w:sz w:val="24"/>
                <w:highlight w:val="none"/>
              </w:rPr>
              <w:t>及修改单要求，对周围环境影响较小。</w:t>
            </w:r>
          </w:p>
          <w:p w14:paraId="66626FD5">
            <w:pPr>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rPr>
              <w:t xml:space="preserve">5. </w:t>
            </w:r>
            <w:r>
              <w:rPr>
                <w:rFonts w:hint="default" w:ascii="Times New Roman" w:hAnsi="Times New Roman" w:cs="Times New Roman"/>
                <w:b/>
                <w:bCs/>
                <w:color w:val="auto"/>
                <w:sz w:val="24"/>
                <w:highlight w:val="none"/>
                <w:lang w:val="en-US" w:eastAsia="zh-CN"/>
              </w:rPr>
              <w:t>地下水、土壤环境影响</w:t>
            </w:r>
          </w:p>
          <w:p w14:paraId="063FFD7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本项目生产废水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生活废水排入污水管网，且贮存区属重点防渗区，因此不会对项目区周边土壤和地下水产生污染。</w:t>
            </w:r>
          </w:p>
          <w:p w14:paraId="2352531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危废暂存间</w:t>
            </w:r>
            <w:r>
              <w:rPr>
                <w:rFonts w:hint="default" w:ascii="Times New Roman" w:hAnsi="Times New Roman" w:eastAsia="宋体" w:cs="Times New Roman"/>
                <w:color w:val="auto"/>
                <w:sz w:val="24"/>
                <w:highlight w:val="none"/>
              </w:rPr>
              <w:t>建设过程中严格按《危险废物贮存污染控制标准》（GB18597-2023）等规范的要求，并委托具有危废处置资质单位收运处置，在贮存场所做好防渗、防腐措施，危险废物不直接与外环境土壤接触，并且阻断可能引起地下水污染的途径，基本不会对周边区域土壤和地下水环境产生污染。</w:t>
            </w:r>
          </w:p>
          <w:p w14:paraId="60E7996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（1）污染途径</w:t>
            </w:r>
          </w:p>
          <w:p w14:paraId="62A9C76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本工程对地下水和土壤环境的影响主要表现在事故状态下泄漏的</w:t>
            </w:r>
            <w:r>
              <w:rPr>
                <w:rFonts w:hint="default" w:ascii="Times New Roman" w:hAnsi="Times New Roman" w:eastAsia="宋体" w:cs="Times New Roman"/>
                <w:color w:val="auto"/>
                <w:sz w:val="24"/>
                <w:highlight w:val="none"/>
                <w:lang w:val="en-US" w:eastAsia="zh-CN"/>
              </w:rPr>
              <w:t>废机油、拉丝液</w:t>
            </w:r>
            <w:r>
              <w:rPr>
                <w:rFonts w:hint="default" w:ascii="Times New Roman" w:hAnsi="Times New Roman" w:eastAsia="宋体" w:cs="Times New Roman"/>
                <w:color w:val="auto"/>
                <w:sz w:val="24"/>
                <w:highlight w:val="none"/>
              </w:rPr>
              <w:t>等污染物泄漏到周边土壤渗入地下，从而影响地下水和土壤环境质量。</w:t>
            </w:r>
          </w:p>
          <w:p w14:paraId="0186715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（2）污染防治措施</w:t>
            </w:r>
          </w:p>
          <w:p w14:paraId="24C7C7A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①源头控制</w:t>
            </w:r>
          </w:p>
          <w:p w14:paraId="4C720B9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危废贮存过程中严格按照国家相关规范要求，对场地贮存中心地面、导流沟、事故收集池采取相应措施，加强管理、定期巡检，以防止和降低污染物的跑、冒、滴、漏，将污染物泄漏的环境风险事故降到最低程度。</w:t>
            </w:r>
          </w:p>
          <w:p w14:paraId="11C8D91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②分区防治措施</w:t>
            </w:r>
          </w:p>
          <w:p w14:paraId="290EA17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为有效预防地下水及土壤污染，本项目采取分区防渗措施。地下水污染防渗分区参照表详见下表。</w:t>
            </w:r>
          </w:p>
          <w:p w14:paraId="6E341370">
            <w:pPr>
              <w:keepNext w:val="0"/>
              <w:keepLines w:val="0"/>
              <w:pageBreakBefore w:val="0"/>
              <w:widowControl w:val="0"/>
              <w:kinsoku/>
              <w:wordWrap/>
              <w:overflowPunct/>
              <w:topLinePunct/>
              <w:autoSpaceDE/>
              <w:autoSpaceDN/>
              <w:bidi w:val="0"/>
              <w:adjustRightInd w:val="0"/>
              <w:snapToGrid w:val="0"/>
              <w:spacing w:line="240" w:lineRule="auto"/>
              <w:ind w:firstLine="0"/>
              <w:jc w:val="center"/>
              <w:textAlignment w:val="auto"/>
              <w:rPr>
                <w:rFonts w:hint="default" w:ascii="Times New Roman" w:hAnsi="Times New Roman" w:eastAsia="宋体" w:cs="Times New Roman"/>
                <w:b/>
                <w:color w:val="auto"/>
                <w:kern w:val="0"/>
                <w:sz w:val="21"/>
                <w:szCs w:val="18"/>
                <w:highlight w:val="none"/>
                <w:lang w:val="en-US" w:eastAsia="zh-CN"/>
              </w:rPr>
            </w:pPr>
            <w:r>
              <w:rPr>
                <w:rFonts w:hint="default" w:ascii="Times New Roman" w:hAnsi="Times New Roman" w:eastAsia="宋体" w:cs="Times New Roman"/>
                <w:b/>
                <w:color w:val="auto"/>
                <w:kern w:val="0"/>
                <w:sz w:val="21"/>
                <w:szCs w:val="18"/>
                <w:highlight w:val="none"/>
                <w:lang w:val="en-US" w:eastAsia="zh-CN"/>
              </w:rPr>
              <w:t>表4-</w:t>
            </w:r>
            <w:r>
              <w:rPr>
                <w:rFonts w:hint="eastAsia" w:ascii="Times New Roman" w:hAnsi="Times New Roman" w:eastAsia="宋体" w:cs="Times New Roman"/>
                <w:b/>
                <w:color w:val="auto"/>
                <w:kern w:val="0"/>
                <w:sz w:val="21"/>
                <w:szCs w:val="18"/>
                <w:highlight w:val="none"/>
                <w:lang w:val="en-US" w:eastAsia="zh-CN"/>
              </w:rPr>
              <w:t>12</w:t>
            </w:r>
            <w:r>
              <w:rPr>
                <w:rFonts w:hint="default" w:ascii="Times New Roman" w:hAnsi="Times New Roman" w:eastAsia="宋体" w:cs="Times New Roman"/>
                <w:b/>
                <w:color w:val="auto"/>
                <w:kern w:val="0"/>
                <w:sz w:val="21"/>
                <w:szCs w:val="18"/>
                <w:highlight w:val="none"/>
                <w:lang w:val="en-US" w:eastAsia="zh-CN"/>
              </w:rPr>
              <w:t xml:space="preserve">     污染防渗分区参照表</w:t>
            </w:r>
          </w:p>
          <w:tbl>
            <w:tblPr>
              <w:tblStyle w:val="33"/>
              <w:tblW w:w="86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348"/>
              <w:gridCol w:w="1118"/>
              <w:gridCol w:w="1726"/>
              <w:gridCol w:w="2918"/>
            </w:tblGrid>
            <w:tr w14:paraId="09E5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4" w:type="dxa"/>
                  <w:noWrap w:val="0"/>
                  <w:vAlign w:val="center"/>
                </w:tcPr>
                <w:p w14:paraId="394438B2">
                  <w:pPr>
                    <w:widowControl/>
                    <w:suppressAutoHyphens/>
                    <w:topLinePunct/>
                    <w:jc w:val="center"/>
                    <w:rPr>
                      <w:rFonts w:hint="default" w:ascii="Times New Roman" w:hAnsi="Times New Roman" w:cs="Times New Roman"/>
                      <w:b/>
                      <w:bCs/>
                      <w:color w:val="auto"/>
                      <w:highlight w:val="none"/>
                      <w:lang w:bidi="ar"/>
                    </w:rPr>
                  </w:pPr>
                  <w:r>
                    <w:rPr>
                      <w:rFonts w:hint="default" w:ascii="Times New Roman" w:hAnsi="Times New Roman" w:cs="Times New Roman"/>
                      <w:b/>
                      <w:bCs/>
                      <w:color w:val="auto"/>
                      <w:highlight w:val="none"/>
                      <w:lang w:bidi="ar"/>
                    </w:rPr>
                    <w:t>防渗分区</w:t>
                  </w:r>
                </w:p>
              </w:tc>
              <w:tc>
                <w:tcPr>
                  <w:tcW w:w="1348" w:type="dxa"/>
                  <w:noWrap w:val="0"/>
                  <w:vAlign w:val="center"/>
                </w:tcPr>
                <w:p w14:paraId="774CD738">
                  <w:pPr>
                    <w:widowControl/>
                    <w:suppressAutoHyphens/>
                    <w:topLinePunct/>
                    <w:jc w:val="center"/>
                    <w:rPr>
                      <w:rFonts w:hint="default" w:ascii="Times New Roman" w:hAnsi="Times New Roman" w:cs="Times New Roman"/>
                      <w:b/>
                      <w:bCs/>
                      <w:color w:val="auto"/>
                      <w:highlight w:val="none"/>
                      <w:lang w:bidi="ar"/>
                    </w:rPr>
                  </w:pPr>
                  <w:r>
                    <w:rPr>
                      <w:rFonts w:hint="default" w:ascii="Times New Roman" w:hAnsi="Times New Roman" w:cs="Times New Roman"/>
                      <w:b/>
                      <w:bCs/>
                      <w:color w:val="auto"/>
                      <w:highlight w:val="none"/>
                      <w:lang w:bidi="ar"/>
                    </w:rPr>
                    <w:t>天然包气带防污性能</w:t>
                  </w:r>
                </w:p>
              </w:tc>
              <w:tc>
                <w:tcPr>
                  <w:tcW w:w="1118" w:type="dxa"/>
                  <w:noWrap w:val="0"/>
                  <w:vAlign w:val="center"/>
                </w:tcPr>
                <w:p w14:paraId="5F6E7CAA">
                  <w:pPr>
                    <w:widowControl/>
                    <w:suppressAutoHyphens/>
                    <w:topLinePunct/>
                    <w:jc w:val="center"/>
                    <w:rPr>
                      <w:rFonts w:hint="default" w:ascii="Times New Roman" w:hAnsi="Times New Roman" w:cs="Times New Roman"/>
                      <w:b/>
                      <w:bCs/>
                      <w:color w:val="auto"/>
                      <w:highlight w:val="none"/>
                      <w:lang w:bidi="ar"/>
                    </w:rPr>
                  </w:pPr>
                  <w:r>
                    <w:rPr>
                      <w:rFonts w:hint="default" w:ascii="Times New Roman" w:hAnsi="Times New Roman" w:cs="Times New Roman"/>
                      <w:b/>
                      <w:bCs/>
                      <w:color w:val="auto"/>
                      <w:highlight w:val="none"/>
                      <w:lang w:bidi="ar"/>
                    </w:rPr>
                    <w:t>污染控制难易程度</w:t>
                  </w:r>
                </w:p>
              </w:tc>
              <w:tc>
                <w:tcPr>
                  <w:tcW w:w="1726" w:type="dxa"/>
                  <w:noWrap w:val="0"/>
                  <w:vAlign w:val="center"/>
                </w:tcPr>
                <w:p w14:paraId="38FB9551">
                  <w:pPr>
                    <w:widowControl/>
                    <w:suppressAutoHyphens/>
                    <w:topLinePunct/>
                    <w:jc w:val="center"/>
                    <w:rPr>
                      <w:rFonts w:hint="default" w:ascii="Times New Roman" w:hAnsi="Times New Roman" w:cs="Times New Roman"/>
                      <w:b/>
                      <w:bCs/>
                      <w:color w:val="auto"/>
                      <w:highlight w:val="none"/>
                      <w:lang w:bidi="ar"/>
                    </w:rPr>
                  </w:pPr>
                  <w:r>
                    <w:rPr>
                      <w:rFonts w:hint="default" w:ascii="Times New Roman" w:hAnsi="Times New Roman" w:cs="Times New Roman"/>
                      <w:b/>
                      <w:bCs/>
                      <w:color w:val="auto"/>
                      <w:highlight w:val="none"/>
                      <w:lang w:bidi="ar"/>
                    </w:rPr>
                    <w:t>污染物类型</w:t>
                  </w:r>
                </w:p>
              </w:tc>
              <w:tc>
                <w:tcPr>
                  <w:tcW w:w="2918" w:type="dxa"/>
                  <w:noWrap w:val="0"/>
                  <w:vAlign w:val="center"/>
                </w:tcPr>
                <w:p w14:paraId="3A8E9F02">
                  <w:pPr>
                    <w:widowControl/>
                    <w:suppressAutoHyphens/>
                    <w:topLinePunct/>
                    <w:jc w:val="center"/>
                    <w:rPr>
                      <w:rFonts w:hint="default" w:ascii="Times New Roman" w:hAnsi="Times New Roman" w:cs="Times New Roman"/>
                      <w:b/>
                      <w:bCs/>
                      <w:color w:val="auto"/>
                      <w:highlight w:val="none"/>
                      <w:lang w:bidi="ar"/>
                    </w:rPr>
                  </w:pPr>
                  <w:r>
                    <w:rPr>
                      <w:rFonts w:hint="default" w:ascii="Times New Roman" w:hAnsi="Times New Roman" w:cs="Times New Roman"/>
                      <w:b/>
                      <w:bCs/>
                      <w:color w:val="auto"/>
                      <w:highlight w:val="none"/>
                      <w:lang w:bidi="ar"/>
                    </w:rPr>
                    <w:t>防渗技术要求</w:t>
                  </w:r>
                </w:p>
              </w:tc>
            </w:tr>
            <w:tr w14:paraId="2DD7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4" w:type="dxa"/>
                  <w:vMerge w:val="restart"/>
                  <w:noWrap w:val="0"/>
                  <w:vAlign w:val="center"/>
                </w:tcPr>
                <w:p w14:paraId="56D68C98">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重点防渗分区</w:t>
                  </w:r>
                </w:p>
              </w:tc>
              <w:tc>
                <w:tcPr>
                  <w:tcW w:w="1348" w:type="dxa"/>
                  <w:noWrap w:val="0"/>
                  <w:vAlign w:val="center"/>
                </w:tcPr>
                <w:p w14:paraId="61D0D89D">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弱</w:t>
                  </w:r>
                </w:p>
              </w:tc>
              <w:tc>
                <w:tcPr>
                  <w:tcW w:w="1118" w:type="dxa"/>
                  <w:noWrap w:val="0"/>
                  <w:vAlign w:val="center"/>
                </w:tcPr>
                <w:p w14:paraId="606E4F04">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难</w:t>
                  </w:r>
                </w:p>
              </w:tc>
              <w:tc>
                <w:tcPr>
                  <w:tcW w:w="1726" w:type="dxa"/>
                  <w:vMerge w:val="restart"/>
                  <w:noWrap w:val="0"/>
                  <w:vAlign w:val="center"/>
                </w:tcPr>
                <w:p w14:paraId="22768E2D">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重金属、持久性有机污染物</w:t>
                  </w:r>
                </w:p>
              </w:tc>
              <w:tc>
                <w:tcPr>
                  <w:tcW w:w="2918" w:type="dxa"/>
                  <w:vMerge w:val="restart"/>
                  <w:noWrap w:val="0"/>
                  <w:vAlign w:val="center"/>
                </w:tcPr>
                <w:p w14:paraId="3CC65B05">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等效黏土防渗层Mb≥6.0m，K≤1×10</w:t>
                  </w:r>
                  <w:r>
                    <w:rPr>
                      <w:rFonts w:hint="default" w:ascii="Times New Roman" w:hAnsi="Times New Roman" w:cs="Times New Roman"/>
                      <w:color w:val="auto"/>
                      <w:highlight w:val="none"/>
                      <w:vertAlign w:val="superscript"/>
                      <w:lang w:val="en-US" w:eastAsia="zh-CN" w:bidi="ar"/>
                    </w:rPr>
                    <w:t>-</w:t>
                  </w:r>
                  <w:r>
                    <w:rPr>
                      <w:rFonts w:hint="default" w:ascii="Times New Roman" w:hAnsi="Times New Roman" w:cs="Times New Roman"/>
                      <w:color w:val="auto"/>
                      <w:highlight w:val="none"/>
                      <w:vertAlign w:val="superscript"/>
                      <w:lang w:bidi="ar"/>
                    </w:rPr>
                    <w:t>7</w:t>
                  </w:r>
                  <w:r>
                    <w:rPr>
                      <w:rFonts w:hint="default" w:ascii="Times New Roman" w:hAnsi="Times New Roman" w:cs="Times New Roman"/>
                      <w:color w:val="auto"/>
                      <w:highlight w:val="none"/>
                      <w:lang w:bidi="ar"/>
                    </w:rPr>
                    <w:t>cm/s；或参照GB18598执行</w:t>
                  </w:r>
                </w:p>
              </w:tc>
            </w:tr>
            <w:tr w14:paraId="612E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4" w:type="dxa"/>
                  <w:vMerge w:val="continue"/>
                  <w:noWrap w:val="0"/>
                  <w:vAlign w:val="center"/>
                </w:tcPr>
                <w:p w14:paraId="5DC7DCDB">
                  <w:pPr>
                    <w:widowControl/>
                    <w:suppressAutoHyphens/>
                    <w:topLinePunct/>
                    <w:jc w:val="center"/>
                    <w:rPr>
                      <w:rFonts w:hint="default" w:ascii="Times New Roman" w:hAnsi="Times New Roman" w:cs="Times New Roman"/>
                      <w:color w:val="auto"/>
                      <w:highlight w:val="none"/>
                      <w:lang w:bidi="ar"/>
                    </w:rPr>
                  </w:pPr>
                </w:p>
              </w:tc>
              <w:tc>
                <w:tcPr>
                  <w:tcW w:w="1348" w:type="dxa"/>
                  <w:noWrap w:val="0"/>
                  <w:vAlign w:val="center"/>
                </w:tcPr>
                <w:p w14:paraId="66932659">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中－强</w:t>
                  </w:r>
                </w:p>
              </w:tc>
              <w:tc>
                <w:tcPr>
                  <w:tcW w:w="1118" w:type="dxa"/>
                  <w:noWrap w:val="0"/>
                  <w:vAlign w:val="center"/>
                </w:tcPr>
                <w:p w14:paraId="1FBFCD0C">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难</w:t>
                  </w:r>
                </w:p>
              </w:tc>
              <w:tc>
                <w:tcPr>
                  <w:tcW w:w="1726" w:type="dxa"/>
                  <w:vMerge w:val="continue"/>
                  <w:noWrap w:val="0"/>
                  <w:vAlign w:val="center"/>
                </w:tcPr>
                <w:p w14:paraId="4B0CE97B">
                  <w:pPr>
                    <w:widowControl/>
                    <w:suppressAutoHyphens/>
                    <w:topLinePunct/>
                    <w:jc w:val="center"/>
                    <w:rPr>
                      <w:rFonts w:hint="default" w:ascii="Times New Roman" w:hAnsi="Times New Roman" w:cs="Times New Roman"/>
                      <w:color w:val="auto"/>
                      <w:highlight w:val="none"/>
                      <w:lang w:bidi="ar"/>
                    </w:rPr>
                  </w:pPr>
                </w:p>
              </w:tc>
              <w:tc>
                <w:tcPr>
                  <w:tcW w:w="2918" w:type="dxa"/>
                  <w:vMerge w:val="continue"/>
                  <w:noWrap w:val="0"/>
                  <w:vAlign w:val="center"/>
                </w:tcPr>
                <w:p w14:paraId="49FF446F">
                  <w:pPr>
                    <w:widowControl/>
                    <w:suppressAutoHyphens/>
                    <w:topLinePunct/>
                    <w:jc w:val="center"/>
                    <w:rPr>
                      <w:rFonts w:hint="default" w:ascii="Times New Roman" w:hAnsi="Times New Roman" w:cs="Times New Roman"/>
                      <w:color w:val="auto"/>
                      <w:highlight w:val="none"/>
                      <w:lang w:bidi="ar"/>
                    </w:rPr>
                  </w:pPr>
                </w:p>
              </w:tc>
            </w:tr>
            <w:tr w14:paraId="7B7D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4" w:type="dxa"/>
                  <w:vMerge w:val="continue"/>
                  <w:noWrap w:val="0"/>
                  <w:vAlign w:val="center"/>
                </w:tcPr>
                <w:p w14:paraId="7F1E317C">
                  <w:pPr>
                    <w:widowControl/>
                    <w:suppressAutoHyphens/>
                    <w:topLinePunct/>
                    <w:jc w:val="center"/>
                    <w:rPr>
                      <w:rFonts w:hint="default" w:ascii="Times New Roman" w:hAnsi="Times New Roman" w:cs="Times New Roman"/>
                      <w:color w:val="auto"/>
                      <w:highlight w:val="none"/>
                      <w:lang w:bidi="ar"/>
                    </w:rPr>
                  </w:pPr>
                </w:p>
              </w:tc>
              <w:tc>
                <w:tcPr>
                  <w:tcW w:w="1348" w:type="dxa"/>
                  <w:noWrap w:val="0"/>
                  <w:vAlign w:val="center"/>
                </w:tcPr>
                <w:p w14:paraId="53D82825">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弱</w:t>
                  </w:r>
                </w:p>
              </w:tc>
              <w:tc>
                <w:tcPr>
                  <w:tcW w:w="1118" w:type="dxa"/>
                  <w:noWrap w:val="0"/>
                  <w:vAlign w:val="center"/>
                </w:tcPr>
                <w:p w14:paraId="56612229">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易</w:t>
                  </w:r>
                </w:p>
              </w:tc>
              <w:tc>
                <w:tcPr>
                  <w:tcW w:w="1726" w:type="dxa"/>
                  <w:vMerge w:val="continue"/>
                  <w:noWrap w:val="0"/>
                  <w:vAlign w:val="center"/>
                </w:tcPr>
                <w:p w14:paraId="4B4C8E82">
                  <w:pPr>
                    <w:widowControl/>
                    <w:suppressAutoHyphens/>
                    <w:topLinePunct/>
                    <w:jc w:val="center"/>
                    <w:rPr>
                      <w:rFonts w:hint="default" w:ascii="Times New Roman" w:hAnsi="Times New Roman" w:cs="Times New Roman"/>
                      <w:color w:val="auto"/>
                      <w:highlight w:val="none"/>
                      <w:lang w:bidi="ar"/>
                    </w:rPr>
                  </w:pPr>
                </w:p>
              </w:tc>
              <w:tc>
                <w:tcPr>
                  <w:tcW w:w="2918" w:type="dxa"/>
                  <w:vMerge w:val="continue"/>
                  <w:noWrap w:val="0"/>
                  <w:vAlign w:val="center"/>
                </w:tcPr>
                <w:p w14:paraId="1126BDDF">
                  <w:pPr>
                    <w:widowControl/>
                    <w:suppressAutoHyphens/>
                    <w:topLinePunct/>
                    <w:jc w:val="center"/>
                    <w:rPr>
                      <w:rFonts w:hint="default" w:ascii="Times New Roman" w:hAnsi="Times New Roman" w:cs="Times New Roman"/>
                      <w:color w:val="auto"/>
                      <w:highlight w:val="none"/>
                      <w:lang w:bidi="ar"/>
                    </w:rPr>
                  </w:pPr>
                </w:p>
              </w:tc>
            </w:tr>
            <w:tr w14:paraId="05B9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4" w:type="dxa"/>
                  <w:vMerge w:val="restart"/>
                  <w:noWrap w:val="0"/>
                  <w:vAlign w:val="center"/>
                </w:tcPr>
                <w:p w14:paraId="3F0C19D6">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一般防渗区</w:t>
                  </w:r>
                </w:p>
              </w:tc>
              <w:tc>
                <w:tcPr>
                  <w:tcW w:w="1348" w:type="dxa"/>
                  <w:noWrap w:val="0"/>
                  <w:vAlign w:val="center"/>
                </w:tcPr>
                <w:p w14:paraId="6B6F2A5B">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弱</w:t>
                  </w:r>
                </w:p>
              </w:tc>
              <w:tc>
                <w:tcPr>
                  <w:tcW w:w="1118" w:type="dxa"/>
                  <w:noWrap w:val="0"/>
                  <w:vAlign w:val="center"/>
                </w:tcPr>
                <w:p w14:paraId="72ABE600">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易－难</w:t>
                  </w:r>
                </w:p>
              </w:tc>
              <w:tc>
                <w:tcPr>
                  <w:tcW w:w="1726" w:type="dxa"/>
                  <w:vMerge w:val="restart"/>
                  <w:noWrap w:val="0"/>
                  <w:vAlign w:val="center"/>
                </w:tcPr>
                <w:p w14:paraId="5CC2E097">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其他类型</w:t>
                  </w:r>
                </w:p>
              </w:tc>
              <w:tc>
                <w:tcPr>
                  <w:tcW w:w="2918" w:type="dxa"/>
                  <w:vMerge w:val="restart"/>
                  <w:noWrap w:val="0"/>
                  <w:vAlign w:val="center"/>
                </w:tcPr>
                <w:p w14:paraId="3904741D">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等效黏土防渗层Mb≥1.5m，K≤1×10</w:t>
                  </w:r>
                  <w:r>
                    <w:rPr>
                      <w:rFonts w:hint="default" w:ascii="Times New Roman" w:hAnsi="Times New Roman" w:cs="Times New Roman"/>
                      <w:color w:val="auto"/>
                      <w:highlight w:val="none"/>
                      <w:vertAlign w:val="superscript"/>
                      <w:lang w:val="en-US" w:eastAsia="zh-CN" w:bidi="ar"/>
                    </w:rPr>
                    <w:t>-</w:t>
                  </w:r>
                  <w:r>
                    <w:rPr>
                      <w:rFonts w:hint="default" w:ascii="Times New Roman" w:hAnsi="Times New Roman" w:cs="Times New Roman"/>
                      <w:color w:val="auto"/>
                      <w:highlight w:val="none"/>
                      <w:vertAlign w:val="superscript"/>
                      <w:lang w:bidi="ar"/>
                    </w:rPr>
                    <w:t>7</w:t>
                  </w:r>
                  <w:r>
                    <w:rPr>
                      <w:rFonts w:hint="default" w:ascii="Times New Roman" w:hAnsi="Times New Roman" w:cs="Times New Roman"/>
                      <w:color w:val="auto"/>
                      <w:highlight w:val="none"/>
                      <w:lang w:bidi="ar"/>
                    </w:rPr>
                    <w:t>cm/s；或参照GB16889执行</w:t>
                  </w:r>
                </w:p>
              </w:tc>
            </w:tr>
            <w:tr w14:paraId="2919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4" w:type="dxa"/>
                  <w:vMerge w:val="continue"/>
                  <w:noWrap w:val="0"/>
                  <w:vAlign w:val="center"/>
                </w:tcPr>
                <w:p w14:paraId="0AA4DC97">
                  <w:pPr>
                    <w:widowControl/>
                    <w:suppressAutoHyphens/>
                    <w:topLinePunct/>
                    <w:jc w:val="center"/>
                    <w:rPr>
                      <w:rFonts w:hint="default" w:ascii="Times New Roman" w:hAnsi="Times New Roman" w:cs="Times New Roman"/>
                      <w:color w:val="auto"/>
                      <w:highlight w:val="none"/>
                      <w:lang w:bidi="ar"/>
                    </w:rPr>
                  </w:pPr>
                </w:p>
              </w:tc>
              <w:tc>
                <w:tcPr>
                  <w:tcW w:w="1348" w:type="dxa"/>
                  <w:noWrap w:val="0"/>
                  <w:vAlign w:val="center"/>
                </w:tcPr>
                <w:p w14:paraId="7B8FD4B5">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中－强</w:t>
                  </w:r>
                </w:p>
              </w:tc>
              <w:tc>
                <w:tcPr>
                  <w:tcW w:w="1118" w:type="dxa"/>
                  <w:noWrap w:val="0"/>
                  <w:vAlign w:val="center"/>
                </w:tcPr>
                <w:p w14:paraId="09927651">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难</w:t>
                  </w:r>
                </w:p>
              </w:tc>
              <w:tc>
                <w:tcPr>
                  <w:tcW w:w="1726" w:type="dxa"/>
                  <w:vMerge w:val="continue"/>
                  <w:noWrap w:val="0"/>
                  <w:vAlign w:val="center"/>
                </w:tcPr>
                <w:p w14:paraId="67F56FC3">
                  <w:pPr>
                    <w:widowControl/>
                    <w:suppressAutoHyphens/>
                    <w:topLinePunct/>
                    <w:jc w:val="center"/>
                    <w:rPr>
                      <w:rFonts w:hint="default" w:ascii="Times New Roman" w:hAnsi="Times New Roman" w:cs="Times New Roman"/>
                      <w:color w:val="auto"/>
                      <w:highlight w:val="none"/>
                      <w:lang w:bidi="ar"/>
                    </w:rPr>
                  </w:pPr>
                </w:p>
              </w:tc>
              <w:tc>
                <w:tcPr>
                  <w:tcW w:w="2918" w:type="dxa"/>
                  <w:vMerge w:val="continue"/>
                  <w:noWrap w:val="0"/>
                  <w:vAlign w:val="center"/>
                </w:tcPr>
                <w:p w14:paraId="37ADF44E">
                  <w:pPr>
                    <w:widowControl/>
                    <w:suppressAutoHyphens/>
                    <w:topLinePunct/>
                    <w:jc w:val="center"/>
                    <w:rPr>
                      <w:rFonts w:hint="default" w:ascii="Times New Roman" w:hAnsi="Times New Roman" w:cs="Times New Roman"/>
                      <w:color w:val="auto"/>
                      <w:highlight w:val="none"/>
                      <w:lang w:bidi="ar"/>
                    </w:rPr>
                  </w:pPr>
                </w:p>
              </w:tc>
            </w:tr>
            <w:tr w14:paraId="421B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4" w:type="dxa"/>
                  <w:vMerge w:val="continue"/>
                  <w:noWrap w:val="0"/>
                  <w:vAlign w:val="center"/>
                </w:tcPr>
                <w:p w14:paraId="7898436C">
                  <w:pPr>
                    <w:widowControl/>
                    <w:suppressAutoHyphens/>
                    <w:topLinePunct/>
                    <w:jc w:val="center"/>
                    <w:rPr>
                      <w:rFonts w:hint="default" w:ascii="Times New Roman" w:hAnsi="Times New Roman" w:cs="Times New Roman"/>
                      <w:color w:val="auto"/>
                      <w:highlight w:val="none"/>
                      <w:lang w:bidi="ar"/>
                    </w:rPr>
                  </w:pPr>
                </w:p>
              </w:tc>
              <w:tc>
                <w:tcPr>
                  <w:tcW w:w="1348" w:type="dxa"/>
                  <w:noWrap w:val="0"/>
                  <w:vAlign w:val="center"/>
                </w:tcPr>
                <w:p w14:paraId="7A7BCAE6">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中</w:t>
                  </w:r>
                </w:p>
              </w:tc>
              <w:tc>
                <w:tcPr>
                  <w:tcW w:w="1118" w:type="dxa"/>
                  <w:noWrap w:val="0"/>
                  <w:vAlign w:val="center"/>
                </w:tcPr>
                <w:p w14:paraId="2B05B0EE">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易</w:t>
                  </w:r>
                </w:p>
              </w:tc>
              <w:tc>
                <w:tcPr>
                  <w:tcW w:w="1726" w:type="dxa"/>
                  <w:vMerge w:val="restart"/>
                  <w:noWrap w:val="0"/>
                  <w:vAlign w:val="center"/>
                </w:tcPr>
                <w:p w14:paraId="7B22F5DD">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重金属、持久性有机污染物</w:t>
                  </w:r>
                </w:p>
              </w:tc>
              <w:tc>
                <w:tcPr>
                  <w:tcW w:w="2918" w:type="dxa"/>
                  <w:vMerge w:val="continue"/>
                  <w:noWrap w:val="0"/>
                  <w:vAlign w:val="center"/>
                </w:tcPr>
                <w:p w14:paraId="17999F36">
                  <w:pPr>
                    <w:widowControl/>
                    <w:suppressAutoHyphens/>
                    <w:topLinePunct/>
                    <w:jc w:val="center"/>
                    <w:rPr>
                      <w:rFonts w:hint="default" w:ascii="Times New Roman" w:hAnsi="Times New Roman" w:cs="Times New Roman"/>
                      <w:color w:val="auto"/>
                      <w:highlight w:val="none"/>
                      <w:lang w:bidi="ar"/>
                    </w:rPr>
                  </w:pPr>
                </w:p>
              </w:tc>
            </w:tr>
            <w:tr w14:paraId="550F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4" w:type="dxa"/>
                  <w:vMerge w:val="continue"/>
                  <w:noWrap w:val="0"/>
                  <w:vAlign w:val="center"/>
                </w:tcPr>
                <w:p w14:paraId="138A08FB">
                  <w:pPr>
                    <w:widowControl/>
                    <w:suppressAutoHyphens/>
                    <w:topLinePunct/>
                    <w:jc w:val="center"/>
                    <w:rPr>
                      <w:rFonts w:hint="default" w:ascii="Times New Roman" w:hAnsi="Times New Roman" w:cs="Times New Roman"/>
                      <w:color w:val="auto"/>
                      <w:highlight w:val="none"/>
                      <w:lang w:bidi="ar"/>
                    </w:rPr>
                  </w:pPr>
                </w:p>
              </w:tc>
              <w:tc>
                <w:tcPr>
                  <w:tcW w:w="1348" w:type="dxa"/>
                  <w:noWrap w:val="0"/>
                  <w:vAlign w:val="center"/>
                </w:tcPr>
                <w:p w14:paraId="0EE275D0">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强</w:t>
                  </w:r>
                </w:p>
              </w:tc>
              <w:tc>
                <w:tcPr>
                  <w:tcW w:w="1118" w:type="dxa"/>
                  <w:noWrap w:val="0"/>
                  <w:vAlign w:val="center"/>
                </w:tcPr>
                <w:p w14:paraId="6C21B216">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易</w:t>
                  </w:r>
                </w:p>
              </w:tc>
              <w:tc>
                <w:tcPr>
                  <w:tcW w:w="1726" w:type="dxa"/>
                  <w:vMerge w:val="continue"/>
                  <w:noWrap w:val="0"/>
                  <w:vAlign w:val="center"/>
                </w:tcPr>
                <w:p w14:paraId="0CF66F21">
                  <w:pPr>
                    <w:widowControl/>
                    <w:suppressAutoHyphens/>
                    <w:topLinePunct/>
                    <w:jc w:val="center"/>
                    <w:rPr>
                      <w:rFonts w:hint="default" w:ascii="Times New Roman" w:hAnsi="Times New Roman" w:cs="Times New Roman"/>
                      <w:color w:val="auto"/>
                      <w:highlight w:val="none"/>
                      <w:lang w:bidi="ar"/>
                    </w:rPr>
                  </w:pPr>
                </w:p>
              </w:tc>
              <w:tc>
                <w:tcPr>
                  <w:tcW w:w="2918" w:type="dxa"/>
                  <w:vMerge w:val="continue"/>
                  <w:noWrap w:val="0"/>
                  <w:vAlign w:val="center"/>
                </w:tcPr>
                <w:p w14:paraId="4C47ACEC">
                  <w:pPr>
                    <w:widowControl/>
                    <w:suppressAutoHyphens/>
                    <w:topLinePunct/>
                    <w:jc w:val="center"/>
                    <w:rPr>
                      <w:rFonts w:hint="default" w:ascii="Times New Roman" w:hAnsi="Times New Roman" w:cs="Times New Roman"/>
                      <w:color w:val="auto"/>
                      <w:highlight w:val="none"/>
                      <w:lang w:bidi="ar"/>
                    </w:rPr>
                  </w:pPr>
                </w:p>
              </w:tc>
            </w:tr>
            <w:tr w14:paraId="222B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4" w:type="dxa"/>
                  <w:noWrap w:val="0"/>
                  <w:vAlign w:val="center"/>
                </w:tcPr>
                <w:p w14:paraId="24077D2E">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简单防渗区</w:t>
                  </w:r>
                </w:p>
              </w:tc>
              <w:tc>
                <w:tcPr>
                  <w:tcW w:w="1348" w:type="dxa"/>
                  <w:noWrap w:val="0"/>
                  <w:vAlign w:val="center"/>
                </w:tcPr>
                <w:p w14:paraId="7BA8BB4C">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中－强</w:t>
                  </w:r>
                </w:p>
              </w:tc>
              <w:tc>
                <w:tcPr>
                  <w:tcW w:w="1118" w:type="dxa"/>
                  <w:noWrap w:val="0"/>
                  <w:vAlign w:val="center"/>
                </w:tcPr>
                <w:p w14:paraId="794F0DDF">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易</w:t>
                  </w:r>
                </w:p>
              </w:tc>
              <w:tc>
                <w:tcPr>
                  <w:tcW w:w="1726" w:type="dxa"/>
                  <w:noWrap w:val="0"/>
                  <w:vAlign w:val="center"/>
                </w:tcPr>
                <w:p w14:paraId="3AFBF769">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其他类型</w:t>
                  </w:r>
                </w:p>
              </w:tc>
              <w:tc>
                <w:tcPr>
                  <w:tcW w:w="2918" w:type="dxa"/>
                  <w:noWrap w:val="0"/>
                  <w:vAlign w:val="center"/>
                </w:tcPr>
                <w:p w14:paraId="47484B83">
                  <w:pPr>
                    <w:widowControl/>
                    <w:suppressAutoHyphens/>
                    <w:topLinePunct/>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一般地面硬化</w:t>
                  </w:r>
                </w:p>
              </w:tc>
            </w:tr>
          </w:tbl>
          <w:p w14:paraId="6B9479B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按照《环境影响评价技术导则 地下水环境》（HJ610-2016）中的有关要求，本项目</w:t>
            </w:r>
            <w:r>
              <w:rPr>
                <w:rFonts w:hint="eastAsia" w:cs="Times New Roman"/>
                <w:color w:val="auto"/>
                <w:sz w:val="24"/>
                <w:highlight w:val="none"/>
                <w:lang w:val="en-US" w:eastAsia="zh-CN"/>
              </w:rPr>
              <w:t>罐区、危废暂存间设置为重点防渗区，生产车间为一般防渗区，其他区域为简单防渗区</w:t>
            </w:r>
            <w:r>
              <w:rPr>
                <w:rFonts w:hint="default" w:ascii="Times New Roman" w:hAnsi="Times New Roman" w:eastAsia="宋体" w:cs="Times New Roman"/>
                <w:color w:val="auto"/>
                <w:sz w:val="24"/>
                <w:highlight w:val="none"/>
              </w:rPr>
              <w:t>。</w:t>
            </w:r>
          </w:p>
          <w:p w14:paraId="25C9BCC2">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rPr>
              <w:t>环境风险分析</w:t>
            </w:r>
          </w:p>
          <w:p w14:paraId="7A9451B3">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rPr>
              <w:t>.1评价目的</w:t>
            </w:r>
          </w:p>
          <w:p w14:paraId="67B31E5C">
            <w:pPr>
              <w:pStyle w:val="1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风险评价的目的是分析和预测建设项目存在的潜在危险、有害因素。分析建设项目运行期间可能发生的突发性事件或事故（一般不包括人为破坏及自然灾害），引起有毒有害和易燃易爆等物质泄漏，所造成的人身安全与环境影响和损害程度，分析建设项目环境风险防范的重点；针对可能发生的主要事故分析易燃、易爆物质泄漏到环境中所导致的后果，提出应采取的合理可行的防范、应急与减缓措施和管理制度，使建设项目的事故率、损失和环境影响达到可接受水平。</w:t>
            </w:r>
          </w:p>
          <w:p w14:paraId="625A7B72">
            <w:pPr>
              <w:pStyle w:val="10"/>
              <w:spacing w:line="360" w:lineRule="auto"/>
              <w:ind w:firstLine="480" w:firstLineChars="200"/>
              <w:rPr>
                <w:rFonts w:hint="default" w:ascii="Times New Roman" w:hAnsi="Times New Roman" w:cs="Times New Roman"/>
                <w:b/>
                <w:bCs/>
                <w:color w:val="auto"/>
                <w:sz w:val="24"/>
                <w:highlight w:val="none"/>
              </w:rPr>
            </w:pPr>
            <w:r>
              <w:rPr>
                <w:rFonts w:hint="default" w:ascii="Times New Roman" w:hAnsi="Times New Roman" w:cs="Times New Roman"/>
                <w:color w:val="auto"/>
                <w:sz w:val="24"/>
                <w:highlight w:val="none"/>
              </w:rPr>
              <w:t>本项目生产设施和所涉及的化学物质存在着产生环境风险的可能性。根据《建设项目环境风险评价技术导则》的规定，本项目环境风险评价是把可能产生的突发事故引起对厂界外环境的影响和防护作为评价工作的重点。</w:t>
            </w:r>
          </w:p>
          <w:p w14:paraId="25B14027">
            <w:pPr>
              <w:widowControl/>
              <w:jc w:val="left"/>
              <w:rPr>
                <w:rFonts w:hint="default" w:ascii="Times New Roman" w:hAnsi="Times New Roman" w:cs="Times New Roman"/>
                <w:color w:val="auto"/>
                <w:highlight w:val="none"/>
              </w:rPr>
            </w:pPr>
            <w:r>
              <w:rPr>
                <w:rFonts w:hint="default" w:ascii="Times New Roman" w:hAnsi="Times New Roman" w:cs="Times New Roman"/>
                <w:b/>
                <w:color w:val="auto"/>
                <w:kern w:val="0"/>
                <w:sz w:val="24"/>
                <w:highlight w:val="none"/>
                <w:lang w:val="en-US" w:eastAsia="zh-CN" w:bidi="ar"/>
              </w:rPr>
              <w:t>6</w:t>
            </w:r>
            <w:r>
              <w:rPr>
                <w:rFonts w:hint="default" w:ascii="Times New Roman" w:hAnsi="Times New Roman" w:cs="Times New Roman"/>
                <w:b/>
                <w:color w:val="auto"/>
                <w:kern w:val="0"/>
                <w:sz w:val="24"/>
                <w:highlight w:val="none"/>
                <w:lang w:bidi="ar"/>
              </w:rPr>
              <w:t>.2 评价工作等级</w:t>
            </w:r>
          </w:p>
          <w:p w14:paraId="025A0EA9">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根据《建设项目环境风险评价技术导则》(HJ169-2018</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附录C，对危险物质及工艺系统危险性（P）的分级：</w:t>
            </w:r>
          </w:p>
          <w:p w14:paraId="0F162876">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①危险物质数量与临界量比值（Q）。</w:t>
            </w:r>
          </w:p>
          <w:p w14:paraId="6150D401">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 Q&lt;1 时，该项目环境风险潜势为 I；当 Q≧1 时，将 Q 划分为（1）1≦Q&lt;10；（2） 10≦Q&lt;100；（3）Q≧100</w:t>
            </w:r>
          </w:p>
          <w:p w14:paraId="244305F3">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当只涉及一种物质时，计算该物质的总量与其临界量比值，即为 Q；</w:t>
            </w:r>
          </w:p>
          <w:p w14:paraId="1F673DE6">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当存在多种危险物质时，则按下式计算物质总量与其临界量比值（Q）：</w:t>
            </w:r>
          </w:p>
          <w:p w14:paraId="4D960811">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Q=q1/Q1+q2/Q2+…..，+qn/Qn</w:t>
            </w:r>
          </w:p>
          <w:p w14:paraId="10BA0021">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式中：q1、q2……qn ——每种危险物质最大存在量，t；</w:t>
            </w:r>
          </w:p>
          <w:p w14:paraId="06F0DC0B">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Q1、Q2……Qn ——每种危险物质的临界量，t。</w:t>
            </w:r>
          </w:p>
          <w:p w14:paraId="19306DD7">
            <w:pP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本项目危险物质主要为</w:t>
            </w:r>
            <w:r>
              <w:rPr>
                <w:rFonts w:hint="default" w:ascii="Times New Roman" w:hAnsi="Times New Roman" w:eastAsia="宋体" w:cs="Times New Roman"/>
                <w:color w:val="auto"/>
                <w:sz w:val="24"/>
                <w:highlight w:val="none"/>
              </w:rPr>
              <w:t>废</w:t>
            </w:r>
            <w:r>
              <w:rPr>
                <w:rFonts w:hint="default" w:ascii="Times New Roman" w:hAnsi="Times New Roman" w:eastAsia="宋体" w:cs="Times New Roman"/>
                <w:color w:val="auto"/>
                <w:sz w:val="24"/>
                <w:highlight w:val="none"/>
                <w:lang w:val="en-US" w:eastAsia="zh-CN"/>
              </w:rPr>
              <w:t>机油。</w:t>
            </w:r>
            <w:r>
              <w:rPr>
                <w:rFonts w:hint="default" w:ascii="Times New Roman" w:hAnsi="Times New Roman" w:eastAsia="宋体" w:cs="Times New Roman"/>
                <w:color w:val="auto"/>
                <w:sz w:val="24"/>
                <w:highlight w:val="none"/>
              </w:rPr>
              <w:t>废</w:t>
            </w:r>
            <w:r>
              <w:rPr>
                <w:rFonts w:hint="default" w:ascii="Times New Roman" w:hAnsi="Times New Roman" w:eastAsia="宋体" w:cs="Times New Roman"/>
                <w:color w:val="auto"/>
                <w:sz w:val="24"/>
                <w:highlight w:val="none"/>
                <w:lang w:val="en-US" w:eastAsia="zh-CN"/>
              </w:rPr>
              <w:t>机油</w:t>
            </w:r>
            <w:r>
              <w:rPr>
                <w:rFonts w:hint="default" w:ascii="Times New Roman" w:hAnsi="Times New Roman" w:eastAsia="宋体" w:cs="Times New Roman"/>
                <w:color w:val="auto"/>
                <w:sz w:val="24"/>
                <w:highlight w:val="none"/>
              </w:rPr>
              <w:t>年产生0.</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t。</w:t>
            </w:r>
          </w:p>
          <w:p w14:paraId="7C9BD576">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zh-CN" w:eastAsia="zh-CN"/>
              </w:rPr>
            </w:pPr>
          </w:p>
          <w:p w14:paraId="5759DC9F">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表</w:t>
            </w:r>
            <w:r>
              <w:rPr>
                <w:rFonts w:hint="default" w:ascii="Times New Roman" w:hAnsi="Times New Roman" w:eastAsia="宋体" w:cs="Times New Roman"/>
                <w:b/>
                <w:bCs/>
                <w:color w:val="auto"/>
                <w:sz w:val="21"/>
                <w:szCs w:val="21"/>
                <w:highlight w:val="none"/>
                <w:lang w:val="en-US" w:eastAsia="zh-CN"/>
              </w:rPr>
              <w:t>4-25  项目Q值分析表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434"/>
              <w:gridCol w:w="1657"/>
              <w:gridCol w:w="1657"/>
              <w:gridCol w:w="1657"/>
            </w:tblGrid>
            <w:tr w14:paraId="6B80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noWrap w:val="0"/>
                  <w:vAlign w:val="center"/>
                </w:tcPr>
                <w:p w14:paraId="4D23F9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2434" w:type="dxa"/>
                  <w:noWrap w:val="0"/>
                  <w:vAlign w:val="center"/>
                </w:tcPr>
                <w:p w14:paraId="3FB03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危险物质名称</w:t>
                  </w:r>
                </w:p>
              </w:tc>
              <w:tc>
                <w:tcPr>
                  <w:tcW w:w="1657" w:type="dxa"/>
                  <w:noWrap w:val="0"/>
                  <w:vAlign w:val="center"/>
                </w:tcPr>
                <w:p w14:paraId="3986BF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最大存在总量（t）</w:t>
                  </w:r>
                </w:p>
              </w:tc>
              <w:tc>
                <w:tcPr>
                  <w:tcW w:w="1657" w:type="dxa"/>
                  <w:noWrap w:val="0"/>
                  <w:vAlign w:val="center"/>
                </w:tcPr>
                <w:p w14:paraId="74FADA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临界量（t）</w:t>
                  </w:r>
                </w:p>
              </w:tc>
              <w:tc>
                <w:tcPr>
                  <w:tcW w:w="1657" w:type="dxa"/>
                  <w:noWrap w:val="0"/>
                  <w:vAlign w:val="center"/>
                </w:tcPr>
                <w:p w14:paraId="7AFF0C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Q值</w:t>
                  </w:r>
                </w:p>
              </w:tc>
            </w:tr>
            <w:tr w14:paraId="7257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noWrap w:val="0"/>
                  <w:vAlign w:val="center"/>
                </w:tcPr>
                <w:p w14:paraId="405442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2434" w:type="dxa"/>
                  <w:noWrap w:val="0"/>
                  <w:vAlign w:val="center"/>
                </w:tcPr>
                <w:p w14:paraId="61E285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废机油</w:t>
                  </w:r>
                </w:p>
              </w:tc>
              <w:tc>
                <w:tcPr>
                  <w:tcW w:w="1657" w:type="dxa"/>
                  <w:noWrap w:val="0"/>
                  <w:vAlign w:val="center"/>
                </w:tcPr>
                <w:p w14:paraId="6058D7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w:t>
                  </w:r>
                </w:p>
              </w:tc>
              <w:tc>
                <w:tcPr>
                  <w:tcW w:w="1657" w:type="dxa"/>
                  <w:noWrap w:val="0"/>
                  <w:vAlign w:val="center"/>
                </w:tcPr>
                <w:p w14:paraId="0ED70C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2500</w:t>
                  </w:r>
                </w:p>
              </w:tc>
              <w:tc>
                <w:tcPr>
                  <w:tcW w:w="1657" w:type="dxa"/>
                  <w:noWrap w:val="0"/>
                  <w:vAlign w:val="center"/>
                </w:tcPr>
                <w:p w14:paraId="1D358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0.00004</w:t>
                  </w:r>
                </w:p>
              </w:tc>
            </w:tr>
            <w:tr w14:paraId="55E5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6" w:type="dxa"/>
                  <w:gridSpan w:val="4"/>
                  <w:noWrap w:val="0"/>
                  <w:vAlign w:val="center"/>
                </w:tcPr>
                <w:p w14:paraId="139CD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1657" w:type="dxa"/>
                  <w:noWrap w:val="0"/>
                  <w:vAlign w:val="center"/>
                </w:tcPr>
                <w:p w14:paraId="282320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w:t>
                  </w:r>
                  <w:r>
                    <w:rPr>
                      <w:rFonts w:hint="eastAsia" w:cs="Times New Roman"/>
                      <w:color w:val="auto"/>
                      <w:sz w:val="21"/>
                      <w:szCs w:val="21"/>
                      <w:highlight w:val="none"/>
                      <w:vertAlign w:val="baseline"/>
                      <w:lang w:val="en-US" w:eastAsia="zh-CN"/>
                    </w:rPr>
                    <w:t>04</w:t>
                  </w:r>
                </w:p>
              </w:tc>
            </w:tr>
          </w:tbl>
          <w:p w14:paraId="1F540BD0">
            <w:pP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根据《建设项目环境风险评价技术导则》（</w:t>
            </w:r>
            <w:r>
              <w:rPr>
                <w:rFonts w:hint="default" w:ascii="Times New Roman" w:hAnsi="Times New Roman" w:eastAsia="宋体" w:cs="Times New Roman"/>
                <w:color w:val="auto"/>
                <w:sz w:val="24"/>
                <w:highlight w:val="none"/>
                <w:lang w:eastAsia="zh-CN"/>
              </w:rPr>
              <w:t>HJ169-2018</w:t>
            </w:r>
            <w:r>
              <w:rPr>
                <w:rFonts w:hint="default" w:ascii="Times New Roman" w:hAnsi="Times New Roman" w:eastAsia="宋体" w:cs="Times New Roman"/>
                <w:color w:val="auto"/>
                <w:sz w:val="24"/>
                <w:highlight w:val="none"/>
              </w:rPr>
              <w:t>）附录C要求，当Q＜1时，该项目环境风险潜势为Ⅰ，因此评价工作等级为简单分析。</w:t>
            </w:r>
          </w:p>
          <w:p w14:paraId="4D0DB284">
            <w:pPr>
              <w:overflowPunct w:val="0"/>
              <w:autoSpaceDE w:val="0"/>
              <w:autoSpaceDN w:val="0"/>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根据《建设项目环境风险评价技术导则》（HJ169-2018），环境风险评价工作等级为简单分析，评价深度以定性说明为主，划分依据见表4-</w:t>
            </w:r>
            <w:r>
              <w:rPr>
                <w:rFonts w:hint="default" w:ascii="Times New Roman" w:hAnsi="Times New Roman" w:cs="Times New Roman"/>
                <w:color w:val="auto"/>
                <w:sz w:val="24"/>
                <w:highlight w:val="none"/>
                <w:lang w:val="en-US" w:eastAsia="zh-CN"/>
              </w:rPr>
              <w:t>26</w:t>
            </w:r>
            <w:r>
              <w:rPr>
                <w:rFonts w:hint="default" w:ascii="Times New Roman" w:hAnsi="Times New Roman" w:cs="Times New Roman"/>
                <w:color w:val="auto"/>
                <w:sz w:val="24"/>
                <w:highlight w:val="none"/>
              </w:rPr>
              <w:t>。</w:t>
            </w:r>
          </w:p>
          <w:p w14:paraId="02963F50">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zh-CN" w:eastAsia="zh-CN"/>
              </w:rPr>
              <w:t>表4-</w:t>
            </w:r>
            <w:r>
              <w:rPr>
                <w:rFonts w:hint="default" w:ascii="Times New Roman" w:hAnsi="Times New Roman" w:eastAsia="宋体" w:cs="Times New Roman"/>
                <w:b/>
                <w:bCs/>
                <w:color w:val="auto"/>
                <w:sz w:val="21"/>
                <w:szCs w:val="21"/>
                <w:highlight w:val="none"/>
                <w:lang w:val="en-US" w:eastAsia="zh-CN"/>
              </w:rPr>
              <w:t>26</w:t>
            </w:r>
            <w:r>
              <w:rPr>
                <w:rFonts w:hint="default" w:ascii="Times New Roman" w:hAnsi="Times New Roman" w:eastAsia="宋体" w:cs="Times New Roman"/>
                <w:b/>
                <w:bCs/>
                <w:color w:val="auto"/>
                <w:sz w:val="21"/>
                <w:szCs w:val="21"/>
                <w:highlight w:val="none"/>
                <w:lang w:val="zh-CN" w:eastAsia="zh-CN"/>
              </w:rPr>
              <w:t xml:space="preserve">  环境风险评价工作等级划分表</w:t>
            </w:r>
          </w:p>
          <w:tbl>
            <w:tblPr>
              <w:tblStyle w:val="3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1653"/>
              <w:gridCol w:w="1643"/>
              <w:gridCol w:w="1642"/>
              <w:gridCol w:w="1642"/>
            </w:tblGrid>
            <w:tr w14:paraId="6269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00" w:type="dxa"/>
                  <w:noWrap w:val="0"/>
                  <w:vAlign w:val="center"/>
                </w:tcPr>
                <w:p w14:paraId="11272623">
                  <w:pPr>
                    <w:pStyle w:val="91"/>
                    <w:overflowPunct w:val="0"/>
                    <w:autoSpaceDE w:val="0"/>
                    <w:autoSpaceDN w:val="0"/>
                    <w:adjustRightInd w:val="0"/>
                    <w:snapToGrid w:val="0"/>
                    <w:spacing w:line="400" w:lineRule="exac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环境风险潜势</w:t>
                  </w:r>
                </w:p>
              </w:tc>
              <w:tc>
                <w:tcPr>
                  <w:tcW w:w="1701" w:type="dxa"/>
                  <w:noWrap w:val="0"/>
                  <w:vAlign w:val="center"/>
                </w:tcPr>
                <w:p w14:paraId="22C8CD65">
                  <w:pPr>
                    <w:pStyle w:val="91"/>
                    <w:overflowPunct w:val="0"/>
                    <w:autoSpaceDE w:val="0"/>
                    <w:autoSpaceDN w:val="0"/>
                    <w:adjustRightInd w:val="0"/>
                    <w:snapToGrid w:val="0"/>
                    <w:spacing w:line="400" w:lineRule="exac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zh-CN"/>
                    </w:rPr>
                    <w:t>Ⅳ、Ⅳ</w:t>
                  </w:r>
                  <w:r>
                    <w:rPr>
                      <w:rFonts w:hint="default" w:ascii="Times New Roman" w:hAnsi="Times New Roman" w:cs="Times New Roman"/>
                      <w:b/>
                      <w:bCs/>
                      <w:color w:val="auto"/>
                      <w:sz w:val="21"/>
                      <w:szCs w:val="21"/>
                      <w:highlight w:val="none"/>
                    </w:rPr>
                    <w:t>+</w:t>
                  </w:r>
                </w:p>
              </w:tc>
              <w:tc>
                <w:tcPr>
                  <w:tcW w:w="1701" w:type="dxa"/>
                  <w:noWrap w:val="0"/>
                  <w:vAlign w:val="center"/>
                </w:tcPr>
                <w:p w14:paraId="59E96030">
                  <w:pPr>
                    <w:pStyle w:val="91"/>
                    <w:overflowPunct w:val="0"/>
                    <w:autoSpaceDE w:val="0"/>
                    <w:autoSpaceDN w:val="0"/>
                    <w:adjustRightInd w:val="0"/>
                    <w:snapToGrid w:val="0"/>
                    <w:spacing w:line="400" w:lineRule="exact"/>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Ⅲ</w:t>
                  </w:r>
                </w:p>
              </w:tc>
              <w:tc>
                <w:tcPr>
                  <w:tcW w:w="1701" w:type="dxa"/>
                  <w:noWrap w:val="0"/>
                  <w:vAlign w:val="center"/>
                </w:tcPr>
                <w:p w14:paraId="07EE9729">
                  <w:pPr>
                    <w:pStyle w:val="91"/>
                    <w:overflowPunct w:val="0"/>
                    <w:autoSpaceDE w:val="0"/>
                    <w:autoSpaceDN w:val="0"/>
                    <w:adjustRightInd w:val="0"/>
                    <w:snapToGrid w:val="0"/>
                    <w:spacing w:line="400" w:lineRule="exact"/>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Ⅱ</w:t>
                  </w:r>
                </w:p>
              </w:tc>
              <w:tc>
                <w:tcPr>
                  <w:tcW w:w="1701" w:type="dxa"/>
                  <w:noWrap w:val="0"/>
                  <w:vAlign w:val="center"/>
                </w:tcPr>
                <w:p w14:paraId="4C668B23">
                  <w:pPr>
                    <w:pStyle w:val="91"/>
                    <w:overflowPunct w:val="0"/>
                    <w:autoSpaceDE w:val="0"/>
                    <w:autoSpaceDN w:val="0"/>
                    <w:adjustRightInd w:val="0"/>
                    <w:snapToGrid w:val="0"/>
                    <w:spacing w:line="400" w:lineRule="exact"/>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Ⅰ</w:t>
                  </w:r>
                </w:p>
              </w:tc>
            </w:tr>
            <w:tr w14:paraId="09EA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noWrap w:val="0"/>
                  <w:vAlign w:val="center"/>
                </w:tcPr>
                <w:p w14:paraId="4A492D8F">
                  <w:pPr>
                    <w:pStyle w:val="91"/>
                    <w:overflowPunct w:val="0"/>
                    <w:autoSpaceDE w:val="0"/>
                    <w:autoSpaceDN w:val="0"/>
                    <w:adjustRightInd w:val="0"/>
                    <w:snapToGrid w:val="0"/>
                    <w:spacing w:line="40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1701" w:type="dxa"/>
                  <w:noWrap w:val="0"/>
                  <w:vAlign w:val="center"/>
                </w:tcPr>
                <w:p w14:paraId="43DDED9C">
                  <w:pPr>
                    <w:pStyle w:val="91"/>
                    <w:overflowPunct w:val="0"/>
                    <w:autoSpaceDE w:val="0"/>
                    <w:autoSpaceDN w:val="0"/>
                    <w:adjustRightInd w:val="0"/>
                    <w:snapToGrid w:val="0"/>
                    <w:spacing w:line="40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701" w:type="dxa"/>
                  <w:noWrap w:val="0"/>
                  <w:vAlign w:val="center"/>
                </w:tcPr>
                <w:p w14:paraId="6A800BCF">
                  <w:pPr>
                    <w:pStyle w:val="91"/>
                    <w:overflowPunct w:val="0"/>
                    <w:autoSpaceDE w:val="0"/>
                    <w:autoSpaceDN w:val="0"/>
                    <w:adjustRightInd w:val="0"/>
                    <w:snapToGrid w:val="0"/>
                    <w:spacing w:line="40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701" w:type="dxa"/>
                  <w:noWrap w:val="0"/>
                  <w:vAlign w:val="center"/>
                </w:tcPr>
                <w:p w14:paraId="3B6D941F">
                  <w:pPr>
                    <w:pStyle w:val="91"/>
                    <w:overflowPunct w:val="0"/>
                    <w:autoSpaceDE w:val="0"/>
                    <w:autoSpaceDN w:val="0"/>
                    <w:adjustRightInd w:val="0"/>
                    <w:snapToGrid w:val="0"/>
                    <w:spacing w:line="40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1701" w:type="dxa"/>
                  <w:noWrap w:val="0"/>
                  <w:vAlign w:val="center"/>
                </w:tcPr>
                <w:p w14:paraId="3C019232">
                  <w:pPr>
                    <w:pStyle w:val="91"/>
                    <w:overflowPunct w:val="0"/>
                    <w:autoSpaceDE w:val="0"/>
                    <w:autoSpaceDN w:val="0"/>
                    <w:adjustRightInd w:val="0"/>
                    <w:snapToGrid w:val="0"/>
                    <w:spacing w:line="40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简单分析a</w:t>
                  </w:r>
                </w:p>
              </w:tc>
            </w:tr>
            <w:tr w14:paraId="305B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4" w:type="dxa"/>
                  <w:gridSpan w:val="5"/>
                  <w:noWrap w:val="0"/>
                  <w:vAlign w:val="center"/>
                </w:tcPr>
                <w:p w14:paraId="3B9B9F03">
                  <w:pPr>
                    <w:pStyle w:val="91"/>
                    <w:overflowPunct w:val="0"/>
                    <w:autoSpaceDE w:val="0"/>
                    <w:autoSpaceDN w:val="0"/>
                    <w:adjustRightInd w:val="0"/>
                    <w:snapToGrid w:val="0"/>
                    <w:spacing w:line="400" w:lineRule="exact"/>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a是相对于详细评价工作内容而言，在描述危险物质、环境影响途径、环境危害后果、风险防范措施等方面给出定性的说明。</w:t>
                  </w:r>
                </w:p>
              </w:tc>
            </w:tr>
          </w:tbl>
          <w:p w14:paraId="683F8B64">
            <w:pPr>
              <w:overflowPunct w:val="0"/>
              <w:autoSpaceDE w:val="0"/>
              <w:autoSpaceDN w:val="0"/>
              <w:adjustRightInd w:val="0"/>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由上表可知，本项目风险潜势为Ⅰ，为简单分析。</w:t>
            </w:r>
          </w:p>
          <w:p w14:paraId="5026AAB5">
            <w:pPr>
              <w:widowControl/>
              <w:jc w:val="left"/>
              <w:rPr>
                <w:rFonts w:hint="default" w:ascii="Times New Roman" w:hAnsi="Times New Roman" w:eastAsia="宋体" w:cs="Times New Roman"/>
                <w:color w:val="auto"/>
                <w:highlight w:val="none"/>
                <w:lang w:val="en-US" w:eastAsia="zh-CN"/>
              </w:rPr>
            </w:pPr>
            <w:r>
              <w:rPr>
                <w:rFonts w:hint="default"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rPr>
              <w:t>.3</w:t>
            </w:r>
            <w:r>
              <w:rPr>
                <w:rFonts w:hint="default" w:ascii="Times New Roman" w:hAnsi="Times New Roman" w:cs="Times New Roman"/>
                <w:b/>
                <w:bCs/>
                <w:color w:val="auto"/>
                <w:sz w:val="24"/>
                <w:highlight w:val="none"/>
                <w:lang w:val="en-US" w:eastAsia="zh-CN"/>
              </w:rPr>
              <w:t>环境风险事故及</w:t>
            </w:r>
            <w:r>
              <w:rPr>
                <w:rFonts w:hint="default" w:ascii="Times New Roman" w:hAnsi="Times New Roman" w:cs="Times New Roman"/>
                <w:b/>
                <w:color w:val="auto"/>
                <w:kern w:val="0"/>
                <w:sz w:val="24"/>
                <w:highlight w:val="none"/>
                <w:lang w:val="en-US" w:eastAsia="zh-CN" w:bidi="ar"/>
              </w:rPr>
              <w:t>防范措施分析</w:t>
            </w:r>
          </w:p>
          <w:p w14:paraId="7B06C627">
            <w:pPr>
              <w:widowControl/>
              <w:spacing w:line="360" w:lineRule="auto"/>
              <w:ind w:firstLine="480" w:firstLineChars="200"/>
              <w:jc w:val="left"/>
              <w:rPr>
                <w:rFonts w:hint="default" w:ascii="Times New Roman" w:hAnsi="Times New Roman" w:eastAsia="宋体" w:cs="Times New Roman"/>
                <w:b w:val="0"/>
                <w:bCs/>
                <w:color w:val="auto"/>
                <w:kern w:val="0"/>
                <w:sz w:val="24"/>
                <w:highlight w:val="none"/>
                <w:lang w:val="en-US" w:eastAsia="zh-CN" w:bidi="ar"/>
              </w:rPr>
            </w:pPr>
            <w:r>
              <w:rPr>
                <w:rFonts w:hint="default" w:ascii="Times New Roman" w:hAnsi="Times New Roman" w:cs="Times New Roman"/>
                <w:b w:val="0"/>
                <w:bCs/>
                <w:color w:val="auto"/>
                <w:kern w:val="0"/>
                <w:sz w:val="24"/>
                <w:highlight w:val="none"/>
                <w:lang w:val="en-US" w:eastAsia="zh-CN" w:bidi="ar"/>
              </w:rPr>
              <w:t>项目原料、辅料</w:t>
            </w:r>
            <w:r>
              <w:rPr>
                <w:rFonts w:hint="eastAsia" w:cs="Times New Roman"/>
                <w:b w:val="0"/>
                <w:bCs/>
                <w:color w:val="auto"/>
                <w:kern w:val="0"/>
                <w:sz w:val="24"/>
                <w:highlight w:val="none"/>
                <w:lang w:val="en-US" w:eastAsia="zh-CN" w:bidi="ar"/>
              </w:rPr>
              <w:t>可燃</w:t>
            </w:r>
            <w:r>
              <w:rPr>
                <w:rFonts w:hint="default" w:ascii="Times New Roman" w:hAnsi="Times New Roman" w:cs="Times New Roman"/>
                <w:b w:val="0"/>
                <w:bCs/>
                <w:color w:val="auto"/>
                <w:kern w:val="0"/>
                <w:sz w:val="24"/>
                <w:highlight w:val="none"/>
                <w:lang w:val="en-US" w:eastAsia="zh-CN" w:bidi="ar"/>
              </w:rPr>
              <w:t>，在存储或使用过程中如果不注意可能会导致火灾事件。因此项目运营期间存在的主要环境风险事故为火灾事件和废气处理设备故障污染物超标排放风险。</w:t>
            </w:r>
          </w:p>
          <w:p w14:paraId="43D87FC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kern w:val="0"/>
                <w:sz w:val="24"/>
                <w:highlight w:val="none"/>
                <w:lang w:eastAsia="zh-CN" w:bidi="ar"/>
              </w:rPr>
              <w:t>（</w:t>
            </w:r>
            <w:r>
              <w:rPr>
                <w:rFonts w:hint="default" w:ascii="Times New Roman" w:hAnsi="Times New Roman" w:cs="Times New Roman"/>
                <w:b w:val="0"/>
                <w:bCs/>
                <w:color w:val="auto"/>
                <w:kern w:val="0"/>
                <w:sz w:val="24"/>
                <w:highlight w:val="none"/>
                <w:lang w:val="en-US" w:eastAsia="zh-CN" w:bidi="ar"/>
              </w:rPr>
              <w:t>1</w:t>
            </w:r>
            <w:r>
              <w:rPr>
                <w:rFonts w:hint="default" w:ascii="Times New Roman" w:hAnsi="Times New Roman" w:cs="Times New Roman"/>
                <w:b w:val="0"/>
                <w:bCs/>
                <w:color w:val="auto"/>
                <w:kern w:val="0"/>
                <w:sz w:val="24"/>
                <w:highlight w:val="none"/>
                <w:lang w:eastAsia="zh-CN" w:bidi="ar"/>
              </w:rPr>
              <w:t>）</w:t>
            </w:r>
            <w:r>
              <w:rPr>
                <w:rFonts w:hint="default" w:ascii="Times New Roman" w:hAnsi="Times New Roman" w:cs="Times New Roman"/>
                <w:b w:val="0"/>
                <w:bCs/>
                <w:color w:val="auto"/>
                <w:kern w:val="0"/>
                <w:sz w:val="24"/>
                <w:highlight w:val="none"/>
                <w:lang w:val="en-US" w:eastAsia="zh-CN" w:bidi="ar"/>
              </w:rPr>
              <w:t>原料堆放火灾风险</w:t>
            </w:r>
            <w:r>
              <w:rPr>
                <w:rFonts w:hint="default" w:ascii="Times New Roman" w:hAnsi="Times New Roman" w:cs="Times New Roman"/>
                <w:b w:val="0"/>
                <w:bCs/>
                <w:color w:val="auto"/>
                <w:kern w:val="0"/>
                <w:sz w:val="24"/>
                <w:highlight w:val="none"/>
                <w:lang w:bidi="ar"/>
              </w:rPr>
              <w:t>事故分析</w:t>
            </w:r>
          </w:p>
          <w:p w14:paraId="2999750B">
            <w:pPr>
              <w:widowControl/>
              <w:spacing w:line="360" w:lineRule="auto"/>
              <w:ind w:firstLine="480" w:firstLineChars="200"/>
              <w:jc w:val="left"/>
              <w:rPr>
                <w:rFonts w:hint="default" w:ascii="Times New Roman" w:hAnsi="Times New Roman" w:cs="Times New Roman"/>
                <w:b w:val="0"/>
                <w:bCs/>
                <w:color w:val="auto"/>
                <w:kern w:val="0"/>
                <w:sz w:val="24"/>
                <w:highlight w:val="none"/>
                <w:lang w:bidi="ar"/>
              </w:rPr>
            </w:pPr>
            <w:r>
              <w:rPr>
                <w:rFonts w:hint="default" w:ascii="Times New Roman" w:hAnsi="Times New Roman" w:cs="Times New Roman"/>
                <w:b w:val="0"/>
                <w:bCs/>
                <w:color w:val="auto"/>
                <w:kern w:val="0"/>
                <w:sz w:val="24"/>
                <w:highlight w:val="none"/>
                <w:lang w:bidi="ar"/>
              </w:rPr>
              <w:t>本项目车间内原料堆放场所，若管理不当发生火灾，原料燃烧将产生大量的二氧化碳、一氧化碳和黑烟等污染物，对区域大气环境造成一定污染原料堆放场所是厂区重要的防火区域，一旦发生火灾，往往会引发连锁反应。因此，建设单位应注意以下几点:</w:t>
            </w:r>
          </w:p>
          <w:p w14:paraId="2B3334FD">
            <w:pPr>
              <w:widowControl/>
              <w:spacing w:line="360" w:lineRule="auto"/>
              <w:ind w:firstLine="480" w:firstLineChars="200"/>
              <w:jc w:val="left"/>
              <w:rPr>
                <w:rFonts w:hint="default" w:ascii="Times New Roman" w:hAnsi="Times New Roman" w:cs="Times New Roman"/>
                <w:b w:val="0"/>
                <w:bCs/>
                <w:color w:val="auto"/>
                <w:kern w:val="0"/>
                <w:sz w:val="24"/>
                <w:highlight w:val="none"/>
                <w:lang w:bidi="ar"/>
              </w:rPr>
            </w:pPr>
            <w:r>
              <w:rPr>
                <w:rFonts w:hint="default" w:ascii="Times New Roman" w:hAnsi="Times New Roman" w:cs="Times New Roman"/>
                <w:b w:val="0"/>
                <w:bCs/>
                <w:color w:val="auto"/>
                <w:kern w:val="0"/>
                <w:sz w:val="24"/>
                <w:highlight w:val="none"/>
                <w:lang w:val="en-US" w:eastAsia="zh-CN" w:bidi="ar"/>
              </w:rPr>
              <w:t>①</w:t>
            </w:r>
            <w:r>
              <w:rPr>
                <w:rFonts w:hint="default" w:ascii="Times New Roman" w:hAnsi="Times New Roman" w:cs="Times New Roman"/>
                <w:b w:val="0"/>
                <w:bCs/>
                <w:color w:val="auto"/>
                <w:kern w:val="0"/>
                <w:sz w:val="24"/>
                <w:highlight w:val="none"/>
                <w:lang w:bidi="ar"/>
              </w:rPr>
              <w:t>强化风险意识，加强安全管理，严格按操作规程操作。原辅料必须设置专用场地进行保管，并设专人管理。</w:t>
            </w:r>
          </w:p>
          <w:p w14:paraId="6234CF75">
            <w:pPr>
              <w:widowControl/>
              <w:spacing w:line="360" w:lineRule="auto"/>
              <w:ind w:firstLine="480" w:firstLineChars="200"/>
              <w:jc w:val="left"/>
              <w:rPr>
                <w:rFonts w:hint="default" w:ascii="Times New Roman" w:hAnsi="Times New Roman" w:eastAsia="宋体" w:cs="Times New Roman"/>
                <w:b w:val="0"/>
                <w:bCs/>
                <w:color w:val="auto"/>
                <w:kern w:val="0"/>
                <w:sz w:val="24"/>
                <w:highlight w:val="none"/>
                <w:lang w:eastAsia="zh-CN" w:bidi="ar"/>
              </w:rPr>
            </w:pPr>
            <w:r>
              <w:rPr>
                <w:rFonts w:hint="default" w:ascii="Times New Roman" w:hAnsi="Times New Roman" w:cs="Times New Roman"/>
                <w:b w:val="0"/>
                <w:bCs/>
                <w:color w:val="auto"/>
                <w:kern w:val="0"/>
                <w:sz w:val="24"/>
                <w:highlight w:val="none"/>
                <w:lang w:val="en-US" w:eastAsia="zh-CN" w:bidi="ar"/>
              </w:rPr>
              <w:t>②</w:t>
            </w:r>
            <w:r>
              <w:rPr>
                <w:rFonts w:hint="default" w:ascii="Times New Roman" w:hAnsi="Times New Roman" w:cs="Times New Roman"/>
                <w:b w:val="0"/>
                <w:bCs/>
                <w:color w:val="auto"/>
                <w:kern w:val="0"/>
                <w:sz w:val="24"/>
                <w:highlight w:val="none"/>
                <w:lang w:bidi="ar"/>
              </w:rPr>
              <w:t>原料贮存场所远离火源、电源，加强管理，严禁烟火</w:t>
            </w:r>
            <w:r>
              <w:rPr>
                <w:rFonts w:hint="default" w:ascii="Times New Roman" w:hAnsi="Times New Roman" w:cs="Times New Roman"/>
                <w:b w:val="0"/>
                <w:bCs/>
                <w:color w:val="auto"/>
                <w:kern w:val="0"/>
                <w:sz w:val="24"/>
                <w:highlight w:val="none"/>
                <w:lang w:eastAsia="zh-CN" w:bidi="ar"/>
              </w:rPr>
              <w:t>。</w:t>
            </w:r>
          </w:p>
          <w:p w14:paraId="504D5DA5">
            <w:pPr>
              <w:widowControl/>
              <w:spacing w:line="360" w:lineRule="auto"/>
              <w:ind w:firstLine="480" w:firstLineChars="200"/>
              <w:jc w:val="left"/>
              <w:rPr>
                <w:rFonts w:hint="default" w:ascii="Times New Roman" w:hAnsi="Times New Roman" w:eastAsia="宋体" w:cs="Times New Roman"/>
                <w:b w:val="0"/>
                <w:bCs/>
                <w:color w:val="auto"/>
                <w:kern w:val="0"/>
                <w:sz w:val="24"/>
                <w:highlight w:val="none"/>
                <w:lang w:eastAsia="zh-CN" w:bidi="ar"/>
              </w:rPr>
            </w:pPr>
            <w:r>
              <w:rPr>
                <w:rFonts w:hint="default" w:ascii="Times New Roman" w:hAnsi="Times New Roman" w:cs="Times New Roman"/>
                <w:b w:val="0"/>
                <w:bCs/>
                <w:color w:val="auto"/>
                <w:kern w:val="0"/>
                <w:sz w:val="24"/>
                <w:highlight w:val="none"/>
                <w:lang w:val="en-US" w:eastAsia="zh-CN" w:bidi="ar"/>
              </w:rPr>
              <w:t>③</w:t>
            </w:r>
            <w:r>
              <w:rPr>
                <w:rFonts w:hint="default" w:ascii="Times New Roman" w:hAnsi="Times New Roman" w:cs="Times New Roman"/>
                <w:b w:val="0"/>
                <w:bCs/>
                <w:color w:val="auto"/>
                <w:kern w:val="0"/>
                <w:sz w:val="24"/>
                <w:highlight w:val="none"/>
                <w:lang w:bidi="ar"/>
              </w:rPr>
              <w:t>按照《建筑灭火器配置设计规范》(GB50140-2005)规定，配置相应的灭火器类型与数量</w:t>
            </w:r>
            <w:r>
              <w:rPr>
                <w:rFonts w:hint="default" w:ascii="Times New Roman" w:hAnsi="Times New Roman" w:cs="Times New Roman"/>
                <w:b w:val="0"/>
                <w:bCs/>
                <w:color w:val="auto"/>
                <w:kern w:val="0"/>
                <w:sz w:val="24"/>
                <w:highlight w:val="none"/>
                <w:lang w:eastAsia="zh-CN" w:bidi="ar"/>
              </w:rPr>
              <w:t>。</w:t>
            </w:r>
          </w:p>
          <w:p w14:paraId="36CBD89E">
            <w:pPr>
              <w:widowControl/>
              <w:spacing w:line="360" w:lineRule="auto"/>
              <w:ind w:firstLine="480" w:firstLineChars="200"/>
              <w:jc w:val="left"/>
              <w:rPr>
                <w:rFonts w:hint="default" w:ascii="Times New Roman" w:hAnsi="Times New Roman" w:cs="Times New Roman"/>
                <w:b w:val="0"/>
                <w:bCs/>
                <w:color w:val="auto"/>
                <w:highlight w:val="none"/>
              </w:rPr>
            </w:pPr>
            <w:r>
              <w:rPr>
                <w:rFonts w:hint="default" w:ascii="Times New Roman" w:hAnsi="Times New Roman" w:cs="Times New Roman"/>
                <w:b w:val="0"/>
                <w:bCs/>
                <w:color w:val="auto"/>
                <w:kern w:val="0"/>
                <w:sz w:val="24"/>
                <w:highlight w:val="none"/>
                <w:lang w:val="en-US" w:eastAsia="zh-CN" w:bidi="ar"/>
              </w:rPr>
              <w:t>④</w:t>
            </w:r>
            <w:r>
              <w:rPr>
                <w:rFonts w:hint="default" w:ascii="Times New Roman" w:hAnsi="Times New Roman" w:cs="Times New Roman"/>
                <w:b w:val="0"/>
                <w:bCs/>
                <w:color w:val="auto"/>
                <w:kern w:val="0"/>
                <w:sz w:val="24"/>
                <w:highlight w:val="none"/>
                <w:lang w:bidi="ar"/>
              </w:rPr>
              <w:t>要求指定专人负责消防安全管理，及时向消防进行备案，确保厂区消防安全工作“有人管理、有人负责”良好局面。重点检查厂区有没有对现有消防设施进行维护保养。确保室外消火栓完好状态以有利于厂区初期火灾有效得到控制。定期重点检查厂区用火、用电是否遵守有关消防安全操作规程。对厂区机械用电情况进行定期检查，对于电气线路凌乱和连接不规范进行当场整改。定期对厂区工人初期火灾扑救进行现场测试。要求员工开展经常性消防演练，提高厂区员工扑救初期火灾能力。</w:t>
            </w:r>
          </w:p>
          <w:p w14:paraId="3ACA497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kern w:val="0"/>
                <w:sz w:val="24"/>
                <w:highlight w:val="none"/>
                <w:lang w:eastAsia="zh-CN" w:bidi="ar"/>
              </w:rPr>
              <w:t>（</w:t>
            </w:r>
            <w:r>
              <w:rPr>
                <w:rFonts w:hint="default" w:ascii="Times New Roman" w:hAnsi="Times New Roman" w:cs="Times New Roman"/>
                <w:b w:val="0"/>
                <w:bCs/>
                <w:color w:val="auto"/>
                <w:kern w:val="0"/>
                <w:sz w:val="24"/>
                <w:highlight w:val="none"/>
                <w:lang w:val="en-US" w:eastAsia="zh-CN" w:bidi="ar"/>
              </w:rPr>
              <w:t>2</w:t>
            </w:r>
            <w:r>
              <w:rPr>
                <w:rFonts w:hint="default" w:ascii="Times New Roman" w:hAnsi="Times New Roman" w:cs="Times New Roman"/>
                <w:b w:val="0"/>
                <w:bCs/>
                <w:color w:val="auto"/>
                <w:kern w:val="0"/>
                <w:sz w:val="24"/>
                <w:highlight w:val="none"/>
                <w:lang w:eastAsia="zh-CN" w:bidi="ar"/>
              </w:rPr>
              <w:t>）</w:t>
            </w:r>
            <w:r>
              <w:rPr>
                <w:rFonts w:hint="default" w:ascii="Times New Roman" w:hAnsi="Times New Roman" w:cs="Times New Roman"/>
                <w:b w:val="0"/>
                <w:bCs/>
                <w:color w:val="auto"/>
                <w:kern w:val="0"/>
                <w:sz w:val="24"/>
                <w:highlight w:val="none"/>
                <w:lang w:bidi="ar"/>
              </w:rPr>
              <w:t xml:space="preserve">伴生/次生污染分析 </w:t>
            </w:r>
          </w:p>
          <w:p w14:paraId="43EDDF6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kern w:val="0"/>
                <w:sz w:val="24"/>
                <w:highlight w:val="none"/>
                <w:lang w:bidi="ar"/>
              </w:rPr>
              <w:t>本项目发生火灾时不完全燃烧会产生大量的CO。由于发生火灾爆炸时，其不充分燃烧率随火势的大小发生变化，且与事故发生时的气象条件、汽油、柴油</w:t>
            </w:r>
            <w:r>
              <w:rPr>
                <w:rFonts w:hint="default" w:ascii="Times New Roman" w:hAnsi="Times New Roman" w:cs="Times New Roman"/>
                <w:b w:val="0"/>
                <w:bCs/>
                <w:color w:val="auto"/>
                <w:kern w:val="0"/>
                <w:sz w:val="24"/>
                <w:highlight w:val="none"/>
                <w:lang w:eastAsia="zh-CN" w:bidi="ar"/>
              </w:rPr>
              <w:t>、</w:t>
            </w:r>
            <w:r>
              <w:rPr>
                <w:rFonts w:hint="default" w:ascii="Times New Roman" w:hAnsi="Times New Roman" w:cs="Times New Roman"/>
                <w:b w:val="0"/>
                <w:bCs/>
                <w:color w:val="auto"/>
                <w:kern w:val="0"/>
                <w:sz w:val="24"/>
                <w:highlight w:val="none"/>
                <w:lang w:val="en-US" w:eastAsia="zh-CN" w:bidi="ar"/>
              </w:rPr>
              <w:t>天然气</w:t>
            </w:r>
            <w:r>
              <w:rPr>
                <w:rFonts w:hint="default" w:ascii="Times New Roman" w:hAnsi="Times New Roman" w:cs="Times New Roman"/>
                <w:b w:val="0"/>
                <w:bCs/>
                <w:color w:val="auto"/>
                <w:kern w:val="0"/>
                <w:sz w:val="24"/>
                <w:highlight w:val="none"/>
                <w:lang w:bidi="ar"/>
              </w:rPr>
              <w:t xml:space="preserve">储存量的多少等有关。为此，CO的产生源强难以进行确定。但根据资料数据显示，一旦发生火灾爆炸时，产生的伴生/次生污染影响范围均很大，一般都到了数公里以外，污染非常明显，尤其是有风的条件下，污染范围更广。 </w:t>
            </w:r>
          </w:p>
          <w:p w14:paraId="734825C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kern w:val="0"/>
                <w:sz w:val="24"/>
                <w:highlight w:val="none"/>
                <w:lang w:bidi="ar"/>
              </w:rPr>
              <w:t xml:space="preserve">因此，在发生着火事故情况下可能出现一定面积的污染，建设方应该采取严密的防范措施，严防事故的发生，同时应该制定详尽的事故应急预案，确保一旦发生事故可以行之有效的办法进行处理。 </w:t>
            </w:r>
          </w:p>
          <w:p w14:paraId="4A7AD52C">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b w:val="0"/>
                <w:bCs/>
                <w:color w:val="auto"/>
                <w:kern w:val="0"/>
                <w:sz w:val="24"/>
                <w:highlight w:val="none"/>
                <w:lang w:eastAsia="zh-CN" w:bidi="ar"/>
              </w:rPr>
              <w:t>（</w:t>
            </w:r>
            <w:r>
              <w:rPr>
                <w:rFonts w:hint="default" w:ascii="Times New Roman" w:hAnsi="Times New Roman" w:cs="Times New Roman"/>
                <w:b w:val="0"/>
                <w:bCs/>
                <w:color w:val="auto"/>
                <w:kern w:val="0"/>
                <w:sz w:val="24"/>
                <w:highlight w:val="none"/>
                <w:lang w:val="en-US" w:eastAsia="zh-CN" w:bidi="ar"/>
              </w:rPr>
              <w:t>3</w:t>
            </w:r>
            <w:r>
              <w:rPr>
                <w:rFonts w:hint="default" w:ascii="Times New Roman" w:hAnsi="Times New Roman" w:cs="Times New Roman"/>
                <w:b w:val="0"/>
                <w:bCs/>
                <w:color w:val="auto"/>
                <w:kern w:val="0"/>
                <w:sz w:val="24"/>
                <w:highlight w:val="none"/>
                <w:lang w:eastAsia="zh-CN" w:bidi="ar"/>
              </w:rPr>
              <w:t>）</w:t>
            </w:r>
            <w:r>
              <w:rPr>
                <w:rFonts w:hint="default" w:ascii="Times New Roman" w:hAnsi="Times New Roman" w:cs="Times New Roman"/>
                <w:color w:val="auto"/>
                <w:sz w:val="24"/>
                <w:highlight w:val="none"/>
                <w:lang w:val="en-US" w:eastAsia="zh-CN"/>
              </w:rPr>
              <w:t>危废暂存间防范措施</w:t>
            </w:r>
          </w:p>
          <w:p w14:paraId="1462AD1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危废暂存间内严禁吸烟，物料运输储存应严格遵守操作规程。建设单位应设置专用吸烟区，严禁在工作场所吸烟；配备常用的医疗急救用品。建设单位需要对生产车间严格进行日常管理，车间配备灭火器，设置禁火标志及防静电措施，减少因电气设备使用不当，暂存间管理不当引发火灾的风险，同时应加强管理，制定严格的操作规程，加强作业工人的安全教育，杜绝工作失误造成的事故，降低火灾发生的概率。建设单位应制定突发环境事件应急预案，当事故或火灾等发生时，立即启动应急预案。危废暂存间地面及裙角应做耐腐蚀硬化、防渗漏处理，且表面无裂隙，所用的材料符合危险废物暂存的要求；危险废物暂存于密闭容器中，并在容器外表设置环境保护图形标志和警示标志。本项目</w:t>
            </w:r>
            <w:r>
              <w:rPr>
                <w:rFonts w:hint="default" w:ascii="Times New Roman" w:hAnsi="Times New Roman" w:cs="Times New Roman"/>
                <w:color w:val="auto"/>
                <w:sz w:val="24"/>
                <w:highlight w:val="none"/>
                <w:lang w:val="en-US" w:eastAsia="zh-CN"/>
              </w:rPr>
              <w:t>整个生产车间均</w:t>
            </w:r>
            <w:r>
              <w:rPr>
                <w:rFonts w:hint="default" w:ascii="Times New Roman" w:hAnsi="Times New Roman" w:cs="Times New Roman"/>
                <w:color w:val="auto"/>
                <w:sz w:val="24"/>
                <w:highlight w:val="none"/>
              </w:rPr>
              <w:t>进行重点防渗，且存放废机油均设有托盘（托盘容积0.5m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），然后倒入专用容器，委托有资质的单位清运处置，定期进行安全环保宣传教育以及紧急事故模拟演习，提高事故应变能力。</w:t>
            </w:r>
          </w:p>
          <w:p w14:paraId="15EF097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燃烧器</w:t>
            </w:r>
            <w:r>
              <w:rPr>
                <w:rFonts w:hint="default" w:ascii="Times New Roman" w:hAnsi="Times New Roman" w:cs="Times New Roman"/>
                <w:color w:val="auto"/>
                <w:sz w:val="24"/>
                <w:highlight w:val="none"/>
                <w:lang w:val="en-US" w:eastAsia="zh-CN"/>
              </w:rPr>
              <w:t>防范措施</w:t>
            </w:r>
          </w:p>
          <w:p w14:paraId="687A7B9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根据消防及安全评价要求，加强对用电线路、设备的安全管理，做到专人管理、专人负责；厂区实行用火作业许可证制度和定点吸烟制度，吸烟点应远离生产场所等防火重点区域，并设置防火标示牌和危险品防护标志。应严格按照国家有关消防安全的规定，</w:t>
            </w:r>
            <w:r>
              <w:rPr>
                <w:rFonts w:hint="default" w:ascii="Times New Roman" w:hAnsi="Times New Roman" w:eastAsia="宋体" w:cs="Times New Roman"/>
                <w:color w:val="auto"/>
                <w:sz w:val="24"/>
                <w:highlight w:val="none"/>
                <w:lang w:eastAsia="zh-CN"/>
              </w:rPr>
              <w:t>制</w:t>
            </w:r>
            <w:r>
              <w:rPr>
                <w:rFonts w:hint="default" w:ascii="Times New Roman" w:hAnsi="Times New Roman" w:eastAsia="宋体" w:cs="Times New Roman"/>
                <w:color w:val="auto"/>
                <w:sz w:val="24"/>
                <w:highlight w:val="none"/>
              </w:rPr>
              <w:t>定消防灭火应急预案，建立自动灭火系统，配备足够的消防设备和消防器材。一切消防器材不准挪动、乱用，并要定期检查。制定严格的操作管理制度和对工人进行培训上岗，使其熟知灭火器材使用及防范应急措施。加装自动报警装置，以便</w:t>
            </w:r>
            <w:r>
              <w:rPr>
                <w:rFonts w:hint="default" w:ascii="Times New Roman" w:hAnsi="Times New Roman" w:eastAsia="宋体" w:cs="Times New Roman"/>
                <w:color w:val="auto"/>
                <w:sz w:val="24"/>
                <w:highlight w:val="none"/>
                <w:lang w:val="en-US" w:eastAsia="zh-CN"/>
              </w:rPr>
              <w:t>燃烧器</w:t>
            </w:r>
            <w:r>
              <w:rPr>
                <w:rFonts w:hint="default" w:ascii="Times New Roman" w:hAnsi="Times New Roman" w:eastAsia="宋体" w:cs="Times New Roman"/>
                <w:color w:val="auto"/>
                <w:sz w:val="24"/>
                <w:highlight w:val="none"/>
              </w:rPr>
              <w:t>在压力等参数出现异常时第一时间调</w:t>
            </w:r>
            <w:r>
              <w:rPr>
                <w:rFonts w:hint="default" w:ascii="Times New Roman" w:hAnsi="Times New Roman" w:eastAsia="宋体" w:cs="Times New Roman"/>
                <w:color w:val="auto"/>
                <w:sz w:val="24"/>
                <w:highlight w:val="none"/>
                <w:lang w:val="en-US" w:eastAsia="zh-CN"/>
              </w:rPr>
              <w:t>节</w:t>
            </w:r>
            <w:r>
              <w:rPr>
                <w:rFonts w:hint="default" w:ascii="Times New Roman" w:hAnsi="Times New Roman" w:eastAsia="宋体" w:cs="Times New Roman"/>
                <w:color w:val="auto"/>
                <w:sz w:val="24"/>
                <w:highlight w:val="none"/>
              </w:rPr>
              <w:t>。加装切断装置，以便在出现锅炉燃气压、炉温或辅助设备发生故障时能自动切断相关设备。</w:t>
            </w:r>
          </w:p>
          <w:p w14:paraId="6261B429">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6.4</w:t>
            </w:r>
            <w:r>
              <w:rPr>
                <w:rFonts w:hint="default" w:ascii="Times New Roman" w:hAnsi="Times New Roman" w:cs="Times New Roman"/>
                <w:b/>
                <w:bCs/>
                <w:color w:val="auto"/>
                <w:sz w:val="24"/>
                <w:highlight w:val="none"/>
                <w:lang w:val="zh-CN"/>
              </w:rPr>
              <w:t>风险应急预案</w:t>
            </w:r>
          </w:p>
          <w:p w14:paraId="4176FB63">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rPr>
              <w:t>（1）</w:t>
            </w:r>
            <w:r>
              <w:rPr>
                <w:rFonts w:hint="default" w:ascii="Times New Roman" w:hAnsi="Times New Roman" w:cs="Times New Roman"/>
                <w:b w:val="0"/>
                <w:bCs w:val="0"/>
                <w:color w:val="auto"/>
                <w:sz w:val="24"/>
                <w:highlight w:val="none"/>
                <w:lang w:val="zh-CN"/>
              </w:rPr>
              <w:t>应急预案要求</w:t>
            </w:r>
          </w:p>
          <w:p w14:paraId="1684877B">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制定事故风险防范和应急对策，最重要的是成立应急组织机构，并坚持“主动预防，积极抢救”的原则，应能够处理有毒有害气体泄漏、爆炸等突发事故，快速的反应和正确的处理措施是处理突发事故和灾害的关键。</w:t>
            </w:r>
          </w:p>
          <w:p w14:paraId="0764D3C6">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rPr>
              <w:t>（2）</w:t>
            </w:r>
            <w:r>
              <w:rPr>
                <w:rFonts w:hint="default" w:ascii="Times New Roman" w:hAnsi="Times New Roman" w:cs="Times New Roman"/>
                <w:b w:val="0"/>
                <w:bCs w:val="0"/>
                <w:color w:val="auto"/>
                <w:sz w:val="24"/>
                <w:highlight w:val="none"/>
                <w:lang w:val="zh-CN"/>
              </w:rPr>
              <w:t>制定应急预案</w:t>
            </w:r>
          </w:p>
          <w:p w14:paraId="7C5959AB">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 xml:space="preserve">根据《建设项目环境风险评价技术导则》的要求，本项目的环境保护应急预案，应包括以下方面的内容： </w:t>
            </w:r>
          </w:p>
          <w:p w14:paraId="72A2F698">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①制定应急计划</w:t>
            </w:r>
          </w:p>
          <w:p w14:paraId="1221654D">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rPr>
              <w:t>1）</w:t>
            </w:r>
            <w:r>
              <w:rPr>
                <w:rFonts w:hint="default" w:ascii="Times New Roman" w:hAnsi="Times New Roman" w:cs="Times New Roman"/>
                <w:b w:val="0"/>
                <w:bCs w:val="0"/>
                <w:color w:val="auto"/>
                <w:sz w:val="24"/>
                <w:highlight w:val="none"/>
                <w:lang w:val="zh-CN"/>
              </w:rPr>
              <w:t>确定危险目标的应急计划区，包括</w:t>
            </w:r>
            <w:r>
              <w:rPr>
                <w:rFonts w:hint="default" w:ascii="Times New Roman" w:hAnsi="Times New Roman" w:cs="Times New Roman"/>
                <w:b w:val="0"/>
                <w:bCs w:val="0"/>
                <w:color w:val="auto"/>
                <w:sz w:val="24"/>
                <w:highlight w:val="none"/>
                <w:lang w:val="en-US" w:eastAsia="zh-CN"/>
              </w:rPr>
              <w:t>生产车间、危废暂存间、原料堆场</w:t>
            </w:r>
            <w:r>
              <w:rPr>
                <w:rFonts w:hint="default" w:ascii="Times New Roman" w:hAnsi="Times New Roman" w:cs="Times New Roman"/>
                <w:b w:val="0"/>
                <w:bCs w:val="0"/>
                <w:color w:val="auto"/>
                <w:sz w:val="24"/>
                <w:highlight w:val="none"/>
                <w:lang w:val="zh-CN"/>
              </w:rPr>
              <w:t>及环境保护目标。</w:t>
            </w:r>
          </w:p>
          <w:p w14:paraId="0B48B844">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rPr>
              <w:t>2）</w:t>
            </w:r>
            <w:r>
              <w:rPr>
                <w:rFonts w:hint="default" w:ascii="Times New Roman" w:hAnsi="Times New Roman" w:cs="Times New Roman"/>
                <w:b w:val="0"/>
                <w:bCs w:val="0"/>
                <w:color w:val="auto"/>
                <w:sz w:val="24"/>
                <w:highlight w:val="none"/>
                <w:lang w:val="zh-CN"/>
              </w:rPr>
              <w:t>规定应急预案的级别及分级响应的程序，即根据确定的不同级别，规定不同级别的响应程序，以便应对可能出现的应急事故。</w:t>
            </w:r>
          </w:p>
          <w:p w14:paraId="2A979B61">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②成立应急组织机构</w:t>
            </w:r>
          </w:p>
          <w:p w14:paraId="162A0546">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应急指挥机构，应按本单位具体情况落实相应的工作人员。</w:t>
            </w:r>
          </w:p>
          <w:p w14:paraId="46B2BE7E">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③应急预案分级响应条件</w:t>
            </w:r>
          </w:p>
          <w:p w14:paraId="5BB19B82">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按照事故严重程度制定相应的应急预案。</w:t>
            </w:r>
          </w:p>
          <w:p w14:paraId="4345A21B">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④建立应急救援保障系统</w:t>
            </w:r>
          </w:p>
          <w:p w14:paraId="5AF51D9D">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包括应急救援设施、应急救援设备与所需的各类器材，保障物资储备。</w:t>
            </w:r>
          </w:p>
          <w:p w14:paraId="01C9465E">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⑤规定应急联络方式</w:t>
            </w:r>
          </w:p>
          <w:p w14:paraId="28C42D54">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主要是规定应急状态下与有关方面的报警通信方式、通知方式和交通保障及交通管制，确保应急救援工作顺利进行。</w:t>
            </w:r>
          </w:p>
          <w:p w14:paraId="59B26338">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⑥规定应急救援控制措施</w:t>
            </w:r>
          </w:p>
          <w:p w14:paraId="221785BA">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应急救援控制措施包括环境监测、救援及现场控制。实施应急救援应由专业队伍负责对事故现场进行侦察监测，对事故性质、参数与后果进行评估，为指挥部门提供决策依据。</w:t>
            </w:r>
          </w:p>
          <w:p w14:paraId="42ADF1A9">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⑦规定事故现场控制措施</w:t>
            </w:r>
          </w:p>
          <w:p w14:paraId="64B6E53E">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包括事故现场的应急检测、防护措施、清除泄漏污染物的措施和所需的器材。要根据事故预案的级别，规定事故现场、邻近区域的范围、控制防火区域的大小，控制和清除污染的措施及所需要的设备。</w:t>
            </w:r>
          </w:p>
          <w:p w14:paraId="347AA966">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⑧制定事故现场应急组织计划</w:t>
            </w:r>
          </w:p>
          <w:p w14:paraId="52263BED">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包括事故现场人员的撤离、疏散组织计划。对事故现场及事故现场邻近区域、受事故影响区域人员及公众依据毒物性质，制定毒物应急剂量控制规定，制定撤离组织计划及救护计划，规定医疗救护与公众健康方案。</w:t>
            </w:r>
          </w:p>
          <w:p w14:paraId="2B9E5B66">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⑨规定应急事故解除程序</w:t>
            </w:r>
          </w:p>
          <w:p w14:paraId="320FC2F2">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包括事故应急救援关闭程序与恢复措施。</w:t>
            </w:r>
          </w:p>
          <w:p w14:paraId="7D436F9A">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⑩制定应急培训计划</w:t>
            </w:r>
          </w:p>
          <w:p w14:paraId="4BFC6DF7">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val="zh-CN"/>
              </w:rPr>
            </w:pPr>
            <w:r>
              <w:rPr>
                <w:rFonts w:hint="default" w:ascii="Times New Roman" w:hAnsi="Times New Roman" w:cs="Times New Roman"/>
                <w:b w:val="0"/>
                <w:bCs w:val="0"/>
                <w:color w:val="auto"/>
                <w:sz w:val="24"/>
                <w:highlight w:val="none"/>
                <w:lang w:val="zh-CN"/>
              </w:rPr>
              <w:t>应急培训计划是在应急预案制定落实期间，增强人员应急意识的一项措施。在应急计划制定后，应在平时组织</w:t>
            </w:r>
            <w:r>
              <w:rPr>
                <w:rFonts w:hint="default" w:ascii="Times New Roman" w:hAnsi="Times New Roman" w:cs="Times New Roman"/>
                <w:color w:val="auto"/>
                <w:sz w:val="24"/>
                <w:highlight w:val="none"/>
                <w:lang w:val="zh-CN"/>
              </w:rPr>
              <w:t>安排人员进行应急培训与应急演练。</w:t>
            </w:r>
          </w:p>
          <w:p w14:paraId="43E98B5B">
            <w:pPr>
              <w:autoSpaceDE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6.5</w:t>
            </w:r>
            <w:r>
              <w:rPr>
                <w:rFonts w:hint="default" w:ascii="Times New Roman" w:hAnsi="Times New Roman" w:cs="Times New Roman"/>
                <w:b/>
                <w:color w:val="auto"/>
                <w:sz w:val="24"/>
                <w:highlight w:val="none"/>
                <w:lang w:bidi="ar"/>
              </w:rPr>
              <w:t>环境风险分析结论</w:t>
            </w:r>
          </w:p>
          <w:p w14:paraId="5E69B680">
            <w:pPr>
              <w:overflowPunct w:val="0"/>
              <w:spacing w:line="360" w:lineRule="auto"/>
              <w:ind w:firstLine="480" w:firstLineChars="200"/>
              <w:rPr>
                <w:rFonts w:hint="default" w:ascii="Times New Roman" w:hAnsi="Times New Roman" w:cs="Times New Roman"/>
                <w:bCs/>
                <w:color w:val="auto"/>
                <w:sz w:val="24"/>
                <w:highlight w:val="none"/>
                <w:lang w:bidi="ar"/>
              </w:rPr>
            </w:pPr>
            <w:r>
              <w:rPr>
                <w:rFonts w:hint="default" w:ascii="Times New Roman" w:hAnsi="Times New Roman" w:cs="Times New Roman"/>
                <w:bCs/>
                <w:color w:val="auto"/>
                <w:sz w:val="24"/>
                <w:highlight w:val="none"/>
                <w:lang w:bidi="ar"/>
              </w:rPr>
              <w:t>本项目风险事故主要为废机油泄漏造成的地下水环境污染和火灾事故导致大气环境污染。项目应严格落实本评价提出的各项环境风险防范措施，严格按国家有关环保、安全处理的要求，规范工程设计，落实有关安全、环保设施“三同时”，制定相应的环保及安全处理规章制度及应急预案；处理过程中，加强处理管理，注意做好危废在运输、使用过程中的风险事故防范工作，避免火灾等事故的发生。评价认为，在采取相应的防范控制及应急措施后，项目风险处于可接受水平，不会对项目周围环境产生明显影响，项目提出的风险管理措施可靠、有效，在认真落实本评价针对安全处理以及风险事故提出的具体防范对策及应急措施的情况下，从环境风险角度，项目在拟建地实施是可行的。</w:t>
            </w:r>
          </w:p>
          <w:p w14:paraId="487339F0">
            <w:pPr>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8</w:t>
            </w:r>
            <w:r>
              <w:rPr>
                <w:rFonts w:hint="default" w:ascii="Times New Roman" w:hAnsi="Times New Roman" w:cs="Times New Roman"/>
                <w:b/>
                <w:color w:val="auto"/>
                <w:sz w:val="24"/>
                <w:highlight w:val="none"/>
              </w:rPr>
              <w:t xml:space="preserve">.环保投资及竣工验收 </w:t>
            </w:r>
          </w:p>
          <w:p w14:paraId="4C5CFCFE">
            <w:pPr>
              <w:widowControl/>
              <w:jc w:val="left"/>
              <w:rPr>
                <w:rFonts w:hint="default" w:ascii="Times New Roman" w:hAnsi="Times New Roman" w:cs="Times New Roman"/>
                <w:color w:val="auto"/>
                <w:highlight w:val="none"/>
              </w:rPr>
            </w:pPr>
            <w:r>
              <w:rPr>
                <w:rFonts w:hint="default" w:ascii="Times New Roman" w:hAnsi="Times New Roman" w:cs="Times New Roman"/>
                <w:b/>
                <w:color w:val="auto"/>
                <w:kern w:val="0"/>
                <w:sz w:val="24"/>
                <w:highlight w:val="none"/>
                <w:lang w:val="en-US" w:eastAsia="zh-CN" w:bidi="ar"/>
              </w:rPr>
              <w:t>8</w:t>
            </w:r>
            <w:r>
              <w:rPr>
                <w:rFonts w:hint="default" w:ascii="Times New Roman" w:hAnsi="Times New Roman" w:cs="Times New Roman"/>
                <w:b/>
                <w:color w:val="auto"/>
                <w:kern w:val="0"/>
                <w:sz w:val="24"/>
                <w:highlight w:val="none"/>
                <w:lang w:bidi="ar"/>
              </w:rPr>
              <w:t xml:space="preserve">.1 环保投资 </w:t>
            </w:r>
          </w:p>
          <w:p w14:paraId="6FF4B143">
            <w:pPr>
              <w:topLinePunct/>
              <w:spacing w:line="480" w:lineRule="exact"/>
              <w:ind w:firstLine="480" w:firstLineChars="200"/>
              <w:textAlignment w:val="baseline"/>
              <w:rPr>
                <w:rFonts w:hint="default" w:ascii="Times New Roman" w:hAnsi="Times New Roman" w:cs="Times New Roman"/>
                <w:b/>
                <w:color w:val="auto"/>
                <w:sz w:val="24"/>
                <w:highlight w:val="none"/>
              </w:rPr>
            </w:pPr>
            <w:r>
              <w:rPr>
                <w:rFonts w:hint="default" w:ascii="Times New Roman" w:hAnsi="Times New Roman" w:cs="Times New Roman"/>
                <w:snapToGrid w:val="0"/>
                <w:color w:val="auto"/>
                <w:kern w:val="0"/>
                <w:sz w:val="24"/>
                <w:highlight w:val="none"/>
              </w:rPr>
              <w:t>本项目总投资</w:t>
            </w:r>
            <w:r>
              <w:rPr>
                <w:rFonts w:hint="default" w:ascii="Times New Roman" w:hAnsi="Times New Roman" w:cs="Times New Roman"/>
                <w:color w:val="auto"/>
                <w:sz w:val="24"/>
                <w:highlight w:val="none"/>
                <w:lang w:val="en-US" w:eastAsia="zh-CN"/>
              </w:rPr>
              <w:t>7500</w:t>
            </w:r>
            <w:r>
              <w:rPr>
                <w:rFonts w:hint="default" w:ascii="Times New Roman" w:hAnsi="Times New Roman" w:cs="Times New Roman"/>
                <w:snapToGrid w:val="0"/>
                <w:color w:val="auto"/>
                <w:kern w:val="0"/>
                <w:sz w:val="24"/>
                <w:highlight w:val="none"/>
              </w:rPr>
              <w:t>万元，其中环保投资</w:t>
            </w:r>
            <w:r>
              <w:rPr>
                <w:rFonts w:hint="default" w:ascii="Times New Roman" w:hAnsi="Times New Roman" w:cs="Times New Roman"/>
                <w:snapToGrid w:val="0"/>
                <w:color w:val="auto"/>
                <w:kern w:val="0"/>
                <w:sz w:val="24"/>
                <w:highlight w:val="none"/>
                <w:lang w:val="en-US" w:eastAsia="zh-CN"/>
              </w:rPr>
              <w:t>41</w:t>
            </w:r>
            <w:r>
              <w:rPr>
                <w:rFonts w:hint="default" w:ascii="Times New Roman" w:hAnsi="Times New Roman" w:cs="Times New Roman"/>
                <w:snapToGrid w:val="0"/>
                <w:color w:val="auto"/>
                <w:kern w:val="0"/>
                <w:sz w:val="24"/>
                <w:highlight w:val="none"/>
              </w:rPr>
              <w:t>万元，占总投资的</w:t>
            </w:r>
            <w:r>
              <w:rPr>
                <w:rFonts w:hint="default" w:ascii="Times New Roman" w:hAnsi="Times New Roman" w:cs="Times New Roman"/>
                <w:snapToGrid w:val="0"/>
                <w:color w:val="auto"/>
                <w:kern w:val="0"/>
                <w:sz w:val="24"/>
                <w:highlight w:val="none"/>
                <w:lang w:val="en-US" w:eastAsia="zh-CN"/>
              </w:rPr>
              <w:t>8.2</w:t>
            </w:r>
            <w:r>
              <w:rPr>
                <w:rFonts w:hint="default" w:ascii="Times New Roman" w:hAnsi="Times New Roman" w:cs="Times New Roman"/>
                <w:snapToGrid w:val="0"/>
                <w:color w:val="auto"/>
                <w:kern w:val="0"/>
                <w:sz w:val="24"/>
                <w:highlight w:val="none"/>
              </w:rPr>
              <w:t>%。项目竣工后应按照《建设项目环境保护竣工验收规范》要求，进行自主验收，向环保部门提交本项目环境保护竣工验收备案的申请，经备案合格后方可投产运行。环保投资及“三同时”验收见表4-</w:t>
            </w:r>
            <w:r>
              <w:rPr>
                <w:rFonts w:hint="default" w:ascii="Times New Roman" w:hAnsi="Times New Roman" w:cs="Times New Roman"/>
                <w:snapToGrid w:val="0"/>
                <w:color w:val="auto"/>
                <w:kern w:val="0"/>
                <w:sz w:val="24"/>
                <w:highlight w:val="none"/>
                <w:lang w:val="en-US" w:eastAsia="zh-CN"/>
              </w:rPr>
              <w:t>27</w:t>
            </w:r>
            <w:r>
              <w:rPr>
                <w:rFonts w:hint="default" w:ascii="Times New Roman" w:hAnsi="Times New Roman" w:cs="Times New Roman"/>
                <w:snapToGrid w:val="0"/>
                <w:color w:val="auto"/>
                <w:kern w:val="0"/>
                <w:sz w:val="24"/>
                <w:highlight w:val="none"/>
              </w:rPr>
              <w:t>。</w:t>
            </w:r>
          </w:p>
          <w:p w14:paraId="03872367">
            <w:pPr>
              <w:pStyle w:val="8"/>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zh-CN" w:eastAsia="zh-CN"/>
              </w:rPr>
              <w:t>表4-</w:t>
            </w:r>
            <w:r>
              <w:rPr>
                <w:rFonts w:hint="default" w:ascii="Times New Roman" w:hAnsi="Times New Roman" w:eastAsia="宋体" w:cs="Times New Roman"/>
                <w:b/>
                <w:bCs/>
                <w:color w:val="auto"/>
                <w:sz w:val="21"/>
                <w:szCs w:val="21"/>
                <w:highlight w:val="none"/>
                <w:lang w:val="en-US" w:eastAsia="zh-CN"/>
              </w:rPr>
              <w:t>27</w:t>
            </w:r>
            <w:r>
              <w:rPr>
                <w:rFonts w:hint="default" w:ascii="Times New Roman" w:hAnsi="Times New Roman" w:eastAsia="宋体" w:cs="Times New Roman"/>
                <w:b/>
                <w:bCs/>
                <w:color w:val="auto"/>
                <w:sz w:val="21"/>
                <w:szCs w:val="21"/>
                <w:highlight w:val="none"/>
                <w:lang w:val="zh-CN" w:eastAsia="zh-CN"/>
              </w:rPr>
              <w:t xml:space="preserve">    项目环保投资及“三同时”验收一览表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
              <w:gridCol w:w="609"/>
              <w:gridCol w:w="1142"/>
              <w:gridCol w:w="2930"/>
              <w:gridCol w:w="793"/>
              <w:gridCol w:w="2892"/>
            </w:tblGrid>
            <w:tr w14:paraId="5071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7" w:type="pct"/>
                  <w:gridSpan w:val="2"/>
                  <w:noWrap w:val="0"/>
                  <w:vAlign w:val="center"/>
                </w:tcPr>
                <w:p w14:paraId="54FCB8CD">
                  <w:pPr>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w:t>
                  </w:r>
                </w:p>
                <w:p w14:paraId="1CEF03D5">
                  <w:pPr>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660" w:type="pct"/>
                  <w:noWrap w:val="0"/>
                  <w:vAlign w:val="center"/>
                </w:tcPr>
                <w:p w14:paraId="2D5DA424">
                  <w:pPr>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692" w:type="pct"/>
                  <w:noWrap w:val="0"/>
                  <w:vAlign w:val="center"/>
                </w:tcPr>
                <w:p w14:paraId="7847E362">
                  <w:pPr>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环保措施/验收内容</w:t>
                  </w:r>
                </w:p>
              </w:tc>
              <w:tc>
                <w:tcPr>
                  <w:tcW w:w="458" w:type="pct"/>
                  <w:noWrap w:val="0"/>
                  <w:vAlign w:val="center"/>
                </w:tcPr>
                <w:p w14:paraId="4A59F3AE">
                  <w:pPr>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投资</w:t>
                  </w:r>
                </w:p>
                <w:p w14:paraId="05840716">
                  <w:pPr>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万元</w:t>
                  </w:r>
                  <w:r>
                    <w:rPr>
                      <w:rFonts w:hint="default" w:ascii="Times New Roman" w:hAnsi="Times New Roman" w:cs="Times New Roman"/>
                      <w:b/>
                      <w:bCs/>
                      <w:color w:val="auto"/>
                      <w:sz w:val="21"/>
                      <w:szCs w:val="21"/>
                      <w:highlight w:val="none"/>
                      <w:lang w:eastAsia="zh-CN"/>
                    </w:rPr>
                    <w:t>）</w:t>
                  </w:r>
                </w:p>
              </w:tc>
              <w:tc>
                <w:tcPr>
                  <w:tcW w:w="1671" w:type="pct"/>
                  <w:noWrap w:val="0"/>
                  <w:vAlign w:val="center"/>
                </w:tcPr>
                <w:p w14:paraId="4A46CA83">
                  <w:pPr>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验收标准</w:t>
                  </w:r>
                </w:p>
              </w:tc>
            </w:tr>
            <w:tr w14:paraId="700D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 w:type="pct"/>
                  <w:vMerge w:val="restart"/>
                  <w:noWrap w:val="0"/>
                  <w:vAlign w:val="center"/>
                </w:tcPr>
                <w:p w14:paraId="45F42CFA">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运营</w:t>
                  </w:r>
                  <w:r>
                    <w:rPr>
                      <w:rFonts w:hint="default" w:ascii="Times New Roman" w:hAnsi="Times New Roman" w:cs="Times New Roman"/>
                      <w:color w:val="auto"/>
                      <w:sz w:val="21"/>
                      <w:szCs w:val="21"/>
                      <w:highlight w:val="none"/>
                    </w:rPr>
                    <w:t>期</w:t>
                  </w:r>
                </w:p>
              </w:tc>
              <w:tc>
                <w:tcPr>
                  <w:tcW w:w="352" w:type="pct"/>
                  <w:noWrap w:val="0"/>
                  <w:vAlign w:val="center"/>
                </w:tcPr>
                <w:p w14:paraId="630408F7">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660" w:type="pct"/>
                  <w:noWrap w:val="0"/>
                  <w:vAlign w:val="center"/>
                </w:tcPr>
                <w:p w14:paraId="7BADD4BC">
                  <w:pPr>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废气治理</w:t>
                  </w:r>
                </w:p>
              </w:tc>
              <w:tc>
                <w:tcPr>
                  <w:tcW w:w="1692" w:type="pct"/>
                  <w:noWrap w:val="0"/>
                  <w:vAlign w:val="center"/>
                </w:tcPr>
                <w:p w14:paraId="401FDB9A">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锅炉烟气采用SNCR+布袋除尘器</w:t>
                  </w:r>
                  <w:r>
                    <w:rPr>
                      <w:rFonts w:hint="eastAsia" w:ascii="Times New Roman" w:hAnsi="Times New Roman" w:cs="Times New Roman"/>
                      <w:bCs/>
                      <w:color w:val="auto"/>
                      <w:kern w:val="2"/>
                      <w:sz w:val="21"/>
                      <w:szCs w:val="21"/>
                      <w:highlight w:val="none"/>
                      <w:lang w:val="en-US" w:eastAsia="zh-CN"/>
                    </w:rPr>
                    <w:t>+湿法脱硫</w:t>
                  </w:r>
                  <w:r>
                    <w:rPr>
                      <w:rFonts w:hint="default" w:ascii="Times New Roman" w:hAnsi="Times New Roman" w:cs="Times New Roman"/>
                      <w:bCs/>
                      <w:color w:val="auto"/>
                      <w:kern w:val="2"/>
                      <w:sz w:val="21"/>
                      <w:szCs w:val="21"/>
                      <w:highlight w:val="none"/>
                      <w:lang w:val="en-US" w:eastAsia="zh-CN"/>
                    </w:rPr>
                    <w:t>+35m高排气筒</w:t>
                  </w:r>
                  <w:r>
                    <w:rPr>
                      <w:rFonts w:hint="eastAsia" w:ascii="Times New Roman" w:hAnsi="Times New Roman" w:cs="Times New Roman"/>
                      <w:bCs/>
                      <w:color w:val="auto"/>
                      <w:kern w:val="2"/>
                      <w:sz w:val="21"/>
                      <w:szCs w:val="21"/>
                      <w:highlight w:val="none"/>
                      <w:lang w:val="en-US" w:eastAsia="zh-CN"/>
                    </w:rPr>
                    <w:t>（DA001）</w:t>
                  </w:r>
                  <w:r>
                    <w:rPr>
                      <w:rFonts w:hint="default" w:ascii="Times New Roman" w:hAnsi="Times New Roman" w:cs="Times New Roman"/>
                      <w:bCs/>
                      <w:color w:val="auto"/>
                      <w:kern w:val="2"/>
                      <w:sz w:val="21"/>
                      <w:szCs w:val="21"/>
                      <w:highlight w:val="none"/>
                      <w:lang w:val="en-US" w:eastAsia="zh-CN"/>
                    </w:rPr>
                    <w:t>排放；</w:t>
                  </w:r>
                </w:p>
                <w:p w14:paraId="78FA6689">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玉米芯细粉粉尘采用集气罩+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+15m高排气筒排放</w:t>
                  </w:r>
                  <w:r>
                    <w:rPr>
                      <w:rFonts w:hint="eastAsia" w:ascii="Times New Roman" w:hAnsi="Times New Roman" w:cs="Times New Roman"/>
                      <w:bCs/>
                      <w:color w:val="auto"/>
                      <w:kern w:val="2"/>
                      <w:sz w:val="21"/>
                      <w:szCs w:val="21"/>
                      <w:highlight w:val="none"/>
                      <w:lang w:val="en-US" w:eastAsia="zh-CN"/>
                    </w:rPr>
                    <w:t>（DA002）；</w:t>
                  </w:r>
                </w:p>
                <w:p w14:paraId="48791D24">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玉米芯粗粉粉尘采用集气罩+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（DA003）</w:t>
                  </w:r>
                  <w:r>
                    <w:rPr>
                      <w:rFonts w:hint="default" w:ascii="Times New Roman" w:hAnsi="Times New Roman" w:cs="Times New Roman"/>
                      <w:bCs/>
                      <w:color w:val="auto"/>
                      <w:kern w:val="2"/>
                      <w:sz w:val="21"/>
                      <w:szCs w:val="21"/>
                      <w:highlight w:val="none"/>
                      <w:lang w:val="en-US" w:eastAsia="zh-CN"/>
                    </w:rPr>
                    <w:t>排放；</w:t>
                  </w:r>
                </w:p>
                <w:p w14:paraId="73A6EA0E">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玉米芯细粉粉尘采用集气罩+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（DA004）</w:t>
                  </w:r>
                  <w:r>
                    <w:rPr>
                      <w:rFonts w:hint="default" w:ascii="Times New Roman" w:hAnsi="Times New Roman" w:cs="Times New Roman"/>
                      <w:bCs/>
                      <w:color w:val="auto"/>
                      <w:kern w:val="2"/>
                      <w:sz w:val="21"/>
                      <w:szCs w:val="21"/>
                      <w:highlight w:val="none"/>
                      <w:lang w:val="en-US" w:eastAsia="zh-CN"/>
                    </w:rPr>
                    <w:t>排放；</w:t>
                  </w:r>
                </w:p>
                <w:p w14:paraId="064DE536">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玉米芯粉包装粉尘采用集气罩+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（DA005）</w:t>
                  </w:r>
                  <w:r>
                    <w:rPr>
                      <w:rFonts w:hint="default" w:ascii="Times New Roman" w:hAnsi="Times New Roman" w:cs="Times New Roman"/>
                      <w:bCs/>
                      <w:color w:val="auto"/>
                      <w:kern w:val="2"/>
                      <w:sz w:val="21"/>
                      <w:szCs w:val="21"/>
                      <w:highlight w:val="none"/>
                      <w:lang w:val="en-US" w:eastAsia="zh-CN"/>
                    </w:rPr>
                    <w:t>排放；</w:t>
                  </w:r>
                </w:p>
                <w:p w14:paraId="51239AD2">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玉米芯粉投料粉尘采用集气罩+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（DA006）</w:t>
                  </w:r>
                  <w:r>
                    <w:rPr>
                      <w:rFonts w:hint="default" w:ascii="Times New Roman" w:hAnsi="Times New Roman" w:cs="Times New Roman"/>
                      <w:bCs/>
                      <w:color w:val="auto"/>
                      <w:kern w:val="2"/>
                      <w:sz w:val="21"/>
                      <w:szCs w:val="21"/>
                      <w:highlight w:val="none"/>
                      <w:lang w:val="en-US" w:eastAsia="zh-CN"/>
                    </w:rPr>
                    <w:t>排放；</w:t>
                  </w:r>
                </w:p>
                <w:p w14:paraId="14F13180">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粉料烘干粉尘采用封闭+旋风+15m高排气筒</w:t>
                  </w:r>
                  <w:r>
                    <w:rPr>
                      <w:rFonts w:hint="eastAsia" w:ascii="Times New Roman" w:hAnsi="Times New Roman" w:cs="Times New Roman"/>
                      <w:bCs/>
                      <w:color w:val="auto"/>
                      <w:kern w:val="2"/>
                      <w:sz w:val="21"/>
                      <w:szCs w:val="21"/>
                      <w:highlight w:val="none"/>
                      <w:lang w:val="en-US" w:eastAsia="zh-CN"/>
                    </w:rPr>
                    <w:t>（DA007）</w:t>
                  </w:r>
                  <w:r>
                    <w:rPr>
                      <w:rFonts w:hint="default" w:ascii="Times New Roman" w:hAnsi="Times New Roman" w:cs="Times New Roman"/>
                      <w:bCs/>
                      <w:color w:val="auto"/>
                      <w:kern w:val="2"/>
                      <w:sz w:val="21"/>
                      <w:szCs w:val="21"/>
                      <w:highlight w:val="none"/>
                      <w:lang w:val="en-US" w:eastAsia="zh-CN"/>
                    </w:rPr>
                    <w:t>排放；</w:t>
                  </w:r>
                </w:p>
                <w:p w14:paraId="68108C0D">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粉料风冷粉尘采用封闭+旋风+15m高排气筒</w:t>
                  </w:r>
                  <w:r>
                    <w:rPr>
                      <w:rFonts w:hint="eastAsia" w:ascii="Times New Roman" w:hAnsi="Times New Roman" w:cs="Times New Roman"/>
                      <w:bCs/>
                      <w:color w:val="auto"/>
                      <w:kern w:val="2"/>
                      <w:sz w:val="21"/>
                      <w:szCs w:val="21"/>
                      <w:highlight w:val="none"/>
                      <w:lang w:val="en-US" w:eastAsia="zh-CN"/>
                    </w:rPr>
                    <w:t>（DA008）</w:t>
                  </w:r>
                  <w:r>
                    <w:rPr>
                      <w:rFonts w:hint="default" w:ascii="Times New Roman" w:hAnsi="Times New Roman" w:cs="Times New Roman"/>
                      <w:bCs/>
                      <w:color w:val="auto"/>
                      <w:kern w:val="2"/>
                      <w:sz w:val="21"/>
                      <w:szCs w:val="21"/>
                      <w:highlight w:val="none"/>
                      <w:lang w:val="en-US" w:eastAsia="zh-CN"/>
                    </w:rPr>
                    <w:t>排放；</w:t>
                  </w:r>
                </w:p>
                <w:p w14:paraId="7BBD59BA">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粉料破碎粉尘采用集气罩+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（DA009）</w:t>
                  </w:r>
                  <w:r>
                    <w:rPr>
                      <w:rFonts w:hint="default" w:ascii="Times New Roman" w:hAnsi="Times New Roman" w:cs="Times New Roman"/>
                      <w:bCs/>
                      <w:color w:val="auto"/>
                      <w:kern w:val="2"/>
                      <w:sz w:val="21"/>
                      <w:szCs w:val="21"/>
                      <w:highlight w:val="none"/>
                      <w:lang w:val="en-US" w:eastAsia="zh-CN"/>
                    </w:rPr>
                    <w:t>排放；</w:t>
                  </w:r>
                </w:p>
                <w:p w14:paraId="312BBB4A">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辅料投料粉尘采用集气罩+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（DA010）</w:t>
                  </w:r>
                  <w:r>
                    <w:rPr>
                      <w:rFonts w:hint="default" w:ascii="Times New Roman" w:hAnsi="Times New Roman" w:cs="Times New Roman"/>
                      <w:bCs/>
                      <w:color w:val="auto"/>
                      <w:kern w:val="2"/>
                      <w:sz w:val="21"/>
                      <w:szCs w:val="21"/>
                      <w:highlight w:val="none"/>
                      <w:lang w:val="en-US" w:eastAsia="zh-CN"/>
                    </w:rPr>
                    <w:t>排放；</w:t>
                  </w:r>
                </w:p>
                <w:p w14:paraId="67F5ACBA">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辅料破碎粉尘采用集气罩+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（DA011）</w:t>
                  </w:r>
                  <w:r>
                    <w:rPr>
                      <w:rFonts w:hint="default" w:ascii="Times New Roman" w:hAnsi="Times New Roman" w:cs="Times New Roman"/>
                      <w:bCs/>
                      <w:color w:val="auto"/>
                      <w:kern w:val="2"/>
                      <w:sz w:val="21"/>
                      <w:szCs w:val="21"/>
                      <w:highlight w:val="none"/>
                      <w:lang w:val="en-US" w:eastAsia="zh-CN"/>
                    </w:rPr>
                    <w:t>排放；</w:t>
                  </w:r>
                </w:p>
                <w:p w14:paraId="12E81989">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复配粉尘采用集气罩+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（DA012）</w:t>
                  </w:r>
                  <w:r>
                    <w:rPr>
                      <w:rFonts w:hint="default" w:ascii="Times New Roman" w:hAnsi="Times New Roman" w:cs="Times New Roman"/>
                      <w:bCs/>
                      <w:color w:val="auto"/>
                      <w:kern w:val="2"/>
                      <w:sz w:val="21"/>
                      <w:szCs w:val="21"/>
                      <w:highlight w:val="none"/>
                      <w:lang w:val="en-US" w:eastAsia="zh-CN"/>
                    </w:rPr>
                    <w:t>排放；</w:t>
                  </w:r>
                </w:p>
                <w:p w14:paraId="4F411E49">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颗粒肥风冷粉尘采用封闭+旋风</w:t>
                  </w:r>
                  <w:r>
                    <w:rPr>
                      <w:rFonts w:hint="eastAsia" w:ascii="Times New Roman" w:hAnsi="Times New Roman" w:cs="Times New Roman"/>
                      <w:bCs/>
                      <w:color w:val="auto"/>
                      <w:kern w:val="2"/>
                      <w:sz w:val="21"/>
                      <w:szCs w:val="21"/>
                      <w:highlight w:val="none"/>
                      <w:lang w:val="en-US" w:eastAsia="zh-CN"/>
                    </w:rPr>
                    <w:t>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（DA013）</w:t>
                  </w:r>
                  <w:r>
                    <w:rPr>
                      <w:rFonts w:hint="default" w:ascii="Times New Roman" w:hAnsi="Times New Roman" w:cs="Times New Roman"/>
                      <w:bCs/>
                      <w:color w:val="auto"/>
                      <w:kern w:val="2"/>
                      <w:sz w:val="21"/>
                      <w:szCs w:val="21"/>
                      <w:highlight w:val="none"/>
                      <w:lang w:val="en-US" w:eastAsia="zh-CN"/>
                    </w:rPr>
                    <w:t>排放；</w:t>
                  </w:r>
                </w:p>
                <w:p w14:paraId="64D33C75">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颗粒肥包装粉尘采用集气罩+</w:t>
                  </w:r>
                  <w:r>
                    <w:rPr>
                      <w:rFonts w:hint="eastAsia" w:ascii="Times New Roman" w:hAnsi="Times New Roman" w:cs="Times New Roman"/>
                      <w:bCs/>
                      <w:color w:val="auto"/>
                      <w:kern w:val="2"/>
                      <w:sz w:val="21"/>
                      <w:szCs w:val="21"/>
                      <w:highlight w:val="none"/>
                      <w:lang w:val="en-US" w:eastAsia="zh-CN"/>
                    </w:rPr>
                    <w:t>布袋除尘器</w:t>
                  </w:r>
                  <w:r>
                    <w:rPr>
                      <w:rFonts w:hint="default" w:ascii="Times New Roman" w:hAnsi="Times New Roman" w:cs="Times New Roman"/>
                      <w:bCs/>
                      <w:color w:val="auto"/>
                      <w:kern w:val="2"/>
                      <w:sz w:val="21"/>
                      <w:szCs w:val="21"/>
                      <w:highlight w:val="none"/>
                      <w:lang w:val="en-US" w:eastAsia="zh-CN"/>
                    </w:rPr>
                    <w:t>+15m高排气筒</w:t>
                  </w:r>
                  <w:r>
                    <w:rPr>
                      <w:rFonts w:hint="eastAsia" w:ascii="Times New Roman" w:hAnsi="Times New Roman" w:cs="Times New Roman"/>
                      <w:bCs/>
                      <w:color w:val="auto"/>
                      <w:kern w:val="2"/>
                      <w:sz w:val="21"/>
                      <w:szCs w:val="21"/>
                      <w:highlight w:val="none"/>
                      <w:lang w:val="en-US" w:eastAsia="zh-CN"/>
                    </w:rPr>
                    <w:t>（DA014）</w:t>
                  </w:r>
                  <w:r>
                    <w:rPr>
                      <w:rFonts w:hint="default" w:ascii="Times New Roman" w:hAnsi="Times New Roman" w:cs="Times New Roman"/>
                      <w:bCs/>
                      <w:color w:val="auto"/>
                      <w:kern w:val="2"/>
                      <w:sz w:val="21"/>
                      <w:szCs w:val="21"/>
                      <w:highlight w:val="none"/>
                      <w:lang w:val="en-US" w:eastAsia="zh-CN"/>
                    </w:rPr>
                    <w:t>排放；</w:t>
                  </w:r>
                </w:p>
                <w:p w14:paraId="4CE4B911">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发酵废气采用封闭管理，废气以无组织形式排放；</w:t>
                  </w:r>
                </w:p>
                <w:p w14:paraId="0889FA5A">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储罐呼吸废气以无组织形式排放；</w:t>
                  </w:r>
                </w:p>
                <w:p w14:paraId="68375447">
                  <w:pPr>
                    <w:pStyle w:val="28"/>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玉米芯原料堆场粉尘以无组织形式排放；</w:t>
                  </w:r>
                </w:p>
                <w:p w14:paraId="7A72C2D8">
                  <w:pPr>
                    <w:ind w:left="-105" w:leftChars="-50" w:right="-105" w:rightChars="-50"/>
                    <w:jc w:val="center"/>
                    <w:rPr>
                      <w:rFonts w:hint="default" w:ascii="Times New Roman" w:hAnsi="Times New Roman" w:cs="Times New Roman"/>
                      <w:snapToGrid w:val="0"/>
                      <w:color w:val="auto"/>
                      <w:kern w:val="0"/>
                      <w:sz w:val="21"/>
                      <w:szCs w:val="21"/>
                      <w:highlight w:val="none"/>
                      <w:lang w:val="en-US"/>
                    </w:rPr>
                  </w:pPr>
                  <w:r>
                    <w:rPr>
                      <w:rFonts w:hint="default" w:ascii="Times New Roman" w:hAnsi="Times New Roman" w:cs="Times New Roman"/>
                      <w:bCs/>
                      <w:color w:val="auto"/>
                      <w:kern w:val="2"/>
                      <w:sz w:val="21"/>
                      <w:szCs w:val="21"/>
                      <w:highlight w:val="none"/>
                      <w:lang w:val="en-US" w:eastAsia="zh-CN"/>
                    </w:rPr>
                    <w:t>玉米芯粉产品堆场粉尘以无组织形式排放。</w:t>
                  </w:r>
                </w:p>
              </w:tc>
              <w:tc>
                <w:tcPr>
                  <w:tcW w:w="458" w:type="pct"/>
                  <w:noWrap w:val="0"/>
                  <w:vAlign w:val="center"/>
                </w:tcPr>
                <w:p w14:paraId="0DC841C1">
                  <w:pPr>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1671" w:type="pct"/>
                  <w:noWrap w:val="0"/>
                  <w:vAlign w:val="center"/>
                </w:tcPr>
                <w:p w14:paraId="02E697BC">
                  <w:pPr>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满足《大气污染物综合排放标准》（GB16297-1996）、</w:t>
                  </w:r>
                  <w:r>
                    <w:rPr>
                      <w:rFonts w:hint="eastAsia" w:ascii="Times New Roman" w:hAnsi="Times New Roman" w:eastAsia="宋体" w:cs="Times New Roman"/>
                      <w:bCs/>
                      <w:color w:val="auto"/>
                      <w:kern w:val="2"/>
                      <w:sz w:val="21"/>
                      <w:szCs w:val="21"/>
                      <w:highlight w:val="none"/>
                      <w:lang w:val="en-US" w:eastAsia="zh-CN" w:bidi="ar"/>
                    </w:rPr>
                    <w:t>《锅炉大气污染物排放标准》（GB13271-2014）</w:t>
                  </w:r>
                </w:p>
              </w:tc>
            </w:tr>
            <w:tr w14:paraId="1FAD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65" w:type="pct"/>
                  <w:vMerge w:val="continue"/>
                  <w:noWrap w:val="0"/>
                  <w:vAlign w:val="center"/>
                </w:tcPr>
                <w:p w14:paraId="43681173">
                  <w:pPr>
                    <w:ind w:left="-105" w:leftChars="-50" w:right="-105" w:rightChars="-50"/>
                    <w:jc w:val="center"/>
                    <w:rPr>
                      <w:rFonts w:hint="default" w:ascii="Times New Roman" w:hAnsi="Times New Roman" w:cs="Times New Roman"/>
                      <w:color w:val="auto"/>
                      <w:sz w:val="21"/>
                      <w:szCs w:val="21"/>
                      <w:highlight w:val="none"/>
                    </w:rPr>
                  </w:pPr>
                </w:p>
              </w:tc>
              <w:tc>
                <w:tcPr>
                  <w:tcW w:w="352" w:type="pct"/>
                  <w:noWrap w:val="0"/>
                  <w:vAlign w:val="center"/>
                </w:tcPr>
                <w:p w14:paraId="0688404D">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660" w:type="pct"/>
                  <w:noWrap w:val="0"/>
                  <w:vAlign w:val="center"/>
                </w:tcPr>
                <w:p w14:paraId="536B4BE2">
                  <w:pPr>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1692" w:type="pct"/>
                  <w:noWrap w:val="0"/>
                  <w:vAlign w:val="center"/>
                </w:tcPr>
                <w:p w14:paraId="60BE9524">
                  <w:pPr>
                    <w:ind w:left="-50" w:right="-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NewRomanPSMT" w:cs="Times New Roman"/>
                      <w:color w:val="auto"/>
                      <w:kern w:val="0"/>
                      <w:sz w:val="21"/>
                      <w:szCs w:val="21"/>
                      <w:highlight w:val="none"/>
                      <w:vertAlign w:val="baseline"/>
                      <w:lang w:val="en-US" w:eastAsia="zh-CN" w:bidi="ar"/>
                    </w:rPr>
                    <w:t>经排入</w:t>
                  </w:r>
                  <w:r>
                    <w:rPr>
                      <w:rFonts w:hint="eastAsia" w:eastAsia="TimesNewRomanPSMT" w:cs="Times New Roman"/>
                      <w:color w:val="auto"/>
                      <w:kern w:val="0"/>
                      <w:sz w:val="21"/>
                      <w:szCs w:val="21"/>
                      <w:highlight w:val="none"/>
                      <w:vertAlign w:val="baseline"/>
                      <w:lang w:val="en-US" w:eastAsia="zh-CN" w:bidi="ar"/>
                    </w:rPr>
                    <w:t>市政</w:t>
                  </w:r>
                  <w:r>
                    <w:rPr>
                      <w:rFonts w:hint="default" w:ascii="Times New Roman" w:hAnsi="Times New Roman" w:eastAsia="TimesNewRomanPSMT" w:cs="Times New Roman"/>
                      <w:color w:val="auto"/>
                      <w:kern w:val="0"/>
                      <w:sz w:val="21"/>
                      <w:szCs w:val="21"/>
                      <w:highlight w:val="none"/>
                      <w:vertAlign w:val="baseline"/>
                      <w:lang w:val="en-US" w:eastAsia="zh-CN" w:bidi="ar"/>
                    </w:rPr>
                    <w:t>污水管网</w:t>
                  </w:r>
                </w:p>
              </w:tc>
              <w:tc>
                <w:tcPr>
                  <w:tcW w:w="458" w:type="pct"/>
                  <w:noWrap w:val="0"/>
                  <w:vAlign w:val="center"/>
                </w:tcPr>
                <w:p w14:paraId="0A480F95">
                  <w:pPr>
                    <w:ind w:left="-50" w:right="-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671" w:type="pct"/>
                  <w:noWrap w:val="0"/>
                  <w:vAlign w:val="center"/>
                </w:tcPr>
                <w:p w14:paraId="35C835B3">
                  <w:pPr>
                    <w:ind w:left="-50" w:right="-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《污水综合排放标准》（GB8978-1996）</w:t>
                  </w:r>
                  <w:r>
                    <w:rPr>
                      <w:rFonts w:hint="default" w:ascii="Times New Roman" w:hAnsi="Times New Roman" w:cs="Times New Roman"/>
                      <w:color w:val="auto"/>
                      <w:sz w:val="21"/>
                      <w:szCs w:val="21"/>
                      <w:highlight w:val="none"/>
                      <w:lang w:val="en-US" w:eastAsia="zh-CN"/>
                    </w:rPr>
                    <w:t>中三级</w:t>
                  </w:r>
                  <w:r>
                    <w:rPr>
                      <w:rFonts w:hint="default" w:ascii="Times New Roman" w:hAnsi="Times New Roman" w:cs="Times New Roman"/>
                      <w:color w:val="auto"/>
                      <w:sz w:val="21"/>
                      <w:szCs w:val="21"/>
                      <w:highlight w:val="none"/>
                    </w:rPr>
                    <w:t>标准</w:t>
                  </w:r>
                </w:p>
              </w:tc>
            </w:tr>
            <w:tr w14:paraId="2249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 w:type="pct"/>
                  <w:vMerge w:val="continue"/>
                  <w:noWrap w:val="0"/>
                  <w:vAlign w:val="center"/>
                </w:tcPr>
                <w:p w14:paraId="2F21C26A">
                  <w:pPr>
                    <w:ind w:left="-105" w:leftChars="-50" w:right="-105" w:rightChars="-50"/>
                    <w:jc w:val="center"/>
                    <w:rPr>
                      <w:rFonts w:hint="default" w:ascii="Times New Roman" w:hAnsi="Times New Roman" w:cs="Times New Roman"/>
                      <w:color w:val="auto"/>
                      <w:sz w:val="21"/>
                      <w:szCs w:val="21"/>
                      <w:highlight w:val="none"/>
                    </w:rPr>
                  </w:pPr>
                </w:p>
              </w:tc>
              <w:tc>
                <w:tcPr>
                  <w:tcW w:w="352" w:type="pct"/>
                  <w:noWrap w:val="0"/>
                  <w:vAlign w:val="center"/>
                </w:tcPr>
                <w:p w14:paraId="68191A97">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660" w:type="pct"/>
                  <w:noWrap w:val="0"/>
                  <w:vAlign w:val="center"/>
                </w:tcPr>
                <w:p w14:paraId="33EC6827">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设备噪声</w:t>
                  </w:r>
                </w:p>
              </w:tc>
              <w:tc>
                <w:tcPr>
                  <w:tcW w:w="1692" w:type="pct"/>
                  <w:noWrap w:val="0"/>
                  <w:vAlign w:val="center"/>
                </w:tcPr>
                <w:p w14:paraId="40994ABB">
                  <w:pPr>
                    <w:ind w:right="-105" w:rightChars="-5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采取基础减振、隔声罩、消声器等措施；生产设备安装在车间内</w:t>
                  </w:r>
                </w:p>
              </w:tc>
              <w:tc>
                <w:tcPr>
                  <w:tcW w:w="458" w:type="pct"/>
                  <w:noWrap w:val="0"/>
                  <w:vAlign w:val="center"/>
                </w:tcPr>
                <w:p w14:paraId="77FDAB32">
                  <w:pPr>
                    <w:ind w:left="-105" w:leftChars="-50" w:right="-105" w:rightChars="-5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w:t>
                  </w:r>
                </w:p>
              </w:tc>
              <w:tc>
                <w:tcPr>
                  <w:tcW w:w="1671" w:type="pct"/>
                  <w:noWrap w:val="0"/>
                  <w:vAlign w:val="center"/>
                </w:tcPr>
                <w:p w14:paraId="44132776">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《工业企业厂界环境噪声排放标准》（GB12348-2008）中标准限值</w:t>
                  </w:r>
                </w:p>
              </w:tc>
            </w:tr>
            <w:tr w14:paraId="60BE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 w:type="pct"/>
                  <w:vMerge w:val="continue"/>
                  <w:noWrap w:val="0"/>
                  <w:vAlign w:val="center"/>
                </w:tcPr>
                <w:p w14:paraId="495398A6">
                  <w:pPr>
                    <w:ind w:left="-105" w:leftChars="-50" w:right="-105" w:rightChars="-50"/>
                    <w:jc w:val="center"/>
                    <w:rPr>
                      <w:rFonts w:hint="default" w:ascii="Times New Roman" w:hAnsi="Times New Roman" w:cs="Times New Roman"/>
                      <w:color w:val="auto"/>
                      <w:sz w:val="21"/>
                      <w:szCs w:val="21"/>
                      <w:highlight w:val="none"/>
                    </w:rPr>
                  </w:pPr>
                </w:p>
              </w:tc>
              <w:tc>
                <w:tcPr>
                  <w:tcW w:w="352" w:type="pct"/>
                  <w:vMerge w:val="restart"/>
                  <w:noWrap w:val="0"/>
                  <w:vAlign w:val="center"/>
                </w:tcPr>
                <w:p w14:paraId="5F32A1B6">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660" w:type="pct"/>
                  <w:noWrap w:val="0"/>
                  <w:vAlign w:val="center"/>
                </w:tcPr>
                <w:p w14:paraId="5F748469">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1692" w:type="pct"/>
                  <w:noWrap w:val="0"/>
                  <w:vAlign w:val="center"/>
                </w:tcPr>
                <w:p w14:paraId="4055D9B8">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收集后</w:t>
                  </w:r>
                  <w:r>
                    <w:rPr>
                      <w:rFonts w:hint="default" w:ascii="Times New Roman" w:hAnsi="Times New Roman" w:cs="Times New Roman"/>
                      <w:color w:val="auto"/>
                      <w:sz w:val="21"/>
                      <w:szCs w:val="21"/>
                      <w:highlight w:val="none"/>
                    </w:rPr>
                    <w:t>交由环卫部门统一处置</w:t>
                  </w:r>
                </w:p>
              </w:tc>
              <w:tc>
                <w:tcPr>
                  <w:tcW w:w="458" w:type="pct"/>
                  <w:noWrap w:val="0"/>
                  <w:vAlign w:val="center"/>
                </w:tcPr>
                <w:p w14:paraId="404F5C49">
                  <w:pPr>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w:t>
                  </w:r>
                </w:p>
              </w:tc>
              <w:tc>
                <w:tcPr>
                  <w:tcW w:w="1671" w:type="pct"/>
                  <w:noWrap w:val="0"/>
                  <w:vAlign w:val="center"/>
                </w:tcPr>
                <w:p w14:paraId="64F41B6E">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保持周围环境整洁，不造成二次污染</w:t>
                  </w:r>
                </w:p>
              </w:tc>
            </w:tr>
            <w:tr w14:paraId="2478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 w:type="pct"/>
                  <w:vMerge w:val="continue"/>
                  <w:noWrap w:val="0"/>
                  <w:vAlign w:val="center"/>
                </w:tcPr>
                <w:p w14:paraId="3C9C08A1">
                  <w:pPr>
                    <w:ind w:left="-105" w:leftChars="-50" w:right="-105" w:rightChars="-50"/>
                    <w:jc w:val="center"/>
                    <w:rPr>
                      <w:rFonts w:hint="default" w:ascii="Times New Roman" w:hAnsi="Times New Roman" w:cs="Times New Roman"/>
                      <w:color w:val="auto"/>
                      <w:sz w:val="21"/>
                      <w:szCs w:val="21"/>
                      <w:highlight w:val="none"/>
                    </w:rPr>
                  </w:pPr>
                </w:p>
              </w:tc>
              <w:tc>
                <w:tcPr>
                  <w:tcW w:w="352" w:type="pct"/>
                  <w:vMerge w:val="continue"/>
                  <w:noWrap w:val="0"/>
                  <w:vAlign w:val="center"/>
                </w:tcPr>
                <w:p w14:paraId="22910820">
                  <w:pPr>
                    <w:ind w:left="-105" w:leftChars="-50" w:right="-105" w:rightChars="-50"/>
                    <w:jc w:val="center"/>
                    <w:rPr>
                      <w:rFonts w:hint="default" w:ascii="Times New Roman" w:hAnsi="Times New Roman" w:cs="Times New Roman"/>
                      <w:color w:val="auto"/>
                      <w:sz w:val="21"/>
                      <w:szCs w:val="21"/>
                      <w:highlight w:val="none"/>
                    </w:rPr>
                  </w:pPr>
                </w:p>
              </w:tc>
              <w:tc>
                <w:tcPr>
                  <w:tcW w:w="660" w:type="pct"/>
                  <w:noWrap w:val="0"/>
                  <w:vAlign w:val="center"/>
                </w:tcPr>
                <w:p w14:paraId="6CED2162">
                  <w:pPr>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危险废物</w:t>
                  </w:r>
                </w:p>
              </w:tc>
              <w:tc>
                <w:tcPr>
                  <w:tcW w:w="1692" w:type="pct"/>
                  <w:noWrap w:val="0"/>
                  <w:vAlign w:val="center"/>
                </w:tcPr>
                <w:p w14:paraId="21B9F2F5">
                  <w:pPr>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收集至厂区内危废暂存间，</w:t>
                  </w:r>
                  <w:r>
                    <w:rPr>
                      <w:rFonts w:hint="default" w:ascii="Times New Roman" w:hAnsi="Times New Roman" w:cs="Times New Roman"/>
                      <w:color w:val="auto"/>
                      <w:sz w:val="21"/>
                      <w:szCs w:val="21"/>
                      <w:highlight w:val="none"/>
                    </w:rPr>
                    <w:t>委托</w:t>
                  </w:r>
                  <w:r>
                    <w:rPr>
                      <w:rFonts w:hint="default" w:ascii="Times New Roman" w:hAnsi="Times New Roman" w:cs="Times New Roman"/>
                      <w:color w:val="auto"/>
                      <w:sz w:val="21"/>
                      <w:szCs w:val="21"/>
                      <w:highlight w:val="none"/>
                      <w:lang w:val="en-US" w:eastAsia="zh-CN"/>
                    </w:rPr>
                    <w:t>有资质单位定期清理清运</w:t>
                  </w:r>
                </w:p>
              </w:tc>
              <w:tc>
                <w:tcPr>
                  <w:tcW w:w="458" w:type="pct"/>
                  <w:noWrap w:val="0"/>
                  <w:vAlign w:val="center"/>
                </w:tcPr>
                <w:p w14:paraId="7BE71AFA">
                  <w:pPr>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71" w:type="pct"/>
                  <w:noWrap w:val="0"/>
                  <w:vAlign w:val="center"/>
                </w:tcPr>
                <w:p w14:paraId="7E7E33E2">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val="0"/>
                      <w:color w:val="auto"/>
                      <w:kern w:val="2"/>
                      <w:sz w:val="21"/>
                      <w:szCs w:val="21"/>
                      <w:highlight w:val="none"/>
                      <w:lang w:val="en-US" w:eastAsia="zh-CN" w:bidi="ar-SA"/>
                    </w:rPr>
                    <w:t>危险</w:t>
                  </w:r>
                  <w:r>
                    <w:rPr>
                      <w:rFonts w:hint="default" w:ascii="Times New Roman" w:hAnsi="Times New Roman" w:eastAsia="宋体" w:cs="Times New Roman"/>
                      <w:color w:val="auto"/>
                      <w:sz w:val="21"/>
                      <w:szCs w:val="21"/>
                      <w:highlight w:val="none"/>
                    </w:rPr>
                    <w:t>废物贮存污染控制标准》（</w:t>
                  </w:r>
                  <w:r>
                    <w:rPr>
                      <w:rFonts w:hint="default" w:ascii="Times New Roman" w:hAnsi="Times New Roman" w:eastAsia="宋体" w:cs="Times New Roman"/>
                      <w:color w:val="auto"/>
                      <w:sz w:val="21"/>
                      <w:szCs w:val="21"/>
                      <w:highlight w:val="none"/>
                      <w:lang w:eastAsia="zh-CN"/>
                    </w:rPr>
                    <w:t>GB18597-2023</w:t>
                  </w:r>
                  <w:r>
                    <w:rPr>
                      <w:rFonts w:hint="default" w:ascii="Times New Roman" w:hAnsi="Times New Roman" w:eastAsia="宋体" w:cs="Times New Roman"/>
                      <w:color w:val="auto"/>
                      <w:sz w:val="21"/>
                      <w:szCs w:val="21"/>
                      <w:highlight w:val="none"/>
                    </w:rPr>
                    <w:t>）</w:t>
                  </w:r>
                </w:p>
              </w:tc>
            </w:tr>
            <w:tr w14:paraId="7CA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 w:type="pct"/>
                  <w:vMerge w:val="continue"/>
                  <w:noWrap w:val="0"/>
                  <w:vAlign w:val="center"/>
                </w:tcPr>
                <w:p w14:paraId="2E65C839">
                  <w:pPr>
                    <w:ind w:left="-105" w:leftChars="-50" w:right="-105" w:rightChars="-50"/>
                    <w:jc w:val="center"/>
                    <w:rPr>
                      <w:rFonts w:hint="default" w:ascii="Times New Roman" w:hAnsi="Times New Roman" w:cs="Times New Roman"/>
                      <w:color w:val="auto"/>
                      <w:sz w:val="21"/>
                      <w:szCs w:val="21"/>
                      <w:highlight w:val="none"/>
                    </w:rPr>
                  </w:pPr>
                </w:p>
              </w:tc>
              <w:tc>
                <w:tcPr>
                  <w:tcW w:w="352" w:type="pct"/>
                  <w:noWrap w:val="0"/>
                  <w:vAlign w:val="center"/>
                </w:tcPr>
                <w:p w14:paraId="3F3880C9">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w:t>
                  </w:r>
                </w:p>
              </w:tc>
              <w:tc>
                <w:tcPr>
                  <w:tcW w:w="2352" w:type="pct"/>
                  <w:gridSpan w:val="2"/>
                  <w:noWrap w:val="0"/>
                  <w:vAlign w:val="center"/>
                </w:tcPr>
                <w:p w14:paraId="4BC3C749">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设置防雷防静电设施、设置警示标志、标识牌；员工进行风险管理培训；配置灭火器材；编制应急预案等</w:t>
                  </w:r>
                </w:p>
              </w:tc>
              <w:tc>
                <w:tcPr>
                  <w:tcW w:w="458" w:type="pct"/>
                  <w:noWrap w:val="0"/>
                  <w:vAlign w:val="center"/>
                </w:tcPr>
                <w:p w14:paraId="23279F6C">
                  <w:pPr>
                    <w:ind w:left="-105" w:leftChars="-50" w:right="-105" w:rightChars="-5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7</w:t>
                  </w:r>
                </w:p>
              </w:tc>
              <w:tc>
                <w:tcPr>
                  <w:tcW w:w="1671" w:type="pct"/>
                  <w:noWrap w:val="0"/>
                  <w:vAlign w:val="center"/>
                </w:tcPr>
                <w:p w14:paraId="7FA6D574">
                  <w:pPr>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环境风险在可接受范围内</w:t>
                  </w:r>
                </w:p>
              </w:tc>
            </w:tr>
            <w:tr w14:paraId="54E2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0" w:type="pct"/>
                  <w:gridSpan w:val="4"/>
                  <w:noWrap w:val="0"/>
                  <w:vAlign w:val="center"/>
                </w:tcPr>
                <w:p w14:paraId="395CE8EF">
                  <w:pPr>
                    <w:ind w:right="-105" w:rightChars="-5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color w:val="auto"/>
                      <w:sz w:val="21"/>
                      <w:szCs w:val="21"/>
                      <w:highlight w:val="none"/>
                    </w:rPr>
                    <w:t>合计</w:t>
                  </w:r>
                </w:p>
              </w:tc>
              <w:tc>
                <w:tcPr>
                  <w:tcW w:w="458" w:type="pct"/>
                  <w:noWrap w:val="0"/>
                  <w:vAlign w:val="center"/>
                </w:tcPr>
                <w:p w14:paraId="6C45DE2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215</w:t>
                  </w:r>
                </w:p>
              </w:tc>
              <w:tc>
                <w:tcPr>
                  <w:tcW w:w="1671" w:type="pct"/>
                  <w:noWrap w:val="0"/>
                  <w:vAlign w:val="center"/>
                </w:tcPr>
                <w:p w14:paraId="05EDA767">
                  <w:pPr>
                    <w:ind w:right="-105" w:rightChars="-50"/>
                    <w:jc w:val="center"/>
                    <w:rPr>
                      <w:rFonts w:hint="default" w:ascii="Times New Roman" w:hAnsi="Times New Roman" w:cs="Times New Roman"/>
                      <w:color w:val="auto"/>
                      <w:sz w:val="21"/>
                      <w:szCs w:val="21"/>
                      <w:highlight w:val="none"/>
                    </w:rPr>
                  </w:pPr>
                </w:p>
              </w:tc>
            </w:tr>
            <w:tr w14:paraId="6262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0" w:type="pct"/>
                  <w:gridSpan w:val="4"/>
                  <w:noWrap w:val="0"/>
                  <w:vAlign w:val="center"/>
                </w:tcPr>
                <w:p w14:paraId="32CFF155">
                  <w:pPr>
                    <w:ind w:right="-105" w:rightChars="-50"/>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占总投资比例（%）</w:t>
                  </w:r>
                </w:p>
              </w:tc>
              <w:tc>
                <w:tcPr>
                  <w:tcW w:w="458" w:type="pct"/>
                  <w:noWrap w:val="0"/>
                  <w:vAlign w:val="center"/>
                </w:tcPr>
                <w:p w14:paraId="27958CE2">
                  <w:pPr>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2.87</w:t>
                  </w:r>
                </w:p>
              </w:tc>
              <w:tc>
                <w:tcPr>
                  <w:tcW w:w="1671" w:type="pct"/>
                  <w:noWrap w:val="0"/>
                  <w:vAlign w:val="center"/>
                </w:tcPr>
                <w:p w14:paraId="74EAE3DA">
                  <w:pPr>
                    <w:ind w:right="-105" w:rightChars="-50"/>
                    <w:jc w:val="center"/>
                    <w:rPr>
                      <w:rFonts w:hint="default" w:ascii="Times New Roman" w:hAnsi="Times New Roman" w:cs="Times New Roman"/>
                      <w:snapToGrid w:val="0"/>
                      <w:color w:val="auto"/>
                      <w:kern w:val="0"/>
                      <w:sz w:val="21"/>
                      <w:szCs w:val="21"/>
                      <w:highlight w:val="none"/>
                    </w:rPr>
                  </w:pPr>
                </w:p>
              </w:tc>
            </w:tr>
          </w:tbl>
          <w:p w14:paraId="79C02950">
            <w:pPr>
              <w:pStyle w:val="14"/>
              <w:rPr>
                <w:rFonts w:hint="default"/>
                <w:color w:val="auto"/>
                <w:highlight w:val="none"/>
                <w:vertAlign w:val="baseline"/>
              </w:rPr>
            </w:pPr>
          </w:p>
        </w:tc>
      </w:tr>
    </w:tbl>
    <w:p w14:paraId="4B688C1C">
      <w:pPr>
        <w:pStyle w:val="14"/>
        <w:ind w:left="0" w:leftChars="0" w:firstLine="0" w:firstLineChars="0"/>
        <w:rPr>
          <w:rFonts w:hint="default"/>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4614CF6F">
      <w:pPr>
        <w:pStyle w:val="28"/>
        <w:widowControl/>
        <w:ind w:left="0" w:right="0"/>
        <w:jc w:val="center"/>
        <w:outlineLvl w:val="0"/>
        <w:rPr>
          <w:rStyle w:val="44"/>
          <w:rFonts w:hint="default" w:ascii="Times New Roman" w:hAnsi="Times New Roman" w:eastAsia="黑体" w:cs="Times New Roman"/>
          <w:color w:val="auto"/>
          <w:sz w:val="30"/>
          <w:szCs w:val="30"/>
          <w:highlight w:val="none"/>
          <w:lang w:bidi="ar-SA"/>
        </w:rPr>
      </w:pPr>
      <w:r>
        <w:rPr>
          <w:rStyle w:val="44"/>
          <w:rFonts w:hint="default" w:ascii="Times New Roman" w:hAnsi="Times New Roman" w:eastAsia="黑体" w:cs="Times New Roman"/>
          <w:color w:val="auto"/>
          <w:sz w:val="30"/>
          <w:szCs w:val="30"/>
          <w:highlight w:val="none"/>
          <w:lang w:bidi="ar-SA"/>
        </w:rPr>
        <w:t>五、环境保护措施监督检查清单</w:t>
      </w:r>
    </w:p>
    <w:tbl>
      <w:tblPr>
        <w:tblStyle w:val="33"/>
        <w:tblW w:w="935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10"/>
        <w:gridCol w:w="1507"/>
        <w:gridCol w:w="1598"/>
        <w:gridCol w:w="1906"/>
        <w:gridCol w:w="3033"/>
      </w:tblGrid>
      <w:tr w14:paraId="2FF074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1310" w:type="dxa"/>
            <w:noWrap w:val="0"/>
            <w:vAlign w:val="center"/>
          </w:tcPr>
          <w:p w14:paraId="2EC2FC50">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内容</w:t>
            </w:r>
          </w:p>
        </w:tc>
        <w:tc>
          <w:tcPr>
            <w:tcW w:w="1507" w:type="dxa"/>
            <w:noWrap w:val="0"/>
            <w:vAlign w:val="center"/>
          </w:tcPr>
          <w:p w14:paraId="2368DF5D">
            <w:pPr>
              <w:widowControl/>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kern w:val="0"/>
                <w:szCs w:val="21"/>
                <w:highlight w:val="none"/>
                <w:lang w:bidi="ar"/>
              </w:rPr>
              <w:t>排放口</w:t>
            </w:r>
            <w:r>
              <w:rPr>
                <w:rFonts w:hint="default" w:ascii="Times New Roman" w:hAnsi="Times New Roman" w:cs="Times New Roman"/>
                <w:color w:val="auto"/>
                <w:kern w:val="0"/>
                <w:szCs w:val="21"/>
                <w:highlight w:val="none"/>
                <w:lang w:eastAsia="zh-CN" w:bidi="ar"/>
              </w:rPr>
              <w:t>（</w:t>
            </w:r>
            <w:r>
              <w:rPr>
                <w:rFonts w:hint="default" w:ascii="Times New Roman" w:hAnsi="Times New Roman" w:cs="Times New Roman"/>
                <w:color w:val="auto"/>
                <w:kern w:val="0"/>
                <w:szCs w:val="21"/>
                <w:highlight w:val="none"/>
                <w:lang w:bidi="ar"/>
              </w:rPr>
              <w:t>编号、名称</w:t>
            </w:r>
            <w:r>
              <w:rPr>
                <w:rFonts w:hint="default" w:ascii="Times New Roman" w:hAnsi="Times New Roman" w:cs="Times New Roman"/>
                <w:color w:val="auto"/>
                <w:kern w:val="0"/>
                <w:szCs w:val="21"/>
                <w:highlight w:val="none"/>
                <w:lang w:eastAsia="zh-CN" w:bidi="ar"/>
              </w:rPr>
              <w:t>）</w:t>
            </w:r>
            <w:r>
              <w:rPr>
                <w:rFonts w:hint="default" w:ascii="Times New Roman" w:hAnsi="Times New Roman" w:cs="Times New Roman"/>
                <w:color w:val="auto"/>
                <w:kern w:val="0"/>
                <w:szCs w:val="21"/>
                <w:highlight w:val="none"/>
                <w:lang w:bidi="ar"/>
              </w:rPr>
              <w:t>/污染源</w:t>
            </w:r>
          </w:p>
        </w:tc>
        <w:tc>
          <w:tcPr>
            <w:tcW w:w="1598" w:type="dxa"/>
            <w:noWrap w:val="0"/>
            <w:vAlign w:val="center"/>
          </w:tcPr>
          <w:p w14:paraId="40F66910">
            <w:pPr>
              <w:widowControl/>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kern w:val="0"/>
                <w:szCs w:val="21"/>
                <w:highlight w:val="none"/>
                <w:lang w:bidi="ar"/>
              </w:rPr>
              <w:t>污染物项目</w:t>
            </w:r>
          </w:p>
        </w:tc>
        <w:tc>
          <w:tcPr>
            <w:tcW w:w="1906" w:type="dxa"/>
            <w:noWrap w:val="0"/>
            <w:vAlign w:val="center"/>
          </w:tcPr>
          <w:p w14:paraId="19E266D3">
            <w:pPr>
              <w:widowControl/>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kern w:val="0"/>
                <w:szCs w:val="21"/>
                <w:highlight w:val="none"/>
                <w:lang w:bidi="ar"/>
              </w:rPr>
              <w:t>环境保护措施</w:t>
            </w:r>
          </w:p>
        </w:tc>
        <w:tc>
          <w:tcPr>
            <w:tcW w:w="3033" w:type="dxa"/>
            <w:noWrap w:val="0"/>
            <w:vAlign w:val="center"/>
          </w:tcPr>
          <w:p w14:paraId="268C44D6">
            <w:pPr>
              <w:widowControl/>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kern w:val="0"/>
                <w:szCs w:val="21"/>
                <w:highlight w:val="none"/>
                <w:lang w:bidi="ar"/>
              </w:rPr>
              <w:t>执行标准</w:t>
            </w:r>
          </w:p>
        </w:tc>
      </w:tr>
      <w:tr w14:paraId="67935E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vMerge w:val="restart"/>
            <w:noWrap w:val="0"/>
            <w:vAlign w:val="center"/>
          </w:tcPr>
          <w:p w14:paraId="48E34211">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大气环境</w:t>
            </w:r>
          </w:p>
        </w:tc>
        <w:tc>
          <w:tcPr>
            <w:tcW w:w="1507" w:type="dxa"/>
            <w:noWrap w:val="0"/>
            <w:vAlign w:val="center"/>
          </w:tcPr>
          <w:p w14:paraId="116414B6">
            <w:pPr>
              <w:widowControl/>
              <w:jc w:val="center"/>
              <w:rPr>
                <w:rFonts w:hint="default" w:ascii="Times New Roman" w:hAnsi="Times New Roman" w:eastAsia="宋体" w:cs="Times New Roman"/>
                <w:color w:val="auto"/>
                <w:spacing w:val="6"/>
                <w:szCs w:val="21"/>
                <w:highlight w:val="none"/>
                <w:lang w:val="en-US" w:eastAsia="zh-CN"/>
              </w:rPr>
            </w:pPr>
            <w:r>
              <w:rPr>
                <w:rFonts w:hint="default" w:ascii="Times New Roman" w:hAnsi="Times New Roman" w:eastAsia="宋体" w:cs="Times New Roman"/>
                <w:color w:val="auto"/>
                <w:spacing w:val="6"/>
                <w:szCs w:val="21"/>
                <w:highlight w:val="none"/>
                <w:lang w:val="en-US" w:eastAsia="zh-CN"/>
              </w:rPr>
              <w:t>DA001</w:t>
            </w:r>
          </w:p>
        </w:tc>
        <w:tc>
          <w:tcPr>
            <w:tcW w:w="1598" w:type="dxa"/>
            <w:noWrap w:val="0"/>
            <w:vAlign w:val="center"/>
          </w:tcPr>
          <w:p w14:paraId="631CC60F">
            <w:pPr>
              <w:widowControl/>
              <w:jc w:val="center"/>
              <w:rPr>
                <w:rFonts w:hint="default" w:ascii="Times New Roman" w:hAnsi="Times New Roman" w:eastAsia="宋体" w:cs="Times New Roman"/>
                <w:color w:val="auto"/>
                <w:spacing w:val="6"/>
                <w:szCs w:val="21"/>
                <w:highlight w:val="none"/>
                <w:lang w:val="en-US" w:eastAsia="zh-CN"/>
              </w:rPr>
            </w:pPr>
            <w:r>
              <w:rPr>
                <w:rFonts w:hint="default" w:ascii="Times New Roman" w:hAnsi="Times New Roman" w:eastAsia="宋体" w:cs="Times New Roman"/>
                <w:color w:val="auto"/>
                <w:spacing w:val="6"/>
                <w:szCs w:val="21"/>
                <w:highlight w:val="none"/>
                <w:lang w:val="en-US" w:eastAsia="zh-CN"/>
              </w:rPr>
              <w:t>颗粒物</w:t>
            </w:r>
            <w:r>
              <w:rPr>
                <w:rFonts w:hint="eastAsia" w:cs="Times New Roman"/>
                <w:color w:val="auto"/>
                <w:spacing w:val="6"/>
                <w:szCs w:val="21"/>
                <w:highlight w:val="none"/>
                <w:lang w:val="en-US" w:eastAsia="zh-CN"/>
              </w:rPr>
              <w:t>、二氧化硫、氮氧化物</w:t>
            </w:r>
          </w:p>
        </w:tc>
        <w:tc>
          <w:tcPr>
            <w:tcW w:w="1906" w:type="dxa"/>
            <w:tcBorders>
              <w:bottom w:val="single" w:color="auto" w:sz="4" w:space="0"/>
            </w:tcBorders>
            <w:noWrap w:val="0"/>
            <w:vAlign w:val="center"/>
          </w:tcPr>
          <w:p w14:paraId="785DA9A8">
            <w:pPr>
              <w:jc w:val="center"/>
              <w:rPr>
                <w:rFonts w:hint="default" w:ascii="Times New Roman" w:hAnsi="Times New Roman" w:cs="Times New Roman"/>
                <w:color w:val="auto"/>
                <w:spacing w:val="6"/>
                <w:szCs w:val="21"/>
                <w:highlight w:val="none"/>
                <w:lang w:val="en-US"/>
              </w:rPr>
            </w:pPr>
            <w:r>
              <w:rPr>
                <w:rFonts w:hint="eastAsia" w:cs="Times New Roman"/>
                <w:color w:val="auto"/>
                <w:szCs w:val="21"/>
                <w:highlight w:val="none"/>
                <w:lang w:val="en-US" w:eastAsia="zh-CN"/>
              </w:rPr>
              <w:t>SNCR+布袋除尘器+湿法脱硫</w:t>
            </w:r>
          </w:p>
        </w:tc>
        <w:tc>
          <w:tcPr>
            <w:tcW w:w="3033" w:type="dxa"/>
            <w:tcBorders>
              <w:bottom w:val="single" w:color="auto" w:sz="4" w:space="0"/>
            </w:tcBorders>
            <w:noWrap w:val="0"/>
            <w:vAlign w:val="center"/>
          </w:tcPr>
          <w:p w14:paraId="43A29450">
            <w:pPr>
              <w:jc w:val="center"/>
              <w:rPr>
                <w:rFonts w:hint="default" w:ascii="Times New Roman" w:hAnsi="Times New Roman" w:eastAsia="宋体" w:cs="Times New Roman"/>
                <w:color w:val="auto"/>
                <w:spacing w:val="6"/>
                <w:szCs w:val="21"/>
                <w:highlight w:val="none"/>
                <w:lang w:eastAsia="zh-CN"/>
              </w:rPr>
            </w:pPr>
            <w:r>
              <w:rPr>
                <w:rFonts w:hint="eastAsia" w:ascii="Times New Roman" w:hAnsi="Times New Roman" w:eastAsia="宋体" w:cs="Times New Roman"/>
                <w:bCs/>
                <w:color w:val="auto"/>
                <w:kern w:val="2"/>
                <w:sz w:val="21"/>
                <w:szCs w:val="21"/>
                <w:highlight w:val="none"/>
                <w:lang w:val="en-US" w:eastAsia="zh-CN" w:bidi="ar"/>
              </w:rPr>
              <w:t>《锅炉大气污染物排放标准》（GB13271-2014）</w:t>
            </w:r>
          </w:p>
        </w:tc>
      </w:tr>
      <w:tr w14:paraId="671DF4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vMerge w:val="continue"/>
            <w:noWrap w:val="0"/>
            <w:vAlign w:val="center"/>
          </w:tcPr>
          <w:p w14:paraId="45426ABD">
            <w:pPr>
              <w:widowControl/>
              <w:jc w:val="center"/>
              <w:rPr>
                <w:rFonts w:hint="default" w:ascii="Times New Roman" w:hAnsi="Times New Roman" w:cs="Times New Roman"/>
                <w:color w:val="auto"/>
                <w:kern w:val="0"/>
                <w:szCs w:val="21"/>
                <w:highlight w:val="none"/>
                <w:lang w:bidi="ar"/>
              </w:rPr>
            </w:pPr>
          </w:p>
        </w:tc>
        <w:tc>
          <w:tcPr>
            <w:tcW w:w="1507" w:type="dxa"/>
            <w:noWrap w:val="0"/>
            <w:vAlign w:val="center"/>
          </w:tcPr>
          <w:p w14:paraId="5DF77BA2">
            <w:pPr>
              <w:widowControl/>
              <w:jc w:val="center"/>
              <w:rPr>
                <w:rFonts w:hint="default" w:ascii="Times New Roman" w:hAnsi="Times New Roman" w:cs="Times New Roman"/>
                <w:color w:val="auto"/>
                <w:spacing w:val="6"/>
                <w:szCs w:val="21"/>
                <w:highlight w:val="none"/>
                <w:lang w:val="en-US" w:eastAsia="zh-CN"/>
              </w:rPr>
            </w:pPr>
            <w:r>
              <w:rPr>
                <w:rFonts w:hint="default" w:ascii="Times New Roman" w:hAnsi="Times New Roman" w:eastAsia="宋体" w:cs="Times New Roman"/>
                <w:color w:val="auto"/>
                <w:spacing w:val="6"/>
                <w:szCs w:val="21"/>
                <w:highlight w:val="none"/>
                <w:lang w:val="en-US" w:eastAsia="zh-CN"/>
              </w:rPr>
              <w:t>DA002</w:t>
            </w:r>
            <w:r>
              <w:rPr>
                <w:rFonts w:hint="eastAsia" w:cs="Times New Roman"/>
                <w:color w:val="auto"/>
                <w:spacing w:val="6"/>
                <w:szCs w:val="21"/>
                <w:highlight w:val="none"/>
                <w:lang w:val="en-US" w:eastAsia="zh-CN"/>
              </w:rPr>
              <w:t>~014</w:t>
            </w:r>
          </w:p>
        </w:tc>
        <w:tc>
          <w:tcPr>
            <w:tcW w:w="1598" w:type="dxa"/>
            <w:noWrap w:val="0"/>
            <w:vAlign w:val="center"/>
          </w:tcPr>
          <w:p w14:paraId="14607BAF">
            <w:pPr>
              <w:widowControl/>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颗粒物</w:t>
            </w:r>
          </w:p>
        </w:tc>
        <w:tc>
          <w:tcPr>
            <w:tcW w:w="1906" w:type="dxa"/>
            <w:tcBorders>
              <w:top w:val="single" w:color="auto" w:sz="4" w:space="0"/>
            </w:tcBorders>
            <w:noWrap w:val="0"/>
            <w:vAlign w:val="center"/>
          </w:tcPr>
          <w:p w14:paraId="13D8A53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布袋除尘器/旋风除尘器</w:t>
            </w:r>
          </w:p>
        </w:tc>
        <w:tc>
          <w:tcPr>
            <w:tcW w:w="3033" w:type="dxa"/>
            <w:tcBorders>
              <w:top w:val="single" w:color="auto" w:sz="4" w:space="0"/>
            </w:tcBorders>
            <w:noWrap w:val="0"/>
            <w:vAlign w:val="center"/>
          </w:tcPr>
          <w:p w14:paraId="38EA19E2">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2"/>
                <w:szCs w:val="24"/>
                <w:highlight w:val="none"/>
              </w:rPr>
              <w:t>《大气污染物综合排放标准》（GB16297-1996）</w:t>
            </w:r>
          </w:p>
        </w:tc>
      </w:tr>
      <w:tr w14:paraId="44EECB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vMerge w:val="continue"/>
            <w:noWrap w:val="0"/>
            <w:vAlign w:val="center"/>
          </w:tcPr>
          <w:p w14:paraId="37E516C8">
            <w:pPr>
              <w:widowControl/>
              <w:jc w:val="center"/>
              <w:rPr>
                <w:rFonts w:hint="default" w:ascii="Times New Roman" w:hAnsi="Times New Roman" w:cs="Times New Roman"/>
                <w:color w:val="auto"/>
                <w:kern w:val="0"/>
                <w:szCs w:val="21"/>
                <w:highlight w:val="none"/>
                <w:lang w:bidi="ar"/>
              </w:rPr>
            </w:pPr>
          </w:p>
        </w:tc>
        <w:tc>
          <w:tcPr>
            <w:tcW w:w="1507" w:type="dxa"/>
            <w:noWrap w:val="0"/>
            <w:vAlign w:val="center"/>
          </w:tcPr>
          <w:p w14:paraId="695D9E2E">
            <w:pPr>
              <w:keepNext w:val="0"/>
              <w:keepLines w:val="0"/>
              <w:pageBreakBefore w:val="0"/>
              <w:kinsoku/>
              <w:wordWrap/>
              <w:overflowPunct/>
              <w:topLinePunct w:val="0"/>
              <w:autoSpaceDE/>
              <w:autoSpaceDN/>
              <w:bidi w:val="0"/>
              <w:adjustRightInd w:val="0"/>
              <w:snapToGrid w:val="0"/>
              <w:spacing w:line="0" w:lineRule="atLeast"/>
              <w:ind w:firstLine="0" w:firstLineChars="0"/>
              <w:jc w:val="center"/>
              <w:rPr>
                <w:rFonts w:hint="default" w:ascii="Times New Roman" w:hAnsi="Times New Roman" w:eastAsia="宋体" w:cs="Times New Roman"/>
                <w:color w:val="auto"/>
                <w:spacing w:val="6"/>
                <w:szCs w:val="21"/>
                <w:highlight w:val="none"/>
                <w:lang w:val="en-US" w:eastAsia="zh-CN"/>
              </w:rPr>
            </w:pPr>
            <w:r>
              <w:rPr>
                <w:rFonts w:hint="default" w:ascii="Times New Roman" w:hAnsi="Times New Roman" w:eastAsia="宋体" w:cs="Times New Roman"/>
                <w:color w:val="auto"/>
                <w:sz w:val="21"/>
                <w:szCs w:val="21"/>
                <w:highlight w:val="none"/>
              </w:rPr>
              <w:t>厂界无组织</w:t>
            </w:r>
          </w:p>
        </w:tc>
        <w:tc>
          <w:tcPr>
            <w:tcW w:w="1598" w:type="dxa"/>
            <w:noWrap w:val="0"/>
            <w:vAlign w:val="center"/>
          </w:tcPr>
          <w:p w14:paraId="6BD26FFA">
            <w:pPr>
              <w:keepNext w:val="0"/>
              <w:keepLines w:val="0"/>
              <w:pageBreakBefore w:val="0"/>
              <w:kinsoku/>
              <w:wordWrap/>
              <w:overflowPunct/>
              <w:topLinePunct w:val="0"/>
              <w:autoSpaceDE/>
              <w:autoSpaceDN/>
              <w:bidi w:val="0"/>
              <w:adjustRightInd w:val="0"/>
              <w:snapToGrid w:val="0"/>
              <w:spacing w:line="0" w:lineRule="atLeast"/>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rPr>
              <w:t>颗粒物</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硫化氢、氨</w:t>
            </w:r>
          </w:p>
        </w:tc>
        <w:tc>
          <w:tcPr>
            <w:tcW w:w="1906" w:type="dxa"/>
            <w:noWrap w:val="0"/>
            <w:vAlign w:val="center"/>
          </w:tcPr>
          <w:p w14:paraId="2B51E054">
            <w:pPr>
              <w:pStyle w:val="138"/>
              <w:keepNext w:val="0"/>
              <w:keepLines w:val="0"/>
              <w:pageBreakBefore w:val="0"/>
              <w:tabs>
                <w:tab w:val="left" w:pos="2700"/>
              </w:tabs>
              <w:kinsoku/>
              <w:wordWrap/>
              <w:overflowPunct/>
              <w:topLinePunct w:val="0"/>
              <w:autoSpaceDE/>
              <w:autoSpaceDN/>
              <w:bidi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封闭管理</w:t>
            </w:r>
          </w:p>
        </w:tc>
        <w:tc>
          <w:tcPr>
            <w:tcW w:w="3033" w:type="dxa"/>
            <w:noWrap w:val="0"/>
            <w:vAlign w:val="center"/>
          </w:tcPr>
          <w:p w14:paraId="2A3D2974">
            <w:pPr>
              <w:pStyle w:val="138"/>
              <w:keepNext w:val="0"/>
              <w:keepLines w:val="0"/>
              <w:pageBreakBefore w:val="0"/>
              <w:tabs>
                <w:tab w:val="left" w:pos="2700"/>
              </w:tabs>
              <w:kinsoku/>
              <w:wordWrap/>
              <w:overflowPunct/>
              <w:topLinePunct w:val="0"/>
              <w:autoSpaceDE/>
              <w:autoSpaceDN/>
              <w:bidi w:val="0"/>
              <w:adjustRightInd w:val="0"/>
              <w:snapToGrid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《大气污染物综合排放标准》（GB16297-1996）</w:t>
            </w:r>
            <w:r>
              <w:rPr>
                <w:rFonts w:hint="eastAsia" w:ascii="Times New Roman" w:hAnsi="Times New Roman" w:eastAsia="宋体" w:cs="Times New Roman"/>
                <w:color w:val="auto"/>
                <w:kern w:val="2"/>
                <w:sz w:val="21"/>
                <w:szCs w:val="24"/>
                <w:highlight w:val="none"/>
                <w:lang w:val="en-US" w:eastAsia="zh-CN" w:bidi="ar-SA"/>
              </w:rPr>
              <w:t>，</w:t>
            </w:r>
            <w:r>
              <w:rPr>
                <w:rFonts w:hint="default" w:ascii="Times New Roman" w:hAnsi="Times New Roman" w:eastAsia="宋体" w:cs="Times New Roman"/>
                <w:color w:val="auto"/>
                <w:kern w:val="2"/>
                <w:sz w:val="21"/>
                <w:szCs w:val="24"/>
                <w:highlight w:val="none"/>
                <w:lang w:val="en-US" w:eastAsia="zh-CN" w:bidi="ar-SA"/>
              </w:rPr>
              <w:t>《恶臭污染物排放标准》（GB14554-93）</w:t>
            </w:r>
          </w:p>
        </w:tc>
      </w:tr>
      <w:tr w14:paraId="0DB6D0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noWrap w:val="0"/>
            <w:vAlign w:val="center"/>
          </w:tcPr>
          <w:p w14:paraId="3AE6F69F">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地表水环境</w:t>
            </w:r>
          </w:p>
        </w:tc>
        <w:tc>
          <w:tcPr>
            <w:tcW w:w="1507" w:type="dxa"/>
            <w:noWrap w:val="0"/>
            <w:vAlign w:val="center"/>
          </w:tcPr>
          <w:p w14:paraId="5FAF6ABA">
            <w:pPr>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生活污水</w:t>
            </w:r>
          </w:p>
        </w:tc>
        <w:tc>
          <w:tcPr>
            <w:tcW w:w="1598" w:type="dxa"/>
            <w:noWrap w:val="0"/>
            <w:vAlign w:val="center"/>
          </w:tcPr>
          <w:p w14:paraId="7895271D">
            <w:pPr>
              <w:pStyle w:val="91"/>
              <w:spacing w:line="240" w:lineRule="auto"/>
              <w:rPr>
                <w:rFonts w:hint="default" w:ascii="Times New Roman" w:hAnsi="Times New Roman" w:cs="Times New Roman"/>
                <w:color w:val="auto"/>
                <w:spacing w:val="6"/>
                <w:szCs w:val="21"/>
                <w:highlight w:val="none"/>
              </w:rPr>
            </w:pPr>
            <w:r>
              <w:rPr>
                <w:rFonts w:hint="default" w:ascii="Times New Roman" w:hAnsi="Times New Roman" w:cs="Times New Roman"/>
                <w:color w:val="auto"/>
                <w:szCs w:val="21"/>
                <w:highlight w:val="none"/>
                <w:lang w:eastAsia="zh-CN"/>
              </w:rPr>
              <w:t>COD</w:t>
            </w: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NH</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lang w:val="en-US" w:eastAsia="zh-CN"/>
              </w:rPr>
              <w:t>-N</w:t>
            </w:r>
            <w:r>
              <w:rPr>
                <w:rFonts w:hint="default" w:ascii="Times New Roman" w:hAnsi="Times New Roman" w:cs="Times New Roman"/>
                <w:color w:val="auto"/>
                <w:szCs w:val="21"/>
                <w:highlight w:val="none"/>
              </w:rPr>
              <w:t>、SS</w:t>
            </w:r>
          </w:p>
        </w:tc>
        <w:tc>
          <w:tcPr>
            <w:tcW w:w="1906" w:type="dxa"/>
            <w:noWrap w:val="0"/>
            <w:vAlign w:val="center"/>
          </w:tcPr>
          <w:p w14:paraId="36E91A03">
            <w:pPr>
              <w:jc w:val="center"/>
              <w:rPr>
                <w:rFonts w:hint="default" w:ascii="Times New Roman" w:hAnsi="Times New Roman" w:eastAsia="宋体" w:cs="Times New Roman"/>
                <w:color w:val="auto"/>
                <w:spacing w:val="6"/>
                <w:szCs w:val="21"/>
                <w:highlight w:val="none"/>
                <w:lang w:val="en-US" w:eastAsia="zh-CN"/>
              </w:rPr>
            </w:pPr>
            <w:r>
              <w:rPr>
                <w:rFonts w:hint="default" w:ascii="Times New Roman" w:hAnsi="Times New Roman" w:eastAsia="宋体" w:cs="Times New Roman"/>
                <w:color w:val="auto"/>
                <w:spacing w:val="6"/>
                <w:szCs w:val="21"/>
                <w:highlight w:val="none"/>
                <w:lang w:val="en-US" w:eastAsia="zh-CN"/>
              </w:rPr>
              <w:t>排入</w:t>
            </w:r>
            <w:r>
              <w:rPr>
                <w:rFonts w:hint="eastAsia" w:cs="Times New Roman"/>
                <w:color w:val="auto"/>
                <w:spacing w:val="6"/>
                <w:szCs w:val="21"/>
                <w:highlight w:val="none"/>
                <w:lang w:val="en-US" w:eastAsia="zh-CN"/>
              </w:rPr>
              <w:t>市政</w:t>
            </w:r>
            <w:r>
              <w:rPr>
                <w:rFonts w:hint="default" w:ascii="Times New Roman" w:hAnsi="Times New Roman" w:eastAsia="宋体" w:cs="Times New Roman"/>
                <w:color w:val="auto"/>
                <w:spacing w:val="6"/>
                <w:szCs w:val="21"/>
                <w:highlight w:val="none"/>
                <w:lang w:val="en-US" w:eastAsia="zh-CN"/>
              </w:rPr>
              <w:t>污水管网</w:t>
            </w:r>
          </w:p>
        </w:tc>
        <w:tc>
          <w:tcPr>
            <w:tcW w:w="3033" w:type="dxa"/>
            <w:noWrap w:val="0"/>
            <w:vAlign w:val="center"/>
          </w:tcPr>
          <w:p w14:paraId="07925C4A">
            <w:pPr>
              <w:jc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《污水综合排放标准》（GB8978-1996）三级排放标准</w:t>
            </w:r>
          </w:p>
        </w:tc>
      </w:tr>
      <w:tr w14:paraId="757E95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noWrap w:val="0"/>
            <w:vAlign w:val="center"/>
          </w:tcPr>
          <w:p w14:paraId="39CDFA10">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声环境</w:t>
            </w:r>
          </w:p>
        </w:tc>
        <w:tc>
          <w:tcPr>
            <w:tcW w:w="1507" w:type="dxa"/>
            <w:noWrap w:val="0"/>
            <w:vAlign w:val="center"/>
          </w:tcPr>
          <w:p w14:paraId="5185B95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生产设备</w:t>
            </w:r>
          </w:p>
        </w:tc>
        <w:tc>
          <w:tcPr>
            <w:tcW w:w="1598" w:type="dxa"/>
            <w:noWrap w:val="0"/>
            <w:vAlign w:val="center"/>
          </w:tcPr>
          <w:p w14:paraId="07B9293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等效 A 声级</w:t>
            </w:r>
          </w:p>
        </w:tc>
        <w:tc>
          <w:tcPr>
            <w:tcW w:w="1906" w:type="dxa"/>
            <w:noWrap w:val="0"/>
            <w:vAlign w:val="center"/>
          </w:tcPr>
          <w:p w14:paraId="6837878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低噪声设备、安装降噪设施</w:t>
            </w:r>
          </w:p>
        </w:tc>
        <w:tc>
          <w:tcPr>
            <w:tcW w:w="3033" w:type="dxa"/>
            <w:noWrap w:val="0"/>
            <w:vAlign w:val="center"/>
          </w:tcPr>
          <w:p w14:paraId="625C1792">
            <w:pPr>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zCs w:val="21"/>
                <w:highlight w:val="none"/>
              </w:rPr>
              <w:t>《工业企业厂界环境噪声排放标准》（GB12348-2008）</w:t>
            </w:r>
            <w:r>
              <w:rPr>
                <w:rFonts w:hint="default" w:ascii="Times New Roman" w:hAnsi="Times New Roman" w:cs="Times New Roman"/>
                <w:color w:val="auto"/>
                <w:szCs w:val="21"/>
                <w:highlight w:val="none"/>
                <w:lang w:val="en-US" w:eastAsia="zh-CN"/>
              </w:rPr>
              <w:t>中</w:t>
            </w:r>
            <w:r>
              <w:rPr>
                <w:rFonts w:hint="eastAsia" w:cs="Times New Roman"/>
                <w:color w:val="auto"/>
                <w:szCs w:val="21"/>
                <w:highlight w:val="none"/>
                <w:lang w:val="en-US" w:eastAsia="zh-CN"/>
              </w:rPr>
              <w:t>3类</w:t>
            </w:r>
            <w:r>
              <w:rPr>
                <w:rFonts w:hint="default" w:ascii="Times New Roman" w:hAnsi="Times New Roman" w:cs="Times New Roman"/>
                <w:color w:val="auto"/>
                <w:szCs w:val="21"/>
                <w:highlight w:val="none"/>
              </w:rPr>
              <w:t>标准</w:t>
            </w:r>
          </w:p>
        </w:tc>
      </w:tr>
      <w:tr w14:paraId="126366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noWrap w:val="0"/>
            <w:vAlign w:val="center"/>
          </w:tcPr>
          <w:p w14:paraId="57B280AC">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电磁辐射</w:t>
            </w:r>
          </w:p>
        </w:tc>
        <w:tc>
          <w:tcPr>
            <w:tcW w:w="1507" w:type="dxa"/>
            <w:noWrap w:val="0"/>
            <w:vAlign w:val="center"/>
          </w:tcPr>
          <w:p w14:paraId="6618904B">
            <w:pPr>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w:t>
            </w:r>
          </w:p>
        </w:tc>
        <w:tc>
          <w:tcPr>
            <w:tcW w:w="1598" w:type="dxa"/>
            <w:noWrap w:val="0"/>
            <w:vAlign w:val="center"/>
          </w:tcPr>
          <w:p w14:paraId="05FE1D88">
            <w:pPr>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w:t>
            </w:r>
          </w:p>
        </w:tc>
        <w:tc>
          <w:tcPr>
            <w:tcW w:w="1906" w:type="dxa"/>
            <w:noWrap w:val="0"/>
            <w:vAlign w:val="center"/>
          </w:tcPr>
          <w:p w14:paraId="3F94D1FE">
            <w:pPr>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w:t>
            </w:r>
          </w:p>
        </w:tc>
        <w:tc>
          <w:tcPr>
            <w:tcW w:w="3033" w:type="dxa"/>
            <w:noWrap w:val="0"/>
            <w:vAlign w:val="center"/>
          </w:tcPr>
          <w:p w14:paraId="018BF342">
            <w:pPr>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w:t>
            </w:r>
          </w:p>
        </w:tc>
      </w:tr>
      <w:tr w14:paraId="4A5353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noWrap w:val="0"/>
            <w:vAlign w:val="center"/>
          </w:tcPr>
          <w:p w14:paraId="663BAE0A">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固体废物</w:t>
            </w:r>
          </w:p>
        </w:tc>
        <w:tc>
          <w:tcPr>
            <w:tcW w:w="8044" w:type="dxa"/>
            <w:gridSpan w:val="4"/>
            <w:noWrap w:val="0"/>
            <w:vAlign w:val="center"/>
          </w:tcPr>
          <w:p w14:paraId="6829C04C">
            <w:pPr>
              <w:jc w:val="left"/>
              <w:rPr>
                <w:rFonts w:hint="default" w:ascii="Times New Roman" w:hAnsi="Times New Roman" w:cs="Times New Roman"/>
                <w:color w:val="auto"/>
                <w:spacing w:val="6"/>
                <w:szCs w:val="21"/>
                <w:highlight w:val="none"/>
              </w:rPr>
            </w:pPr>
            <w:r>
              <w:rPr>
                <w:rFonts w:hint="default" w:ascii="Times New Roman" w:hAnsi="Times New Roman" w:cs="Times New Roman"/>
                <w:color w:val="auto"/>
                <w:szCs w:val="21"/>
                <w:highlight w:val="none"/>
              </w:rPr>
              <w:t>生活垃圾</w:t>
            </w:r>
            <w:r>
              <w:rPr>
                <w:rFonts w:hint="default" w:ascii="Times New Roman" w:hAnsi="Times New Roman" w:cs="Times New Roman"/>
                <w:color w:val="auto"/>
                <w:szCs w:val="21"/>
                <w:highlight w:val="none"/>
                <w:lang w:val="en-US" w:eastAsia="zh-CN"/>
              </w:rPr>
              <w:t>集中</w:t>
            </w:r>
            <w:r>
              <w:rPr>
                <w:rFonts w:hint="default" w:ascii="Times New Roman" w:hAnsi="Times New Roman" w:cs="Times New Roman"/>
                <w:color w:val="auto"/>
                <w:szCs w:val="21"/>
                <w:highlight w:val="none"/>
              </w:rPr>
              <w:t>收集，</w:t>
            </w:r>
            <w:r>
              <w:rPr>
                <w:rFonts w:hint="default" w:ascii="Times New Roman" w:hAnsi="Times New Roman" w:cs="Times New Roman"/>
                <w:color w:val="auto"/>
                <w:szCs w:val="21"/>
                <w:highlight w:val="none"/>
                <w:lang w:val="en-US" w:eastAsia="zh-CN"/>
              </w:rPr>
              <w:t>由环卫部门定期</w:t>
            </w:r>
            <w:r>
              <w:rPr>
                <w:rFonts w:hint="default" w:ascii="Times New Roman" w:hAnsi="Times New Roman" w:cs="Times New Roman"/>
                <w:color w:val="auto"/>
                <w:szCs w:val="21"/>
                <w:highlight w:val="none"/>
              </w:rPr>
              <w:t>清运；</w:t>
            </w:r>
            <w:r>
              <w:rPr>
                <w:rFonts w:hint="default" w:ascii="Times New Roman" w:hAnsi="Times New Roman" w:cs="Times New Roman"/>
                <w:color w:val="auto"/>
                <w:szCs w:val="21"/>
                <w:highlight w:val="none"/>
                <w:lang w:val="en-US" w:eastAsia="zh-CN"/>
              </w:rPr>
              <w:t>危险废物</w:t>
            </w:r>
            <w:r>
              <w:rPr>
                <w:rFonts w:hint="default" w:ascii="Times New Roman" w:hAnsi="Times New Roman" w:cs="Times New Roman"/>
                <w:color w:val="auto"/>
                <w:szCs w:val="21"/>
                <w:highlight w:val="none"/>
              </w:rPr>
              <w:t>委托有资质单位处理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除尘器收集灰回用</w:t>
            </w:r>
            <w:r>
              <w:rPr>
                <w:rFonts w:hint="default" w:ascii="Times New Roman" w:hAnsi="Times New Roman" w:cs="Times New Roman"/>
                <w:color w:val="auto"/>
                <w:szCs w:val="21"/>
                <w:highlight w:val="none"/>
              </w:rPr>
              <w:t>。</w:t>
            </w:r>
          </w:p>
        </w:tc>
      </w:tr>
      <w:tr w14:paraId="09D57F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noWrap w:val="0"/>
            <w:vAlign w:val="center"/>
          </w:tcPr>
          <w:p w14:paraId="60CD6D0A">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土壤及地下水污染防治措施</w:t>
            </w:r>
          </w:p>
        </w:tc>
        <w:tc>
          <w:tcPr>
            <w:tcW w:w="8044" w:type="dxa"/>
            <w:gridSpan w:val="4"/>
            <w:noWrap w:val="0"/>
            <w:vAlign w:val="center"/>
          </w:tcPr>
          <w:p w14:paraId="251C8771">
            <w:pPr>
              <w:jc w:val="center"/>
              <w:rPr>
                <w:rFonts w:hint="default" w:ascii="Times New Roman" w:hAnsi="Times New Roman" w:eastAsia="宋体" w:cs="Times New Roman"/>
                <w:color w:val="auto"/>
                <w:spacing w:val="6"/>
                <w:szCs w:val="21"/>
                <w:highlight w:val="none"/>
                <w:lang w:eastAsia="zh-CN"/>
              </w:rPr>
            </w:pPr>
            <w:r>
              <w:rPr>
                <w:rFonts w:hint="default" w:ascii="Times New Roman" w:hAnsi="Times New Roman" w:eastAsia="宋体" w:cs="Times New Roman"/>
                <w:color w:val="auto"/>
                <w:szCs w:val="21"/>
                <w:highlight w:val="none"/>
                <w:lang w:val="en-US" w:eastAsia="zh-CN"/>
              </w:rPr>
              <w:t>生产车间均进行重点防渗防腐处理</w:t>
            </w:r>
          </w:p>
        </w:tc>
      </w:tr>
      <w:tr w14:paraId="33E34B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noWrap w:val="0"/>
            <w:vAlign w:val="center"/>
          </w:tcPr>
          <w:p w14:paraId="6A421242">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生态保护措施</w:t>
            </w:r>
          </w:p>
        </w:tc>
        <w:tc>
          <w:tcPr>
            <w:tcW w:w="8044" w:type="dxa"/>
            <w:gridSpan w:val="4"/>
            <w:noWrap w:val="0"/>
            <w:vAlign w:val="center"/>
          </w:tcPr>
          <w:p w14:paraId="66580C23">
            <w:pPr>
              <w:jc w:val="center"/>
              <w:rPr>
                <w:rFonts w:hint="default" w:ascii="Times New Roman" w:hAnsi="Times New Roman" w:eastAsia="宋体" w:cs="Times New Roman"/>
                <w:color w:val="auto"/>
                <w:spacing w:val="6"/>
                <w:szCs w:val="21"/>
                <w:highlight w:val="none"/>
                <w:lang w:eastAsia="zh-CN"/>
              </w:rPr>
            </w:pPr>
            <w:r>
              <w:rPr>
                <w:rFonts w:hint="default" w:ascii="Times New Roman" w:hAnsi="Times New Roman" w:cs="Times New Roman"/>
                <w:color w:val="auto"/>
                <w:spacing w:val="6"/>
                <w:szCs w:val="21"/>
                <w:highlight w:val="none"/>
                <w:lang w:val="en-US" w:eastAsia="zh-CN"/>
              </w:rPr>
              <w:t>/</w:t>
            </w:r>
          </w:p>
        </w:tc>
      </w:tr>
      <w:tr w14:paraId="195D83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noWrap w:val="0"/>
            <w:vAlign w:val="center"/>
          </w:tcPr>
          <w:p w14:paraId="13F7530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环境风险</w:t>
            </w:r>
          </w:p>
          <w:p w14:paraId="085D878D">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防范措施</w:t>
            </w:r>
          </w:p>
        </w:tc>
        <w:tc>
          <w:tcPr>
            <w:tcW w:w="8044" w:type="dxa"/>
            <w:gridSpan w:val="4"/>
            <w:noWrap w:val="0"/>
            <w:vAlign w:val="center"/>
          </w:tcPr>
          <w:p w14:paraId="4DB7B86D">
            <w:pPr>
              <w:rPr>
                <w:rFonts w:hint="default" w:ascii="Times New Roman" w:hAnsi="Times New Roman" w:cs="Times New Roman"/>
                <w:color w:val="auto"/>
                <w:spacing w:val="6"/>
                <w:szCs w:val="21"/>
                <w:highlight w:val="none"/>
              </w:rPr>
            </w:pPr>
            <w:r>
              <w:rPr>
                <w:rFonts w:hint="default" w:ascii="Times New Roman" w:hAnsi="Times New Roman" w:eastAsia="宋体" w:cs="Times New Roman"/>
                <w:color w:val="auto"/>
                <w:kern w:val="0"/>
                <w:sz w:val="21"/>
                <w:szCs w:val="21"/>
                <w:highlight w:val="none"/>
                <w:lang w:val="en-US" w:eastAsia="zh-CN" w:bidi="ar"/>
              </w:rPr>
              <w:t>建设单位应加强管理，完善消防设施，制定风险应急预案：发生火灾时，确定起火部位，立即切断电源、气源，充分利用既有消防设施进行灭火；在保证自身安全的前提下，可接近着火点灭火；定期维护设备。</w:t>
            </w:r>
          </w:p>
        </w:tc>
      </w:tr>
      <w:tr w14:paraId="01D8A6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1310" w:type="dxa"/>
            <w:noWrap w:val="0"/>
            <w:vAlign w:val="center"/>
          </w:tcPr>
          <w:p w14:paraId="3B69328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其他环境</w:t>
            </w:r>
          </w:p>
          <w:p w14:paraId="064EBB7A">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管理要求</w:t>
            </w:r>
          </w:p>
        </w:tc>
        <w:tc>
          <w:tcPr>
            <w:tcW w:w="8044" w:type="dxa"/>
            <w:gridSpan w:val="4"/>
            <w:noWrap w:val="0"/>
            <w:vAlign w:val="center"/>
          </w:tcPr>
          <w:p w14:paraId="0DE381EB">
            <w:pPr>
              <w:spacing w:line="240" w:lineRule="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1.</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环境管理</w:t>
            </w:r>
          </w:p>
          <w:p w14:paraId="6455D976">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环境管理与环境监测是企业管理中的重要环节。在企业中，建立健全的环保机构，加强环境管理工作，开展厂内环境监测、监督，并把环保工作纳入生产管理，对于减少企业污染物排放，促进资源的合理利用与回收，提高经济效益和环境效益有着重要意义。根据拟建项目生产工艺特点、排污性质，从环境保护的角度出发，建立、健全环保机构和加强环境监测管理，开展厂内监测工作，减少企业内污染物的排放。 </w:t>
            </w:r>
          </w:p>
          <w:p w14:paraId="5AE22F99">
            <w:pPr>
              <w:widowControl/>
              <w:spacing w:line="240" w:lineRule="auto"/>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（1）健全环保机构 </w:t>
            </w:r>
          </w:p>
          <w:p w14:paraId="6207B4C7">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根据《建设项目环境保护设计规定》的要求，拟建工程应在“三同时”的原则下配套建设相应的污染治理设施，一方面为有效保护区域环境提供良好的技术基础，另一方面科学的管理、监督这些环保设施的运行又是保证治理效果的必要手段。因此，项目运营后，应设置专门的环保安全机构，配备专门的监测仪器和专职环保人员，负责环境管理、环境监测和事故应急处理，其主要职责为： </w:t>
            </w:r>
          </w:p>
          <w:p w14:paraId="033BED4C">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①执行国家、省、市环保主管部门制定的有关环保法规、政策、条例，协调项目生产和环境保护关系，并结合项目具体情况，制定全厂环境管理条例和章程。 </w:t>
            </w:r>
          </w:p>
          <w:p w14:paraId="4FC8CA01">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②负责全厂的环保计划和规划，负责开展日常环境监测工作，完成上级主管部门规定的监测任务，统计整理有关环境监测资料并上报地方环保部门；“三废”排放状况的监督检查及不定期总结上报等工作。 </w:t>
            </w:r>
          </w:p>
          <w:p w14:paraId="5D686EF2">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③配合上级环保主管部门检查、监督工程配套建设的污水、废气、噪声、固废等治理措施的落实情况；检查、监督环保设备等的运行、维修和管理情况，监督本厂各排放口污染物的排放状态。 </w:t>
            </w:r>
          </w:p>
          <w:p w14:paraId="6355ED0E">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④检查落实安全消防措施，开展环保安全管理教育和培训。 </w:t>
            </w:r>
          </w:p>
          <w:p w14:paraId="697FE203">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⑤加强环境监测仪器、设备的维护保养，确保监测工作正常运行。 </w:t>
            </w:r>
          </w:p>
          <w:p w14:paraId="7E4B2691">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⑥参加本厂环境事件的调查、处理、协调工作。 </w:t>
            </w:r>
          </w:p>
          <w:p w14:paraId="62A28198">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⑦参与本厂的环境科研工作。 </w:t>
            </w:r>
          </w:p>
          <w:p w14:paraId="631FA9C6">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⑧参加本厂的环境质量评价工作。 </w:t>
            </w:r>
          </w:p>
          <w:p w14:paraId="61609F17">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该机构建议配置管理人员 1~2 人，从事污染设施的运行、管理和环境监测。监测人员应接受培训后方可上岗。 </w:t>
            </w:r>
          </w:p>
          <w:p w14:paraId="02F5DD4F">
            <w:pPr>
              <w:widowControl/>
              <w:spacing w:line="240" w:lineRule="auto"/>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（2）环境管理措施 </w:t>
            </w:r>
          </w:p>
          <w:p w14:paraId="2B67F9D7">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为更好地进行环境管理，建议采取以下措施： </w:t>
            </w:r>
          </w:p>
          <w:p w14:paraId="0B4161ED">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①经济手段：按污染物流失总量控制原理对厂内各装置分别进行总量控制，并采用职责计奖，超额嘉奖，签订包干合同等方式，将环境保护与经济效益结合起来。 </w:t>
            </w:r>
          </w:p>
          <w:p w14:paraId="012F1B8A">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②技术手段：在制定产值标准、工艺条件、操作规程等工作中，把环境保护的要求考虑在内，这样既能促进企业生产发展，又能有效保护环境。 </w:t>
            </w:r>
          </w:p>
          <w:p w14:paraId="0EBF582D">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③教育培训手段：通过环保教育，增强全体职工的环境意识，自觉控制人为污染；加强职工操作培训，使每一个与环境因素有关的关键岗位人员均能熟练掌握操作技术，避免工艺过程中的损耗量。 </w:t>
            </w:r>
          </w:p>
          <w:p w14:paraId="40109937">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④行政手段：建立健全厂环境管理规章制度，强化管理手段，将环保管理纳入法治管理轨道，建立管理小组及环保室，来管理和实施有关的监测计划，实施有效的质量控制，切实监督、落实执行所有规章制度。</w:t>
            </w:r>
          </w:p>
          <w:p w14:paraId="6C0B8F8E">
            <w:pPr>
              <w:widowControl/>
              <w:spacing w:line="240" w:lineRule="auto"/>
              <w:jc w:val="left"/>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 xml:space="preserve">1.2 严格落实排污许可证制度 </w:t>
            </w:r>
          </w:p>
          <w:p w14:paraId="4CF61FA1">
            <w:pPr>
              <w:widowControl/>
              <w:spacing w:line="240" w:lineRule="auto"/>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（1）落实按证排污责任 </w:t>
            </w:r>
          </w:p>
          <w:p w14:paraId="2E51426C">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 </w:t>
            </w:r>
          </w:p>
          <w:p w14:paraId="68FD042C">
            <w:pPr>
              <w:widowControl/>
              <w:spacing w:line="240" w:lineRule="auto"/>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（2）实行自行监测和定期报告制度 </w:t>
            </w:r>
          </w:p>
          <w:p w14:paraId="126F67DA">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 </w:t>
            </w:r>
          </w:p>
          <w:p w14:paraId="6B97B8FD">
            <w:pPr>
              <w:widowControl/>
              <w:spacing w:line="240" w:lineRule="auto"/>
              <w:ind w:firstLine="210" w:firstLineChars="10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（3）排污许可证管理相关要求 </w:t>
            </w:r>
          </w:p>
          <w:p w14:paraId="08C5EC0C">
            <w:pPr>
              <w:widowControl/>
              <w:spacing w:line="240" w:lineRule="auto"/>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A.排污口位置和数量、排放方式、排放去向、排放污染物种类、排放浓度和排放量、执行的排放标准等符合排污许可证的规定，不得私设暗管或以其他方式逃避监管。 </w:t>
            </w:r>
          </w:p>
          <w:p w14:paraId="6CE43581">
            <w:pPr>
              <w:widowControl/>
              <w:spacing w:line="240" w:lineRule="auto"/>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B.落实重污染天气应急管控措施、遵守法律规定的最新环境保护要求等。按排污许可证规定的监测点位、监测因子、监测频次和相关监测技术规范开展自行监测并公开。 </w:t>
            </w:r>
          </w:p>
          <w:p w14:paraId="41322335">
            <w:pPr>
              <w:widowControl/>
              <w:spacing w:line="240" w:lineRule="auto"/>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C.按规范进行台账记录，主要内容包括生产信息、燃料、原辅材料使用情况、污染防治设施运行记录、监测数据等。 </w:t>
            </w:r>
          </w:p>
          <w:p w14:paraId="42C755A5">
            <w:pPr>
              <w:widowControl/>
              <w:spacing w:line="240" w:lineRule="auto"/>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D.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14:paraId="5EE902A8">
            <w:pPr>
              <w:widowControl/>
              <w:spacing w:line="240" w:lineRule="auto"/>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E.法律法规规定的其他义务。 </w:t>
            </w:r>
          </w:p>
          <w:p w14:paraId="7922E978">
            <w:pPr>
              <w:widowControl/>
              <w:spacing w:line="240" w:lineRule="auto"/>
              <w:jc w:val="left"/>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 xml:space="preserve">1.3 排污口规范化设置 </w:t>
            </w:r>
          </w:p>
          <w:p w14:paraId="2CE7F6C3">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根据国家标准《环境保护图形标志—排放口（源）》（GB155621-1995）和国家环保总局《排污口规范化整治要求（试行）》的技术要求，企业所有排放口，包括水、气、声、固体废物，必须按照“便于计量监测、便于日常现场监督检查”的原则和规范化要求，设置与之相适应的环境保护图形标志牌，绘制企业排污口分布图。 </w:t>
            </w:r>
          </w:p>
          <w:p w14:paraId="6D11A937">
            <w:pPr>
              <w:widowControl/>
              <w:spacing w:line="240" w:lineRule="auto"/>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①废气排放口 </w:t>
            </w:r>
          </w:p>
          <w:p w14:paraId="72510F62">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排放同类污染物的两个或两个以上的排污口（不论其是否属同一生产设备），在不影响生产、技术上可行的条件下，应合并成一个排污口。有组织排放废气的排气筒（烟囱）高度应符合国家和省大气污染物排放标准的有关规定。无组织排放有毒有害气体的，应加装引风装置进行收集、处理，并设置采样点。排气筒（烟囱）应设置便于采样、监测的采样口和采样监测平台。有净化设施的，应在其进出口分别设置采样口及采样监测平台。采样孔、点数目和位置应按《固定污染源排气中颗粒物测定与气态污染物采样方法》（GB/T16157-1996）和《污染源监测技术规范》的规定设置。采样口位置无法满足规定要求的，必须报环保部门认可。 </w:t>
            </w:r>
          </w:p>
          <w:p w14:paraId="48ECBFA2">
            <w:pPr>
              <w:widowControl/>
              <w:spacing w:line="240" w:lineRule="auto"/>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②废水排放口 </w:t>
            </w:r>
          </w:p>
          <w:p w14:paraId="66D0ED5E">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污水排放口位置应根据实际地形和排放污染物的种类情况确定，原则应设置一段长度不小于 1 米长的明渠。排污口须满足采样监测要求。经环保部门批准允许用暗管或暗渠排污的，要设置能满足采样条件的采样井或采样渠。压力管道式排污口应安装取样阀门。还必须在一类污染物的排污口和总排污口设置一段与排放污水有明显色差的测流渠（管），以满足测量流量及监控的要求。 </w:t>
            </w:r>
          </w:p>
          <w:p w14:paraId="154B06DE">
            <w:pPr>
              <w:widowControl/>
              <w:spacing w:line="240" w:lineRule="auto"/>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③固定噪声源 </w:t>
            </w:r>
          </w:p>
          <w:p w14:paraId="2DB2E391">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按有关规定对固定噪声源进行治理。 </w:t>
            </w:r>
          </w:p>
          <w:p w14:paraId="581945AD">
            <w:pPr>
              <w:widowControl/>
              <w:spacing w:line="240" w:lineRule="auto"/>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④设置标志牌 </w:t>
            </w:r>
          </w:p>
          <w:p w14:paraId="265F08B3">
            <w:pPr>
              <w:widowControl/>
              <w:spacing w:line="240" w:lineRule="auto"/>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一般污染物排污口（源），设置提示式标志牌，有毒、有害污染物的排污口设置警告式标志牌。 </w:t>
            </w:r>
          </w:p>
          <w:p w14:paraId="432C909D">
            <w:pPr>
              <w:widowControl/>
              <w:spacing w:line="240" w:lineRule="auto"/>
              <w:ind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标志牌设置位置在排污口（采样点）附近且醒目处，高度为标志牌上缘离地面 2m。排污口附近1m范围内有建筑物的，设平面式标志牌，无建筑物的设立式标志牌。规范化排污口的有关设置（如图形标志牌、计量装置、监控装置等）属环保设施，建设单位必须负责日常的维护保养。环境保护图形标志牌详见下表：</w:t>
            </w:r>
          </w:p>
          <w:p w14:paraId="74D87621">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p>
          <w:p w14:paraId="72C774C1">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表5-1    环境保护图形标志一览表</w:t>
            </w:r>
          </w:p>
          <w:tbl>
            <w:tblPr>
              <w:tblStyle w:val="34"/>
              <w:tblW w:w="7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984"/>
              <w:gridCol w:w="1813"/>
              <w:gridCol w:w="1566"/>
              <w:gridCol w:w="1566"/>
            </w:tblGrid>
            <w:tr w14:paraId="5457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14:paraId="7B2B9366">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序号</w:t>
                  </w:r>
                </w:p>
              </w:tc>
              <w:tc>
                <w:tcPr>
                  <w:tcW w:w="1984" w:type="dxa"/>
                  <w:noWrap w:val="0"/>
                  <w:vAlign w:val="center"/>
                </w:tcPr>
                <w:p w14:paraId="77D1320B">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提示图标符号</w:t>
                  </w:r>
                </w:p>
              </w:tc>
              <w:tc>
                <w:tcPr>
                  <w:tcW w:w="1813" w:type="dxa"/>
                  <w:noWrap w:val="0"/>
                  <w:vAlign w:val="center"/>
                </w:tcPr>
                <w:p w14:paraId="31C9A135">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警告图标符号</w:t>
                  </w:r>
                </w:p>
              </w:tc>
              <w:tc>
                <w:tcPr>
                  <w:tcW w:w="1566" w:type="dxa"/>
                  <w:noWrap w:val="0"/>
                  <w:vAlign w:val="center"/>
                </w:tcPr>
                <w:p w14:paraId="027B05D8">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名称</w:t>
                  </w:r>
                </w:p>
              </w:tc>
              <w:tc>
                <w:tcPr>
                  <w:tcW w:w="1566" w:type="dxa"/>
                  <w:noWrap w:val="0"/>
                  <w:vAlign w:val="center"/>
                </w:tcPr>
                <w:p w14:paraId="48186CE1">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功能</w:t>
                  </w:r>
                </w:p>
              </w:tc>
            </w:tr>
            <w:tr w14:paraId="3572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14:paraId="1EF0BAA0">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1</w:t>
                  </w:r>
                </w:p>
              </w:tc>
              <w:tc>
                <w:tcPr>
                  <w:tcW w:w="1984" w:type="dxa"/>
                  <w:noWrap w:val="0"/>
                  <w:vAlign w:val="center"/>
                </w:tcPr>
                <w:p w14:paraId="76078E32">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drawing>
                      <wp:inline distT="0" distB="0" distL="114300" distR="114300">
                        <wp:extent cx="728980" cy="741680"/>
                        <wp:effectExtent l="0" t="0" r="13970" b="1270"/>
                        <wp:docPr id="2" name="图片 60"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0" descr="13001"/>
                                <pic:cNvPicPr>
                                  <a:picLocks noChangeAspect="1"/>
                                </pic:cNvPicPr>
                              </pic:nvPicPr>
                              <pic:blipFill>
                                <a:blip r:embed="rId11"/>
                                <a:stretch>
                                  <a:fillRect/>
                                </a:stretch>
                              </pic:blipFill>
                              <pic:spPr>
                                <a:xfrm>
                                  <a:off x="0" y="0"/>
                                  <a:ext cx="728980" cy="741680"/>
                                </a:xfrm>
                                <a:prstGeom prst="rect">
                                  <a:avLst/>
                                </a:prstGeom>
                                <a:noFill/>
                                <a:ln>
                                  <a:noFill/>
                                </a:ln>
                              </pic:spPr>
                            </pic:pic>
                          </a:graphicData>
                        </a:graphic>
                      </wp:inline>
                    </w:drawing>
                  </w:r>
                </w:p>
              </w:tc>
              <w:tc>
                <w:tcPr>
                  <w:tcW w:w="1813" w:type="dxa"/>
                  <w:noWrap w:val="0"/>
                  <w:vAlign w:val="center"/>
                </w:tcPr>
                <w:p w14:paraId="3F59D737">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drawing>
                      <wp:inline distT="0" distB="0" distL="114300" distR="114300">
                        <wp:extent cx="842645" cy="856615"/>
                        <wp:effectExtent l="0" t="0" r="14605" b="635"/>
                        <wp:docPr id="3" name="图片 61"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1" descr="13002"/>
                                <pic:cNvPicPr>
                                  <a:picLocks noChangeAspect="1"/>
                                </pic:cNvPicPr>
                              </pic:nvPicPr>
                              <pic:blipFill>
                                <a:blip r:embed="rId12"/>
                                <a:stretch>
                                  <a:fillRect/>
                                </a:stretch>
                              </pic:blipFill>
                              <pic:spPr>
                                <a:xfrm>
                                  <a:off x="0" y="0"/>
                                  <a:ext cx="842645" cy="856615"/>
                                </a:xfrm>
                                <a:prstGeom prst="rect">
                                  <a:avLst/>
                                </a:prstGeom>
                                <a:noFill/>
                                <a:ln>
                                  <a:noFill/>
                                </a:ln>
                              </pic:spPr>
                            </pic:pic>
                          </a:graphicData>
                        </a:graphic>
                      </wp:inline>
                    </w:drawing>
                  </w:r>
                </w:p>
              </w:tc>
              <w:tc>
                <w:tcPr>
                  <w:tcW w:w="1566" w:type="dxa"/>
                  <w:noWrap w:val="0"/>
                  <w:vAlign w:val="center"/>
                </w:tcPr>
                <w:p w14:paraId="30867E28">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废水排放口</w:t>
                  </w:r>
                </w:p>
              </w:tc>
              <w:tc>
                <w:tcPr>
                  <w:tcW w:w="1566" w:type="dxa"/>
                  <w:noWrap w:val="0"/>
                  <w:vAlign w:val="center"/>
                </w:tcPr>
                <w:p w14:paraId="14C81952">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表示废水向水体排放</w:t>
                  </w:r>
                </w:p>
              </w:tc>
            </w:tr>
            <w:tr w14:paraId="5552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14:paraId="6F2B3A3E">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2</w:t>
                  </w:r>
                </w:p>
              </w:tc>
              <w:tc>
                <w:tcPr>
                  <w:tcW w:w="1984" w:type="dxa"/>
                  <w:noWrap w:val="0"/>
                  <w:vAlign w:val="center"/>
                </w:tcPr>
                <w:p w14:paraId="3CD379EB">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drawing>
                      <wp:inline distT="0" distB="0" distL="114300" distR="114300">
                        <wp:extent cx="782955" cy="795655"/>
                        <wp:effectExtent l="0" t="0" r="17145" b="4445"/>
                        <wp:docPr id="4" name="图片 62"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2" descr="13003"/>
                                <pic:cNvPicPr>
                                  <a:picLocks noChangeAspect="1"/>
                                </pic:cNvPicPr>
                              </pic:nvPicPr>
                              <pic:blipFill>
                                <a:blip r:embed="rId13"/>
                                <a:stretch>
                                  <a:fillRect/>
                                </a:stretch>
                              </pic:blipFill>
                              <pic:spPr>
                                <a:xfrm>
                                  <a:off x="0" y="0"/>
                                  <a:ext cx="782955" cy="795655"/>
                                </a:xfrm>
                                <a:prstGeom prst="rect">
                                  <a:avLst/>
                                </a:prstGeom>
                                <a:noFill/>
                                <a:ln>
                                  <a:noFill/>
                                </a:ln>
                              </pic:spPr>
                            </pic:pic>
                          </a:graphicData>
                        </a:graphic>
                      </wp:inline>
                    </w:drawing>
                  </w:r>
                </w:p>
              </w:tc>
              <w:tc>
                <w:tcPr>
                  <w:tcW w:w="1813" w:type="dxa"/>
                  <w:noWrap w:val="0"/>
                  <w:vAlign w:val="center"/>
                </w:tcPr>
                <w:p w14:paraId="79567B3F">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drawing>
                      <wp:inline distT="0" distB="0" distL="114300" distR="114300">
                        <wp:extent cx="856615" cy="856615"/>
                        <wp:effectExtent l="0" t="0" r="635" b="635"/>
                        <wp:docPr id="5" name="图片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descr="4"/>
                                <pic:cNvPicPr>
                                  <a:picLocks noChangeAspect="1"/>
                                </pic:cNvPicPr>
                              </pic:nvPicPr>
                              <pic:blipFill>
                                <a:blip r:embed="rId14"/>
                                <a:stretch>
                                  <a:fillRect/>
                                </a:stretch>
                              </pic:blipFill>
                              <pic:spPr>
                                <a:xfrm>
                                  <a:off x="0" y="0"/>
                                  <a:ext cx="856615" cy="856615"/>
                                </a:xfrm>
                                <a:prstGeom prst="rect">
                                  <a:avLst/>
                                </a:prstGeom>
                                <a:noFill/>
                                <a:ln>
                                  <a:noFill/>
                                </a:ln>
                              </pic:spPr>
                            </pic:pic>
                          </a:graphicData>
                        </a:graphic>
                      </wp:inline>
                    </w:drawing>
                  </w:r>
                </w:p>
              </w:tc>
              <w:tc>
                <w:tcPr>
                  <w:tcW w:w="1566" w:type="dxa"/>
                  <w:noWrap w:val="0"/>
                  <w:vAlign w:val="center"/>
                </w:tcPr>
                <w:p w14:paraId="13184B2A">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废气排放口</w:t>
                  </w:r>
                </w:p>
              </w:tc>
              <w:tc>
                <w:tcPr>
                  <w:tcW w:w="1566" w:type="dxa"/>
                  <w:noWrap w:val="0"/>
                  <w:vAlign w:val="center"/>
                </w:tcPr>
                <w:p w14:paraId="43D7206D">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表示废气大气排放</w:t>
                  </w:r>
                </w:p>
              </w:tc>
            </w:tr>
            <w:tr w14:paraId="29DD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14:paraId="4EA840E4">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3</w:t>
                  </w:r>
                </w:p>
              </w:tc>
              <w:tc>
                <w:tcPr>
                  <w:tcW w:w="1984" w:type="dxa"/>
                  <w:noWrap w:val="0"/>
                  <w:vAlign w:val="center"/>
                </w:tcPr>
                <w:p w14:paraId="1E5D077D">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drawing>
                      <wp:inline distT="0" distB="0" distL="114300" distR="114300">
                        <wp:extent cx="842645" cy="856615"/>
                        <wp:effectExtent l="0" t="0" r="14605" b="635"/>
                        <wp:docPr id="6" name="图片 64"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4" descr="14001"/>
                                <pic:cNvPicPr>
                                  <a:picLocks noChangeAspect="1"/>
                                </pic:cNvPicPr>
                              </pic:nvPicPr>
                              <pic:blipFill>
                                <a:blip r:embed="rId15"/>
                                <a:stretch>
                                  <a:fillRect/>
                                </a:stretch>
                              </pic:blipFill>
                              <pic:spPr>
                                <a:xfrm>
                                  <a:off x="0" y="0"/>
                                  <a:ext cx="842645" cy="856615"/>
                                </a:xfrm>
                                <a:prstGeom prst="rect">
                                  <a:avLst/>
                                </a:prstGeom>
                                <a:noFill/>
                                <a:ln>
                                  <a:noFill/>
                                </a:ln>
                              </pic:spPr>
                            </pic:pic>
                          </a:graphicData>
                        </a:graphic>
                      </wp:inline>
                    </w:drawing>
                  </w:r>
                </w:p>
              </w:tc>
              <w:tc>
                <w:tcPr>
                  <w:tcW w:w="1813" w:type="dxa"/>
                  <w:noWrap w:val="0"/>
                  <w:vAlign w:val="center"/>
                </w:tcPr>
                <w:p w14:paraId="3E07F80A">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drawing>
                      <wp:inline distT="0" distB="0" distL="114300" distR="114300">
                        <wp:extent cx="903605" cy="856615"/>
                        <wp:effectExtent l="0" t="0" r="10795" b="635"/>
                        <wp:docPr id="7" name="图片 65"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5" descr="14002"/>
                                <pic:cNvPicPr>
                                  <a:picLocks noChangeAspect="1"/>
                                </pic:cNvPicPr>
                              </pic:nvPicPr>
                              <pic:blipFill>
                                <a:blip r:embed="rId16"/>
                                <a:stretch>
                                  <a:fillRect/>
                                </a:stretch>
                              </pic:blipFill>
                              <pic:spPr>
                                <a:xfrm>
                                  <a:off x="0" y="0"/>
                                  <a:ext cx="903605" cy="856615"/>
                                </a:xfrm>
                                <a:prstGeom prst="rect">
                                  <a:avLst/>
                                </a:prstGeom>
                                <a:noFill/>
                                <a:ln>
                                  <a:noFill/>
                                </a:ln>
                              </pic:spPr>
                            </pic:pic>
                          </a:graphicData>
                        </a:graphic>
                      </wp:inline>
                    </w:drawing>
                  </w:r>
                </w:p>
              </w:tc>
              <w:tc>
                <w:tcPr>
                  <w:tcW w:w="1566" w:type="dxa"/>
                  <w:noWrap w:val="0"/>
                  <w:vAlign w:val="center"/>
                </w:tcPr>
                <w:p w14:paraId="29A5F0B3">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一般固体废物</w:t>
                  </w:r>
                </w:p>
              </w:tc>
              <w:tc>
                <w:tcPr>
                  <w:tcW w:w="1566" w:type="dxa"/>
                  <w:noWrap w:val="0"/>
                  <w:vAlign w:val="center"/>
                </w:tcPr>
                <w:p w14:paraId="624156A9">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表示一般固体废物贮存、处置场</w:t>
                  </w:r>
                </w:p>
              </w:tc>
            </w:tr>
            <w:tr w14:paraId="6917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14:paraId="4BFBAA1C">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4</w:t>
                  </w:r>
                </w:p>
              </w:tc>
              <w:tc>
                <w:tcPr>
                  <w:tcW w:w="1984" w:type="dxa"/>
                  <w:noWrap w:val="0"/>
                  <w:vAlign w:val="center"/>
                </w:tcPr>
                <w:p w14:paraId="2EB14567">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w:t>
                  </w:r>
                </w:p>
              </w:tc>
              <w:tc>
                <w:tcPr>
                  <w:tcW w:w="1813" w:type="dxa"/>
                  <w:noWrap w:val="0"/>
                  <w:vAlign w:val="center"/>
                </w:tcPr>
                <w:p w14:paraId="75871183">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highlight w:val="none"/>
                    </w:rPr>
                    <w:drawing>
                      <wp:inline distT="0" distB="0" distL="114300" distR="114300">
                        <wp:extent cx="730250" cy="839470"/>
                        <wp:effectExtent l="0" t="0" r="12700" b="1778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730250" cy="839470"/>
                                </a:xfrm>
                                <a:prstGeom prst="rect">
                                  <a:avLst/>
                                </a:prstGeom>
                                <a:noFill/>
                                <a:ln>
                                  <a:noFill/>
                                </a:ln>
                              </pic:spPr>
                            </pic:pic>
                          </a:graphicData>
                        </a:graphic>
                      </wp:inline>
                    </w:drawing>
                  </w:r>
                </w:p>
              </w:tc>
              <w:tc>
                <w:tcPr>
                  <w:tcW w:w="1566" w:type="dxa"/>
                  <w:noWrap w:val="0"/>
                  <w:vAlign w:val="center"/>
                </w:tcPr>
                <w:p w14:paraId="23777DEA">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危险废物</w:t>
                  </w:r>
                </w:p>
              </w:tc>
              <w:tc>
                <w:tcPr>
                  <w:tcW w:w="1566" w:type="dxa"/>
                  <w:noWrap w:val="0"/>
                  <w:vAlign w:val="center"/>
                </w:tcPr>
                <w:p w14:paraId="710EE5DB">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表示危险废物贮存、处置场</w:t>
                  </w:r>
                </w:p>
              </w:tc>
            </w:tr>
            <w:tr w14:paraId="759B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14:paraId="450C9DDC">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5</w:t>
                  </w:r>
                </w:p>
              </w:tc>
              <w:tc>
                <w:tcPr>
                  <w:tcW w:w="1984" w:type="dxa"/>
                  <w:noWrap w:val="0"/>
                  <w:vAlign w:val="center"/>
                </w:tcPr>
                <w:p w14:paraId="446DE229">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drawing>
                      <wp:inline distT="0" distB="0" distL="114300" distR="114300">
                        <wp:extent cx="753110" cy="753110"/>
                        <wp:effectExtent l="0" t="0" r="8890" b="8890"/>
                        <wp:docPr id="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7"/>
                                <pic:cNvPicPr>
                                  <a:picLocks noChangeAspect="1"/>
                                </pic:cNvPicPr>
                              </pic:nvPicPr>
                              <pic:blipFill>
                                <a:blip r:embed="rId18"/>
                                <a:stretch>
                                  <a:fillRect/>
                                </a:stretch>
                              </pic:blipFill>
                              <pic:spPr>
                                <a:xfrm>
                                  <a:off x="0" y="0"/>
                                  <a:ext cx="753110" cy="753110"/>
                                </a:xfrm>
                                <a:prstGeom prst="rect">
                                  <a:avLst/>
                                </a:prstGeom>
                                <a:noFill/>
                                <a:ln>
                                  <a:noFill/>
                                </a:ln>
                              </pic:spPr>
                            </pic:pic>
                          </a:graphicData>
                        </a:graphic>
                      </wp:inline>
                    </w:drawing>
                  </w:r>
                </w:p>
              </w:tc>
              <w:tc>
                <w:tcPr>
                  <w:tcW w:w="1813" w:type="dxa"/>
                  <w:noWrap w:val="0"/>
                  <w:vAlign w:val="center"/>
                </w:tcPr>
                <w:p w14:paraId="5FED8AD4">
                  <w:pP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drawing>
                      <wp:inline distT="0" distB="0" distL="114300" distR="114300">
                        <wp:extent cx="892810" cy="791845"/>
                        <wp:effectExtent l="0" t="0" r="2540" b="8255"/>
                        <wp:docPr id="1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8"/>
                                <pic:cNvPicPr>
                                  <a:picLocks noChangeAspect="1"/>
                                </pic:cNvPicPr>
                              </pic:nvPicPr>
                              <pic:blipFill>
                                <a:blip r:embed="rId19"/>
                                <a:stretch>
                                  <a:fillRect/>
                                </a:stretch>
                              </pic:blipFill>
                              <pic:spPr>
                                <a:xfrm>
                                  <a:off x="0" y="0"/>
                                  <a:ext cx="892810" cy="791845"/>
                                </a:xfrm>
                                <a:prstGeom prst="rect">
                                  <a:avLst/>
                                </a:prstGeom>
                                <a:noFill/>
                                <a:ln>
                                  <a:noFill/>
                                </a:ln>
                              </pic:spPr>
                            </pic:pic>
                          </a:graphicData>
                        </a:graphic>
                      </wp:inline>
                    </w:drawing>
                  </w:r>
                </w:p>
              </w:tc>
              <w:tc>
                <w:tcPr>
                  <w:tcW w:w="1566" w:type="dxa"/>
                  <w:noWrap w:val="0"/>
                  <w:vAlign w:val="center"/>
                </w:tcPr>
                <w:p w14:paraId="40FC1CC1">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噪声排放源</w:t>
                  </w:r>
                </w:p>
              </w:tc>
              <w:tc>
                <w:tcPr>
                  <w:tcW w:w="1566" w:type="dxa"/>
                  <w:noWrap w:val="0"/>
                  <w:vAlign w:val="center"/>
                </w:tcPr>
                <w:p w14:paraId="44AA6DAE">
                  <w:pPr>
                    <w:jc w:val="center"/>
                    <w:rPr>
                      <w:rFonts w:hint="default" w:ascii="Times New Roman" w:hAnsi="Times New Roman" w:cs="Times New Roman"/>
                      <w:color w:val="auto"/>
                      <w:spacing w:val="6"/>
                      <w:szCs w:val="21"/>
                      <w:highlight w:val="none"/>
                      <w:vertAlign w:val="baseline"/>
                    </w:rPr>
                  </w:pPr>
                  <w:r>
                    <w:rPr>
                      <w:rFonts w:hint="default" w:ascii="Times New Roman" w:hAnsi="Times New Roman" w:cs="Times New Roman"/>
                      <w:color w:val="auto"/>
                      <w:szCs w:val="21"/>
                      <w:highlight w:val="none"/>
                    </w:rPr>
                    <w:t>表示噪声向环境排放</w:t>
                  </w:r>
                </w:p>
              </w:tc>
            </w:tr>
          </w:tbl>
          <w:p w14:paraId="7BBE9625">
            <w:pPr>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 xml:space="preserve">     </w:t>
            </w:r>
          </w:p>
        </w:tc>
      </w:tr>
    </w:tbl>
    <w:p w14:paraId="5F87C118">
      <w:pPr>
        <w:spacing w:line="360" w:lineRule="auto"/>
        <w:rPr>
          <w:rFonts w:hint="default" w:ascii="Times New Roman" w:hAnsi="Times New Roman" w:cs="Times New Roman"/>
          <w:color w:val="auto"/>
          <w:spacing w:val="6"/>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0866D07">
      <w:pPr>
        <w:pStyle w:val="28"/>
        <w:widowControl/>
        <w:ind w:left="0" w:right="0"/>
        <w:jc w:val="center"/>
        <w:outlineLvl w:val="0"/>
        <w:rPr>
          <w:rStyle w:val="44"/>
          <w:rFonts w:hint="default" w:ascii="Times New Roman" w:hAnsi="Times New Roman" w:eastAsia="黑体" w:cs="Times New Roman"/>
          <w:color w:val="auto"/>
          <w:sz w:val="30"/>
          <w:szCs w:val="30"/>
          <w:highlight w:val="none"/>
          <w:lang w:bidi="ar-SA"/>
        </w:rPr>
      </w:pPr>
      <w:r>
        <w:rPr>
          <w:rStyle w:val="44"/>
          <w:rFonts w:hint="default" w:ascii="Times New Roman" w:hAnsi="Times New Roman" w:eastAsia="黑体" w:cs="Times New Roman"/>
          <w:color w:val="auto"/>
          <w:sz w:val="30"/>
          <w:szCs w:val="30"/>
          <w:highlight w:val="none"/>
          <w:lang w:bidi="ar-SA"/>
        </w:rPr>
        <w:t>六、结论</w:t>
      </w:r>
    </w:p>
    <w:tbl>
      <w:tblPr>
        <w:tblStyle w:val="33"/>
        <w:tblW w:w="935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54"/>
      </w:tblGrid>
      <w:tr w14:paraId="7616FA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9354" w:type="dxa"/>
            <w:noWrap w:val="0"/>
            <w:vAlign w:val="center"/>
          </w:tcPr>
          <w:p w14:paraId="051ACE9B">
            <w:pPr>
              <w:widowControl/>
              <w:spacing w:line="360" w:lineRule="auto"/>
              <w:ind w:firstLine="480" w:firstLineChars="200"/>
              <w:jc w:val="left"/>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本项目在生产过程中会产生废气、废水、噪声、固体废物等，在全面落实本报告表提出的各项环境保护措施的基础上，切实做到“三同时”，并在运营期内加强环境管理的前提下，从环境保护角度，本项目环境影响可行。</w:t>
            </w:r>
          </w:p>
          <w:p w14:paraId="261A3C5D">
            <w:pPr>
              <w:pStyle w:val="15"/>
              <w:rPr>
                <w:rFonts w:hint="default" w:ascii="Times New Roman" w:hAnsi="Times New Roman" w:cs="Times New Roman"/>
                <w:color w:val="auto"/>
                <w:sz w:val="21"/>
                <w:szCs w:val="21"/>
                <w:highlight w:val="none"/>
                <w:lang w:bidi="ar"/>
              </w:rPr>
            </w:pPr>
          </w:p>
          <w:p w14:paraId="06F5D974">
            <w:pPr>
              <w:rPr>
                <w:rFonts w:hint="default" w:ascii="Times New Roman" w:hAnsi="Times New Roman" w:cs="Times New Roman"/>
                <w:color w:val="auto"/>
                <w:kern w:val="0"/>
                <w:szCs w:val="21"/>
                <w:highlight w:val="none"/>
                <w:lang w:bidi="ar"/>
              </w:rPr>
            </w:pPr>
          </w:p>
          <w:p w14:paraId="4F65B1B5">
            <w:pPr>
              <w:pStyle w:val="15"/>
              <w:rPr>
                <w:rFonts w:hint="default" w:ascii="Times New Roman" w:hAnsi="Times New Roman" w:cs="Times New Roman"/>
                <w:color w:val="auto"/>
                <w:sz w:val="21"/>
                <w:szCs w:val="21"/>
                <w:highlight w:val="none"/>
                <w:lang w:bidi="ar"/>
              </w:rPr>
            </w:pPr>
          </w:p>
          <w:p w14:paraId="29885B60">
            <w:pPr>
              <w:rPr>
                <w:rFonts w:hint="default" w:ascii="Times New Roman" w:hAnsi="Times New Roman" w:cs="Times New Roman"/>
                <w:color w:val="auto"/>
                <w:kern w:val="0"/>
                <w:szCs w:val="21"/>
                <w:highlight w:val="none"/>
                <w:lang w:bidi="ar"/>
              </w:rPr>
            </w:pPr>
          </w:p>
          <w:p w14:paraId="5BF988CA">
            <w:pPr>
              <w:pStyle w:val="15"/>
              <w:rPr>
                <w:rFonts w:hint="default" w:ascii="Times New Roman" w:hAnsi="Times New Roman" w:cs="Times New Roman"/>
                <w:color w:val="auto"/>
                <w:sz w:val="21"/>
                <w:szCs w:val="21"/>
                <w:highlight w:val="none"/>
                <w:lang w:bidi="ar"/>
              </w:rPr>
            </w:pPr>
          </w:p>
          <w:p w14:paraId="3761119F">
            <w:pPr>
              <w:rPr>
                <w:rFonts w:hint="default" w:ascii="Times New Roman" w:hAnsi="Times New Roman" w:cs="Times New Roman"/>
                <w:color w:val="auto"/>
                <w:kern w:val="0"/>
                <w:szCs w:val="21"/>
                <w:highlight w:val="none"/>
                <w:lang w:bidi="ar"/>
              </w:rPr>
            </w:pPr>
          </w:p>
          <w:p w14:paraId="4219075D">
            <w:pPr>
              <w:pStyle w:val="15"/>
              <w:rPr>
                <w:rFonts w:hint="default" w:ascii="Times New Roman" w:hAnsi="Times New Roman" w:cs="Times New Roman"/>
                <w:color w:val="auto"/>
                <w:sz w:val="21"/>
                <w:szCs w:val="21"/>
                <w:highlight w:val="none"/>
                <w:lang w:bidi="ar"/>
              </w:rPr>
            </w:pPr>
          </w:p>
          <w:p w14:paraId="28A572C2">
            <w:pPr>
              <w:pStyle w:val="15"/>
              <w:rPr>
                <w:rFonts w:hint="default" w:ascii="Times New Roman" w:hAnsi="Times New Roman" w:cs="Times New Roman"/>
                <w:color w:val="auto"/>
                <w:sz w:val="21"/>
                <w:szCs w:val="21"/>
                <w:highlight w:val="none"/>
                <w:lang w:bidi="ar"/>
              </w:rPr>
            </w:pPr>
          </w:p>
          <w:p w14:paraId="53E90303">
            <w:pPr>
              <w:rPr>
                <w:rFonts w:hint="default" w:ascii="Times New Roman" w:hAnsi="Times New Roman" w:cs="Times New Roman"/>
                <w:color w:val="auto"/>
                <w:kern w:val="0"/>
                <w:szCs w:val="21"/>
                <w:highlight w:val="none"/>
                <w:lang w:bidi="ar"/>
              </w:rPr>
            </w:pPr>
          </w:p>
          <w:p w14:paraId="3ADAF913">
            <w:pPr>
              <w:pStyle w:val="15"/>
              <w:rPr>
                <w:rFonts w:hint="default" w:ascii="Times New Roman" w:hAnsi="Times New Roman" w:cs="Times New Roman"/>
                <w:color w:val="auto"/>
                <w:sz w:val="21"/>
                <w:szCs w:val="21"/>
                <w:highlight w:val="none"/>
                <w:lang w:bidi="ar"/>
              </w:rPr>
            </w:pPr>
          </w:p>
          <w:p w14:paraId="31660C75">
            <w:pPr>
              <w:rPr>
                <w:rFonts w:hint="default" w:ascii="Times New Roman" w:hAnsi="Times New Roman" w:cs="Times New Roman"/>
                <w:color w:val="auto"/>
                <w:kern w:val="0"/>
                <w:szCs w:val="21"/>
                <w:highlight w:val="none"/>
                <w:lang w:bidi="ar"/>
              </w:rPr>
            </w:pPr>
          </w:p>
          <w:p w14:paraId="75CEA17D">
            <w:pPr>
              <w:pStyle w:val="15"/>
              <w:rPr>
                <w:rFonts w:hint="default" w:ascii="Times New Roman" w:hAnsi="Times New Roman" w:cs="Times New Roman"/>
                <w:color w:val="auto"/>
                <w:sz w:val="21"/>
                <w:szCs w:val="21"/>
                <w:highlight w:val="none"/>
                <w:lang w:bidi="ar"/>
              </w:rPr>
            </w:pPr>
          </w:p>
          <w:p w14:paraId="4BDD5A2E">
            <w:pPr>
              <w:rPr>
                <w:rFonts w:hint="default" w:ascii="Times New Roman" w:hAnsi="Times New Roman" w:cs="Times New Roman"/>
                <w:color w:val="auto"/>
                <w:kern w:val="0"/>
                <w:szCs w:val="21"/>
                <w:highlight w:val="none"/>
                <w:lang w:bidi="ar"/>
              </w:rPr>
            </w:pPr>
          </w:p>
          <w:p w14:paraId="36B71E48">
            <w:pPr>
              <w:pStyle w:val="15"/>
              <w:rPr>
                <w:rFonts w:hint="default" w:ascii="Times New Roman" w:hAnsi="Times New Roman" w:cs="Times New Roman"/>
                <w:color w:val="auto"/>
                <w:sz w:val="21"/>
                <w:szCs w:val="21"/>
                <w:highlight w:val="none"/>
                <w:lang w:bidi="ar"/>
              </w:rPr>
            </w:pPr>
          </w:p>
          <w:p w14:paraId="20EEAC85">
            <w:pPr>
              <w:rPr>
                <w:rFonts w:hint="default" w:ascii="Times New Roman" w:hAnsi="Times New Roman" w:cs="Times New Roman"/>
                <w:color w:val="auto"/>
                <w:kern w:val="0"/>
                <w:szCs w:val="21"/>
                <w:highlight w:val="none"/>
                <w:lang w:bidi="ar"/>
              </w:rPr>
            </w:pPr>
          </w:p>
          <w:p w14:paraId="55C4CD19">
            <w:pPr>
              <w:pStyle w:val="15"/>
              <w:rPr>
                <w:rFonts w:hint="default" w:ascii="Times New Roman" w:hAnsi="Times New Roman" w:cs="Times New Roman"/>
                <w:color w:val="auto"/>
                <w:sz w:val="21"/>
                <w:szCs w:val="21"/>
                <w:highlight w:val="none"/>
                <w:lang w:bidi="ar"/>
              </w:rPr>
            </w:pPr>
          </w:p>
          <w:p w14:paraId="4A0F18F8">
            <w:pPr>
              <w:rPr>
                <w:rFonts w:hint="default" w:ascii="Times New Roman" w:hAnsi="Times New Roman" w:cs="Times New Roman"/>
                <w:color w:val="auto"/>
                <w:kern w:val="0"/>
                <w:szCs w:val="21"/>
                <w:highlight w:val="none"/>
                <w:lang w:bidi="ar"/>
              </w:rPr>
            </w:pPr>
          </w:p>
          <w:p w14:paraId="1FFB560A">
            <w:pPr>
              <w:pStyle w:val="15"/>
              <w:rPr>
                <w:rFonts w:hint="default" w:ascii="Times New Roman" w:hAnsi="Times New Roman" w:cs="Times New Roman"/>
                <w:color w:val="auto"/>
                <w:sz w:val="21"/>
                <w:szCs w:val="21"/>
                <w:highlight w:val="none"/>
                <w:lang w:bidi="ar"/>
              </w:rPr>
            </w:pPr>
          </w:p>
          <w:p w14:paraId="78BB0A91">
            <w:pPr>
              <w:rPr>
                <w:rFonts w:hint="default" w:ascii="Times New Roman" w:hAnsi="Times New Roman" w:cs="Times New Roman"/>
                <w:color w:val="auto"/>
                <w:kern w:val="0"/>
                <w:szCs w:val="21"/>
                <w:highlight w:val="none"/>
                <w:lang w:bidi="ar"/>
              </w:rPr>
            </w:pPr>
          </w:p>
          <w:p w14:paraId="3D3BE104">
            <w:pPr>
              <w:pStyle w:val="15"/>
              <w:rPr>
                <w:rFonts w:hint="default" w:ascii="Times New Roman" w:hAnsi="Times New Roman" w:cs="Times New Roman"/>
                <w:color w:val="auto"/>
                <w:sz w:val="21"/>
                <w:szCs w:val="21"/>
                <w:highlight w:val="none"/>
                <w:lang w:bidi="ar"/>
              </w:rPr>
            </w:pPr>
          </w:p>
          <w:p w14:paraId="57344337">
            <w:pPr>
              <w:rPr>
                <w:rFonts w:hint="default" w:ascii="Times New Roman" w:hAnsi="Times New Roman" w:cs="Times New Roman"/>
                <w:color w:val="auto"/>
                <w:kern w:val="0"/>
                <w:szCs w:val="21"/>
                <w:highlight w:val="none"/>
                <w:lang w:bidi="ar"/>
              </w:rPr>
            </w:pPr>
          </w:p>
          <w:p w14:paraId="01AD9789">
            <w:pPr>
              <w:pStyle w:val="15"/>
              <w:rPr>
                <w:rFonts w:hint="default" w:ascii="Times New Roman" w:hAnsi="Times New Roman" w:cs="Times New Roman"/>
                <w:color w:val="auto"/>
                <w:sz w:val="21"/>
                <w:szCs w:val="21"/>
                <w:highlight w:val="none"/>
                <w:lang w:bidi="ar"/>
              </w:rPr>
            </w:pPr>
          </w:p>
          <w:p w14:paraId="6165336B">
            <w:pPr>
              <w:rPr>
                <w:rFonts w:hint="default" w:ascii="Times New Roman" w:hAnsi="Times New Roman" w:cs="Times New Roman"/>
                <w:color w:val="auto"/>
                <w:kern w:val="0"/>
                <w:szCs w:val="21"/>
                <w:highlight w:val="none"/>
                <w:lang w:bidi="ar"/>
              </w:rPr>
            </w:pPr>
          </w:p>
          <w:p w14:paraId="2D9C64CB">
            <w:pPr>
              <w:pStyle w:val="15"/>
              <w:rPr>
                <w:rFonts w:hint="default" w:ascii="Times New Roman" w:hAnsi="Times New Roman" w:cs="Times New Roman"/>
                <w:color w:val="auto"/>
                <w:sz w:val="21"/>
                <w:szCs w:val="21"/>
                <w:highlight w:val="none"/>
                <w:lang w:bidi="ar"/>
              </w:rPr>
            </w:pPr>
          </w:p>
          <w:p w14:paraId="3316B261">
            <w:pPr>
              <w:rPr>
                <w:rFonts w:hint="default" w:ascii="Times New Roman" w:hAnsi="Times New Roman" w:cs="Times New Roman"/>
                <w:color w:val="auto"/>
                <w:kern w:val="0"/>
                <w:szCs w:val="21"/>
                <w:highlight w:val="none"/>
                <w:lang w:bidi="ar"/>
              </w:rPr>
            </w:pPr>
          </w:p>
          <w:p w14:paraId="732D6962">
            <w:pPr>
              <w:pStyle w:val="15"/>
              <w:rPr>
                <w:rFonts w:hint="default" w:ascii="Times New Roman" w:hAnsi="Times New Roman" w:cs="Times New Roman"/>
                <w:color w:val="auto"/>
                <w:sz w:val="21"/>
                <w:szCs w:val="21"/>
                <w:highlight w:val="none"/>
                <w:lang w:bidi="ar"/>
              </w:rPr>
            </w:pPr>
          </w:p>
          <w:p w14:paraId="281886C6">
            <w:pPr>
              <w:rPr>
                <w:rFonts w:hint="default" w:ascii="Times New Roman" w:hAnsi="Times New Roman" w:cs="Times New Roman"/>
                <w:color w:val="auto"/>
                <w:kern w:val="0"/>
                <w:szCs w:val="21"/>
                <w:highlight w:val="none"/>
                <w:lang w:bidi="ar"/>
              </w:rPr>
            </w:pPr>
          </w:p>
          <w:p w14:paraId="00BF256D">
            <w:pPr>
              <w:pStyle w:val="15"/>
              <w:rPr>
                <w:rFonts w:hint="default" w:ascii="Times New Roman" w:hAnsi="Times New Roman" w:cs="Times New Roman"/>
                <w:color w:val="auto"/>
                <w:sz w:val="21"/>
                <w:szCs w:val="21"/>
                <w:highlight w:val="none"/>
                <w:lang w:bidi="ar"/>
              </w:rPr>
            </w:pPr>
          </w:p>
          <w:p w14:paraId="40B07906">
            <w:pPr>
              <w:rPr>
                <w:rFonts w:hint="default" w:ascii="Times New Roman" w:hAnsi="Times New Roman" w:cs="Times New Roman"/>
                <w:color w:val="auto"/>
                <w:kern w:val="0"/>
                <w:szCs w:val="21"/>
                <w:highlight w:val="none"/>
                <w:lang w:bidi="ar"/>
              </w:rPr>
            </w:pPr>
          </w:p>
          <w:p w14:paraId="16C9FF92">
            <w:pPr>
              <w:pStyle w:val="15"/>
              <w:rPr>
                <w:rFonts w:hint="default" w:ascii="Times New Roman" w:hAnsi="Times New Roman" w:cs="Times New Roman"/>
                <w:color w:val="auto"/>
                <w:sz w:val="21"/>
                <w:szCs w:val="21"/>
                <w:highlight w:val="none"/>
                <w:lang w:bidi="ar"/>
              </w:rPr>
            </w:pPr>
          </w:p>
          <w:p w14:paraId="1510A4EB">
            <w:pPr>
              <w:rPr>
                <w:rFonts w:hint="default" w:ascii="Times New Roman" w:hAnsi="Times New Roman" w:cs="Times New Roman"/>
                <w:color w:val="auto"/>
                <w:kern w:val="0"/>
                <w:szCs w:val="21"/>
                <w:highlight w:val="none"/>
                <w:lang w:bidi="ar"/>
              </w:rPr>
            </w:pPr>
          </w:p>
          <w:p w14:paraId="5B56F8D8">
            <w:pPr>
              <w:pStyle w:val="15"/>
              <w:rPr>
                <w:rFonts w:hint="default" w:ascii="Times New Roman" w:hAnsi="Times New Roman" w:cs="Times New Roman"/>
                <w:color w:val="auto"/>
                <w:sz w:val="21"/>
                <w:szCs w:val="21"/>
                <w:highlight w:val="none"/>
                <w:lang w:bidi="ar"/>
              </w:rPr>
            </w:pPr>
          </w:p>
          <w:p w14:paraId="3E1DF981">
            <w:pPr>
              <w:rPr>
                <w:rFonts w:hint="default" w:ascii="Times New Roman" w:hAnsi="Times New Roman" w:cs="Times New Roman"/>
                <w:color w:val="auto"/>
                <w:kern w:val="0"/>
                <w:szCs w:val="21"/>
                <w:highlight w:val="none"/>
                <w:lang w:bidi="ar"/>
              </w:rPr>
            </w:pPr>
          </w:p>
          <w:p w14:paraId="6C8CDC09">
            <w:pPr>
              <w:pStyle w:val="15"/>
              <w:rPr>
                <w:rFonts w:hint="default" w:ascii="Times New Roman" w:hAnsi="Times New Roman" w:cs="Times New Roman"/>
                <w:color w:val="auto"/>
                <w:sz w:val="21"/>
                <w:szCs w:val="21"/>
                <w:highlight w:val="none"/>
                <w:lang w:bidi="ar"/>
              </w:rPr>
            </w:pPr>
          </w:p>
          <w:p w14:paraId="037529F3">
            <w:pPr>
              <w:spacing w:line="360" w:lineRule="auto"/>
              <w:rPr>
                <w:rFonts w:hint="default" w:ascii="Times New Roman" w:hAnsi="Times New Roman" w:cs="Times New Roman"/>
                <w:color w:val="auto"/>
                <w:spacing w:val="6"/>
                <w:sz w:val="24"/>
                <w:highlight w:val="none"/>
              </w:rPr>
            </w:pPr>
          </w:p>
        </w:tc>
      </w:tr>
    </w:tbl>
    <w:p w14:paraId="61545EA5">
      <w:pPr>
        <w:rPr>
          <w:rFonts w:hint="default" w:ascii="Times New Roman" w:hAnsi="Times New Roman" w:eastAsia="黑体" w:cs="Times New Roman"/>
          <w:bCs/>
          <w:color w:val="auto"/>
          <w:sz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7112ED19">
      <w:pPr>
        <w:pStyle w:val="15"/>
        <w:tabs>
          <w:tab w:val="left" w:pos="3273"/>
        </w:tabs>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附表</w:t>
      </w:r>
      <w:r>
        <w:rPr>
          <w:rFonts w:hint="default" w:ascii="Times New Roman" w:hAnsi="Times New Roman" w:cs="Times New Roman"/>
          <w:b/>
          <w:bCs/>
          <w:color w:val="auto"/>
          <w:highlight w:val="none"/>
          <w:lang w:eastAsia="zh-CN"/>
        </w:rPr>
        <w:tab/>
      </w:r>
    </w:p>
    <w:p w14:paraId="6FD961EB">
      <w:pPr>
        <w:widowControl/>
        <w:ind w:firstLine="4440" w:firstLineChars="1200"/>
        <w:jc w:val="left"/>
        <w:rPr>
          <w:rFonts w:hint="default" w:ascii="Times New Roman" w:hAnsi="Times New Roman" w:eastAsia="微软雅黑" w:cs="Times New Roman"/>
          <w:color w:val="auto"/>
          <w:kern w:val="0"/>
          <w:sz w:val="37"/>
          <w:szCs w:val="37"/>
          <w:highlight w:val="none"/>
          <w:lang w:bidi="ar"/>
        </w:rPr>
      </w:pPr>
      <w:r>
        <w:rPr>
          <w:rFonts w:hint="default" w:ascii="Times New Roman" w:hAnsi="Times New Roman" w:eastAsia="微软雅黑" w:cs="Times New Roman"/>
          <w:color w:val="auto"/>
          <w:kern w:val="0"/>
          <w:sz w:val="37"/>
          <w:szCs w:val="37"/>
          <w:highlight w:val="none"/>
          <w:lang w:bidi="ar"/>
        </w:rPr>
        <w:t>建设项目污染物排放量汇总表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948"/>
        <w:gridCol w:w="1575"/>
        <w:gridCol w:w="1575"/>
        <w:gridCol w:w="1575"/>
        <w:gridCol w:w="1575"/>
        <w:gridCol w:w="1575"/>
        <w:gridCol w:w="1801"/>
        <w:gridCol w:w="1349"/>
      </w:tblGrid>
      <w:tr w14:paraId="44EC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01" w:type="dxa"/>
            <w:noWrap w:val="0"/>
            <w:vAlign w:val="center"/>
          </w:tcPr>
          <w:p w14:paraId="177421D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分类</w:t>
            </w:r>
          </w:p>
          <w:p w14:paraId="67815B96">
            <w:pPr>
              <w:pStyle w:val="1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1948" w:type="dxa"/>
            <w:noWrap w:val="0"/>
            <w:vAlign w:val="center"/>
          </w:tcPr>
          <w:p w14:paraId="2B05D78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污染物名称</w:t>
            </w:r>
          </w:p>
        </w:tc>
        <w:tc>
          <w:tcPr>
            <w:tcW w:w="1575" w:type="dxa"/>
            <w:noWrap w:val="0"/>
            <w:vAlign w:val="center"/>
          </w:tcPr>
          <w:p w14:paraId="07ECF0B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现有工程排放量（固体废物 产生量）①（</w:t>
            </w:r>
            <w:r>
              <w:rPr>
                <w:rFonts w:hint="default" w:ascii="Times New Roman" w:hAnsi="Times New Roman" w:cs="Times New Roman"/>
                <w:color w:val="auto"/>
                <w:szCs w:val="21"/>
                <w:highlight w:val="none"/>
              </w:rPr>
              <w:t>t/a</w:t>
            </w:r>
            <w:r>
              <w:rPr>
                <w:rFonts w:hint="default" w:ascii="Times New Roman" w:hAnsi="Times New Roman" w:cs="Times New Roman"/>
                <w:color w:val="auto"/>
                <w:kern w:val="0"/>
                <w:szCs w:val="21"/>
                <w:highlight w:val="none"/>
                <w:lang w:bidi="ar"/>
              </w:rPr>
              <w:t>）</w:t>
            </w:r>
          </w:p>
        </w:tc>
        <w:tc>
          <w:tcPr>
            <w:tcW w:w="1575" w:type="dxa"/>
            <w:noWrap w:val="0"/>
            <w:vAlign w:val="center"/>
          </w:tcPr>
          <w:p w14:paraId="7F337A64">
            <w:pPr>
              <w:widowControl/>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现有工程</w:t>
            </w:r>
          </w:p>
          <w:p w14:paraId="54EEDE2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许可排放量②（</w:t>
            </w:r>
            <w:r>
              <w:rPr>
                <w:rFonts w:hint="default" w:ascii="Times New Roman" w:hAnsi="Times New Roman" w:cs="Times New Roman"/>
                <w:color w:val="auto"/>
                <w:szCs w:val="21"/>
                <w:highlight w:val="none"/>
              </w:rPr>
              <w:t>t/a</w:t>
            </w:r>
            <w:r>
              <w:rPr>
                <w:rFonts w:hint="default" w:ascii="Times New Roman" w:hAnsi="Times New Roman" w:cs="Times New Roman"/>
                <w:color w:val="auto"/>
                <w:kern w:val="0"/>
                <w:szCs w:val="21"/>
                <w:highlight w:val="none"/>
                <w:lang w:bidi="ar"/>
              </w:rPr>
              <w:t>）</w:t>
            </w:r>
          </w:p>
        </w:tc>
        <w:tc>
          <w:tcPr>
            <w:tcW w:w="1575" w:type="dxa"/>
            <w:noWrap w:val="0"/>
            <w:vAlign w:val="center"/>
          </w:tcPr>
          <w:p w14:paraId="51B8ECF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在建工程排放量（固体废物产生量）③（</w:t>
            </w:r>
            <w:r>
              <w:rPr>
                <w:rFonts w:hint="default" w:ascii="Times New Roman" w:hAnsi="Times New Roman" w:cs="Times New Roman"/>
                <w:color w:val="auto"/>
                <w:szCs w:val="21"/>
                <w:highlight w:val="none"/>
              </w:rPr>
              <w:t>t/a</w:t>
            </w:r>
            <w:r>
              <w:rPr>
                <w:rFonts w:hint="default" w:ascii="Times New Roman" w:hAnsi="Times New Roman" w:cs="Times New Roman"/>
                <w:color w:val="auto"/>
                <w:kern w:val="0"/>
                <w:szCs w:val="21"/>
                <w:highlight w:val="none"/>
                <w:lang w:bidi="ar"/>
              </w:rPr>
              <w:t>）</w:t>
            </w:r>
          </w:p>
        </w:tc>
        <w:tc>
          <w:tcPr>
            <w:tcW w:w="1575" w:type="dxa"/>
            <w:noWrap w:val="0"/>
            <w:vAlign w:val="center"/>
          </w:tcPr>
          <w:p w14:paraId="5755074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本项目排放量（固体废物产生量）④ （</w:t>
            </w:r>
            <w:r>
              <w:rPr>
                <w:rFonts w:hint="default" w:ascii="Times New Roman" w:hAnsi="Times New Roman" w:cs="Times New Roman"/>
                <w:color w:val="auto"/>
                <w:szCs w:val="21"/>
                <w:highlight w:val="none"/>
              </w:rPr>
              <w:t>t/a</w:t>
            </w:r>
            <w:r>
              <w:rPr>
                <w:rFonts w:hint="default" w:ascii="Times New Roman" w:hAnsi="Times New Roman" w:cs="Times New Roman"/>
                <w:color w:val="auto"/>
                <w:kern w:val="0"/>
                <w:szCs w:val="21"/>
                <w:highlight w:val="none"/>
                <w:lang w:bidi="ar"/>
              </w:rPr>
              <w:t>）</w:t>
            </w:r>
          </w:p>
        </w:tc>
        <w:tc>
          <w:tcPr>
            <w:tcW w:w="1575" w:type="dxa"/>
            <w:noWrap w:val="0"/>
            <w:vAlign w:val="center"/>
          </w:tcPr>
          <w:p w14:paraId="2519990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以新带老削减量 （新建项目不填）⑤（</w:t>
            </w:r>
            <w:r>
              <w:rPr>
                <w:rFonts w:hint="default" w:ascii="Times New Roman" w:hAnsi="Times New Roman" w:cs="Times New Roman"/>
                <w:color w:val="auto"/>
                <w:szCs w:val="21"/>
                <w:highlight w:val="none"/>
              </w:rPr>
              <w:t>t/a</w:t>
            </w:r>
            <w:r>
              <w:rPr>
                <w:rFonts w:hint="default" w:ascii="Times New Roman" w:hAnsi="Times New Roman" w:cs="Times New Roman"/>
                <w:color w:val="auto"/>
                <w:kern w:val="0"/>
                <w:szCs w:val="21"/>
                <w:highlight w:val="none"/>
                <w:lang w:bidi="ar"/>
              </w:rPr>
              <w:t>）</w:t>
            </w:r>
          </w:p>
        </w:tc>
        <w:tc>
          <w:tcPr>
            <w:tcW w:w="1801" w:type="dxa"/>
            <w:noWrap w:val="0"/>
            <w:vAlign w:val="center"/>
          </w:tcPr>
          <w:p w14:paraId="3C9AC2B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本项目建成后全厂排放量（固体废物产生量）⑥（</w:t>
            </w:r>
            <w:r>
              <w:rPr>
                <w:rFonts w:hint="default" w:ascii="Times New Roman" w:hAnsi="Times New Roman" w:cs="Times New Roman"/>
                <w:color w:val="auto"/>
                <w:szCs w:val="21"/>
                <w:highlight w:val="none"/>
              </w:rPr>
              <w:t>t/a</w:t>
            </w:r>
            <w:r>
              <w:rPr>
                <w:rFonts w:hint="default" w:ascii="Times New Roman" w:hAnsi="Times New Roman" w:cs="Times New Roman"/>
                <w:color w:val="auto"/>
                <w:kern w:val="0"/>
                <w:szCs w:val="21"/>
                <w:highlight w:val="none"/>
                <w:lang w:bidi="ar"/>
              </w:rPr>
              <w:t>）</w:t>
            </w:r>
          </w:p>
        </w:tc>
        <w:tc>
          <w:tcPr>
            <w:tcW w:w="1349" w:type="dxa"/>
            <w:noWrap w:val="0"/>
            <w:vAlign w:val="center"/>
          </w:tcPr>
          <w:p w14:paraId="0DB5093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变化量⑦（</w:t>
            </w:r>
            <w:r>
              <w:rPr>
                <w:rFonts w:hint="default" w:ascii="Times New Roman" w:hAnsi="Times New Roman" w:cs="Times New Roman"/>
                <w:color w:val="auto"/>
                <w:szCs w:val="21"/>
                <w:highlight w:val="none"/>
              </w:rPr>
              <w:t>t/a</w:t>
            </w:r>
            <w:r>
              <w:rPr>
                <w:rFonts w:hint="default" w:ascii="Times New Roman" w:hAnsi="Times New Roman" w:cs="Times New Roman"/>
                <w:color w:val="auto"/>
                <w:kern w:val="0"/>
                <w:szCs w:val="21"/>
                <w:highlight w:val="none"/>
                <w:lang w:bidi="ar"/>
              </w:rPr>
              <w:t>）</w:t>
            </w:r>
          </w:p>
        </w:tc>
      </w:tr>
      <w:tr w14:paraId="5BE7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01" w:type="dxa"/>
            <w:vMerge w:val="restart"/>
            <w:noWrap w:val="0"/>
            <w:vAlign w:val="center"/>
          </w:tcPr>
          <w:p w14:paraId="22C737B3">
            <w:pPr>
              <w:pStyle w:val="1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948" w:type="dxa"/>
            <w:noWrap w:val="0"/>
            <w:vAlign w:val="center"/>
          </w:tcPr>
          <w:p w14:paraId="3563CA25">
            <w:pPr>
              <w:snapToGrid w:val="0"/>
              <w:spacing w:line="240" w:lineRule="atLeast"/>
              <w:jc w:val="center"/>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szCs w:val="21"/>
                <w:highlight w:val="none"/>
              </w:rPr>
              <w:t>颗粒物</w:t>
            </w:r>
          </w:p>
        </w:tc>
        <w:tc>
          <w:tcPr>
            <w:tcW w:w="1575" w:type="dxa"/>
            <w:noWrap w:val="0"/>
            <w:vAlign w:val="center"/>
          </w:tcPr>
          <w:p w14:paraId="42266ABD">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20346D96">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451459D0">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1BA9FBD7">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5.441</w:t>
            </w:r>
          </w:p>
        </w:tc>
        <w:tc>
          <w:tcPr>
            <w:tcW w:w="1575" w:type="dxa"/>
            <w:noWrap w:val="0"/>
            <w:vAlign w:val="center"/>
          </w:tcPr>
          <w:p w14:paraId="2A659273">
            <w:pPr>
              <w:pStyle w:val="1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801" w:type="dxa"/>
            <w:noWrap w:val="0"/>
            <w:vAlign w:val="center"/>
          </w:tcPr>
          <w:p w14:paraId="7A670D2B">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5.441</w:t>
            </w:r>
          </w:p>
        </w:tc>
        <w:tc>
          <w:tcPr>
            <w:tcW w:w="1349" w:type="dxa"/>
            <w:noWrap w:val="0"/>
            <w:vAlign w:val="center"/>
          </w:tcPr>
          <w:p w14:paraId="1C0D36D2">
            <w:pPr>
              <w:snapToGrid w:val="0"/>
              <w:spacing w:line="240" w:lineRule="atLeast"/>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val="0"/>
                <w:color w:val="auto"/>
                <w:kern w:val="2"/>
                <w:sz w:val="21"/>
                <w:szCs w:val="21"/>
                <w:highlight w:val="none"/>
                <w:lang w:val="en-US" w:eastAsia="zh-CN" w:bidi="ar-SA"/>
              </w:rPr>
              <w:t>+5.441</w:t>
            </w:r>
          </w:p>
        </w:tc>
      </w:tr>
      <w:tr w14:paraId="01C6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01" w:type="dxa"/>
            <w:vMerge w:val="continue"/>
            <w:noWrap w:val="0"/>
            <w:vAlign w:val="center"/>
          </w:tcPr>
          <w:p w14:paraId="6E17BCB0">
            <w:pPr>
              <w:pStyle w:val="15"/>
              <w:jc w:val="center"/>
              <w:rPr>
                <w:rFonts w:hint="default" w:ascii="Times New Roman" w:hAnsi="Times New Roman" w:cs="Times New Roman"/>
                <w:color w:val="auto"/>
                <w:sz w:val="21"/>
                <w:szCs w:val="21"/>
                <w:highlight w:val="none"/>
              </w:rPr>
            </w:pPr>
          </w:p>
        </w:tc>
        <w:tc>
          <w:tcPr>
            <w:tcW w:w="1948" w:type="dxa"/>
            <w:noWrap w:val="0"/>
            <w:vAlign w:val="center"/>
          </w:tcPr>
          <w:p w14:paraId="500DC629">
            <w:pPr>
              <w:snapToGrid w:val="0"/>
              <w:spacing w:line="240" w:lineRule="atLeast"/>
              <w:jc w:val="center"/>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二氧化硫</w:t>
            </w:r>
          </w:p>
        </w:tc>
        <w:tc>
          <w:tcPr>
            <w:tcW w:w="1575" w:type="dxa"/>
            <w:noWrap w:val="0"/>
            <w:vAlign w:val="center"/>
          </w:tcPr>
          <w:p w14:paraId="68203859">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5A76803E">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0BB8D2B1">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7DECE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0.015</w:t>
            </w:r>
          </w:p>
        </w:tc>
        <w:tc>
          <w:tcPr>
            <w:tcW w:w="1575" w:type="dxa"/>
            <w:noWrap w:val="0"/>
            <w:vAlign w:val="center"/>
          </w:tcPr>
          <w:p w14:paraId="310DF48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801" w:type="dxa"/>
            <w:noWrap w:val="0"/>
            <w:vAlign w:val="center"/>
          </w:tcPr>
          <w:p w14:paraId="64B991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snapToGrid w:val="0"/>
                <w:color w:val="auto"/>
                <w:kern w:val="2"/>
                <w:sz w:val="21"/>
                <w:szCs w:val="21"/>
                <w:highlight w:val="none"/>
                <w:lang w:val="en-US" w:eastAsia="zh-CN" w:bidi="ar-SA"/>
              </w:rPr>
              <w:t>0.015</w:t>
            </w:r>
          </w:p>
        </w:tc>
        <w:tc>
          <w:tcPr>
            <w:tcW w:w="1349" w:type="dxa"/>
            <w:noWrap w:val="0"/>
            <w:vAlign w:val="center"/>
          </w:tcPr>
          <w:p w14:paraId="5548F2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val="en-US" w:eastAsia="zh-CN" w:bidi="ar-SA"/>
              </w:rPr>
              <w:t>+</w:t>
            </w:r>
            <w:r>
              <w:rPr>
                <w:rFonts w:hint="eastAsia" w:cs="Times New Roman"/>
                <w:snapToGrid w:val="0"/>
                <w:color w:val="auto"/>
                <w:kern w:val="2"/>
                <w:sz w:val="21"/>
                <w:szCs w:val="21"/>
                <w:highlight w:val="none"/>
                <w:lang w:val="en-US" w:eastAsia="zh-CN" w:bidi="ar-SA"/>
              </w:rPr>
              <w:t>0.015</w:t>
            </w:r>
          </w:p>
        </w:tc>
      </w:tr>
      <w:tr w14:paraId="3415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01" w:type="dxa"/>
            <w:vMerge w:val="continue"/>
            <w:noWrap w:val="0"/>
            <w:vAlign w:val="center"/>
          </w:tcPr>
          <w:p w14:paraId="3CF687F8">
            <w:pPr>
              <w:pStyle w:val="15"/>
              <w:jc w:val="center"/>
              <w:rPr>
                <w:rFonts w:hint="default" w:ascii="Times New Roman" w:hAnsi="Times New Roman" w:cs="Times New Roman"/>
                <w:color w:val="auto"/>
                <w:sz w:val="21"/>
                <w:szCs w:val="21"/>
                <w:highlight w:val="none"/>
              </w:rPr>
            </w:pPr>
          </w:p>
        </w:tc>
        <w:tc>
          <w:tcPr>
            <w:tcW w:w="1948" w:type="dxa"/>
            <w:noWrap w:val="0"/>
            <w:vAlign w:val="center"/>
          </w:tcPr>
          <w:p w14:paraId="738EF523">
            <w:pPr>
              <w:snapToGrid w:val="0"/>
              <w:spacing w:line="240" w:lineRule="atLeast"/>
              <w:jc w:val="center"/>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氮氧化物</w:t>
            </w:r>
          </w:p>
        </w:tc>
        <w:tc>
          <w:tcPr>
            <w:tcW w:w="1575" w:type="dxa"/>
            <w:noWrap w:val="0"/>
            <w:vAlign w:val="center"/>
          </w:tcPr>
          <w:p w14:paraId="767746BA">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6E024572">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2394EE15">
            <w:pPr>
              <w:snapToGrid w:val="0"/>
              <w:spacing w:line="240" w:lineRule="atLeas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54F6F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0.223</w:t>
            </w:r>
          </w:p>
        </w:tc>
        <w:tc>
          <w:tcPr>
            <w:tcW w:w="1575" w:type="dxa"/>
            <w:noWrap w:val="0"/>
            <w:vAlign w:val="center"/>
          </w:tcPr>
          <w:p w14:paraId="0BD4C26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801" w:type="dxa"/>
            <w:noWrap w:val="0"/>
            <w:vAlign w:val="center"/>
          </w:tcPr>
          <w:p w14:paraId="274DB7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val="en-US" w:eastAsia="zh-CN" w:bidi="ar-SA"/>
              </w:rPr>
              <w:t>0.223</w:t>
            </w:r>
          </w:p>
        </w:tc>
        <w:tc>
          <w:tcPr>
            <w:tcW w:w="1349" w:type="dxa"/>
            <w:noWrap w:val="0"/>
            <w:vAlign w:val="center"/>
          </w:tcPr>
          <w:p w14:paraId="26A804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val="en-US" w:eastAsia="zh-CN" w:bidi="ar-SA"/>
              </w:rPr>
              <w:t>+0.223</w:t>
            </w:r>
          </w:p>
        </w:tc>
      </w:tr>
      <w:tr w14:paraId="6266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noWrap w:val="0"/>
            <w:vAlign w:val="center"/>
          </w:tcPr>
          <w:p w14:paraId="2C81FF94">
            <w:pPr>
              <w:pStyle w:val="1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948" w:type="dxa"/>
            <w:noWrap w:val="0"/>
            <w:vAlign w:val="center"/>
          </w:tcPr>
          <w:p w14:paraId="44193C5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生活污水</w:t>
            </w:r>
          </w:p>
        </w:tc>
        <w:tc>
          <w:tcPr>
            <w:tcW w:w="1575" w:type="dxa"/>
            <w:noWrap w:val="0"/>
            <w:vAlign w:val="center"/>
          </w:tcPr>
          <w:p w14:paraId="75B6E463">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61DD40C1">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139D8576">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4799BD22">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841.5</w:t>
            </w:r>
          </w:p>
        </w:tc>
        <w:tc>
          <w:tcPr>
            <w:tcW w:w="1575" w:type="dxa"/>
            <w:noWrap w:val="0"/>
            <w:vAlign w:val="center"/>
          </w:tcPr>
          <w:p w14:paraId="67D367A4">
            <w:pPr>
              <w:pStyle w:val="1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801" w:type="dxa"/>
            <w:noWrap w:val="0"/>
            <w:vAlign w:val="center"/>
          </w:tcPr>
          <w:p w14:paraId="7E621A4F">
            <w:pPr>
              <w:spacing w:line="36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Cs w:val="21"/>
                <w:highlight w:val="none"/>
                <w:lang w:val="en-US" w:eastAsia="zh-CN"/>
              </w:rPr>
              <w:t>841.5</w:t>
            </w:r>
          </w:p>
        </w:tc>
        <w:tc>
          <w:tcPr>
            <w:tcW w:w="1349" w:type="dxa"/>
            <w:noWrap w:val="0"/>
            <w:vAlign w:val="center"/>
          </w:tcPr>
          <w:p w14:paraId="3CFD8548">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cs="Times New Roman"/>
                <w:color w:val="auto"/>
                <w:szCs w:val="21"/>
                <w:highlight w:val="none"/>
                <w:lang w:val="en-US" w:eastAsia="zh-CN"/>
              </w:rPr>
              <w:t>841.5</w:t>
            </w:r>
          </w:p>
        </w:tc>
      </w:tr>
      <w:tr w14:paraId="3A3F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vMerge w:val="restart"/>
            <w:noWrap w:val="0"/>
            <w:vAlign w:val="center"/>
          </w:tcPr>
          <w:p w14:paraId="79928F4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一般工业</w:t>
            </w:r>
          </w:p>
          <w:p w14:paraId="556CF2B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固体废物</w:t>
            </w:r>
          </w:p>
        </w:tc>
        <w:tc>
          <w:tcPr>
            <w:tcW w:w="1948" w:type="dxa"/>
            <w:noWrap w:val="0"/>
            <w:vAlign w:val="center"/>
          </w:tcPr>
          <w:p w14:paraId="0F723E6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生活垃圾</w:t>
            </w:r>
          </w:p>
        </w:tc>
        <w:tc>
          <w:tcPr>
            <w:tcW w:w="1575" w:type="dxa"/>
            <w:noWrap w:val="0"/>
            <w:vAlign w:val="center"/>
          </w:tcPr>
          <w:p w14:paraId="4699C130">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7761DCBF">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4274E00D">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36153D6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8.25</w:t>
            </w:r>
          </w:p>
        </w:tc>
        <w:tc>
          <w:tcPr>
            <w:tcW w:w="1575" w:type="dxa"/>
            <w:noWrap w:val="0"/>
            <w:vAlign w:val="center"/>
          </w:tcPr>
          <w:p w14:paraId="1E9DC9CE">
            <w:pPr>
              <w:pStyle w:val="1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801" w:type="dxa"/>
            <w:noWrap w:val="0"/>
            <w:vAlign w:val="center"/>
          </w:tcPr>
          <w:p w14:paraId="57F4313C">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1349" w:type="dxa"/>
            <w:noWrap w:val="0"/>
            <w:vAlign w:val="center"/>
          </w:tcPr>
          <w:p w14:paraId="53686CE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6661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vMerge w:val="continue"/>
            <w:noWrap w:val="0"/>
            <w:vAlign w:val="center"/>
          </w:tcPr>
          <w:p w14:paraId="431EEC0F">
            <w:pPr>
              <w:pStyle w:val="15"/>
              <w:jc w:val="center"/>
              <w:rPr>
                <w:rFonts w:hint="default" w:ascii="Times New Roman" w:hAnsi="Times New Roman" w:cs="Times New Roman"/>
                <w:color w:val="auto"/>
                <w:sz w:val="21"/>
                <w:szCs w:val="21"/>
                <w:highlight w:val="none"/>
              </w:rPr>
            </w:pPr>
          </w:p>
        </w:tc>
        <w:tc>
          <w:tcPr>
            <w:tcW w:w="1948" w:type="dxa"/>
            <w:noWrap w:val="0"/>
            <w:vAlign w:val="center"/>
          </w:tcPr>
          <w:p w14:paraId="09792B2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除尘器收集粉尘</w:t>
            </w:r>
          </w:p>
        </w:tc>
        <w:tc>
          <w:tcPr>
            <w:tcW w:w="1575" w:type="dxa"/>
            <w:noWrap w:val="0"/>
            <w:vAlign w:val="center"/>
          </w:tcPr>
          <w:p w14:paraId="68D3D554">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55F7D50B">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132C379C">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679A69B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55.61</w:t>
            </w:r>
          </w:p>
        </w:tc>
        <w:tc>
          <w:tcPr>
            <w:tcW w:w="1575" w:type="dxa"/>
            <w:noWrap w:val="0"/>
            <w:vAlign w:val="center"/>
          </w:tcPr>
          <w:p w14:paraId="6928DAE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801" w:type="dxa"/>
            <w:noWrap w:val="0"/>
            <w:vAlign w:val="center"/>
          </w:tcPr>
          <w:p w14:paraId="3CB1FBC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349" w:type="dxa"/>
            <w:noWrap w:val="0"/>
            <w:vAlign w:val="center"/>
          </w:tcPr>
          <w:p w14:paraId="7E32190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14:paraId="55B7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noWrap w:val="0"/>
            <w:vAlign w:val="center"/>
          </w:tcPr>
          <w:p w14:paraId="34DCCF16">
            <w:pPr>
              <w:pStyle w:val="1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w:t>
            </w:r>
          </w:p>
        </w:tc>
        <w:tc>
          <w:tcPr>
            <w:tcW w:w="1948" w:type="dxa"/>
            <w:noWrap w:val="0"/>
            <w:vAlign w:val="center"/>
          </w:tcPr>
          <w:p w14:paraId="3B70EF15">
            <w:pPr>
              <w:pStyle w:val="148"/>
              <w:spacing w:line="240" w:lineRule="auto"/>
              <w:ind w:firstLine="0" w:firstLineChars="0"/>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val="0"/>
                <w:bCs/>
                <w:color w:val="auto"/>
                <w:sz w:val="21"/>
                <w:szCs w:val="21"/>
                <w:highlight w:val="none"/>
              </w:rPr>
              <w:t>废</w:t>
            </w:r>
            <w:r>
              <w:rPr>
                <w:rFonts w:hint="default" w:ascii="Times New Roman" w:hAnsi="Times New Roman" w:cs="Times New Roman"/>
                <w:b w:val="0"/>
                <w:bCs/>
                <w:color w:val="auto"/>
                <w:sz w:val="21"/>
                <w:szCs w:val="21"/>
                <w:highlight w:val="none"/>
                <w:lang w:val="en-US" w:eastAsia="zh-CN"/>
              </w:rPr>
              <w:t>机油</w:t>
            </w:r>
          </w:p>
        </w:tc>
        <w:tc>
          <w:tcPr>
            <w:tcW w:w="1575" w:type="dxa"/>
            <w:noWrap w:val="0"/>
            <w:vAlign w:val="center"/>
          </w:tcPr>
          <w:p w14:paraId="0F59C339">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6CE45836">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4CBAD78A">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snapToGrid w:val="0"/>
                <w:color w:val="auto"/>
                <w:szCs w:val="21"/>
                <w:highlight w:val="none"/>
                <w:lang w:val="en-US" w:eastAsia="zh-CN"/>
              </w:rPr>
              <w:t>/</w:t>
            </w:r>
          </w:p>
        </w:tc>
        <w:tc>
          <w:tcPr>
            <w:tcW w:w="1575" w:type="dxa"/>
            <w:noWrap w:val="0"/>
            <w:vAlign w:val="center"/>
          </w:tcPr>
          <w:p w14:paraId="791FCC4E">
            <w:pPr>
              <w:pStyle w:val="148"/>
              <w:spacing w:line="240" w:lineRule="auto"/>
              <w:ind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rPr>
              <w:t>0.</w:t>
            </w:r>
            <w:r>
              <w:rPr>
                <w:rFonts w:hint="default" w:ascii="Times New Roman" w:hAnsi="Times New Roman" w:cs="Times New Roman"/>
                <w:b w:val="0"/>
                <w:bCs/>
                <w:color w:val="auto"/>
                <w:sz w:val="21"/>
                <w:szCs w:val="21"/>
                <w:highlight w:val="none"/>
                <w:lang w:val="en-US" w:eastAsia="zh-CN"/>
              </w:rPr>
              <w:t>1</w:t>
            </w:r>
          </w:p>
        </w:tc>
        <w:tc>
          <w:tcPr>
            <w:tcW w:w="1575" w:type="dxa"/>
            <w:noWrap w:val="0"/>
            <w:vAlign w:val="center"/>
          </w:tcPr>
          <w:p w14:paraId="6C7AE0E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801" w:type="dxa"/>
            <w:noWrap w:val="0"/>
            <w:vAlign w:val="center"/>
          </w:tcPr>
          <w:p w14:paraId="2FCFCAC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349" w:type="dxa"/>
            <w:noWrap w:val="0"/>
            <w:vAlign w:val="center"/>
          </w:tcPr>
          <w:p w14:paraId="374BEE7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bl>
    <w:p w14:paraId="2B2D343B">
      <w:pPr>
        <w:widowControl/>
        <w:jc w:val="left"/>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lang w:bidi="ar"/>
        </w:rPr>
        <w:t xml:space="preserve"> 注：⑥</w:t>
      </w:r>
      <w:r>
        <w:rPr>
          <w:rFonts w:hint="default" w:ascii="Times New Roman" w:hAnsi="Times New Roman" w:eastAsia="TimesNewRomanPSMT" w:cs="Times New Roman"/>
          <w:color w:val="auto"/>
          <w:kern w:val="0"/>
          <w:szCs w:val="21"/>
          <w:highlight w:val="none"/>
          <w:lang w:bidi="ar"/>
        </w:rPr>
        <w:t>=</w:t>
      </w:r>
      <w:r>
        <w:rPr>
          <w:rFonts w:hint="default" w:ascii="Times New Roman" w:hAnsi="Times New Roman" w:cs="Times New Roman"/>
          <w:color w:val="auto"/>
          <w:kern w:val="0"/>
          <w:szCs w:val="21"/>
          <w:highlight w:val="none"/>
          <w:lang w:bidi="ar"/>
        </w:rPr>
        <w:t>①</w:t>
      </w:r>
      <w:r>
        <w:rPr>
          <w:rFonts w:hint="default" w:ascii="Times New Roman" w:hAnsi="Times New Roman" w:eastAsia="TimesNewRomanPSMT" w:cs="Times New Roman"/>
          <w:color w:val="auto"/>
          <w:kern w:val="0"/>
          <w:szCs w:val="21"/>
          <w:highlight w:val="none"/>
          <w:lang w:bidi="ar"/>
        </w:rPr>
        <w:t>+</w:t>
      </w:r>
      <w:r>
        <w:rPr>
          <w:rFonts w:hint="default" w:ascii="Times New Roman" w:hAnsi="Times New Roman" w:cs="Times New Roman"/>
          <w:color w:val="auto"/>
          <w:kern w:val="0"/>
          <w:szCs w:val="21"/>
          <w:highlight w:val="none"/>
          <w:lang w:bidi="ar"/>
        </w:rPr>
        <w:t>③</w:t>
      </w:r>
      <w:r>
        <w:rPr>
          <w:rFonts w:hint="default" w:ascii="Times New Roman" w:hAnsi="Times New Roman" w:eastAsia="TimesNewRomanPSMT" w:cs="Times New Roman"/>
          <w:color w:val="auto"/>
          <w:kern w:val="0"/>
          <w:szCs w:val="21"/>
          <w:highlight w:val="none"/>
          <w:lang w:bidi="ar"/>
        </w:rPr>
        <w:t>+</w:t>
      </w:r>
      <w:r>
        <w:rPr>
          <w:rFonts w:hint="default" w:ascii="Times New Roman" w:hAnsi="Times New Roman" w:cs="Times New Roman"/>
          <w:color w:val="auto"/>
          <w:kern w:val="0"/>
          <w:szCs w:val="21"/>
          <w:highlight w:val="none"/>
          <w:lang w:bidi="ar"/>
        </w:rPr>
        <w:t>④</w:t>
      </w:r>
      <w:r>
        <w:rPr>
          <w:rFonts w:hint="default" w:ascii="Times New Roman" w:hAnsi="Times New Roman" w:eastAsia="TimesNewRomanPSMT" w:cs="Times New Roman"/>
          <w:color w:val="auto"/>
          <w:kern w:val="0"/>
          <w:szCs w:val="21"/>
          <w:highlight w:val="none"/>
          <w:lang w:bidi="ar"/>
        </w:rPr>
        <w:t>-</w:t>
      </w:r>
      <w:r>
        <w:rPr>
          <w:rFonts w:hint="default" w:ascii="Times New Roman" w:hAnsi="Times New Roman" w:cs="Times New Roman"/>
          <w:color w:val="auto"/>
          <w:kern w:val="0"/>
          <w:szCs w:val="21"/>
          <w:highlight w:val="none"/>
          <w:lang w:bidi="ar"/>
        </w:rPr>
        <w:t>⑤；⑦</w:t>
      </w:r>
      <w:r>
        <w:rPr>
          <w:rFonts w:hint="default" w:ascii="Times New Roman" w:hAnsi="Times New Roman" w:eastAsia="TimesNewRomanPSMT" w:cs="Times New Roman"/>
          <w:color w:val="auto"/>
          <w:kern w:val="0"/>
          <w:szCs w:val="21"/>
          <w:highlight w:val="none"/>
          <w:lang w:bidi="ar"/>
        </w:rPr>
        <w:t>=</w:t>
      </w:r>
      <w:r>
        <w:rPr>
          <w:rFonts w:hint="default" w:ascii="Times New Roman" w:hAnsi="Times New Roman" w:cs="Times New Roman"/>
          <w:color w:val="auto"/>
          <w:kern w:val="0"/>
          <w:szCs w:val="21"/>
          <w:highlight w:val="none"/>
          <w:lang w:bidi="ar"/>
        </w:rPr>
        <w:t>⑥</w:t>
      </w:r>
      <w:r>
        <w:rPr>
          <w:rFonts w:hint="default" w:ascii="Times New Roman" w:hAnsi="Times New Roman" w:eastAsia="TimesNewRomanPSMT" w:cs="Times New Roman"/>
          <w:color w:val="auto"/>
          <w:kern w:val="0"/>
          <w:szCs w:val="21"/>
          <w:highlight w:val="none"/>
          <w:lang w:bidi="ar"/>
        </w:rPr>
        <w:t>-</w:t>
      </w:r>
      <w:r>
        <w:rPr>
          <w:rFonts w:hint="default" w:ascii="Times New Roman" w:hAnsi="Times New Roman" w:cs="Times New Roman"/>
          <w:color w:val="auto"/>
          <w:kern w:val="0"/>
          <w:szCs w:val="21"/>
          <w:highlight w:val="none"/>
          <w:lang w:bidi="ar"/>
        </w:rPr>
        <w:t>①</w:t>
      </w:r>
    </w:p>
    <w:p w14:paraId="23D5834E">
      <w:pPr>
        <w:widowControl/>
        <w:jc w:val="left"/>
        <w:rPr>
          <w:rFonts w:hint="default" w:ascii="Times New Roman" w:hAnsi="Times New Roman" w:cs="Times New Roman"/>
          <w:color w:val="auto"/>
          <w:highlight w:val="none"/>
        </w:rPr>
      </w:pPr>
    </w:p>
    <w:sectPr>
      <w:pgSz w:w="16838" w:h="11906" w:orient="landscape"/>
      <w:pgMar w:top="1236" w:right="1440" w:bottom="1236"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moder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41278E7-2957-49A3-B4F0-6F625EF93A9A}"/>
  </w:font>
  <w:font w:name="黑体">
    <w:panose1 w:val="02010609060101010101"/>
    <w:charset w:val="86"/>
    <w:family w:val="auto"/>
    <w:pitch w:val="default"/>
    <w:sig w:usb0="800002BF" w:usb1="38CF7CFA" w:usb2="00000016" w:usb3="00000000" w:csb0="00040001" w:csb1="00000000"/>
    <w:embedRegular r:id="rId2" w:fontKey="{027E4EF2-D06F-4EF5-80B3-061CFBE38C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6D4A3F8-363B-4A66-8A77-2B0DD55D970F}"/>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4" w:fontKey="{F04C2374-57C4-4DF6-B314-4F0519BC96F4}"/>
  </w:font>
  <w:font w:name="华文仿宋">
    <w:altName w:val="仿宋"/>
    <w:panose1 w:val="02010600040101010101"/>
    <w:charset w:val="86"/>
    <w:family w:val="auto"/>
    <w:pitch w:val="default"/>
    <w:sig w:usb0="00000000" w:usb1="00000000" w:usb2="00000000" w:usb3="00000000" w:csb0="0004009F" w:csb1="DFD70000"/>
    <w:embedRegular r:id="rId5" w:fontKey="{AB379C46-AAC5-4E32-81D3-92F7A8BF26BA}"/>
  </w:font>
  <w:font w:name="仿宋">
    <w:panose1 w:val="02010609060101010101"/>
    <w:charset w:val="86"/>
    <w:family w:val="auto"/>
    <w:pitch w:val="default"/>
    <w:sig w:usb0="800002BF" w:usb1="38CF7CFA" w:usb2="00000016" w:usb3="00000000" w:csb0="00040001" w:csb1="00000000"/>
    <w:embedRegular r:id="rId6" w:fontKey="{09C9CDF0-8077-4FC2-90A7-3943FAF66ADD}"/>
  </w:font>
  <w:font w:name="仿宋_GB2312">
    <w:panose1 w:val="02010609030101010101"/>
    <w:charset w:val="86"/>
    <w:family w:val="auto"/>
    <w:pitch w:val="default"/>
    <w:sig w:usb0="00000001" w:usb1="080E0000" w:usb2="00000000" w:usb3="00000000" w:csb0="00040000" w:csb1="00000000"/>
    <w:embedRegular r:id="rId7" w:fontKey="{541A6B0D-A7A5-4A62-AFD5-EADB06E9EC85}"/>
  </w:font>
  <w:font w:name="华文中宋">
    <w:altName w:val="宋体"/>
    <w:panose1 w:val="02010600040101010101"/>
    <w:charset w:val="86"/>
    <w:family w:val="auto"/>
    <w:pitch w:val="default"/>
    <w:sig w:usb0="00000000" w:usb1="00000000" w:usb2="00000000" w:usb3="00000000" w:csb0="0004009F" w:csb1="DFD70000"/>
  </w:font>
  <w:font w:name="方正仿宋_GBK">
    <w:panose1 w:val="02000000000000000000"/>
    <w:charset w:val="86"/>
    <w:family w:val="script"/>
    <w:pitch w:val="default"/>
    <w:sig w:usb0="A00002BF" w:usb1="38CF7CFA" w:usb2="00082016" w:usb3="00000000" w:csb0="00040001" w:csb1="00000000"/>
  </w:font>
  <w:font w:name="Verdana">
    <w:panose1 w:val="020B0604030504040204"/>
    <w:charset w:val="00"/>
    <w:family w:val="swiss"/>
    <w:pitch w:val="default"/>
    <w:sig w:usb0="A00006FF" w:usb1="4000205B" w:usb2="00000010" w:usb3="00000000" w:csb0="2000019F" w:csb1="00000000"/>
  </w:font>
  <w:font w:name="新宋体-1803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8" w:fontKey="{9006899D-C60C-4FA5-9360-006E40B22501}"/>
  </w:font>
  <w:font w:name="方正小标宋_GBK">
    <w:panose1 w:val="02000000000000000000"/>
    <w:charset w:val="86"/>
    <w:family w:val="script"/>
    <w:pitch w:val="default"/>
    <w:sig w:usb0="A00002BF" w:usb1="38CF7CFA" w:usb2="00082016" w:usb3="00000000" w:csb0="00040001" w:csb1="00000000"/>
    <w:embedRegular r:id="rId9" w:fontKey="{B36B35A7-5DA0-40EA-B5C6-993BF3B6FC93}"/>
  </w:font>
  <w:font w:name="Segoe UI">
    <w:panose1 w:val="020B0502040204020203"/>
    <w:charset w:val="00"/>
    <w:family w:val="auto"/>
    <w:pitch w:val="default"/>
    <w:sig w:usb0="E4002EFF" w:usb1="C000E47F" w:usb2="00000009" w:usb3="00000000" w:csb0="200001FF" w:csb1="00000000"/>
    <w:embedRegular r:id="rId10" w:fontKey="{D031399D-A429-4FB9-BD19-0442376AF57E}"/>
  </w:font>
  <w:font w:name="Cambria Math">
    <w:panose1 w:val="02040503050406030204"/>
    <w:charset w:val="00"/>
    <w:family w:val="auto"/>
    <w:pitch w:val="default"/>
    <w:sig w:usb0="E00006FF" w:usb1="420024FF" w:usb2="02000000" w:usb3="00000000" w:csb0="2000019F" w:csb1="00000000"/>
    <w:embedRegular r:id="rId11" w:fontKey="{00E2847A-6CAB-4685-B586-AE18B5421229}"/>
  </w:font>
  <w:font w:name="TimesNewRomanPSMT">
    <w:altName w:val="Times New Roman"/>
    <w:panose1 w:val="00000000000000000000"/>
    <w:charset w:val="00"/>
    <w:family w:val="auto"/>
    <w:pitch w:val="default"/>
    <w:sig w:usb0="00000000" w:usb1="00000000" w:usb2="00000000" w:usb3="00000000" w:csb0="00040001" w:csb1="00000000"/>
    <w:embedRegular r:id="rId12" w:fontKey="{E2CB10A8-97DD-4B34-A98D-635945041A99}"/>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1AD82">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A0704">
    <w:pPr>
      <w:pStyle w:val="18"/>
      <w:framePr w:wrap="around" w:vAnchor="text" w:hAnchor="margin" w:xAlign="center" w:y="1"/>
      <w:rPr>
        <w:rStyle w:val="38"/>
      </w:rPr>
    </w:pPr>
    <w:r>
      <w:fldChar w:fldCharType="begin"/>
    </w:r>
    <w:r>
      <w:rPr>
        <w:rStyle w:val="38"/>
      </w:rPr>
      <w:instrText xml:space="preserve">PAGE  </w:instrText>
    </w:r>
    <w:r>
      <w:fldChar w:fldCharType="end"/>
    </w:r>
  </w:p>
  <w:p w14:paraId="3EF04FA0">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C75DF">
    <w:pPr>
      <w:pStyle w:val="18"/>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6E12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6KpLcsBAACd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JeUOG5x4pfv3y4/fl1+fiXL&#10;avUqS9QHqDHzLmBuGt76AdNnP6AzMx9UtPmLnAjGUeDzVWA5JCLyo/Vqva4wJDA2XxCfPTwPEdI7&#10;6S3JRkMjTrAIy08fII2pc0qu5vytNqZM0bi/HIiZPSz3PvaYrTTsh4nQ3rdn5NPj8BvqcNcpMe8d&#10;apv3ZDbibOxn4xiiPnRlkXI9CG+OCZsoveUKI+xUGKdW2E0bltfiz3vJevi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uiqS3LAQAAnQMAAA4AAAAAAAAAAQAgAAAAHgEAAGRycy9lMm9E&#10;b2MueG1sUEsFBgAAAAAGAAYAWQEAAFsFAAAAAA==&#10;">
              <v:fill on="f" focussize="0,0"/>
              <v:stroke on="f"/>
              <v:imagedata o:title=""/>
              <o:lock v:ext="edit" aspectratio="f"/>
              <v:textbox inset="0mm,0mm,0mm,0mm" style="mso-fit-shape-to-text:t;">
                <w:txbxContent>
                  <w:p w14:paraId="3E6E12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172AA5"/>
    <w:multiLevelType w:val="singleLevel"/>
    <w:tmpl w:val="97172AA5"/>
    <w:lvl w:ilvl="0" w:tentative="0">
      <w:start w:val="1"/>
      <w:numFmt w:val="decimal"/>
      <w:lvlText w:val="%1"/>
      <w:lvlJc w:val="left"/>
      <w:pPr>
        <w:tabs>
          <w:tab w:val="left" w:pos="420"/>
        </w:tabs>
        <w:ind w:left="425" w:leftChars="0" w:hanging="425" w:firstLineChars="0"/>
      </w:pPr>
      <w:rPr>
        <w:rFonts w:hint="default"/>
      </w:rPr>
    </w:lvl>
  </w:abstractNum>
  <w:abstractNum w:abstractNumId="1">
    <w:nsid w:val="0000000B"/>
    <w:multiLevelType w:val="multilevel"/>
    <w:tmpl w:val="0000000B"/>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lvlText w:val="%1.%2.%3.%4"/>
      <w:lvlJc w:val="left"/>
      <w:pPr>
        <w:tabs>
          <w:tab w:val="left" w:pos="1715"/>
        </w:tabs>
        <w:ind w:left="1715"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00A2064D"/>
    <w:multiLevelType w:val="multilevel"/>
    <w:tmpl w:val="00A2064D"/>
    <w:lvl w:ilvl="0" w:tentative="0">
      <w:start w:val="1"/>
      <w:numFmt w:val="decimal"/>
      <w:suff w:val="space"/>
      <w:lvlText w:val="%1"/>
      <w:lvlJc w:val="left"/>
      <w:pPr>
        <w:ind w:left="0" w:firstLine="0"/>
      </w:pPr>
      <w:rPr>
        <w:rFonts w:hint="eastAsia" w:ascii="黑体" w:eastAsia="黑体"/>
        <w:b/>
        <w:i w:val="0"/>
        <w:sz w:val="36"/>
        <w:szCs w:val="36"/>
      </w:rPr>
    </w:lvl>
    <w:lvl w:ilvl="1" w:tentative="0">
      <w:start w:val="1"/>
      <w:numFmt w:val="decimal"/>
      <w:pStyle w:val="97"/>
      <w:suff w:val="space"/>
      <w:lvlText w:val="%1.%2"/>
      <w:lvlJc w:val="left"/>
      <w:pPr>
        <w:ind w:left="0" w:firstLine="0"/>
      </w:pPr>
      <w:rPr>
        <w:rFonts w:hint="default" w:ascii="Times New Roman" w:hAnsi="Times New Roman" w:eastAsia="黑体"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pStyle w:val="98"/>
      <w:suff w:val="space"/>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pStyle w:val="134"/>
      <w:suff w:val="space"/>
      <w:lvlText w:val="%1.%2.%3.%4"/>
      <w:lvlJc w:val="left"/>
      <w:pPr>
        <w:ind w:left="0" w:firstLine="0"/>
      </w:pPr>
      <w:rPr>
        <w:rFonts w:hint="default" w:ascii="Times New Roman" w:hAnsi="Times New Roman" w:eastAsia="宋体" w:cs="Times New Roman"/>
        <w:b/>
        <w:i w:val="0"/>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03DC2EC3"/>
    <w:multiLevelType w:val="multilevel"/>
    <w:tmpl w:val="03DC2EC3"/>
    <w:lvl w:ilvl="0" w:tentative="0">
      <w:start w:val="1"/>
      <w:numFmt w:val="decimal"/>
      <w:lvlText w:val="%1"/>
      <w:lvlJc w:val="left"/>
      <w:pPr>
        <w:ind w:left="432" w:hanging="432"/>
      </w:pPr>
    </w:lvl>
    <w:lvl w:ilvl="1" w:tentative="0">
      <w:start w:val="1"/>
      <w:numFmt w:val="decimal"/>
      <w:pStyle w:val="3"/>
      <w:lvlText w:val="%1.%2"/>
      <w:lvlJc w:val="left"/>
      <w:pPr>
        <w:ind w:left="1001" w:hanging="576"/>
      </w:pPr>
    </w:lvl>
    <w:lvl w:ilvl="2" w:tentative="0">
      <w:start w:val="1"/>
      <w:numFmt w:val="decimal"/>
      <w:lvlText w:val="%1.%2.%3"/>
      <w:lvlJc w:val="left"/>
      <w:pPr>
        <w:ind w:left="5540" w:hanging="720"/>
      </w:pPr>
    </w:lvl>
    <w:lvl w:ilvl="3" w:tentative="0">
      <w:start w:val="1"/>
      <w:numFmt w:val="decimal"/>
      <w:lvlText w:val="%1.%2.%3.%4"/>
      <w:lvlJc w:val="left"/>
      <w:pPr>
        <w:ind w:left="1290"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66BC5D4E"/>
    <w:multiLevelType w:val="singleLevel"/>
    <w:tmpl w:val="66BC5D4E"/>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MWFiOTM2YzFmNWRlZjUwMmU0OTdkMTNlY2I4MTAifQ=="/>
  </w:docVars>
  <w:rsids>
    <w:rsidRoot w:val="00482254"/>
    <w:rsid w:val="000323F6"/>
    <w:rsid w:val="000B5891"/>
    <w:rsid w:val="000C013E"/>
    <w:rsid w:val="000C024B"/>
    <w:rsid w:val="00131234"/>
    <w:rsid w:val="001357E5"/>
    <w:rsid w:val="0016507C"/>
    <w:rsid w:val="001710A9"/>
    <w:rsid w:val="001B65EB"/>
    <w:rsid w:val="001C048E"/>
    <w:rsid w:val="001F1AB1"/>
    <w:rsid w:val="001F514B"/>
    <w:rsid w:val="0028469B"/>
    <w:rsid w:val="002E1424"/>
    <w:rsid w:val="00352FCE"/>
    <w:rsid w:val="00354508"/>
    <w:rsid w:val="0035795B"/>
    <w:rsid w:val="003E0082"/>
    <w:rsid w:val="003F23EA"/>
    <w:rsid w:val="003F5F2A"/>
    <w:rsid w:val="00443541"/>
    <w:rsid w:val="00482254"/>
    <w:rsid w:val="0048567A"/>
    <w:rsid w:val="004B5676"/>
    <w:rsid w:val="004C78C1"/>
    <w:rsid w:val="00524923"/>
    <w:rsid w:val="005A0680"/>
    <w:rsid w:val="005B7052"/>
    <w:rsid w:val="005D7F70"/>
    <w:rsid w:val="005E1B6F"/>
    <w:rsid w:val="0063347F"/>
    <w:rsid w:val="006660FA"/>
    <w:rsid w:val="006B5E73"/>
    <w:rsid w:val="006C4B17"/>
    <w:rsid w:val="006E064C"/>
    <w:rsid w:val="006E1673"/>
    <w:rsid w:val="006E34A0"/>
    <w:rsid w:val="006E4132"/>
    <w:rsid w:val="006E47E5"/>
    <w:rsid w:val="006F3D0A"/>
    <w:rsid w:val="007240A8"/>
    <w:rsid w:val="007A34AD"/>
    <w:rsid w:val="00816543"/>
    <w:rsid w:val="00827578"/>
    <w:rsid w:val="00880D86"/>
    <w:rsid w:val="00893513"/>
    <w:rsid w:val="008B3BB3"/>
    <w:rsid w:val="008C64B3"/>
    <w:rsid w:val="00916359"/>
    <w:rsid w:val="00924AB1"/>
    <w:rsid w:val="00946C2E"/>
    <w:rsid w:val="009502A0"/>
    <w:rsid w:val="00974B29"/>
    <w:rsid w:val="00980CDB"/>
    <w:rsid w:val="00986FDF"/>
    <w:rsid w:val="009947F7"/>
    <w:rsid w:val="00997DDC"/>
    <w:rsid w:val="009B007F"/>
    <w:rsid w:val="009C5365"/>
    <w:rsid w:val="00A1136F"/>
    <w:rsid w:val="00A166D9"/>
    <w:rsid w:val="00A618B4"/>
    <w:rsid w:val="00A74268"/>
    <w:rsid w:val="00AA53FF"/>
    <w:rsid w:val="00AC2FE0"/>
    <w:rsid w:val="00AD5EE1"/>
    <w:rsid w:val="00AE13F4"/>
    <w:rsid w:val="00B21FF4"/>
    <w:rsid w:val="00B36287"/>
    <w:rsid w:val="00B44DBD"/>
    <w:rsid w:val="00B82CC9"/>
    <w:rsid w:val="00B87A8B"/>
    <w:rsid w:val="00BA5BCF"/>
    <w:rsid w:val="00BD1E5E"/>
    <w:rsid w:val="00C10CEC"/>
    <w:rsid w:val="00C4744D"/>
    <w:rsid w:val="00C702D1"/>
    <w:rsid w:val="00C72CED"/>
    <w:rsid w:val="00CB1828"/>
    <w:rsid w:val="00CB29E3"/>
    <w:rsid w:val="00CC2A1E"/>
    <w:rsid w:val="00CD274F"/>
    <w:rsid w:val="00CE0F76"/>
    <w:rsid w:val="00CF4665"/>
    <w:rsid w:val="00D030E6"/>
    <w:rsid w:val="00D207E9"/>
    <w:rsid w:val="00D26E6B"/>
    <w:rsid w:val="00DB51FB"/>
    <w:rsid w:val="00DF458E"/>
    <w:rsid w:val="00E60B05"/>
    <w:rsid w:val="00EA73DE"/>
    <w:rsid w:val="00EB6A42"/>
    <w:rsid w:val="00EC3D8A"/>
    <w:rsid w:val="00EE5933"/>
    <w:rsid w:val="00F15133"/>
    <w:rsid w:val="00FA108D"/>
    <w:rsid w:val="00FC6780"/>
    <w:rsid w:val="00FE2B79"/>
    <w:rsid w:val="00FF7267"/>
    <w:rsid w:val="01020001"/>
    <w:rsid w:val="01036C62"/>
    <w:rsid w:val="01041CE3"/>
    <w:rsid w:val="010875AC"/>
    <w:rsid w:val="010A155E"/>
    <w:rsid w:val="010A24E8"/>
    <w:rsid w:val="010A3442"/>
    <w:rsid w:val="010C5CD2"/>
    <w:rsid w:val="010E1FE8"/>
    <w:rsid w:val="01126C25"/>
    <w:rsid w:val="01233A9E"/>
    <w:rsid w:val="012C57B2"/>
    <w:rsid w:val="013317DB"/>
    <w:rsid w:val="013413A9"/>
    <w:rsid w:val="013B17AD"/>
    <w:rsid w:val="0143492E"/>
    <w:rsid w:val="01450876"/>
    <w:rsid w:val="014848AC"/>
    <w:rsid w:val="01590613"/>
    <w:rsid w:val="015C2247"/>
    <w:rsid w:val="015E0632"/>
    <w:rsid w:val="016025FC"/>
    <w:rsid w:val="01613899"/>
    <w:rsid w:val="01636E77"/>
    <w:rsid w:val="01671E09"/>
    <w:rsid w:val="01696348"/>
    <w:rsid w:val="016F2C5E"/>
    <w:rsid w:val="01704DD3"/>
    <w:rsid w:val="01776F51"/>
    <w:rsid w:val="017B5FE9"/>
    <w:rsid w:val="017E4B08"/>
    <w:rsid w:val="01825F31"/>
    <w:rsid w:val="01830099"/>
    <w:rsid w:val="01867698"/>
    <w:rsid w:val="018D7ED5"/>
    <w:rsid w:val="01927776"/>
    <w:rsid w:val="019933BB"/>
    <w:rsid w:val="019D1B4E"/>
    <w:rsid w:val="01A2261A"/>
    <w:rsid w:val="01AF0E8E"/>
    <w:rsid w:val="01B00009"/>
    <w:rsid w:val="01B152B6"/>
    <w:rsid w:val="01B847E4"/>
    <w:rsid w:val="01C20BC1"/>
    <w:rsid w:val="01CD77E2"/>
    <w:rsid w:val="01D049D7"/>
    <w:rsid w:val="01D12E6E"/>
    <w:rsid w:val="01D90AEF"/>
    <w:rsid w:val="01DF4043"/>
    <w:rsid w:val="01E05C58"/>
    <w:rsid w:val="01E67847"/>
    <w:rsid w:val="01F669A2"/>
    <w:rsid w:val="02027B46"/>
    <w:rsid w:val="02095EB5"/>
    <w:rsid w:val="02102CA3"/>
    <w:rsid w:val="02136F49"/>
    <w:rsid w:val="02183342"/>
    <w:rsid w:val="021B7735"/>
    <w:rsid w:val="02251FBF"/>
    <w:rsid w:val="022D6AA6"/>
    <w:rsid w:val="023056C7"/>
    <w:rsid w:val="02315D47"/>
    <w:rsid w:val="023D36F2"/>
    <w:rsid w:val="02407B0F"/>
    <w:rsid w:val="024A0BB7"/>
    <w:rsid w:val="024A7B0B"/>
    <w:rsid w:val="025350F2"/>
    <w:rsid w:val="02542214"/>
    <w:rsid w:val="025610DC"/>
    <w:rsid w:val="02564647"/>
    <w:rsid w:val="025D6782"/>
    <w:rsid w:val="02602002"/>
    <w:rsid w:val="026256EC"/>
    <w:rsid w:val="0264521B"/>
    <w:rsid w:val="02687BE6"/>
    <w:rsid w:val="02725E58"/>
    <w:rsid w:val="027329A1"/>
    <w:rsid w:val="0273302B"/>
    <w:rsid w:val="02860CC6"/>
    <w:rsid w:val="028C0DBD"/>
    <w:rsid w:val="0296405A"/>
    <w:rsid w:val="02973855"/>
    <w:rsid w:val="029A1B88"/>
    <w:rsid w:val="029A22F5"/>
    <w:rsid w:val="029D28DF"/>
    <w:rsid w:val="029E38C8"/>
    <w:rsid w:val="02A337BC"/>
    <w:rsid w:val="02A75594"/>
    <w:rsid w:val="02A83C09"/>
    <w:rsid w:val="02AA6ADA"/>
    <w:rsid w:val="02B14095"/>
    <w:rsid w:val="02B420E8"/>
    <w:rsid w:val="02BC1064"/>
    <w:rsid w:val="02C311D8"/>
    <w:rsid w:val="02CF0E29"/>
    <w:rsid w:val="02D01B5C"/>
    <w:rsid w:val="02D045A1"/>
    <w:rsid w:val="02D43B6D"/>
    <w:rsid w:val="02D650B2"/>
    <w:rsid w:val="02D85B94"/>
    <w:rsid w:val="02DB39F9"/>
    <w:rsid w:val="02E103FD"/>
    <w:rsid w:val="02ED46A3"/>
    <w:rsid w:val="02F229CC"/>
    <w:rsid w:val="02F44AEC"/>
    <w:rsid w:val="02F67C75"/>
    <w:rsid w:val="02F83CFF"/>
    <w:rsid w:val="02FF01F9"/>
    <w:rsid w:val="03026384"/>
    <w:rsid w:val="03027648"/>
    <w:rsid w:val="03083318"/>
    <w:rsid w:val="030B52F1"/>
    <w:rsid w:val="030D6AE0"/>
    <w:rsid w:val="030E6817"/>
    <w:rsid w:val="031312EF"/>
    <w:rsid w:val="03166FDA"/>
    <w:rsid w:val="031D39C6"/>
    <w:rsid w:val="031F1947"/>
    <w:rsid w:val="03202370"/>
    <w:rsid w:val="03221295"/>
    <w:rsid w:val="032449D2"/>
    <w:rsid w:val="032B1472"/>
    <w:rsid w:val="032C6D23"/>
    <w:rsid w:val="033244F7"/>
    <w:rsid w:val="0332759D"/>
    <w:rsid w:val="0337265F"/>
    <w:rsid w:val="033B1DB5"/>
    <w:rsid w:val="033E5454"/>
    <w:rsid w:val="03470A78"/>
    <w:rsid w:val="03474B5E"/>
    <w:rsid w:val="03485F8F"/>
    <w:rsid w:val="03595E7C"/>
    <w:rsid w:val="03630820"/>
    <w:rsid w:val="036D3EB6"/>
    <w:rsid w:val="03701DAD"/>
    <w:rsid w:val="03703242"/>
    <w:rsid w:val="037A7280"/>
    <w:rsid w:val="037E7C3D"/>
    <w:rsid w:val="03873677"/>
    <w:rsid w:val="0388229F"/>
    <w:rsid w:val="039153FC"/>
    <w:rsid w:val="039D3BAF"/>
    <w:rsid w:val="03A31381"/>
    <w:rsid w:val="03A5079A"/>
    <w:rsid w:val="03A6169B"/>
    <w:rsid w:val="03A63086"/>
    <w:rsid w:val="03AB7E79"/>
    <w:rsid w:val="03BC139D"/>
    <w:rsid w:val="03BE49B2"/>
    <w:rsid w:val="03CC1762"/>
    <w:rsid w:val="03D00613"/>
    <w:rsid w:val="03D56F41"/>
    <w:rsid w:val="03D9655A"/>
    <w:rsid w:val="03DA432C"/>
    <w:rsid w:val="03E83F40"/>
    <w:rsid w:val="03EE789F"/>
    <w:rsid w:val="03F67248"/>
    <w:rsid w:val="03F960DF"/>
    <w:rsid w:val="03FD59A4"/>
    <w:rsid w:val="04013641"/>
    <w:rsid w:val="040666A0"/>
    <w:rsid w:val="04094487"/>
    <w:rsid w:val="04106EEE"/>
    <w:rsid w:val="0412226C"/>
    <w:rsid w:val="0413475F"/>
    <w:rsid w:val="041B337B"/>
    <w:rsid w:val="041F5699"/>
    <w:rsid w:val="041F62B6"/>
    <w:rsid w:val="04223D34"/>
    <w:rsid w:val="042331FD"/>
    <w:rsid w:val="043E3DD8"/>
    <w:rsid w:val="0442264A"/>
    <w:rsid w:val="04451CC5"/>
    <w:rsid w:val="044A4CD1"/>
    <w:rsid w:val="0452732C"/>
    <w:rsid w:val="045505A2"/>
    <w:rsid w:val="045724C5"/>
    <w:rsid w:val="04577C97"/>
    <w:rsid w:val="04602267"/>
    <w:rsid w:val="046177F8"/>
    <w:rsid w:val="046549B6"/>
    <w:rsid w:val="04700B7E"/>
    <w:rsid w:val="047132A5"/>
    <w:rsid w:val="04765BF9"/>
    <w:rsid w:val="047A0A4E"/>
    <w:rsid w:val="047C0864"/>
    <w:rsid w:val="047E1D2A"/>
    <w:rsid w:val="048426F7"/>
    <w:rsid w:val="04845A8C"/>
    <w:rsid w:val="04874344"/>
    <w:rsid w:val="04897624"/>
    <w:rsid w:val="048B3E34"/>
    <w:rsid w:val="04AA5635"/>
    <w:rsid w:val="04AC488E"/>
    <w:rsid w:val="04B35139"/>
    <w:rsid w:val="04B91BF5"/>
    <w:rsid w:val="04B93AF6"/>
    <w:rsid w:val="04B974AA"/>
    <w:rsid w:val="04BA4FEC"/>
    <w:rsid w:val="04BC3550"/>
    <w:rsid w:val="04C20B67"/>
    <w:rsid w:val="04D35A34"/>
    <w:rsid w:val="04D80F19"/>
    <w:rsid w:val="04D8694E"/>
    <w:rsid w:val="04E06FEF"/>
    <w:rsid w:val="04E23E14"/>
    <w:rsid w:val="04E77950"/>
    <w:rsid w:val="04EA6CAB"/>
    <w:rsid w:val="04F01EE9"/>
    <w:rsid w:val="04F03C97"/>
    <w:rsid w:val="04F20C21"/>
    <w:rsid w:val="04F32D27"/>
    <w:rsid w:val="04FB4135"/>
    <w:rsid w:val="05002FFF"/>
    <w:rsid w:val="05094FB1"/>
    <w:rsid w:val="050B462D"/>
    <w:rsid w:val="050F2550"/>
    <w:rsid w:val="05146F8F"/>
    <w:rsid w:val="05172B25"/>
    <w:rsid w:val="051A41E6"/>
    <w:rsid w:val="051F457C"/>
    <w:rsid w:val="05326111"/>
    <w:rsid w:val="05371457"/>
    <w:rsid w:val="053C1081"/>
    <w:rsid w:val="053D5D2A"/>
    <w:rsid w:val="05556C41"/>
    <w:rsid w:val="0556611E"/>
    <w:rsid w:val="055A7E8D"/>
    <w:rsid w:val="05630ED9"/>
    <w:rsid w:val="05646BFE"/>
    <w:rsid w:val="05753532"/>
    <w:rsid w:val="05795EA2"/>
    <w:rsid w:val="057E02F3"/>
    <w:rsid w:val="05841A21"/>
    <w:rsid w:val="058D14E6"/>
    <w:rsid w:val="05931BA6"/>
    <w:rsid w:val="05A01BA8"/>
    <w:rsid w:val="05A131E3"/>
    <w:rsid w:val="05A35347"/>
    <w:rsid w:val="05AA0C56"/>
    <w:rsid w:val="05B26D52"/>
    <w:rsid w:val="05B60A3D"/>
    <w:rsid w:val="05C04116"/>
    <w:rsid w:val="05C14BC4"/>
    <w:rsid w:val="05C25634"/>
    <w:rsid w:val="05C70D97"/>
    <w:rsid w:val="05CF6B8C"/>
    <w:rsid w:val="05D6507F"/>
    <w:rsid w:val="05E2276C"/>
    <w:rsid w:val="05E77B66"/>
    <w:rsid w:val="05EA2DDC"/>
    <w:rsid w:val="05EE7CF8"/>
    <w:rsid w:val="060011BA"/>
    <w:rsid w:val="06023C82"/>
    <w:rsid w:val="06046DFF"/>
    <w:rsid w:val="06076BC0"/>
    <w:rsid w:val="060F3C22"/>
    <w:rsid w:val="06106CCF"/>
    <w:rsid w:val="061251D1"/>
    <w:rsid w:val="06137B96"/>
    <w:rsid w:val="061643F9"/>
    <w:rsid w:val="0616597F"/>
    <w:rsid w:val="062E2CC9"/>
    <w:rsid w:val="06311749"/>
    <w:rsid w:val="06367DD0"/>
    <w:rsid w:val="063A15C3"/>
    <w:rsid w:val="064249C6"/>
    <w:rsid w:val="06471A20"/>
    <w:rsid w:val="06481EED"/>
    <w:rsid w:val="065C4230"/>
    <w:rsid w:val="066462DC"/>
    <w:rsid w:val="066A2F2B"/>
    <w:rsid w:val="06710160"/>
    <w:rsid w:val="067358E8"/>
    <w:rsid w:val="067F24E9"/>
    <w:rsid w:val="06821359"/>
    <w:rsid w:val="06846DF4"/>
    <w:rsid w:val="06856955"/>
    <w:rsid w:val="068F1064"/>
    <w:rsid w:val="069A39D9"/>
    <w:rsid w:val="069A770D"/>
    <w:rsid w:val="069C0660"/>
    <w:rsid w:val="069C1155"/>
    <w:rsid w:val="069C53C2"/>
    <w:rsid w:val="06A73446"/>
    <w:rsid w:val="06A80988"/>
    <w:rsid w:val="06AF3FE3"/>
    <w:rsid w:val="06B025DE"/>
    <w:rsid w:val="06B30BEA"/>
    <w:rsid w:val="06B34F7C"/>
    <w:rsid w:val="06B56862"/>
    <w:rsid w:val="06C96CA1"/>
    <w:rsid w:val="06CE5585"/>
    <w:rsid w:val="06D71608"/>
    <w:rsid w:val="06E24B61"/>
    <w:rsid w:val="06E24C41"/>
    <w:rsid w:val="06ED7628"/>
    <w:rsid w:val="06EE44D1"/>
    <w:rsid w:val="06F06DF3"/>
    <w:rsid w:val="06F45206"/>
    <w:rsid w:val="06F75B91"/>
    <w:rsid w:val="06FE31A7"/>
    <w:rsid w:val="07001D4A"/>
    <w:rsid w:val="0701428A"/>
    <w:rsid w:val="070C4F18"/>
    <w:rsid w:val="070E7117"/>
    <w:rsid w:val="071105A0"/>
    <w:rsid w:val="071155B4"/>
    <w:rsid w:val="07152DAE"/>
    <w:rsid w:val="07175B51"/>
    <w:rsid w:val="072333B7"/>
    <w:rsid w:val="072953C7"/>
    <w:rsid w:val="07296C57"/>
    <w:rsid w:val="07337922"/>
    <w:rsid w:val="0734130D"/>
    <w:rsid w:val="0736448C"/>
    <w:rsid w:val="073C6622"/>
    <w:rsid w:val="073D3456"/>
    <w:rsid w:val="073E0FE1"/>
    <w:rsid w:val="07404488"/>
    <w:rsid w:val="074234C9"/>
    <w:rsid w:val="07482CB9"/>
    <w:rsid w:val="07492928"/>
    <w:rsid w:val="074A1D85"/>
    <w:rsid w:val="074A2F30"/>
    <w:rsid w:val="074C2F0B"/>
    <w:rsid w:val="074D168D"/>
    <w:rsid w:val="075240E5"/>
    <w:rsid w:val="075E313A"/>
    <w:rsid w:val="07630750"/>
    <w:rsid w:val="07641CC7"/>
    <w:rsid w:val="0769759E"/>
    <w:rsid w:val="076A2CE7"/>
    <w:rsid w:val="07755894"/>
    <w:rsid w:val="077E440B"/>
    <w:rsid w:val="078D797E"/>
    <w:rsid w:val="079004CC"/>
    <w:rsid w:val="079B5FAE"/>
    <w:rsid w:val="079D7D7E"/>
    <w:rsid w:val="07A7029B"/>
    <w:rsid w:val="07B74EAC"/>
    <w:rsid w:val="07C42676"/>
    <w:rsid w:val="07CF3F05"/>
    <w:rsid w:val="07D4164E"/>
    <w:rsid w:val="07DA0FB3"/>
    <w:rsid w:val="07E05A7E"/>
    <w:rsid w:val="07E63AF0"/>
    <w:rsid w:val="07E666BF"/>
    <w:rsid w:val="07E944FA"/>
    <w:rsid w:val="07F43C3F"/>
    <w:rsid w:val="07F72ECD"/>
    <w:rsid w:val="07F831C1"/>
    <w:rsid w:val="07FA3A71"/>
    <w:rsid w:val="07FB6C55"/>
    <w:rsid w:val="0800452F"/>
    <w:rsid w:val="0802258C"/>
    <w:rsid w:val="08055010"/>
    <w:rsid w:val="080E1CE5"/>
    <w:rsid w:val="08125759"/>
    <w:rsid w:val="0816117B"/>
    <w:rsid w:val="08172AEB"/>
    <w:rsid w:val="08190813"/>
    <w:rsid w:val="0819385C"/>
    <w:rsid w:val="082004FD"/>
    <w:rsid w:val="082112E4"/>
    <w:rsid w:val="082942BE"/>
    <w:rsid w:val="082A6331"/>
    <w:rsid w:val="082C2F0B"/>
    <w:rsid w:val="082D6FB0"/>
    <w:rsid w:val="082E5202"/>
    <w:rsid w:val="082E664D"/>
    <w:rsid w:val="082E702D"/>
    <w:rsid w:val="083A6E8D"/>
    <w:rsid w:val="083B347B"/>
    <w:rsid w:val="0843160B"/>
    <w:rsid w:val="08465EFE"/>
    <w:rsid w:val="08496D93"/>
    <w:rsid w:val="084B1A95"/>
    <w:rsid w:val="085535C2"/>
    <w:rsid w:val="085709E9"/>
    <w:rsid w:val="08571976"/>
    <w:rsid w:val="085B40E9"/>
    <w:rsid w:val="08653157"/>
    <w:rsid w:val="08666242"/>
    <w:rsid w:val="08695CF8"/>
    <w:rsid w:val="08696693"/>
    <w:rsid w:val="086C39F5"/>
    <w:rsid w:val="086C5D2B"/>
    <w:rsid w:val="086E2234"/>
    <w:rsid w:val="08710B24"/>
    <w:rsid w:val="08742A94"/>
    <w:rsid w:val="087439BF"/>
    <w:rsid w:val="087D17D8"/>
    <w:rsid w:val="088451EC"/>
    <w:rsid w:val="088A7DA2"/>
    <w:rsid w:val="088D45D2"/>
    <w:rsid w:val="088D7DE3"/>
    <w:rsid w:val="089112ED"/>
    <w:rsid w:val="08982647"/>
    <w:rsid w:val="0899110C"/>
    <w:rsid w:val="089C27F7"/>
    <w:rsid w:val="08A461A6"/>
    <w:rsid w:val="08A52FEB"/>
    <w:rsid w:val="08AA0601"/>
    <w:rsid w:val="08AA3289"/>
    <w:rsid w:val="08B22F96"/>
    <w:rsid w:val="08B478A2"/>
    <w:rsid w:val="08B576D2"/>
    <w:rsid w:val="08B63D80"/>
    <w:rsid w:val="08C243E6"/>
    <w:rsid w:val="08C46D4A"/>
    <w:rsid w:val="08CA47FF"/>
    <w:rsid w:val="08CB07A6"/>
    <w:rsid w:val="08D60F80"/>
    <w:rsid w:val="08DC5DBF"/>
    <w:rsid w:val="08DD0B3D"/>
    <w:rsid w:val="08DD3235"/>
    <w:rsid w:val="08E226FC"/>
    <w:rsid w:val="08E94E96"/>
    <w:rsid w:val="08ED4387"/>
    <w:rsid w:val="08EF4926"/>
    <w:rsid w:val="08F0033C"/>
    <w:rsid w:val="08FB7B44"/>
    <w:rsid w:val="09036AC4"/>
    <w:rsid w:val="09076BD5"/>
    <w:rsid w:val="09095327"/>
    <w:rsid w:val="090F21F9"/>
    <w:rsid w:val="09131E80"/>
    <w:rsid w:val="09146169"/>
    <w:rsid w:val="09151D93"/>
    <w:rsid w:val="09194757"/>
    <w:rsid w:val="091C6EF2"/>
    <w:rsid w:val="09202AF8"/>
    <w:rsid w:val="09287A4A"/>
    <w:rsid w:val="092F7C19"/>
    <w:rsid w:val="09384CC7"/>
    <w:rsid w:val="093C2BB9"/>
    <w:rsid w:val="093D4154"/>
    <w:rsid w:val="093D41B8"/>
    <w:rsid w:val="094E37EC"/>
    <w:rsid w:val="094F212B"/>
    <w:rsid w:val="09557ED0"/>
    <w:rsid w:val="095C2D7E"/>
    <w:rsid w:val="095D67A2"/>
    <w:rsid w:val="09622C8A"/>
    <w:rsid w:val="09630D96"/>
    <w:rsid w:val="09657A4E"/>
    <w:rsid w:val="096D0F68"/>
    <w:rsid w:val="09766441"/>
    <w:rsid w:val="097924B3"/>
    <w:rsid w:val="09794FE5"/>
    <w:rsid w:val="097A17CF"/>
    <w:rsid w:val="097B1F1B"/>
    <w:rsid w:val="097F3AA6"/>
    <w:rsid w:val="098350DA"/>
    <w:rsid w:val="098A35D6"/>
    <w:rsid w:val="098E2F69"/>
    <w:rsid w:val="098F75A3"/>
    <w:rsid w:val="09935CF2"/>
    <w:rsid w:val="099578C7"/>
    <w:rsid w:val="09986C59"/>
    <w:rsid w:val="099A36B0"/>
    <w:rsid w:val="09A8666C"/>
    <w:rsid w:val="09AC3B8A"/>
    <w:rsid w:val="09AD449B"/>
    <w:rsid w:val="09B00893"/>
    <w:rsid w:val="09B01C47"/>
    <w:rsid w:val="09B044ED"/>
    <w:rsid w:val="09B32B5F"/>
    <w:rsid w:val="09BA4BF7"/>
    <w:rsid w:val="09C71B6C"/>
    <w:rsid w:val="09D03ED4"/>
    <w:rsid w:val="09D21BBD"/>
    <w:rsid w:val="09DC47EA"/>
    <w:rsid w:val="09EB7DD7"/>
    <w:rsid w:val="09F812A2"/>
    <w:rsid w:val="09FA1F95"/>
    <w:rsid w:val="09FB1B87"/>
    <w:rsid w:val="09FC0936"/>
    <w:rsid w:val="09FC5E29"/>
    <w:rsid w:val="0A0042A9"/>
    <w:rsid w:val="0A00672A"/>
    <w:rsid w:val="0A020FE6"/>
    <w:rsid w:val="0A025614"/>
    <w:rsid w:val="0A0337B5"/>
    <w:rsid w:val="0A055A89"/>
    <w:rsid w:val="0A07180E"/>
    <w:rsid w:val="0A0A75A9"/>
    <w:rsid w:val="0A0D070C"/>
    <w:rsid w:val="0A0D21CE"/>
    <w:rsid w:val="0A122BBD"/>
    <w:rsid w:val="0A15519E"/>
    <w:rsid w:val="0A155901"/>
    <w:rsid w:val="0A16714C"/>
    <w:rsid w:val="0A1C5C28"/>
    <w:rsid w:val="0A1E358E"/>
    <w:rsid w:val="0A1F5A23"/>
    <w:rsid w:val="0A2A29FC"/>
    <w:rsid w:val="0A2A6A46"/>
    <w:rsid w:val="0A2D3894"/>
    <w:rsid w:val="0A312D88"/>
    <w:rsid w:val="0A36430E"/>
    <w:rsid w:val="0A36446B"/>
    <w:rsid w:val="0A370663"/>
    <w:rsid w:val="0A42408A"/>
    <w:rsid w:val="0A496E9E"/>
    <w:rsid w:val="0A4D4361"/>
    <w:rsid w:val="0A522E36"/>
    <w:rsid w:val="0A544493"/>
    <w:rsid w:val="0A5627A0"/>
    <w:rsid w:val="0A6E5136"/>
    <w:rsid w:val="0A732527"/>
    <w:rsid w:val="0A7362A8"/>
    <w:rsid w:val="0A7579E7"/>
    <w:rsid w:val="0A842E66"/>
    <w:rsid w:val="0A8B63F5"/>
    <w:rsid w:val="0A8F3F52"/>
    <w:rsid w:val="0A967228"/>
    <w:rsid w:val="0A976038"/>
    <w:rsid w:val="0A99529B"/>
    <w:rsid w:val="0AA03A6A"/>
    <w:rsid w:val="0AA804C3"/>
    <w:rsid w:val="0AAC0660"/>
    <w:rsid w:val="0AAE71C4"/>
    <w:rsid w:val="0AB033FF"/>
    <w:rsid w:val="0AB2719C"/>
    <w:rsid w:val="0AB328D2"/>
    <w:rsid w:val="0AB4039C"/>
    <w:rsid w:val="0ABC6EE0"/>
    <w:rsid w:val="0ABD39FA"/>
    <w:rsid w:val="0ABF3A90"/>
    <w:rsid w:val="0ABF76FE"/>
    <w:rsid w:val="0AC338FD"/>
    <w:rsid w:val="0AC74AE9"/>
    <w:rsid w:val="0ACB381B"/>
    <w:rsid w:val="0ACC6624"/>
    <w:rsid w:val="0ACE4C85"/>
    <w:rsid w:val="0AD163B6"/>
    <w:rsid w:val="0AD46C30"/>
    <w:rsid w:val="0AD65716"/>
    <w:rsid w:val="0ADC036B"/>
    <w:rsid w:val="0AED58E0"/>
    <w:rsid w:val="0AF02632"/>
    <w:rsid w:val="0AFA13CC"/>
    <w:rsid w:val="0AFD3F30"/>
    <w:rsid w:val="0AFE50C5"/>
    <w:rsid w:val="0B0F5941"/>
    <w:rsid w:val="0B1941CC"/>
    <w:rsid w:val="0B242701"/>
    <w:rsid w:val="0B267CA4"/>
    <w:rsid w:val="0B2D1E99"/>
    <w:rsid w:val="0B32126D"/>
    <w:rsid w:val="0B352391"/>
    <w:rsid w:val="0B3543DC"/>
    <w:rsid w:val="0B3B4CC5"/>
    <w:rsid w:val="0B440899"/>
    <w:rsid w:val="0B445E4D"/>
    <w:rsid w:val="0B4D66D9"/>
    <w:rsid w:val="0B52214C"/>
    <w:rsid w:val="0B534F80"/>
    <w:rsid w:val="0B557F47"/>
    <w:rsid w:val="0B563DA1"/>
    <w:rsid w:val="0B5A1F5B"/>
    <w:rsid w:val="0B723781"/>
    <w:rsid w:val="0B736089"/>
    <w:rsid w:val="0B7844EE"/>
    <w:rsid w:val="0B7B3AB0"/>
    <w:rsid w:val="0B85313C"/>
    <w:rsid w:val="0B8878F5"/>
    <w:rsid w:val="0B896811"/>
    <w:rsid w:val="0B8B6F05"/>
    <w:rsid w:val="0B8D7F25"/>
    <w:rsid w:val="0B907F82"/>
    <w:rsid w:val="0B9835CB"/>
    <w:rsid w:val="0B9A279B"/>
    <w:rsid w:val="0BA1757F"/>
    <w:rsid w:val="0BA3591B"/>
    <w:rsid w:val="0BA50195"/>
    <w:rsid w:val="0BA80456"/>
    <w:rsid w:val="0BAD627D"/>
    <w:rsid w:val="0BAE44B5"/>
    <w:rsid w:val="0BB02689"/>
    <w:rsid w:val="0BB806AD"/>
    <w:rsid w:val="0BB82A79"/>
    <w:rsid w:val="0BBB0A0F"/>
    <w:rsid w:val="0BD0793D"/>
    <w:rsid w:val="0BD15495"/>
    <w:rsid w:val="0BD37F67"/>
    <w:rsid w:val="0BD86420"/>
    <w:rsid w:val="0BEA0031"/>
    <w:rsid w:val="0BEA5F22"/>
    <w:rsid w:val="0BEF411E"/>
    <w:rsid w:val="0BF43DCE"/>
    <w:rsid w:val="0C021B78"/>
    <w:rsid w:val="0C03244E"/>
    <w:rsid w:val="0C067591"/>
    <w:rsid w:val="0C074C45"/>
    <w:rsid w:val="0C07684E"/>
    <w:rsid w:val="0C08263F"/>
    <w:rsid w:val="0C0851E4"/>
    <w:rsid w:val="0C087D55"/>
    <w:rsid w:val="0C1115AE"/>
    <w:rsid w:val="0C203F7F"/>
    <w:rsid w:val="0C205F33"/>
    <w:rsid w:val="0C20774D"/>
    <w:rsid w:val="0C2C3645"/>
    <w:rsid w:val="0C332B3D"/>
    <w:rsid w:val="0C3738AF"/>
    <w:rsid w:val="0C401002"/>
    <w:rsid w:val="0C4274CE"/>
    <w:rsid w:val="0C491C58"/>
    <w:rsid w:val="0C4A515B"/>
    <w:rsid w:val="0C503080"/>
    <w:rsid w:val="0C5031DB"/>
    <w:rsid w:val="0C516B71"/>
    <w:rsid w:val="0C524BC1"/>
    <w:rsid w:val="0C5A3523"/>
    <w:rsid w:val="0C65555F"/>
    <w:rsid w:val="0C7206A1"/>
    <w:rsid w:val="0C732A25"/>
    <w:rsid w:val="0C800979"/>
    <w:rsid w:val="0C8062E1"/>
    <w:rsid w:val="0C816CD0"/>
    <w:rsid w:val="0C894196"/>
    <w:rsid w:val="0C8B7831"/>
    <w:rsid w:val="0C8F2AC3"/>
    <w:rsid w:val="0C92520F"/>
    <w:rsid w:val="0C954FB7"/>
    <w:rsid w:val="0C976A06"/>
    <w:rsid w:val="0C9C5812"/>
    <w:rsid w:val="0C9E047D"/>
    <w:rsid w:val="0CA3644B"/>
    <w:rsid w:val="0CA606B9"/>
    <w:rsid w:val="0CAC4588"/>
    <w:rsid w:val="0CAD0010"/>
    <w:rsid w:val="0CAD7AD9"/>
    <w:rsid w:val="0CB2425C"/>
    <w:rsid w:val="0CBA5F6D"/>
    <w:rsid w:val="0CBD23B4"/>
    <w:rsid w:val="0CBF7FA3"/>
    <w:rsid w:val="0CC04259"/>
    <w:rsid w:val="0CC94AC1"/>
    <w:rsid w:val="0CCE67CA"/>
    <w:rsid w:val="0CD13B02"/>
    <w:rsid w:val="0CD43C10"/>
    <w:rsid w:val="0CD57573"/>
    <w:rsid w:val="0CD62412"/>
    <w:rsid w:val="0CD62645"/>
    <w:rsid w:val="0CDA1E02"/>
    <w:rsid w:val="0CDA4D78"/>
    <w:rsid w:val="0CDA589C"/>
    <w:rsid w:val="0CDA6A2A"/>
    <w:rsid w:val="0CDB6FDB"/>
    <w:rsid w:val="0CE265BB"/>
    <w:rsid w:val="0CE339DD"/>
    <w:rsid w:val="0CE74C06"/>
    <w:rsid w:val="0CE93A66"/>
    <w:rsid w:val="0CEA7ABD"/>
    <w:rsid w:val="0CEB6682"/>
    <w:rsid w:val="0CEE7BE3"/>
    <w:rsid w:val="0CFA7C89"/>
    <w:rsid w:val="0CFF716D"/>
    <w:rsid w:val="0D0437B6"/>
    <w:rsid w:val="0D073E5B"/>
    <w:rsid w:val="0D0D7B90"/>
    <w:rsid w:val="0D1169F7"/>
    <w:rsid w:val="0D1D130A"/>
    <w:rsid w:val="0D247A92"/>
    <w:rsid w:val="0D271D72"/>
    <w:rsid w:val="0D3315A6"/>
    <w:rsid w:val="0D335069"/>
    <w:rsid w:val="0D3962B0"/>
    <w:rsid w:val="0D3B467A"/>
    <w:rsid w:val="0D410420"/>
    <w:rsid w:val="0D46370B"/>
    <w:rsid w:val="0D4A2A48"/>
    <w:rsid w:val="0D5A25F6"/>
    <w:rsid w:val="0D5B5994"/>
    <w:rsid w:val="0D65622E"/>
    <w:rsid w:val="0D6A6015"/>
    <w:rsid w:val="0D701E19"/>
    <w:rsid w:val="0D763445"/>
    <w:rsid w:val="0D7A150E"/>
    <w:rsid w:val="0D7E34BC"/>
    <w:rsid w:val="0D827ED4"/>
    <w:rsid w:val="0D8761E2"/>
    <w:rsid w:val="0D961C30"/>
    <w:rsid w:val="0D976274"/>
    <w:rsid w:val="0D98311E"/>
    <w:rsid w:val="0D992EC9"/>
    <w:rsid w:val="0DA375E0"/>
    <w:rsid w:val="0DA560E3"/>
    <w:rsid w:val="0DA711A7"/>
    <w:rsid w:val="0DAD2A55"/>
    <w:rsid w:val="0DAE6EE2"/>
    <w:rsid w:val="0DC13312"/>
    <w:rsid w:val="0DC9777B"/>
    <w:rsid w:val="0DCA3BAC"/>
    <w:rsid w:val="0DCE231C"/>
    <w:rsid w:val="0DCE585F"/>
    <w:rsid w:val="0DD03C41"/>
    <w:rsid w:val="0DD8176C"/>
    <w:rsid w:val="0DDC4768"/>
    <w:rsid w:val="0DDC58CE"/>
    <w:rsid w:val="0DDD1259"/>
    <w:rsid w:val="0DDD4A4B"/>
    <w:rsid w:val="0DDE1E5F"/>
    <w:rsid w:val="0DE339D5"/>
    <w:rsid w:val="0DE57C0D"/>
    <w:rsid w:val="0DE96183"/>
    <w:rsid w:val="0DEC1ABB"/>
    <w:rsid w:val="0DF705C1"/>
    <w:rsid w:val="0E1C3FA0"/>
    <w:rsid w:val="0E1D0DE3"/>
    <w:rsid w:val="0E1E6157"/>
    <w:rsid w:val="0E2427D4"/>
    <w:rsid w:val="0E247A2D"/>
    <w:rsid w:val="0E2E79BA"/>
    <w:rsid w:val="0E355DDF"/>
    <w:rsid w:val="0E383743"/>
    <w:rsid w:val="0E3867FE"/>
    <w:rsid w:val="0E3F03F7"/>
    <w:rsid w:val="0E485B64"/>
    <w:rsid w:val="0E487D0B"/>
    <w:rsid w:val="0E4A08BC"/>
    <w:rsid w:val="0E4F2496"/>
    <w:rsid w:val="0E517095"/>
    <w:rsid w:val="0E547045"/>
    <w:rsid w:val="0E5C05EF"/>
    <w:rsid w:val="0E5C7F75"/>
    <w:rsid w:val="0E603C3C"/>
    <w:rsid w:val="0E621C44"/>
    <w:rsid w:val="0E656E9D"/>
    <w:rsid w:val="0E6B718A"/>
    <w:rsid w:val="0E6C6F77"/>
    <w:rsid w:val="0E6D0107"/>
    <w:rsid w:val="0E6F517B"/>
    <w:rsid w:val="0E7736B6"/>
    <w:rsid w:val="0E7A2EE0"/>
    <w:rsid w:val="0E7A722C"/>
    <w:rsid w:val="0E7F5E33"/>
    <w:rsid w:val="0E834CA0"/>
    <w:rsid w:val="0E846DEC"/>
    <w:rsid w:val="0E8518F4"/>
    <w:rsid w:val="0E885CA6"/>
    <w:rsid w:val="0E89036C"/>
    <w:rsid w:val="0E8F0506"/>
    <w:rsid w:val="0E8F50F5"/>
    <w:rsid w:val="0E8F6BE1"/>
    <w:rsid w:val="0E9C65C6"/>
    <w:rsid w:val="0EA55A09"/>
    <w:rsid w:val="0EA70992"/>
    <w:rsid w:val="0EAC52A3"/>
    <w:rsid w:val="0EAD66FE"/>
    <w:rsid w:val="0EAF24CD"/>
    <w:rsid w:val="0EBE2231"/>
    <w:rsid w:val="0EC75C9D"/>
    <w:rsid w:val="0EC82023"/>
    <w:rsid w:val="0ECC36AD"/>
    <w:rsid w:val="0ECF491D"/>
    <w:rsid w:val="0ED378E4"/>
    <w:rsid w:val="0EDD165C"/>
    <w:rsid w:val="0EE028E7"/>
    <w:rsid w:val="0EE437FC"/>
    <w:rsid w:val="0EE51CDF"/>
    <w:rsid w:val="0EE722A6"/>
    <w:rsid w:val="0EE80C24"/>
    <w:rsid w:val="0EEA187F"/>
    <w:rsid w:val="0EEF7C49"/>
    <w:rsid w:val="0EF04B6F"/>
    <w:rsid w:val="0EF67DF9"/>
    <w:rsid w:val="0F002CE3"/>
    <w:rsid w:val="0F0A1DF9"/>
    <w:rsid w:val="0F117E08"/>
    <w:rsid w:val="0F1A60A9"/>
    <w:rsid w:val="0F1B1683"/>
    <w:rsid w:val="0F1B1B89"/>
    <w:rsid w:val="0F232764"/>
    <w:rsid w:val="0F2521B2"/>
    <w:rsid w:val="0F3038EF"/>
    <w:rsid w:val="0F3F74A6"/>
    <w:rsid w:val="0F402BF7"/>
    <w:rsid w:val="0F4055CC"/>
    <w:rsid w:val="0F410AAC"/>
    <w:rsid w:val="0F415E8B"/>
    <w:rsid w:val="0F42665A"/>
    <w:rsid w:val="0F490C41"/>
    <w:rsid w:val="0F4954EF"/>
    <w:rsid w:val="0F50733C"/>
    <w:rsid w:val="0F563780"/>
    <w:rsid w:val="0F595E17"/>
    <w:rsid w:val="0F5C40B9"/>
    <w:rsid w:val="0F627CF0"/>
    <w:rsid w:val="0F6E6073"/>
    <w:rsid w:val="0F723557"/>
    <w:rsid w:val="0F7A1F27"/>
    <w:rsid w:val="0F8E101F"/>
    <w:rsid w:val="0F8F4260"/>
    <w:rsid w:val="0F917524"/>
    <w:rsid w:val="0F9242C9"/>
    <w:rsid w:val="0F965443"/>
    <w:rsid w:val="0F971697"/>
    <w:rsid w:val="0F990A56"/>
    <w:rsid w:val="0F9C24E2"/>
    <w:rsid w:val="0F9C30DF"/>
    <w:rsid w:val="0FA3793F"/>
    <w:rsid w:val="0FA44096"/>
    <w:rsid w:val="0FA60E72"/>
    <w:rsid w:val="0FB309F3"/>
    <w:rsid w:val="0FB571C3"/>
    <w:rsid w:val="0FB72316"/>
    <w:rsid w:val="0FBB0999"/>
    <w:rsid w:val="0FC07311"/>
    <w:rsid w:val="0FC75659"/>
    <w:rsid w:val="0FD3587A"/>
    <w:rsid w:val="0FD4001B"/>
    <w:rsid w:val="0FD447B2"/>
    <w:rsid w:val="0FD84B68"/>
    <w:rsid w:val="0FDC7EFD"/>
    <w:rsid w:val="0FE04197"/>
    <w:rsid w:val="0FE74B85"/>
    <w:rsid w:val="0FE8213B"/>
    <w:rsid w:val="0FE93C03"/>
    <w:rsid w:val="0FF6748F"/>
    <w:rsid w:val="0FF6798A"/>
    <w:rsid w:val="0FF76AC6"/>
    <w:rsid w:val="0FF860F6"/>
    <w:rsid w:val="0FFC6416"/>
    <w:rsid w:val="0FFE1414"/>
    <w:rsid w:val="10093224"/>
    <w:rsid w:val="100A0C1A"/>
    <w:rsid w:val="10105F4A"/>
    <w:rsid w:val="10185417"/>
    <w:rsid w:val="1022603C"/>
    <w:rsid w:val="10267C58"/>
    <w:rsid w:val="10284D5A"/>
    <w:rsid w:val="1029611E"/>
    <w:rsid w:val="103641CB"/>
    <w:rsid w:val="103C77E5"/>
    <w:rsid w:val="10446638"/>
    <w:rsid w:val="104554F6"/>
    <w:rsid w:val="10475BF1"/>
    <w:rsid w:val="10482D0D"/>
    <w:rsid w:val="105608F9"/>
    <w:rsid w:val="10587CEE"/>
    <w:rsid w:val="105C50BD"/>
    <w:rsid w:val="105D221D"/>
    <w:rsid w:val="10676D0A"/>
    <w:rsid w:val="106875D0"/>
    <w:rsid w:val="107047CA"/>
    <w:rsid w:val="10711AB9"/>
    <w:rsid w:val="1075080F"/>
    <w:rsid w:val="107917C2"/>
    <w:rsid w:val="107D0D06"/>
    <w:rsid w:val="107E2A9F"/>
    <w:rsid w:val="1081080D"/>
    <w:rsid w:val="10824A39"/>
    <w:rsid w:val="10840F82"/>
    <w:rsid w:val="1084425A"/>
    <w:rsid w:val="1084483A"/>
    <w:rsid w:val="108F3415"/>
    <w:rsid w:val="10925471"/>
    <w:rsid w:val="10933121"/>
    <w:rsid w:val="109574F9"/>
    <w:rsid w:val="109716AE"/>
    <w:rsid w:val="109C3A44"/>
    <w:rsid w:val="109E26FF"/>
    <w:rsid w:val="10A43926"/>
    <w:rsid w:val="10AA6552"/>
    <w:rsid w:val="10AA7889"/>
    <w:rsid w:val="10AC2E88"/>
    <w:rsid w:val="10AE65EC"/>
    <w:rsid w:val="10B33AE4"/>
    <w:rsid w:val="10B431A3"/>
    <w:rsid w:val="10B5060B"/>
    <w:rsid w:val="10B62E4E"/>
    <w:rsid w:val="10B72A7A"/>
    <w:rsid w:val="10C171C1"/>
    <w:rsid w:val="10C30946"/>
    <w:rsid w:val="10C52D06"/>
    <w:rsid w:val="10CD7582"/>
    <w:rsid w:val="10DF1182"/>
    <w:rsid w:val="10E322E3"/>
    <w:rsid w:val="10E55C3F"/>
    <w:rsid w:val="10E630B3"/>
    <w:rsid w:val="10E726B6"/>
    <w:rsid w:val="10E92B6B"/>
    <w:rsid w:val="10EB75EF"/>
    <w:rsid w:val="10EF4F53"/>
    <w:rsid w:val="10F10100"/>
    <w:rsid w:val="10F20D97"/>
    <w:rsid w:val="10F66042"/>
    <w:rsid w:val="10FB3C1D"/>
    <w:rsid w:val="11076A7C"/>
    <w:rsid w:val="112018D2"/>
    <w:rsid w:val="11205904"/>
    <w:rsid w:val="11225E4A"/>
    <w:rsid w:val="112A0B54"/>
    <w:rsid w:val="112A3051"/>
    <w:rsid w:val="112F64DC"/>
    <w:rsid w:val="113969C7"/>
    <w:rsid w:val="113E6943"/>
    <w:rsid w:val="11465285"/>
    <w:rsid w:val="11535CDA"/>
    <w:rsid w:val="11562528"/>
    <w:rsid w:val="115637B7"/>
    <w:rsid w:val="115A6697"/>
    <w:rsid w:val="115D2BCD"/>
    <w:rsid w:val="116250C1"/>
    <w:rsid w:val="11661393"/>
    <w:rsid w:val="116625B7"/>
    <w:rsid w:val="1167623D"/>
    <w:rsid w:val="117A5F61"/>
    <w:rsid w:val="11897B65"/>
    <w:rsid w:val="118F7798"/>
    <w:rsid w:val="119130FF"/>
    <w:rsid w:val="11A45B3E"/>
    <w:rsid w:val="11A84DB1"/>
    <w:rsid w:val="11AB4BB7"/>
    <w:rsid w:val="11AC41C2"/>
    <w:rsid w:val="11AE4644"/>
    <w:rsid w:val="11BB0122"/>
    <w:rsid w:val="11BD75F7"/>
    <w:rsid w:val="11C060A1"/>
    <w:rsid w:val="11C371FE"/>
    <w:rsid w:val="11C41E38"/>
    <w:rsid w:val="11C525F0"/>
    <w:rsid w:val="11CC749A"/>
    <w:rsid w:val="11D64215"/>
    <w:rsid w:val="11D85E4A"/>
    <w:rsid w:val="11DB6E57"/>
    <w:rsid w:val="11DE6270"/>
    <w:rsid w:val="11E86565"/>
    <w:rsid w:val="11F1154C"/>
    <w:rsid w:val="11F34DC7"/>
    <w:rsid w:val="11F84E29"/>
    <w:rsid w:val="12086AC4"/>
    <w:rsid w:val="120F69A7"/>
    <w:rsid w:val="121A3136"/>
    <w:rsid w:val="12252C39"/>
    <w:rsid w:val="12266B84"/>
    <w:rsid w:val="1226773C"/>
    <w:rsid w:val="1229190D"/>
    <w:rsid w:val="122E2904"/>
    <w:rsid w:val="122F3024"/>
    <w:rsid w:val="12380A2C"/>
    <w:rsid w:val="123916DD"/>
    <w:rsid w:val="123E04DD"/>
    <w:rsid w:val="123F6767"/>
    <w:rsid w:val="124E7A25"/>
    <w:rsid w:val="124F60E8"/>
    <w:rsid w:val="12512C76"/>
    <w:rsid w:val="125271EF"/>
    <w:rsid w:val="12544EA7"/>
    <w:rsid w:val="12594DB1"/>
    <w:rsid w:val="125A33B9"/>
    <w:rsid w:val="12642BF0"/>
    <w:rsid w:val="12686A3D"/>
    <w:rsid w:val="12695B1B"/>
    <w:rsid w:val="12696E6F"/>
    <w:rsid w:val="126F3935"/>
    <w:rsid w:val="1272218F"/>
    <w:rsid w:val="12755207"/>
    <w:rsid w:val="127B5502"/>
    <w:rsid w:val="127C6587"/>
    <w:rsid w:val="127D22BE"/>
    <w:rsid w:val="12812D38"/>
    <w:rsid w:val="12824C4C"/>
    <w:rsid w:val="128C2726"/>
    <w:rsid w:val="128E2B50"/>
    <w:rsid w:val="128E2C33"/>
    <w:rsid w:val="12940D9A"/>
    <w:rsid w:val="12962454"/>
    <w:rsid w:val="12986FDF"/>
    <w:rsid w:val="129C4210"/>
    <w:rsid w:val="129F4FE4"/>
    <w:rsid w:val="12A04F4F"/>
    <w:rsid w:val="12A21F27"/>
    <w:rsid w:val="12A84BCD"/>
    <w:rsid w:val="12AA5047"/>
    <w:rsid w:val="12B300E5"/>
    <w:rsid w:val="12B607F6"/>
    <w:rsid w:val="12B72298"/>
    <w:rsid w:val="12BC139D"/>
    <w:rsid w:val="12BC2168"/>
    <w:rsid w:val="12BE0F82"/>
    <w:rsid w:val="12BF2EC3"/>
    <w:rsid w:val="12C0161F"/>
    <w:rsid w:val="12C9158C"/>
    <w:rsid w:val="12CA5B28"/>
    <w:rsid w:val="12CB5D42"/>
    <w:rsid w:val="12CB7597"/>
    <w:rsid w:val="12D746E8"/>
    <w:rsid w:val="12DC4FF8"/>
    <w:rsid w:val="12DF297B"/>
    <w:rsid w:val="12E342C0"/>
    <w:rsid w:val="12E77DD2"/>
    <w:rsid w:val="12EC7A0C"/>
    <w:rsid w:val="12F042FB"/>
    <w:rsid w:val="12F14DC9"/>
    <w:rsid w:val="12F42B3E"/>
    <w:rsid w:val="12F72FF1"/>
    <w:rsid w:val="12FD42FF"/>
    <w:rsid w:val="130F54F4"/>
    <w:rsid w:val="13136A3C"/>
    <w:rsid w:val="13156472"/>
    <w:rsid w:val="13181DC3"/>
    <w:rsid w:val="132025F6"/>
    <w:rsid w:val="13206333"/>
    <w:rsid w:val="132801DC"/>
    <w:rsid w:val="132E0D1C"/>
    <w:rsid w:val="13380995"/>
    <w:rsid w:val="133B5FF2"/>
    <w:rsid w:val="133E6D1C"/>
    <w:rsid w:val="1345500F"/>
    <w:rsid w:val="13557590"/>
    <w:rsid w:val="13590E51"/>
    <w:rsid w:val="135B3278"/>
    <w:rsid w:val="13604384"/>
    <w:rsid w:val="136967ED"/>
    <w:rsid w:val="136A2B12"/>
    <w:rsid w:val="136B787F"/>
    <w:rsid w:val="136F251E"/>
    <w:rsid w:val="13722394"/>
    <w:rsid w:val="1372561E"/>
    <w:rsid w:val="137260E5"/>
    <w:rsid w:val="1381595D"/>
    <w:rsid w:val="13825845"/>
    <w:rsid w:val="13894378"/>
    <w:rsid w:val="138B0CAD"/>
    <w:rsid w:val="1393642D"/>
    <w:rsid w:val="1396641F"/>
    <w:rsid w:val="13966B43"/>
    <w:rsid w:val="139F6FB4"/>
    <w:rsid w:val="13AF56E8"/>
    <w:rsid w:val="13B21B19"/>
    <w:rsid w:val="13B473E1"/>
    <w:rsid w:val="13BA7490"/>
    <w:rsid w:val="13C23652"/>
    <w:rsid w:val="13C3117E"/>
    <w:rsid w:val="13C51E79"/>
    <w:rsid w:val="13CA2557"/>
    <w:rsid w:val="13CA6303"/>
    <w:rsid w:val="13D00ECD"/>
    <w:rsid w:val="13D50C28"/>
    <w:rsid w:val="13DA4540"/>
    <w:rsid w:val="13DF5603"/>
    <w:rsid w:val="13EE3F95"/>
    <w:rsid w:val="13F82A31"/>
    <w:rsid w:val="13F83269"/>
    <w:rsid w:val="13FB5E73"/>
    <w:rsid w:val="13FD430A"/>
    <w:rsid w:val="13FE054D"/>
    <w:rsid w:val="14015B43"/>
    <w:rsid w:val="140171A4"/>
    <w:rsid w:val="14020015"/>
    <w:rsid w:val="14022B72"/>
    <w:rsid w:val="140743A5"/>
    <w:rsid w:val="140A08FA"/>
    <w:rsid w:val="141363F6"/>
    <w:rsid w:val="141458FB"/>
    <w:rsid w:val="141C61D7"/>
    <w:rsid w:val="14206BFE"/>
    <w:rsid w:val="14257A55"/>
    <w:rsid w:val="1427475D"/>
    <w:rsid w:val="142A190C"/>
    <w:rsid w:val="142B2EC4"/>
    <w:rsid w:val="143129D6"/>
    <w:rsid w:val="14320785"/>
    <w:rsid w:val="14390D67"/>
    <w:rsid w:val="143A0F4C"/>
    <w:rsid w:val="143C4FBF"/>
    <w:rsid w:val="143D2FC7"/>
    <w:rsid w:val="143E5594"/>
    <w:rsid w:val="1442128A"/>
    <w:rsid w:val="14496610"/>
    <w:rsid w:val="14542C72"/>
    <w:rsid w:val="14637849"/>
    <w:rsid w:val="14687C9C"/>
    <w:rsid w:val="146D6476"/>
    <w:rsid w:val="147142FC"/>
    <w:rsid w:val="147221BF"/>
    <w:rsid w:val="14764676"/>
    <w:rsid w:val="14797E5E"/>
    <w:rsid w:val="14833830"/>
    <w:rsid w:val="14850AF8"/>
    <w:rsid w:val="14890373"/>
    <w:rsid w:val="14893B4F"/>
    <w:rsid w:val="148E27BE"/>
    <w:rsid w:val="148F33B7"/>
    <w:rsid w:val="148F4575"/>
    <w:rsid w:val="149C75C7"/>
    <w:rsid w:val="14A25AD9"/>
    <w:rsid w:val="14AA5945"/>
    <w:rsid w:val="14AB29F4"/>
    <w:rsid w:val="14AF364E"/>
    <w:rsid w:val="14B115C2"/>
    <w:rsid w:val="14BD349A"/>
    <w:rsid w:val="14C36CD2"/>
    <w:rsid w:val="14C76F80"/>
    <w:rsid w:val="14C878B8"/>
    <w:rsid w:val="14CD339B"/>
    <w:rsid w:val="14D02EF2"/>
    <w:rsid w:val="14DD0254"/>
    <w:rsid w:val="14DE054B"/>
    <w:rsid w:val="14E07C4D"/>
    <w:rsid w:val="14E30F7C"/>
    <w:rsid w:val="14E34054"/>
    <w:rsid w:val="14E65DF0"/>
    <w:rsid w:val="14E75012"/>
    <w:rsid w:val="14F62CB0"/>
    <w:rsid w:val="14FA3980"/>
    <w:rsid w:val="14FC0D94"/>
    <w:rsid w:val="14FD2F5A"/>
    <w:rsid w:val="15016D17"/>
    <w:rsid w:val="150202E8"/>
    <w:rsid w:val="15037535"/>
    <w:rsid w:val="15063BCD"/>
    <w:rsid w:val="1509322C"/>
    <w:rsid w:val="150D7AED"/>
    <w:rsid w:val="151A703F"/>
    <w:rsid w:val="151B44ED"/>
    <w:rsid w:val="151D3342"/>
    <w:rsid w:val="151E2DAE"/>
    <w:rsid w:val="15224D9A"/>
    <w:rsid w:val="152A4F06"/>
    <w:rsid w:val="15374439"/>
    <w:rsid w:val="153771AA"/>
    <w:rsid w:val="153E5121"/>
    <w:rsid w:val="153F2646"/>
    <w:rsid w:val="15420607"/>
    <w:rsid w:val="1544140E"/>
    <w:rsid w:val="1548367B"/>
    <w:rsid w:val="154B0CA7"/>
    <w:rsid w:val="15544F8E"/>
    <w:rsid w:val="15564AB5"/>
    <w:rsid w:val="15575F33"/>
    <w:rsid w:val="155760E1"/>
    <w:rsid w:val="155A18EA"/>
    <w:rsid w:val="155B33AF"/>
    <w:rsid w:val="155F0CD5"/>
    <w:rsid w:val="156C2145"/>
    <w:rsid w:val="157175DF"/>
    <w:rsid w:val="157F478C"/>
    <w:rsid w:val="15835A2F"/>
    <w:rsid w:val="158B571D"/>
    <w:rsid w:val="1590244F"/>
    <w:rsid w:val="159529A1"/>
    <w:rsid w:val="15964E91"/>
    <w:rsid w:val="159A6CB3"/>
    <w:rsid w:val="15A04F3D"/>
    <w:rsid w:val="15AA3F51"/>
    <w:rsid w:val="15AA7219"/>
    <w:rsid w:val="15AB37C5"/>
    <w:rsid w:val="15AC2115"/>
    <w:rsid w:val="15AE7562"/>
    <w:rsid w:val="15B13CF6"/>
    <w:rsid w:val="15B36FF6"/>
    <w:rsid w:val="15B65D57"/>
    <w:rsid w:val="15B71092"/>
    <w:rsid w:val="15BC45F6"/>
    <w:rsid w:val="15BF3DB6"/>
    <w:rsid w:val="15D12049"/>
    <w:rsid w:val="15D317A7"/>
    <w:rsid w:val="15D370D7"/>
    <w:rsid w:val="15D44260"/>
    <w:rsid w:val="15D73652"/>
    <w:rsid w:val="15D9640F"/>
    <w:rsid w:val="15DE191E"/>
    <w:rsid w:val="15E92E56"/>
    <w:rsid w:val="15EB73F2"/>
    <w:rsid w:val="15EE5BA0"/>
    <w:rsid w:val="15EF0E71"/>
    <w:rsid w:val="15F42D2A"/>
    <w:rsid w:val="16061459"/>
    <w:rsid w:val="161244F5"/>
    <w:rsid w:val="16174553"/>
    <w:rsid w:val="161827D2"/>
    <w:rsid w:val="16197E46"/>
    <w:rsid w:val="16201F02"/>
    <w:rsid w:val="162551EB"/>
    <w:rsid w:val="16307513"/>
    <w:rsid w:val="16341319"/>
    <w:rsid w:val="16382B8E"/>
    <w:rsid w:val="163A71AE"/>
    <w:rsid w:val="163C7A91"/>
    <w:rsid w:val="163F4669"/>
    <w:rsid w:val="163F6B62"/>
    <w:rsid w:val="16405B32"/>
    <w:rsid w:val="16422CA3"/>
    <w:rsid w:val="16454117"/>
    <w:rsid w:val="16491459"/>
    <w:rsid w:val="16497023"/>
    <w:rsid w:val="164D36A4"/>
    <w:rsid w:val="164E1122"/>
    <w:rsid w:val="165F5170"/>
    <w:rsid w:val="166316F8"/>
    <w:rsid w:val="16665C6B"/>
    <w:rsid w:val="166F3BD5"/>
    <w:rsid w:val="166F6E5A"/>
    <w:rsid w:val="16714B29"/>
    <w:rsid w:val="16764928"/>
    <w:rsid w:val="167A6979"/>
    <w:rsid w:val="168109A1"/>
    <w:rsid w:val="1682553E"/>
    <w:rsid w:val="168F7D75"/>
    <w:rsid w:val="16941554"/>
    <w:rsid w:val="16957189"/>
    <w:rsid w:val="16961D10"/>
    <w:rsid w:val="16967A90"/>
    <w:rsid w:val="169C089A"/>
    <w:rsid w:val="169F30DE"/>
    <w:rsid w:val="16A038D1"/>
    <w:rsid w:val="16A134AD"/>
    <w:rsid w:val="16A91E4D"/>
    <w:rsid w:val="16B07D21"/>
    <w:rsid w:val="16B10AD9"/>
    <w:rsid w:val="16B1302B"/>
    <w:rsid w:val="16BC0765"/>
    <w:rsid w:val="16DF5004"/>
    <w:rsid w:val="16E93C95"/>
    <w:rsid w:val="16F937E6"/>
    <w:rsid w:val="16FB0991"/>
    <w:rsid w:val="16FB2A28"/>
    <w:rsid w:val="16FC3709"/>
    <w:rsid w:val="16FD324D"/>
    <w:rsid w:val="170057E6"/>
    <w:rsid w:val="17085C93"/>
    <w:rsid w:val="170B50CE"/>
    <w:rsid w:val="17190E2C"/>
    <w:rsid w:val="171F0A0E"/>
    <w:rsid w:val="171F5DE4"/>
    <w:rsid w:val="172979DC"/>
    <w:rsid w:val="172C134A"/>
    <w:rsid w:val="173052F6"/>
    <w:rsid w:val="1731317F"/>
    <w:rsid w:val="17367AB3"/>
    <w:rsid w:val="1739186E"/>
    <w:rsid w:val="173B1EDE"/>
    <w:rsid w:val="175424C9"/>
    <w:rsid w:val="17545E8A"/>
    <w:rsid w:val="17586244"/>
    <w:rsid w:val="17593787"/>
    <w:rsid w:val="176302F9"/>
    <w:rsid w:val="1763258B"/>
    <w:rsid w:val="1763479D"/>
    <w:rsid w:val="176C5868"/>
    <w:rsid w:val="176E36B5"/>
    <w:rsid w:val="177B18A0"/>
    <w:rsid w:val="177E68FD"/>
    <w:rsid w:val="177F293B"/>
    <w:rsid w:val="17810B11"/>
    <w:rsid w:val="17866522"/>
    <w:rsid w:val="178904F5"/>
    <w:rsid w:val="178C45A5"/>
    <w:rsid w:val="1792316B"/>
    <w:rsid w:val="17956B46"/>
    <w:rsid w:val="17962375"/>
    <w:rsid w:val="17984DDE"/>
    <w:rsid w:val="179B4918"/>
    <w:rsid w:val="17A10394"/>
    <w:rsid w:val="17A74F0C"/>
    <w:rsid w:val="17AA0051"/>
    <w:rsid w:val="17AF679F"/>
    <w:rsid w:val="17B449C9"/>
    <w:rsid w:val="17B60B92"/>
    <w:rsid w:val="17C141C0"/>
    <w:rsid w:val="17C75CDA"/>
    <w:rsid w:val="17CF4851"/>
    <w:rsid w:val="17D347D3"/>
    <w:rsid w:val="17DA2720"/>
    <w:rsid w:val="17DB01B2"/>
    <w:rsid w:val="17DD3AEC"/>
    <w:rsid w:val="17DE01E3"/>
    <w:rsid w:val="17E111F6"/>
    <w:rsid w:val="17E50DA3"/>
    <w:rsid w:val="17E53D0E"/>
    <w:rsid w:val="17EC387B"/>
    <w:rsid w:val="17F22DF8"/>
    <w:rsid w:val="17F81389"/>
    <w:rsid w:val="18054275"/>
    <w:rsid w:val="180A2E6A"/>
    <w:rsid w:val="180C683A"/>
    <w:rsid w:val="18171491"/>
    <w:rsid w:val="1818179B"/>
    <w:rsid w:val="18192E73"/>
    <w:rsid w:val="183308B3"/>
    <w:rsid w:val="18357EE7"/>
    <w:rsid w:val="183F24C0"/>
    <w:rsid w:val="18402737"/>
    <w:rsid w:val="18436A33"/>
    <w:rsid w:val="18437BD5"/>
    <w:rsid w:val="1845054F"/>
    <w:rsid w:val="184A73DA"/>
    <w:rsid w:val="185171F1"/>
    <w:rsid w:val="185316EB"/>
    <w:rsid w:val="18531BD1"/>
    <w:rsid w:val="1854711F"/>
    <w:rsid w:val="185B6C9D"/>
    <w:rsid w:val="186500A0"/>
    <w:rsid w:val="186B1B5B"/>
    <w:rsid w:val="187343E7"/>
    <w:rsid w:val="187A1D9E"/>
    <w:rsid w:val="188B61E4"/>
    <w:rsid w:val="188E71E0"/>
    <w:rsid w:val="189271C7"/>
    <w:rsid w:val="189757F7"/>
    <w:rsid w:val="18977759"/>
    <w:rsid w:val="1898196E"/>
    <w:rsid w:val="18982FBE"/>
    <w:rsid w:val="1899301E"/>
    <w:rsid w:val="189A201F"/>
    <w:rsid w:val="18A62F76"/>
    <w:rsid w:val="18A76ADD"/>
    <w:rsid w:val="18AA5757"/>
    <w:rsid w:val="18AB56F2"/>
    <w:rsid w:val="18B03A94"/>
    <w:rsid w:val="18B4763F"/>
    <w:rsid w:val="18B8218B"/>
    <w:rsid w:val="18BA38BB"/>
    <w:rsid w:val="18BA5FD6"/>
    <w:rsid w:val="18BF0FFB"/>
    <w:rsid w:val="18CD590B"/>
    <w:rsid w:val="18CE0A89"/>
    <w:rsid w:val="18D503B3"/>
    <w:rsid w:val="18D95217"/>
    <w:rsid w:val="18DA4699"/>
    <w:rsid w:val="18DF16B3"/>
    <w:rsid w:val="18DF2BDB"/>
    <w:rsid w:val="18E56F26"/>
    <w:rsid w:val="18EE39B3"/>
    <w:rsid w:val="18F05D72"/>
    <w:rsid w:val="18F148BC"/>
    <w:rsid w:val="18F56761"/>
    <w:rsid w:val="18F71640"/>
    <w:rsid w:val="18FA2EF1"/>
    <w:rsid w:val="18FC163A"/>
    <w:rsid w:val="190A549B"/>
    <w:rsid w:val="19172AD1"/>
    <w:rsid w:val="19181DBF"/>
    <w:rsid w:val="19185B16"/>
    <w:rsid w:val="19194324"/>
    <w:rsid w:val="191C7C8A"/>
    <w:rsid w:val="191F3028"/>
    <w:rsid w:val="192019D6"/>
    <w:rsid w:val="19204910"/>
    <w:rsid w:val="192E6ECA"/>
    <w:rsid w:val="193C34F7"/>
    <w:rsid w:val="193E14D2"/>
    <w:rsid w:val="19481679"/>
    <w:rsid w:val="194A567A"/>
    <w:rsid w:val="194A71E2"/>
    <w:rsid w:val="194B0A17"/>
    <w:rsid w:val="1959125E"/>
    <w:rsid w:val="195A5596"/>
    <w:rsid w:val="195E5685"/>
    <w:rsid w:val="195F4962"/>
    <w:rsid w:val="19604C7D"/>
    <w:rsid w:val="19682F7C"/>
    <w:rsid w:val="19727332"/>
    <w:rsid w:val="197322BB"/>
    <w:rsid w:val="197F2CC3"/>
    <w:rsid w:val="198329C0"/>
    <w:rsid w:val="19876046"/>
    <w:rsid w:val="198A1BA1"/>
    <w:rsid w:val="198D3337"/>
    <w:rsid w:val="198E1ABB"/>
    <w:rsid w:val="198F2B18"/>
    <w:rsid w:val="199015A2"/>
    <w:rsid w:val="19914173"/>
    <w:rsid w:val="199D6C1C"/>
    <w:rsid w:val="19A503EF"/>
    <w:rsid w:val="19A750D3"/>
    <w:rsid w:val="19A97CC7"/>
    <w:rsid w:val="19AE42E7"/>
    <w:rsid w:val="19B03B16"/>
    <w:rsid w:val="19B165F4"/>
    <w:rsid w:val="19B17A41"/>
    <w:rsid w:val="19B563C8"/>
    <w:rsid w:val="19BC2528"/>
    <w:rsid w:val="19C110D5"/>
    <w:rsid w:val="19C336AE"/>
    <w:rsid w:val="19C76D18"/>
    <w:rsid w:val="19CC487B"/>
    <w:rsid w:val="19CF493D"/>
    <w:rsid w:val="19D06130"/>
    <w:rsid w:val="19D27172"/>
    <w:rsid w:val="19D612EA"/>
    <w:rsid w:val="19D62594"/>
    <w:rsid w:val="19DB54E1"/>
    <w:rsid w:val="19DC59C7"/>
    <w:rsid w:val="19E614FA"/>
    <w:rsid w:val="19E9549C"/>
    <w:rsid w:val="19EC1D0B"/>
    <w:rsid w:val="19EF549E"/>
    <w:rsid w:val="19F500C1"/>
    <w:rsid w:val="19F85AA2"/>
    <w:rsid w:val="19FB2A6A"/>
    <w:rsid w:val="19FD037A"/>
    <w:rsid w:val="19FF30A3"/>
    <w:rsid w:val="1A07140F"/>
    <w:rsid w:val="1A081437"/>
    <w:rsid w:val="1A0A1D9C"/>
    <w:rsid w:val="1A0A7ED5"/>
    <w:rsid w:val="1A0C3644"/>
    <w:rsid w:val="1A0F48C2"/>
    <w:rsid w:val="1A0F4FCC"/>
    <w:rsid w:val="1A1A48FA"/>
    <w:rsid w:val="1A1D6E85"/>
    <w:rsid w:val="1A287E2F"/>
    <w:rsid w:val="1A2B7C92"/>
    <w:rsid w:val="1A366198"/>
    <w:rsid w:val="1A386D38"/>
    <w:rsid w:val="1A4B6846"/>
    <w:rsid w:val="1A4D011A"/>
    <w:rsid w:val="1A501F0F"/>
    <w:rsid w:val="1A5C7169"/>
    <w:rsid w:val="1A600262"/>
    <w:rsid w:val="1A60135B"/>
    <w:rsid w:val="1A605D5E"/>
    <w:rsid w:val="1A644AB4"/>
    <w:rsid w:val="1A690DD5"/>
    <w:rsid w:val="1A6C64FE"/>
    <w:rsid w:val="1A7D16CF"/>
    <w:rsid w:val="1A7E5436"/>
    <w:rsid w:val="1A7F5D99"/>
    <w:rsid w:val="1A806144"/>
    <w:rsid w:val="1A8152CE"/>
    <w:rsid w:val="1A870132"/>
    <w:rsid w:val="1A875D28"/>
    <w:rsid w:val="1A8C4283"/>
    <w:rsid w:val="1A8E4048"/>
    <w:rsid w:val="1A9A120C"/>
    <w:rsid w:val="1A9C0FAB"/>
    <w:rsid w:val="1A9D37EF"/>
    <w:rsid w:val="1A9E4162"/>
    <w:rsid w:val="1A9F789A"/>
    <w:rsid w:val="1AA21F97"/>
    <w:rsid w:val="1AAE030D"/>
    <w:rsid w:val="1AB40624"/>
    <w:rsid w:val="1AB55724"/>
    <w:rsid w:val="1AB71A3D"/>
    <w:rsid w:val="1AB84A8D"/>
    <w:rsid w:val="1AB85F58"/>
    <w:rsid w:val="1AC10D95"/>
    <w:rsid w:val="1AC52913"/>
    <w:rsid w:val="1AC970A1"/>
    <w:rsid w:val="1ACE4726"/>
    <w:rsid w:val="1AD34401"/>
    <w:rsid w:val="1ADB2BF4"/>
    <w:rsid w:val="1AEA7078"/>
    <w:rsid w:val="1AEB3543"/>
    <w:rsid w:val="1AEC015F"/>
    <w:rsid w:val="1AED5B08"/>
    <w:rsid w:val="1AEF1341"/>
    <w:rsid w:val="1AF34517"/>
    <w:rsid w:val="1AFB13E5"/>
    <w:rsid w:val="1AFF0904"/>
    <w:rsid w:val="1B000A88"/>
    <w:rsid w:val="1B0E2975"/>
    <w:rsid w:val="1B146C15"/>
    <w:rsid w:val="1B1636D7"/>
    <w:rsid w:val="1B1C052F"/>
    <w:rsid w:val="1B28549A"/>
    <w:rsid w:val="1B311F45"/>
    <w:rsid w:val="1B314AD3"/>
    <w:rsid w:val="1B347117"/>
    <w:rsid w:val="1B3B1CB8"/>
    <w:rsid w:val="1B4D72F6"/>
    <w:rsid w:val="1B55264E"/>
    <w:rsid w:val="1B5A2A55"/>
    <w:rsid w:val="1B5F2D96"/>
    <w:rsid w:val="1B612813"/>
    <w:rsid w:val="1B612DA1"/>
    <w:rsid w:val="1B632FBD"/>
    <w:rsid w:val="1B6912E0"/>
    <w:rsid w:val="1B6B785A"/>
    <w:rsid w:val="1B6D165B"/>
    <w:rsid w:val="1B6D22AB"/>
    <w:rsid w:val="1B715003"/>
    <w:rsid w:val="1B7249C4"/>
    <w:rsid w:val="1B7650EF"/>
    <w:rsid w:val="1B766B3E"/>
    <w:rsid w:val="1B7B1246"/>
    <w:rsid w:val="1B7E7CEF"/>
    <w:rsid w:val="1B7E7FA6"/>
    <w:rsid w:val="1B7F0944"/>
    <w:rsid w:val="1B7F26D9"/>
    <w:rsid w:val="1B827A5D"/>
    <w:rsid w:val="1B8911BF"/>
    <w:rsid w:val="1B8C2D31"/>
    <w:rsid w:val="1B9D4144"/>
    <w:rsid w:val="1BA45BA9"/>
    <w:rsid w:val="1BA71409"/>
    <w:rsid w:val="1BAE0A69"/>
    <w:rsid w:val="1BAF0687"/>
    <w:rsid w:val="1BB05FE7"/>
    <w:rsid w:val="1BB96303"/>
    <w:rsid w:val="1BBB357D"/>
    <w:rsid w:val="1BBC4044"/>
    <w:rsid w:val="1BC03F6C"/>
    <w:rsid w:val="1BC115B6"/>
    <w:rsid w:val="1BC42F43"/>
    <w:rsid w:val="1BC542B2"/>
    <w:rsid w:val="1BC60E73"/>
    <w:rsid w:val="1BC82706"/>
    <w:rsid w:val="1BCD5CF6"/>
    <w:rsid w:val="1BD12A83"/>
    <w:rsid w:val="1BD25A4D"/>
    <w:rsid w:val="1BD9327F"/>
    <w:rsid w:val="1BDC5CAB"/>
    <w:rsid w:val="1BE30A68"/>
    <w:rsid w:val="1BE94A9C"/>
    <w:rsid w:val="1BEA6787"/>
    <w:rsid w:val="1BEC25B4"/>
    <w:rsid w:val="1BF3720E"/>
    <w:rsid w:val="1BF525D5"/>
    <w:rsid w:val="1BFC4985"/>
    <w:rsid w:val="1C0571AA"/>
    <w:rsid w:val="1C093B64"/>
    <w:rsid w:val="1C0D0BCA"/>
    <w:rsid w:val="1C0F4B05"/>
    <w:rsid w:val="1C152C5C"/>
    <w:rsid w:val="1C1D316C"/>
    <w:rsid w:val="1C2C40BB"/>
    <w:rsid w:val="1C2D1EA8"/>
    <w:rsid w:val="1C2F43BF"/>
    <w:rsid w:val="1C3109C5"/>
    <w:rsid w:val="1C3120B8"/>
    <w:rsid w:val="1C3531F4"/>
    <w:rsid w:val="1C355AC3"/>
    <w:rsid w:val="1C3A4D29"/>
    <w:rsid w:val="1C46128C"/>
    <w:rsid w:val="1C516CA2"/>
    <w:rsid w:val="1C57684E"/>
    <w:rsid w:val="1C585157"/>
    <w:rsid w:val="1C5F0BEB"/>
    <w:rsid w:val="1C6146EB"/>
    <w:rsid w:val="1C62276F"/>
    <w:rsid w:val="1C633218"/>
    <w:rsid w:val="1C68614C"/>
    <w:rsid w:val="1C695B8E"/>
    <w:rsid w:val="1C6F42B0"/>
    <w:rsid w:val="1C702F43"/>
    <w:rsid w:val="1C7148EF"/>
    <w:rsid w:val="1C761DE6"/>
    <w:rsid w:val="1C947EE0"/>
    <w:rsid w:val="1C9555E4"/>
    <w:rsid w:val="1C9B7E8B"/>
    <w:rsid w:val="1CA909E4"/>
    <w:rsid w:val="1CA95D96"/>
    <w:rsid w:val="1CAD047B"/>
    <w:rsid w:val="1CAF5E4A"/>
    <w:rsid w:val="1CB12406"/>
    <w:rsid w:val="1CB34317"/>
    <w:rsid w:val="1CB533A4"/>
    <w:rsid w:val="1CB6187C"/>
    <w:rsid w:val="1CB71266"/>
    <w:rsid w:val="1CB8475C"/>
    <w:rsid w:val="1CC3326E"/>
    <w:rsid w:val="1CC55430"/>
    <w:rsid w:val="1CCF7A1D"/>
    <w:rsid w:val="1CD163D7"/>
    <w:rsid w:val="1CD405D8"/>
    <w:rsid w:val="1CDA105D"/>
    <w:rsid w:val="1CDC1BF1"/>
    <w:rsid w:val="1CE26164"/>
    <w:rsid w:val="1CE848D8"/>
    <w:rsid w:val="1CEB3FE7"/>
    <w:rsid w:val="1CEC3D99"/>
    <w:rsid w:val="1CF02F84"/>
    <w:rsid w:val="1CF914BF"/>
    <w:rsid w:val="1CFB3B9D"/>
    <w:rsid w:val="1CFD625A"/>
    <w:rsid w:val="1D0407F4"/>
    <w:rsid w:val="1D045086"/>
    <w:rsid w:val="1D092BB0"/>
    <w:rsid w:val="1D0D77C9"/>
    <w:rsid w:val="1D0E5B3E"/>
    <w:rsid w:val="1D105889"/>
    <w:rsid w:val="1D143100"/>
    <w:rsid w:val="1D143B0E"/>
    <w:rsid w:val="1D171A5E"/>
    <w:rsid w:val="1D1A3A1D"/>
    <w:rsid w:val="1D1E72C9"/>
    <w:rsid w:val="1D2776A0"/>
    <w:rsid w:val="1D2D5E58"/>
    <w:rsid w:val="1D32385C"/>
    <w:rsid w:val="1D363B00"/>
    <w:rsid w:val="1D447FB6"/>
    <w:rsid w:val="1D452B50"/>
    <w:rsid w:val="1D4620A9"/>
    <w:rsid w:val="1D4E55A7"/>
    <w:rsid w:val="1D5148D0"/>
    <w:rsid w:val="1D587740"/>
    <w:rsid w:val="1D5B541B"/>
    <w:rsid w:val="1D5B69B7"/>
    <w:rsid w:val="1D5D019D"/>
    <w:rsid w:val="1D5D5B05"/>
    <w:rsid w:val="1D695865"/>
    <w:rsid w:val="1D6C6416"/>
    <w:rsid w:val="1D6E4994"/>
    <w:rsid w:val="1D721BEB"/>
    <w:rsid w:val="1D756B77"/>
    <w:rsid w:val="1D767AC2"/>
    <w:rsid w:val="1D7801B1"/>
    <w:rsid w:val="1D794C0E"/>
    <w:rsid w:val="1D7A3D0C"/>
    <w:rsid w:val="1D7D591A"/>
    <w:rsid w:val="1D800F52"/>
    <w:rsid w:val="1D8036A7"/>
    <w:rsid w:val="1D8B2242"/>
    <w:rsid w:val="1D924494"/>
    <w:rsid w:val="1D9C5DC4"/>
    <w:rsid w:val="1D9C793C"/>
    <w:rsid w:val="1DA358F5"/>
    <w:rsid w:val="1DAB129E"/>
    <w:rsid w:val="1DB32820"/>
    <w:rsid w:val="1DB744CA"/>
    <w:rsid w:val="1DBB68C1"/>
    <w:rsid w:val="1DBC14A1"/>
    <w:rsid w:val="1DC34E94"/>
    <w:rsid w:val="1DC51C37"/>
    <w:rsid w:val="1DCA59B6"/>
    <w:rsid w:val="1DD036C4"/>
    <w:rsid w:val="1DD3487A"/>
    <w:rsid w:val="1DD93DFE"/>
    <w:rsid w:val="1DDA3F74"/>
    <w:rsid w:val="1DDC41AB"/>
    <w:rsid w:val="1DDE434A"/>
    <w:rsid w:val="1DE71485"/>
    <w:rsid w:val="1DE911DC"/>
    <w:rsid w:val="1DEB732D"/>
    <w:rsid w:val="1DEC5293"/>
    <w:rsid w:val="1DF20628"/>
    <w:rsid w:val="1DF31F30"/>
    <w:rsid w:val="1DF547E7"/>
    <w:rsid w:val="1DF74F68"/>
    <w:rsid w:val="1DF757A4"/>
    <w:rsid w:val="1DFD1EC1"/>
    <w:rsid w:val="1DFF63D9"/>
    <w:rsid w:val="1E0013BD"/>
    <w:rsid w:val="1E00349B"/>
    <w:rsid w:val="1E01299E"/>
    <w:rsid w:val="1E064931"/>
    <w:rsid w:val="1E093775"/>
    <w:rsid w:val="1E0F7812"/>
    <w:rsid w:val="1E132A4B"/>
    <w:rsid w:val="1E1E6F4A"/>
    <w:rsid w:val="1E23054F"/>
    <w:rsid w:val="1E283EE1"/>
    <w:rsid w:val="1E2B6BB4"/>
    <w:rsid w:val="1E2D0206"/>
    <w:rsid w:val="1E2F362A"/>
    <w:rsid w:val="1E316D68"/>
    <w:rsid w:val="1E3579DC"/>
    <w:rsid w:val="1E3A3CA3"/>
    <w:rsid w:val="1E3C5C0F"/>
    <w:rsid w:val="1E414E91"/>
    <w:rsid w:val="1E425FE1"/>
    <w:rsid w:val="1E52393C"/>
    <w:rsid w:val="1E5A2908"/>
    <w:rsid w:val="1E6147A7"/>
    <w:rsid w:val="1E666D13"/>
    <w:rsid w:val="1E70580B"/>
    <w:rsid w:val="1E7C5205"/>
    <w:rsid w:val="1E7E1C15"/>
    <w:rsid w:val="1E811A10"/>
    <w:rsid w:val="1E825681"/>
    <w:rsid w:val="1E847BC4"/>
    <w:rsid w:val="1E897016"/>
    <w:rsid w:val="1E8B05B1"/>
    <w:rsid w:val="1E912D96"/>
    <w:rsid w:val="1E9E7ED8"/>
    <w:rsid w:val="1EA22782"/>
    <w:rsid w:val="1EA96F39"/>
    <w:rsid w:val="1EAA4A5F"/>
    <w:rsid w:val="1EB37DB8"/>
    <w:rsid w:val="1EB9139A"/>
    <w:rsid w:val="1EBC47EE"/>
    <w:rsid w:val="1EC4505F"/>
    <w:rsid w:val="1EC97A78"/>
    <w:rsid w:val="1ED11C7A"/>
    <w:rsid w:val="1EDC229E"/>
    <w:rsid w:val="1EDC5455"/>
    <w:rsid w:val="1EE2036D"/>
    <w:rsid w:val="1EE85B46"/>
    <w:rsid w:val="1EEB0764"/>
    <w:rsid w:val="1EEB7495"/>
    <w:rsid w:val="1EED4576"/>
    <w:rsid w:val="1EF47591"/>
    <w:rsid w:val="1EF50E55"/>
    <w:rsid w:val="1EF91188"/>
    <w:rsid w:val="1EFE2D99"/>
    <w:rsid w:val="1F00510C"/>
    <w:rsid w:val="1F08237C"/>
    <w:rsid w:val="1F0A7CE3"/>
    <w:rsid w:val="1F0D0973"/>
    <w:rsid w:val="1F0D2418"/>
    <w:rsid w:val="1F102505"/>
    <w:rsid w:val="1F1329C3"/>
    <w:rsid w:val="1F142943"/>
    <w:rsid w:val="1F143B45"/>
    <w:rsid w:val="1F221A58"/>
    <w:rsid w:val="1F22268C"/>
    <w:rsid w:val="1F237B71"/>
    <w:rsid w:val="1F247119"/>
    <w:rsid w:val="1F300638"/>
    <w:rsid w:val="1F3802BD"/>
    <w:rsid w:val="1F3B2617"/>
    <w:rsid w:val="1F3B29F7"/>
    <w:rsid w:val="1F413B6B"/>
    <w:rsid w:val="1F4627F0"/>
    <w:rsid w:val="1F4C32B5"/>
    <w:rsid w:val="1F4E44EA"/>
    <w:rsid w:val="1F5273E5"/>
    <w:rsid w:val="1F547932"/>
    <w:rsid w:val="1F556AD4"/>
    <w:rsid w:val="1F5730FC"/>
    <w:rsid w:val="1F5823D7"/>
    <w:rsid w:val="1F5A3CDB"/>
    <w:rsid w:val="1F6115C2"/>
    <w:rsid w:val="1F67064C"/>
    <w:rsid w:val="1F6B21D5"/>
    <w:rsid w:val="1F6B78CA"/>
    <w:rsid w:val="1F6C6C83"/>
    <w:rsid w:val="1F714D9A"/>
    <w:rsid w:val="1F735025"/>
    <w:rsid w:val="1F745CD4"/>
    <w:rsid w:val="1F7532BF"/>
    <w:rsid w:val="1F7637BB"/>
    <w:rsid w:val="1F7913D0"/>
    <w:rsid w:val="1F877EC8"/>
    <w:rsid w:val="1F892E87"/>
    <w:rsid w:val="1F896D6A"/>
    <w:rsid w:val="1F8971FE"/>
    <w:rsid w:val="1F8C1E37"/>
    <w:rsid w:val="1F9B1820"/>
    <w:rsid w:val="1F9D73CE"/>
    <w:rsid w:val="1F9F43C5"/>
    <w:rsid w:val="1FA1003D"/>
    <w:rsid w:val="1FAA50DA"/>
    <w:rsid w:val="1FAD6425"/>
    <w:rsid w:val="1FB7700E"/>
    <w:rsid w:val="1FC66C7C"/>
    <w:rsid w:val="1FCD5207"/>
    <w:rsid w:val="1FCE1581"/>
    <w:rsid w:val="1FDC1CD1"/>
    <w:rsid w:val="1FDE0409"/>
    <w:rsid w:val="1FE66EE4"/>
    <w:rsid w:val="1FE82CB6"/>
    <w:rsid w:val="1FEE520A"/>
    <w:rsid w:val="1FEF6BCD"/>
    <w:rsid w:val="1FF25525"/>
    <w:rsid w:val="1FF74F6E"/>
    <w:rsid w:val="200107D4"/>
    <w:rsid w:val="20011343"/>
    <w:rsid w:val="20031646"/>
    <w:rsid w:val="200773EA"/>
    <w:rsid w:val="2009443E"/>
    <w:rsid w:val="200B17CD"/>
    <w:rsid w:val="200C244E"/>
    <w:rsid w:val="2015451B"/>
    <w:rsid w:val="201B133F"/>
    <w:rsid w:val="201E2D6A"/>
    <w:rsid w:val="202B184D"/>
    <w:rsid w:val="20335087"/>
    <w:rsid w:val="20342FC0"/>
    <w:rsid w:val="20367974"/>
    <w:rsid w:val="203A1F80"/>
    <w:rsid w:val="20411773"/>
    <w:rsid w:val="20430A65"/>
    <w:rsid w:val="205C4903"/>
    <w:rsid w:val="205E5455"/>
    <w:rsid w:val="206253CD"/>
    <w:rsid w:val="2065549F"/>
    <w:rsid w:val="206844E2"/>
    <w:rsid w:val="206A1198"/>
    <w:rsid w:val="20763531"/>
    <w:rsid w:val="20764455"/>
    <w:rsid w:val="207767BE"/>
    <w:rsid w:val="20793388"/>
    <w:rsid w:val="20793524"/>
    <w:rsid w:val="207D1716"/>
    <w:rsid w:val="207F50A9"/>
    <w:rsid w:val="20824483"/>
    <w:rsid w:val="208B1F73"/>
    <w:rsid w:val="208B460C"/>
    <w:rsid w:val="208E409E"/>
    <w:rsid w:val="209148F4"/>
    <w:rsid w:val="20924007"/>
    <w:rsid w:val="209604FC"/>
    <w:rsid w:val="20981BE3"/>
    <w:rsid w:val="20A371C6"/>
    <w:rsid w:val="20A82217"/>
    <w:rsid w:val="20AC1C55"/>
    <w:rsid w:val="20AE722A"/>
    <w:rsid w:val="20AF3670"/>
    <w:rsid w:val="20B2153C"/>
    <w:rsid w:val="20B719C4"/>
    <w:rsid w:val="20BC783D"/>
    <w:rsid w:val="20CC0722"/>
    <w:rsid w:val="20CC5E84"/>
    <w:rsid w:val="20DE2B59"/>
    <w:rsid w:val="20E27E99"/>
    <w:rsid w:val="20EF2CF2"/>
    <w:rsid w:val="20F93C21"/>
    <w:rsid w:val="210576C1"/>
    <w:rsid w:val="21075994"/>
    <w:rsid w:val="210C27F9"/>
    <w:rsid w:val="210D3268"/>
    <w:rsid w:val="21156B08"/>
    <w:rsid w:val="212063E8"/>
    <w:rsid w:val="212304A9"/>
    <w:rsid w:val="21324BBE"/>
    <w:rsid w:val="213B7431"/>
    <w:rsid w:val="21426512"/>
    <w:rsid w:val="21490E36"/>
    <w:rsid w:val="21496843"/>
    <w:rsid w:val="214F253B"/>
    <w:rsid w:val="215102ED"/>
    <w:rsid w:val="21541271"/>
    <w:rsid w:val="215A5F0B"/>
    <w:rsid w:val="215B4A20"/>
    <w:rsid w:val="215C3964"/>
    <w:rsid w:val="216A0E7C"/>
    <w:rsid w:val="216E3DCD"/>
    <w:rsid w:val="217059FD"/>
    <w:rsid w:val="21711101"/>
    <w:rsid w:val="21736F75"/>
    <w:rsid w:val="217A75BF"/>
    <w:rsid w:val="21820AAF"/>
    <w:rsid w:val="218F33AA"/>
    <w:rsid w:val="21915443"/>
    <w:rsid w:val="2192023F"/>
    <w:rsid w:val="219418B0"/>
    <w:rsid w:val="219624AC"/>
    <w:rsid w:val="219914E7"/>
    <w:rsid w:val="21992F02"/>
    <w:rsid w:val="219C48F2"/>
    <w:rsid w:val="21A36330"/>
    <w:rsid w:val="21A75C22"/>
    <w:rsid w:val="21AD710E"/>
    <w:rsid w:val="21BA300B"/>
    <w:rsid w:val="21BB0583"/>
    <w:rsid w:val="21BE1F94"/>
    <w:rsid w:val="21C916A0"/>
    <w:rsid w:val="21CB2176"/>
    <w:rsid w:val="21CC047A"/>
    <w:rsid w:val="21D137F5"/>
    <w:rsid w:val="21D31E26"/>
    <w:rsid w:val="21DB4B2E"/>
    <w:rsid w:val="21E36592"/>
    <w:rsid w:val="21E97DAA"/>
    <w:rsid w:val="21EA196F"/>
    <w:rsid w:val="21FA12F5"/>
    <w:rsid w:val="21FE2CDA"/>
    <w:rsid w:val="21FE57A9"/>
    <w:rsid w:val="21FE61EB"/>
    <w:rsid w:val="22021350"/>
    <w:rsid w:val="220213B0"/>
    <w:rsid w:val="220475C9"/>
    <w:rsid w:val="22064DF9"/>
    <w:rsid w:val="220C0960"/>
    <w:rsid w:val="22171D60"/>
    <w:rsid w:val="22187A5F"/>
    <w:rsid w:val="222039B6"/>
    <w:rsid w:val="2220538F"/>
    <w:rsid w:val="22240E4E"/>
    <w:rsid w:val="222614DB"/>
    <w:rsid w:val="22280ABD"/>
    <w:rsid w:val="222D42AC"/>
    <w:rsid w:val="2239026A"/>
    <w:rsid w:val="223C1917"/>
    <w:rsid w:val="22401D04"/>
    <w:rsid w:val="22407D48"/>
    <w:rsid w:val="2245244F"/>
    <w:rsid w:val="22456825"/>
    <w:rsid w:val="224A248D"/>
    <w:rsid w:val="22511CCB"/>
    <w:rsid w:val="225328B1"/>
    <w:rsid w:val="22533E70"/>
    <w:rsid w:val="22535D2C"/>
    <w:rsid w:val="22545CCC"/>
    <w:rsid w:val="225557BD"/>
    <w:rsid w:val="22580392"/>
    <w:rsid w:val="225B49EE"/>
    <w:rsid w:val="226029FF"/>
    <w:rsid w:val="226146A2"/>
    <w:rsid w:val="226A4A35"/>
    <w:rsid w:val="226A69DF"/>
    <w:rsid w:val="226F0714"/>
    <w:rsid w:val="22766A27"/>
    <w:rsid w:val="22777080"/>
    <w:rsid w:val="227773C9"/>
    <w:rsid w:val="22790775"/>
    <w:rsid w:val="227F67AC"/>
    <w:rsid w:val="2282499C"/>
    <w:rsid w:val="22832EEA"/>
    <w:rsid w:val="228501EE"/>
    <w:rsid w:val="22893BB6"/>
    <w:rsid w:val="228B4CCA"/>
    <w:rsid w:val="228B63CA"/>
    <w:rsid w:val="22957A40"/>
    <w:rsid w:val="229637C9"/>
    <w:rsid w:val="22994A63"/>
    <w:rsid w:val="22A125B8"/>
    <w:rsid w:val="22A401C8"/>
    <w:rsid w:val="22A43F3F"/>
    <w:rsid w:val="22A91030"/>
    <w:rsid w:val="22AB3C49"/>
    <w:rsid w:val="22B26FE6"/>
    <w:rsid w:val="22BC5F66"/>
    <w:rsid w:val="22BF67C1"/>
    <w:rsid w:val="22C019C1"/>
    <w:rsid w:val="22C64FDA"/>
    <w:rsid w:val="22CD52CB"/>
    <w:rsid w:val="22D05FC7"/>
    <w:rsid w:val="22D37840"/>
    <w:rsid w:val="22D44371"/>
    <w:rsid w:val="22DC722F"/>
    <w:rsid w:val="22E163EA"/>
    <w:rsid w:val="22E5322A"/>
    <w:rsid w:val="22E87266"/>
    <w:rsid w:val="22FD5E65"/>
    <w:rsid w:val="23017F65"/>
    <w:rsid w:val="230932B2"/>
    <w:rsid w:val="230E0899"/>
    <w:rsid w:val="230F2EF6"/>
    <w:rsid w:val="230F4B4A"/>
    <w:rsid w:val="23190B36"/>
    <w:rsid w:val="231A1842"/>
    <w:rsid w:val="231F531A"/>
    <w:rsid w:val="23233CA1"/>
    <w:rsid w:val="232E35A1"/>
    <w:rsid w:val="23340B28"/>
    <w:rsid w:val="23343528"/>
    <w:rsid w:val="23384E01"/>
    <w:rsid w:val="233A029C"/>
    <w:rsid w:val="233A14E6"/>
    <w:rsid w:val="233F384B"/>
    <w:rsid w:val="23400EEB"/>
    <w:rsid w:val="23427ABF"/>
    <w:rsid w:val="23447AB3"/>
    <w:rsid w:val="234536A9"/>
    <w:rsid w:val="2349023E"/>
    <w:rsid w:val="234A0828"/>
    <w:rsid w:val="23523930"/>
    <w:rsid w:val="23537D2A"/>
    <w:rsid w:val="23576491"/>
    <w:rsid w:val="23587982"/>
    <w:rsid w:val="2359771F"/>
    <w:rsid w:val="235A1C61"/>
    <w:rsid w:val="235C6F6B"/>
    <w:rsid w:val="236052FD"/>
    <w:rsid w:val="2366648B"/>
    <w:rsid w:val="23683895"/>
    <w:rsid w:val="23684AE5"/>
    <w:rsid w:val="236D7441"/>
    <w:rsid w:val="236E3632"/>
    <w:rsid w:val="23711BE2"/>
    <w:rsid w:val="23735B6A"/>
    <w:rsid w:val="237C2E6E"/>
    <w:rsid w:val="237F79CF"/>
    <w:rsid w:val="238356D8"/>
    <w:rsid w:val="23845DC9"/>
    <w:rsid w:val="2387019A"/>
    <w:rsid w:val="238E120C"/>
    <w:rsid w:val="23926A03"/>
    <w:rsid w:val="23A215AE"/>
    <w:rsid w:val="23A76D77"/>
    <w:rsid w:val="23AE0B4E"/>
    <w:rsid w:val="23AF244F"/>
    <w:rsid w:val="23B07A86"/>
    <w:rsid w:val="23B30B4A"/>
    <w:rsid w:val="23B96932"/>
    <w:rsid w:val="23BA3F9A"/>
    <w:rsid w:val="23BF0320"/>
    <w:rsid w:val="23BF7839"/>
    <w:rsid w:val="23C264F0"/>
    <w:rsid w:val="23C41FA7"/>
    <w:rsid w:val="23CC1D01"/>
    <w:rsid w:val="23CC61AF"/>
    <w:rsid w:val="23CF0E39"/>
    <w:rsid w:val="23D63B52"/>
    <w:rsid w:val="23DB57F1"/>
    <w:rsid w:val="23DD72E0"/>
    <w:rsid w:val="23E21F58"/>
    <w:rsid w:val="23E9482A"/>
    <w:rsid w:val="23F10EEC"/>
    <w:rsid w:val="23F247C8"/>
    <w:rsid w:val="23F56227"/>
    <w:rsid w:val="23F865F5"/>
    <w:rsid w:val="23FF5DE7"/>
    <w:rsid w:val="24003641"/>
    <w:rsid w:val="24074A19"/>
    <w:rsid w:val="240C3CDD"/>
    <w:rsid w:val="240D4B84"/>
    <w:rsid w:val="24125580"/>
    <w:rsid w:val="24150BCD"/>
    <w:rsid w:val="241B6FF4"/>
    <w:rsid w:val="24256863"/>
    <w:rsid w:val="242B6E5D"/>
    <w:rsid w:val="24321F21"/>
    <w:rsid w:val="24333FA6"/>
    <w:rsid w:val="243C6B3B"/>
    <w:rsid w:val="24433ABC"/>
    <w:rsid w:val="24442A39"/>
    <w:rsid w:val="24455838"/>
    <w:rsid w:val="24481A96"/>
    <w:rsid w:val="245A7F81"/>
    <w:rsid w:val="245E2956"/>
    <w:rsid w:val="2461312E"/>
    <w:rsid w:val="24641EDE"/>
    <w:rsid w:val="2471278D"/>
    <w:rsid w:val="24754FA8"/>
    <w:rsid w:val="24771276"/>
    <w:rsid w:val="247B3479"/>
    <w:rsid w:val="247F01F6"/>
    <w:rsid w:val="24804AD8"/>
    <w:rsid w:val="24815960"/>
    <w:rsid w:val="24831919"/>
    <w:rsid w:val="24832D43"/>
    <w:rsid w:val="24860B3D"/>
    <w:rsid w:val="248D31F3"/>
    <w:rsid w:val="248F168F"/>
    <w:rsid w:val="248F7E3B"/>
    <w:rsid w:val="24923BF5"/>
    <w:rsid w:val="249A71FC"/>
    <w:rsid w:val="24A026BA"/>
    <w:rsid w:val="24AA080C"/>
    <w:rsid w:val="24AA4E5A"/>
    <w:rsid w:val="24AD5E62"/>
    <w:rsid w:val="24B02412"/>
    <w:rsid w:val="24B0516D"/>
    <w:rsid w:val="24B13CF2"/>
    <w:rsid w:val="24B44889"/>
    <w:rsid w:val="24B5304C"/>
    <w:rsid w:val="24B7381B"/>
    <w:rsid w:val="24B82C42"/>
    <w:rsid w:val="24BB7D1C"/>
    <w:rsid w:val="24BF7A72"/>
    <w:rsid w:val="24C03FBB"/>
    <w:rsid w:val="24C156E8"/>
    <w:rsid w:val="24C519C3"/>
    <w:rsid w:val="24C97276"/>
    <w:rsid w:val="24CB6E68"/>
    <w:rsid w:val="24D42E06"/>
    <w:rsid w:val="24D565A6"/>
    <w:rsid w:val="24D63AFA"/>
    <w:rsid w:val="24D80578"/>
    <w:rsid w:val="24D94C63"/>
    <w:rsid w:val="24DC0D04"/>
    <w:rsid w:val="24DF2FC2"/>
    <w:rsid w:val="24E05C65"/>
    <w:rsid w:val="24E224FA"/>
    <w:rsid w:val="24E92D5B"/>
    <w:rsid w:val="24EC2862"/>
    <w:rsid w:val="24ED3DC7"/>
    <w:rsid w:val="24F040B5"/>
    <w:rsid w:val="24F81D77"/>
    <w:rsid w:val="24F87B4B"/>
    <w:rsid w:val="24FA7396"/>
    <w:rsid w:val="24FE0AAE"/>
    <w:rsid w:val="250073D2"/>
    <w:rsid w:val="2501732F"/>
    <w:rsid w:val="2504506B"/>
    <w:rsid w:val="250550E5"/>
    <w:rsid w:val="25056410"/>
    <w:rsid w:val="25083071"/>
    <w:rsid w:val="2508723E"/>
    <w:rsid w:val="2518404E"/>
    <w:rsid w:val="251D174E"/>
    <w:rsid w:val="25215DDB"/>
    <w:rsid w:val="25225F04"/>
    <w:rsid w:val="2526513C"/>
    <w:rsid w:val="252664D8"/>
    <w:rsid w:val="252F14B5"/>
    <w:rsid w:val="25392E5F"/>
    <w:rsid w:val="253A070B"/>
    <w:rsid w:val="253F7894"/>
    <w:rsid w:val="254367ED"/>
    <w:rsid w:val="254561B7"/>
    <w:rsid w:val="254835E3"/>
    <w:rsid w:val="254916FC"/>
    <w:rsid w:val="25491C3D"/>
    <w:rsid w:val="254C5964"/>
    <w:rsid w:val="25502DBD"/>
    <w:rsid w:val="25581CA6"/>
    <w:rsid w:val="25585C4C"/>
    <w:rsid w:val="25613266"/>
    <w:rsid w:val="25616395"/>
    <w:rsid w:val="25640F45"/>
    <w:rsid w:val="2580757E"/>
    <w:rsid w:val="25814517"/>
    <w:rsid w:val="258265D8"/>
    <w:rsid w:val="258A4B43"/>
    <w:rsid w:val="258B7398"/>
    <w:rsid w:val="259127A9"/>
    <w:rsid w:val="25A246E2"/>
    <w:rsid w:val="25A84CFF"/>
    <w:rsid w:val="25AA7A13"/>
    <w:rsid w:val="25AB5668"/>
    <w:rsid w:val="25AD37B3"/>
    <w:rsid w:val="25B50398"/>
    <w:rsid w:val="25C3223E"/>
    <w:rsid w:val="25D90370"/>
    <w:rsid w:val="25E24392"/>
    <w:rsid w:val="25F01691"/>
    <w:rsid w:val="25F35F81"/>
    <w:rsid w:val="25F63D8A"/>
    <w:rsid w:val="2600142C"/>
    <w:rsid w:val="26040EF9"/>
    <w:rsid w:val="26094761"/>
    <w:rsid w:val="260D3F16"/>
    <w:rsid w:val="26113C39"/>
    <w:rsid w:val="26164F4F"/>
    <w:rsid w:val="26191E67"/>
    <w:rsid w:val="261A071C"/>
    <w:rsid w:val="26265313"/>
    <w:rsid w:val="262B4BC5"/>
    <w:rsid w:val="262E6063"/>
    <w:rsid w:val="263923D8"/>
    <w:rsid w:val="2642778D"/>
    <w:rsid w:val="2644424C"/>
    <w:rsid w:val="26451C3D"/>
    <w:rsid w:val="264A73B3"/>
    <w:rsid w:val="26502006"/>
    <w:rsid w:val="2650404E"/>
    <w:rsid w:val="265359DC"/>
    <w:rsid w:val="26541F30"/>
    <w:rsid w:val="265A6D6B"/>
    <w:rsid w:val="265C3DFC"/>
    <w:rsid w:val="265E332E"/>
    <w:rsid w:val="265F7138"/>
    <w:rsid w:val="26653E14"/>
    <w:rsid w:val="267256C5"/>
    <w:rsid w:val="26775DF0"/>
    <w:rsid w:val="26786073"/>
    <w:rsid w:val="26826CBF"/>
    <w:rsid w:val="26842A0B"/>
    <w:rsid w:val="26904BE7"/>
    <w:rsid w:val="26912A88"/>
    <w:rsid w:val="26960CCC"/>
    <w:rsid w:val="26971486"/>
    <w:rsid w:val="26A95EC3"/>
    <w:rsid w:val="26AB572D"/>
    <w:rsid w:val="26AC0A84"/>
    <w:rsid w:val="26B448EF"/>
    <w:rsid w:val="26B90FBC"/>
    <w:rsid w:val="26B953D2"/>
    <w:rsid w:val="26BE19EF"/>
    <w:rsid w:val="26C000C5"/>
    <w:rsid w:val="26C012C4"/>
    <w:rsid w:val="26CF1507"/>
    <w:rsid w:val="26D40B68"/>
    <w:rsid w:val="26D855C8"/>
    <w:rsid w:val="26D85DB8"/>
    <w:rsid w:val="26DD2CCC"/>
    <w:rsid w:val="26E1123A"/>
    <w:rsid w:val="26E12BA4"/>
    <w:rsid w:val="26E9619E"/>
    <w:rsid w:val="26ED34ED"/>
    <w:rsid w:val="27054BFA"/>
    <w:rsid w:val="2717548F"/>
    <w:rsid w:val="2717685E"/>
    <w:rsid w:val="27236EE2"/>
    <w:rsid w:val="272D775D"/>
    <w:rsid w:val="272E76AB"/>
    <w:rsid w:val="2741540F"/>
    <w:rsid w:val="274C7D91"/>
    <w:rsid w:val="274E13C1"/>
    <w:rsid w:val="274E6246"/>
    <w:rsid w:val="2750663D"/>
    <w:rsid w:val="27582A09"/>
    <w:rsid w:val="27591189"/>
    <w:rsid w:val="275B723E"/>
    <w:rsid w:val="276753BE"/>
    <w:rsid w:val="276D1601"/>
    <w:rsid w:val="27700A63"/>
    <w:rsid w:val="27742565"/>
    <w:rsid w:val="277449F7"/>
    <w:rsid w:val="2774639E"/>
    <w:rsid w:val="27767130"/>
    <w:rsid w:val="27797F89"/>
    <w:rsid w:val="277B55D0"/>
    <w:rsid w:val="277D2A62"/>
    <w:rsid w:val="27815695"/>
    <w:rsid w:val="27822A1D"/>
    <w:rsid w:val="278233EF"/>
    <w:rsid w:val="278D4E78"/>
    <w:rsid w:val="278E54D7"/>
    <w:rsid w:val="27985C5A"/>
    <w:rsid w:val="27A300F0"/>
    <w:rsid w:val="27A42C07"/>
    <w:rsid w:val="27A6670B"/>
    <w:rsid w:val="27A86103"/>
    <w:rsid w:val="27B30E28"/>
    <w:rsid w:val="27B32D86"/>
    <w:rsid w:val="27C272BD"/>
    <w:rsid w:val="27C428B3"/>
    <w:rsid w:val="27CA5574"/>
    <w:rsid w:val="27D66A20"/>
    <w:rsid w:val="27DA7D59"/>
    <w:rsid w:val="27E15B96"/>
    <w:rsid w:val="27E3014D"/>
    <w:rsid w:val="27E54C1D"/>
    <w:rsid w:val="27E56059"/>
    <w:rsid w:val="27F22BF5"/>
    <w:rsid w:val="27F63F54"/>
    <w:rsid w:val="27F84A8D"/>
    <w:rsid w:val="27FF43DB"/>
    <w:rsid w:val="28056669"/>
    <w:rsid w:val="2808401D"/>
    <w:rsid w:val="2809762A"/>
    <w:rsid w:val="280A0E5F"/>
    <w:rsid w:val="280C387E"/>
    <w:rsid w:val="280C702D"/>
    <w:rsid w:val="28122977"/>
    <w:rsid w:val="28174225"/>
    <w:rsid w:val="28174ABD"/>
    <w:rsid w:val="281D4897"/>
    <w:rsid w:val="282062D3"/>
    <w:rsid w:val="28213804"/>
    <w:rsid w:val="28262867"/>
    <w:rsid w:val="28293C4C"/>
    <w:rsid w:val="282B4683"/>
    <w:rsid w:val="282B764D"/>
    <w:rsid w:val="282C38D7"/>
    <w:rsid w:val="28323DE3"/>
    <w:rsid w:val="28334590"/>
    <w:rsid w:val="283639EA"/>
    <w:rsid w:val="28371833"/>
    <w:rsid w:val="28395D40"/>
    <w:rsid w:val="283C348E"/>
    <w:rsid w:val="28434D41"/>
    <w:rsid w:val="28495B20"/>
    <w:rsid w:val="284A4AAF"/>
    <w:rsid w:val="285005C2"/>
    <w:rsid w:val="28526D02"/>
    <w:rsid w:val="285D7806"/>
    <w:rsid w:val="285F1CB3"/>
    <w:rsid w:val="28627DFD"/>
    <w:rsid w:val="2863462E"/>
    <w:rsid w:val="287A29BE"/>
    <w:rsid w:val="287E247F"/>
    <w:rsid w:val="28872CAA"/>
    <w:rsid w:val="2888135E"/>
    <w:rsid w:val="28894068"/>
    <w:rsid w:val="288A359B"/>
    <w:rsid w:val="288E0F4E"/>
    <w:rsid w:val="289226FC"/>
    <w:rsid w:val="28932C71"/>
    <w:rsid w:val="289522DC"/>
    <w:rsid w:val="289724F8"/>
    <w:rsid w:val="28992526"/>
    <w:rsid w:val="289D09C8"/>
    <w:rsid w:val="289E4D4A"/>
    <w:rsid w:val="28A308FE"/>
    <w:rsid w:val="28A737C9"/>
    <w:rsid w:val="28AA2B9C"/>
    <w:rsid w:val="28AF37AD"/>
    <w:rsid w:val="28AF6C11"/>
    <w:rsid w:val="28B5472C"/>
    <w:rsid w:val="28B83E7F"/>
    <w:rsid w:val="28BF6A78"/>
    <w:rsid w:val="28C00510"/>
    <w:rsid w:val="28C53F44"/>
    <w:rsid w:val="28C704F9"/>
    <w:rsid w:val="28C718E6"/>
    <w:rsid w:val="28CB74CE"/>
    <w:rsid w:val="28D42E3F"/>
    <w:rsid w:val="28D966F9"/>
    <w:rsid w:val="28E03E9F"/>
    <w:rsid w:val="28E17210"/>
    <w:rsid w:val="28EA7DF9"/>
    <w:rsid w:val="28EC5F6B"/>
    <w:rsid w:val="28F0503F"/>
    <w:rsid w:val="28F05FD3"/>
    <w:rsid w:val="28F76A77"/>
    <w:rsid w:val="28F87350"/>
    <w:rsid w:val="28FA0EE7"/>
    <w:rsid w:val="28FC235B"/>
    <w:rsid w:val="28FC5743"/>
    <w:rsid w:val="290010F9"/>
    <w:rsid w:val="29017061"/>
    <w:rsid w:val="290419A6"/>
    <w:rsid w:val="29043275"/>
    <w:rsid w:val="29097048"/>
    <w:rsid w:val="290D1AC0"/>
    <w:rsid w:val="290F72B0"/>
    <w:rsid w:val="291148BF"/>
    <w:rsid w:val="29143DE8"/>
    <w:rsid w:val="29150B8F"/>
    <w:rsid w:val="29151C7F"/>
    <w:rsid w:val="291A16E9"/>
    <w:rsid w:val="291A7892"/>
    <w:rsid w:val="291B4F0B"/>
    <w:rsid w:val="291C47AB"/>
    <w:rsid w:val="29250179"/>
    <w:rsid w:val="292C44B9"/>
    <w:rsid w:val="29320536"/>
    <w:rsid w:val="29323FCF"/>
    <w:rsid w:val="293C217A"/>
    <w:rsid w:val="29436383"/>
    <w:rsid w:val="29443BBE"/>
    <w:rsid w:val="294F4CD5"/>
    <w:rsid w:val="2961778A"/>
    <w:rsid w:val="296B1CFB"/>
    <w:rsid w:val="297273F1"/>
    <w:rsid w:val="297B049B"/>
    <w:rsid w:val="297F4413"/>
    <w:rsid w:val="298743D2"/>
    <w:rsid w:val="29887B09"/>
    <w:rsid w:val="29954242"/>
    <w:rsid w:val="2998613F"/>
    <w:rsid w:val="299D26DF"/>
    <w:rsid w:val="299D769A"/>
    <w:rsid w:val="29A169DA"/>
    <w:rsid w:val="29A26B02"/>
    <w:rsid w:val="29A76B41"/>
    <w:rsid w:val="29AD79E0"/>
    <w:rsid w:val="29B37E7E"/>
    <w:rsid w:val="29BC7FD0"/>
    <w:rsid w:val="29C54743"/>
    <w:rsid w:val="29CE3316"/>
    <w:rsid w:val="29D1599C"/>
    <w:rsid w:val="29D30D60"/>
    <w:rsid w:val="29DC189F"/>
    <w:rsid w:val="29DD27B3"/>
    <w:rsid w:val="29DF1F95"/>
    <w:rsid w:val="29E8439B"/>
    <w:rsid w:val="29F12D70"/>
    <w:rsid w:val="29F84772"/>
    <w:rsid w:val="29F92BC9"/>
    <w:rsid w:val="2A0054F3"/>
    <w:rsid w:val="2A043BBD"/>
    <w:rsid w:val="2A065E10"/>
    <w:rsid w:val="2A0725D0"/>
    <w:rsid w:val="2A095EC4"/>
    <w:rsid w:val="2A1F72C5"/>
    <w:rsid w:val="2A22714B"/>
    <w:rsid w:val="2A2C63EF"/>
    <w:rsid w:val="2A30123E"/>
    <w:rsid w:val="2A347694"/>
    <w:rsid w:val="2A3C6EB3"/>
    <w:rsid w:val="2A3F1D78"/>
    <w:rsid w:val="2A425649"/>
    <w:rsid w:val="2A473AAA"/>
    <w:rsid w:val="2A491555"/>
    <w:rsid w:val="2A4A4295"/>
    <w:rsid w:val="2A4B4100"/>
    <w:rsid w:val="2A4C256C"/>
    <w:rsid w:val="2A5131AC"/>
    <w:rsid w:val="2A561CE3"/>
    <w:rsid w:val="2A565240"/>
    <w:rsid w:val="2A5A76BD"/>
    <w:rsid w:val="2A5F09DA"/>
    <w:rsid w:val="2A6763FB"/>
    <w:rsid w:val="2A6D20AC"/>
    <w:rsid w:val="2A797D89"/>
    <w:rsid w:val="2A8F6D34"/>
    <w:rsid w:val="2A904F8C"/>
    <w:rsid w:val="2A9123C9"/>
    <w:rsid w:val="2A950CB9"/>
    <w:rsid w:val="2A9860B3"/>
    <w:rsid w:val="2AA1318E"/>
    <w:rsid w:val="2AA34C93"/>
    <w:rsid w:val="2AAB524C"/>
    <w:rsid w:val="2AAE79B2"/>
    <w:rsid w:val="2AAF7ACC"/>
    <w:rsid w:val="2AB22586"/>
    <w:rsid w:val="2AB82590"/>
    <w:rsid w:val="2AC375D4"/>
    <w:rsid w:val="2ACA7D78"/>
    <w:rsid w:val="2ACE03AA"/>
    <w:rsid w:val="2ACF0404"/>
    <w:rsid w:val="2AD10DA5"/>
    <w:rsid w:val="2AD40674"/>
    <w:rsid w:val="2AD64097"/>
    <w:rsid w:val="2ADE2BD1"/>
    <w:rsid w:val="2AE138CC"/>
    <w:rsid w:val="2AE2655D"/>
    <w:rsid w:val="2AE3474A"/>
    <w:rsid w:val="2AE734BE"/>
    <w:rsid w:val="2AE93CCC"/>
    <w:rsid w:val="2AF31B5F"/>
    <w:rsid w:val="2AF55EC3"/>
    <w:rsid w:val="2AFF4FFD"/>
    <w:rsid w:val="2B043148"/>
    <w:rsid w:val="2B0A1C76"/>
    <w:rsid w:val="2B0B2712"/>
    <w:rsid w:val="2B0D324F"/>
    <w:rsid w:val="2B0F4D2D"/>
    <w:rsid w:val="2B107A2C"/>
    <w:rsid w:val="2B1C595C"/>
    <w:rsid w:val="2B1D3873"/>
    <w:rsid w:val="2B1E55DE"/>
    <w:rsid w:val="2B2448BD"/>
    <w:rsid w:val="2B262854"/>
    <w:rsid w:val="2B2740C2"/>
    <w:rsid w:val="2B290F90"/>
    <w:rsid w:val="2B2C6241"/>
    <w:rsid w:val="2B2E3048"/>
    <w:rsid w:val="2B2F07C6"/>
    <w:rsid w:val="2B3362C8"/>
    <w:rsid w:val="2B3A66C1"/>
    <w:rsid w:val="2B3D6746"/>
    <w:rsid w:val="2B3F0C67"/>
    <w:rsid w:val="2B3F3D48"/>
    <w:rsid w:val="2B471D05"/>
    <w:rsid w:val="2B4A744A"/>
    <w:rsid w:val="2B4E4F5E"/>
    <w:rsid w:val="2B4F2C16"/>
    <w:rsid w:val="2B5E6D88"/>
    <w:rsid w:val="2B6118E9"/>
    <w:rsid w:val="2B666E05"/>
    <w:rsid w:val="2B6C27F7"/>
    <w:rsid w:val="2B6F71B7"/>
    <w:rsid w:val="2B764AB1"/>
    <w:rsid w:val="2B854E88"/>
    <w:rsid w:val="2B8A16BA"/>
    <w:rsid w:val="2B8B4246"/>
    <w:rsid w:val="2B8C71FF"/>
    <w:rsid w:val="2B8E0234"/>
    <w:rsid w:val="2B8F0209"/>
    <w:rsid w:val="2B9566C7"/>
    <w:rsid w:val="2B98685A"/>
    <w:rsid w:val="2BA92395"/>
    <w:rsid w:val="2BAA34EE"/>
    <w:rsid w:val="2BAB6961"/>
    <w:rsid w:val="2BAC2538"/>
    <w:rsid w:val="2BAC4EA2"/>
    <w:rsid w:val="2BB228ED"/>
    <w:rsid w:val="2BB44BC2"/>
    <w:rsid w:val="2BB559F9"/>
    <w:rsid w:val="2BB71E6C"/>
    <w:rsid w:val="2BC06B77"/>
    <w:rsid w:val="2BC51596"/>
    <w:rsid w:val="2BC842A6"/>
    <w:rsid w:val="2BD10A68"/>
    <w:rsid w:val="2BD770EB"/>
    <w:rsid w:val="2BDF25FC"/>
    <w:rsid w:val="2BE060E4"/>
    <w:rsid w:val="2BE218AF"/>
    <w:rsid w:val="2BEA23E3"/>
    <w:rsid w:val="2BEA6720"/>
    <w:rsid w:val="2BEE566C"/>
    <w:rsid w:val="2BF64104"/>
    <w:rsid w:val="2BF922A5"/>
    <w:rsid w:val="2BFB3D45"/>
    <w:rsid w:val="2BFB76FE"/>
    <w:rsid w:val="2BFD60CC"/>
    <w:rsid w:val="2C022B48"/>
    <w:rsid w:val="2C0505C3"/>
    <w:rsid w:val="2C052FF4"/>
    <w:rsid w:val="2C065C00"/>
    <w:rsid w:val="2C1E7215"/>
    <w:rsid w:val="2C200CB6"/>
    <w:rsid w:val="2C292572"/>
    <w:rsid w:val="2C2A5FFD"/>
    <w:rsid w:val="2C2E0FDF"/>
    <w:rsid w:val="2C2F5C6F"/>
    <w:rsid w:val="2C3201ED"/>
    <w:rsid w:val="2C38256F"/>
    <w:rsid w:val="2C416245"/>
    <w:rsid w:val="2C46438D"/>
    <w:rsid w:val="2C467FCF"/>
    <w:rsid w:val="2C4D0234"/>
    <w:rsid w:val="2C504618"/>
    <w:rsid w:val="2C5620A7"/>
    <w:rsid w:val="2C5648B6"/>
    <w:rsid w:val="2C576162"/>
    <w:rsid w:val="2C58747E"/>
    <w:rsid w:val="2C593CFD"/>
    <w:rsid w:val="2C633C2F"/>
    <w:rsid w:val="2C67305F"/>
    <w:rsid w:val="2C6B14FA"/>
    <w:rsid w:val="2C6F617D"/>
    <w:rsid w:val="2C702999"/>
    <w:rsid w:val="2C7566AC"/>
    <w:rsid w:val="2C7926C4"/>
    <w:rsid w:val="2C797644"/>
    <w:rsid w:val="2C7D78D1"/>
    <w:rsid w:val="2C7F6215"/>
    <w:rsid w:val="2C8708B0"/>
    <w:rsid w:val="2C8A6BCE"/>
    <w:rsid w:val="2C8B5775"/>
    <w:rsid w:val="2C8B59DE"/>
    <w:rsid w:val="2C8C4B8D"/>
    <w:rsid w:val="2C8F5359"/>
    <w:rsid w:val="2C95542B"/>
    <w:rsid w:val="2C975B3D"/>
    <w:rsid w:val="2C9A4365"/>
    <w:rsid w:val="2CA86F09"/>
    <w:rsid w:val="2CB01DDA"/>
    <w:rsid w:val="2CB06B6E"/>
    <w:rsid w:val="2CB46C51"/>
    <w:rsid w:val="2CB8786B"/>
    <w:rsid w:val="2CC73739"/>
    <w:rsid w:val="2CCD473A"/>
    <w:rsid w:val="2CD43D6F"/>
    <w:rsid w:val="2CD6104D"/>
    <w:rsid w:val="2CD713ED"/>
    <w:rsid w:val="2CDF451F"/>
    <w:rsid w:val="2CE0059C"/>
    <w:rsid w:val="2CE06335"/>
    <w:rsid w:val="2CE316B9"/>
    <w:rsid w:val="2CED1C59"/>
    <w:rsid w:val="2CED21F7"/>
    <w:rsid w:val="2CF47176"/>
    <w:rsid w:val="2CF50703"/>
    <w:rsid w:val="2CF5280A"/>
    <w:rsid w:val="2CFA7B47"/>
    <w:rsid w:val="2CFC470E"/>
    <w:rsid w:val="2CFC6AD8"/>
    <w:rsid w:val="2CFE2AAD"/>
    <w:rsid w:val="2D102C6A"/>
    <w:rsid w:val="2D1D0AEC"/>
    <w:rsid w:val="2D1D35C2"/>
    <w:rsid w:val="2D2149D4"/>
    <w:rsid w:val="2D262779"/>
    <w:rsid w:val="2D280DDE"/>
    <w:rsid w:val="2D2B2FCA"/>
    <w:rsid w:val="2D2D5BF8"/>
    <w:rsid w:val="2D307CE0"/>
    <w:rsid w:val="2D3155C2"/>
    <w:rsid w:val="2D340315"/>
    <w:rsid w:val="2D342297"/>
    <w:rsid w:val="2D39071A"/>
    <w:rsid w:val="2D3A3E54"/>
    <w:rsid w:val="2D436D0C"/>
    <w:rsid w:val="2D4C71CC"/>
    <w:rsid w:val="2D522607"/>
    <w:rsid w:val="2D541FAB"/>
    <w:rsid w:val="2D5945EB"/>
    <w:rsid w:val="2D5B051D"/>
    <w:rsid w:val="2D6673B1"/>
    <w:rsid w:val="2D6836EB"/>
    <w:rsid w:val="2D6E53F0"/>
    <w:rsid w:val="2D71679D"/>
    <w:rsid w:val="2D724B13"/>
    <w:rsid w:val="2D757A73"/>
    <w:rsid w:val="2D776454"/>
    <w:rsid w:val="2D7A5033"/>
    <w:rsid w:val="2D7A7737"/>
    <w:rsid w:val="2D7D42F5"/>
    <w:rsid w:val="2D892B73"/>
    <w:rsid w:val="2D8C7352"/>
    <w:rsid w:val="2D8D0CCD"/>
    <w:rsid w:val="2D8F19F0"/>
    <w:rsid w:val="2D901448"/>
    <w:rsid w:val="2D990AC0"/>
    <w:rsid w:val="2D9A20EA"/>
    <w:rsid w:val="2DA213B8"/>
    <w:rsid w:val="2DAD00C8"/>
    <w:rsid w:val="2DB2508D"/>
    <w:rsid w:val="2DBA7C92"/>
    <w:rsid w:val="2DC801AF"/>
    <w:rsid w:val="2DCB2D65"/>
    <w:rsid w:val="2DCC5529"/>
    <w:rsid w:val="2DD6138C"/>
    <w:rsid w:val="2DDB7114"/>
    <w:rsid w:val="2DDF005E"/>
    <w:rsid w:val="2DE50F03"/>
    <w:rsid w:val="2DE74213"/>
    <w:rsid w:val="2DF923C9"/>
    <w:rsid w:val="2DFC6B20"/>
    <w:rsid w:val="2DFD18F8"/>
    <w:rsid w:val="2DFE5A79"/>
    <w:rsid w:val="2E00644A"/>
    <w:rsid w:val="2E052360"/>
    <w:rsid w:val="2E07649A"/>
    <w:rsid w:val="2E102487"/>
    <w:rsid w:val="2E1245E6"/>
    <w:rsid w:val="2E1E3C12"/>
    <w:rsid w:val="2E225AD0"/>
    <w:rsid w:val="2E240DC8"/>
    <w:rsid w:val="2E264BCB"/>
    <w:rsid w:val="2E2C3371"/>
    <w:rsid w:val="2E356E01"/>
    <w:rsid w:val="2E387FD6"/>
    <w:rsid w:val="2E452E04"/>
    <w:rsid w:val="2E4758B4"/>
    <w:rsid w:val="2E522C09"/>
    <w:rsid w:val="2E532A1D"/>
    <w:rsid w:val="2E5829A2"/>
    <w:rsid w:val="2E5B5D88"/>
    <w:rsid w:val="2E6A71FE"/>
    <w:rsid w:val="2E6D467F"/>
    <w:rsid w:val="2E7035CF"/>
    <w:rsid w:val="2E733682"/>
    <w:rsid w:val="2E7B1F1C"/>
    <w:rsid w:val="2E8750BA"/>
    <w:rsid w:val="2E8949FE"/>
    <w:rsid w:val="2E8A646E"/>
    <w:rsid w:val="2E8C224A"/>
    <w:rsid w:val="2E9C2725"/>
    <w:rsid w:val="2EA652DD"/>
    <w:rsid w:val="2EAA251C"/>
    <w:rsid w:val="2EB125B5"/>
    <w:rsid w:val="2EB86AFF"/>
    <w:rsid w:val="2EBC05C2"/>
    <w:rsid w:val="2EBF7203"/>
    <w:rsid w:val="2EC14FAD"/>
    <w:rsid w:val="2EC26AFB"/>
    <w:rsid w:val="2EC30D7A"/>
    <w:rsid w:val="2EC456C9"/>
    <w:rsid w:val="2ECA286E"/>
    <w:rsid w:val="2ECE4E7D"/>
    <w:rsid w:val="2ED059ED"/>
    <w:rsid w:val="2ED30F63"/>
    <w:rsid w:val="2ED35C19"/>
    <w:rsid w:val="2ED90300"/>
    <w:rsid w:val="2EDA450F"/>
    <w:rsid w:val="2EDC017C"/>
    <w:rsid w:val="2EE03BFD"/>
    <w:rsid w:val="2EE23EC1"/>
    <w:rsid w:val="2EE925A1"/>
    <w:rsid w:val="2EEB1792"/>
    <w:rsid w:val="2EFC5B77"/>
    <w:rsid w:val="2EFE0E6E"/>
    <w:rsid w:val="2F057684"/>
    <w:rsid w:val="2F0707E2"/>
    <w:rsid w:val="2F0967C7"/>
    <w:rsid w:val="2F0B118F"/>
    <w:rsid w:val="2F15372C"/>
    <w:rsid w:val="2F1D2C07"/>
    <w:rsid w:val="2F231FA7"/>
    <w:rsid w:val="2F271075"/>
    <w:rsid w:val="2F286E4D"/>
    <w:rsid w:val="2F2E5D47"/>
    <w:rsid w:val="2F3442C4"/>
    <w:rsid w:val="2F3B1E2F"/>
    <w:rsid w:val="2F4922E8"/>
    <w:rsid w:val="2F4E2097"/>
    <w:rsid w:val="2F516B55"/>
    <w:rsid w:val="2F52686E"/>
    <w:rsid w:val="2F596DFA"/>
    <w:rsid w:val="2F5B563D"/>
    <w:rsid w:val="2F677C9D"/>
    <w:rsid w:val="2F773238"/>
    <w:rsid w:val="2F7C008C"/>
    <w:rsid w:val="2F7D6663"/>
    <w:rsid w:val="2F8643D2"/>
    <w:rsid w:val="2F917CDB"/>
    <w:rsid w:val="2F927575"/>
    <w:rsid w:val="2F9956A0"/>
    <w:rsid w:val="2FA07338"/>
    <w:rsid w:val="2FA77EB1"/>
    <w:rsid w:val="2FB12B07"/>
    <w:rsid w:val="2FB366BE"/>
    <w:rsid w:val="2FBC2EC4"/>
    <w:rsid w:val="2FC13D97"/>
    <w:rsid w:val="2FC436AA"/>
    <w:rsid w:val="2FCB5B26"/>
    <w:rsid w:val="2FCF4190"/>
    <w:rsid w:val="2FD1009E"/>
    <w:rsid w:val="2FD42A1D"/>
    <w:rsid w:val="2FDF627E"/>
    <w:rsid w:val="2FE72C9A"/>
    <w:rsid w:val="2FEC3302"/>
    <w:rsid w:val="2FEE4782"/>
    <w:rsid w:val="2FF15BAC"/>
    <w:rsid w:val="2FF31A50"/>
    <w:rsid w:val="2FF921CA"/>
    <w:rsid w:val="2FFC1ECB"/>
    <w:rsid w:val="3002415D"/>
    <w:rsid w:val="30064399"/>
    <w:rsid w:val="300A18C1"/>
    <w:rsid w:val="30120D3F"/>
    <w:rsid w:val="3012245A"/>
    <w:rsid w:val="30136908"/>
    <w:rsid w:val="301B548F"/>
    <w:rsid w:val="3025143C"/>
    <w:rsid w:val="3025516C"/>
    <w:rsid w:val="30347F44"/>
    <w:rsid w:val="303A3B9F"/>
    <w:rsid w:val="303D3B8D"/>
    <w:rsid w:val="304144D7"/>
    <w:rsid w:val="30414DB1"/>
    <w:rsid w:val="30466CDD"/>
    <w:rsid w:val="304F5A8E"/>
    <w:rsid w:val="30554E8D"/>
    <w:rsid w:val="30584087"/>
    <w:rsid w:val="30596E4E"/>
    <w:rsid w:val="305A3021"/>
    <w:rsid w:val="305C24C5"/>
    <w:rsid w:val="306520C7"/>
    <w:rsid w:val="30683E50"/>
    <w:rsid w:val="306A04D3"/>
    <w:rsid w:val="306B38C6"/>
    <w:rsid w:val="306B5282"/>
    <w:rsid w:val="307046F3"/>
    <w:rsid w:val="307927FC"/>
    <w:rsid w:val="30827834"/>
    <w:rsid w:val="3083080E"/>
    <w:rsid w:val="308A366F"/>
    <w:rsid w:val="308C3955"/>
    <w:rsid w:val="309E46E7"/>
    <w:rsid w:val="30A11B70"/>
    <w:rsid w:val="30A23D70"/>
    <w:rsid w:val="30A65DAA"/>
    <w:rsid w:val="30A752A2"/>
    <w:rsid w:val="30B714E6"/>
    <w:rsid w:val="30B978AD"/>
    <w:rsid w:val="30BF536D"/>
    <w:rsid w:val="30C420CE"/>
    <w:rsid w:val="30C75C6C"/>
    <w:rsid w:val="30C76898"/>
    <w:rsid w:val="30C77ACB"/>
    <w:rsid w:val="30C840CE"/>
    <w:rsid w:val="30C84BFB"/>
    <w:rsid w:val="30C96FC7"/>
    <w:rsid w:val="30CB2D3F"/>
    <w:rsid w:val="30D14F35"/>
    <w:rsid w:val="30D51E0F"/>
    <w:rsid w:val="30D55CDB"/>
    <w:rsid w:val="30D65A4C"/>
    <w:rsid w:val="30DB033C"/>
    <w:rsid w:val="30E30A7F"/>
    <w:rsid w:val="30E81B43"/>
    <w:rsid w:val="30E94ECD"/>
    <w:rsid w:val="30EB3ABA"/>
    <w:rsid w:val="30EC4D7A"/>
    <w:rsid w:val="30EE4C7F"/>
    <w:rsid w:val="30EF759B"/>
    <w:rsid w:val="30F132B5"/>
    <w:rsid w:val="30F42F95"/>
    <w:rsid w:val="30F578C5"/>
    <w:rsid w:val="30F9772F"/>
    <w:rsid w:val="31022617"/>
    <w:rsid w:val="310B6B8E"/>
    <w:rsid w:val="310F3115"/>
    <w:rsid w:val="31165B12"/>
    <w:rsid w:val="311674C9"/>
    <w:rsid w:val="31192DC9"/>
    <w:rsid w:val="31243BF4"/>
    <w:rsid w:val="31244B45"/>
    <w:rsid w:val="312608BD"/>
    <w:rsid w:val="31283F62"/>
    <w:rsid w:val="312A0143"/>
    <w:rsid w:val="313703D4"/>
    <w:rsid w:val="31374878"/>
    <w:rsid w:val="31394F78"/>
    <w:rsid w:val="313C3CC5"/>
    <w:rsid w:val="31403AFD"/>
    <w:rsid w:val="31407160"/>
    <w:rsid w:val="314C21E7"/>
    <w:rsid w:val="315136CB"/>
    <w:rsid w:val="3154145B"/>
    <w:rsid w:val="31550E45"/>
    <w:rsid w:val="31552626"/>
    <w:rsid w:val="3159481C"/>
    <w:rsid w:val="315A445F"/>
    <w:rsid w:val="3166246B"/>
    <w:rsid w:val="31681B00"/>
    <w:rsid w:val="31682DDD"/>
    <w:rsid w:val="31683641"/>
    <w:rsid w:val="316D38A6"/>
    <w:rsid w:val="31722224"/>
    <w:rsid w:val="317C0959"/>
    <w:rsid w:val="31822200"/>
    <w:rsid w:val="318536A7"/>
    <w:rsid w:val="31856625"/>
    <w:rsid w:val="318743F0"/>
    <w:rsid w:val="318A2816"/>
    <w:rsid w:val="318E7610"/>
    <w:rsid w:val="31952324"/>
    <w:rsid w:val="319F4CA7"/>
    <w:rsid w:val="31A057D5"/>
    <w:rsid w:val="31A05AB3"/>
    <w:rsid w:val="31A463D0"/>
    <w:rsid w:val="31A4747C"/>
    <w:rsid w:val="31A740BD"/>
    <w:rsid w:val="31A91AB2"/>
    <w:rsid w:val="31AD1EA0"/>
    <w:rsid w:val="31AE419B"/>
    <w:rsid w:val="31AE743D"/>
    <w:rsid w:val="31AF1C83"/>
    <w:rsid w:val="31AF2D6E"/>
    <w:rsid w:val="31B9288D"/>
    <w:rsid w:val="31B950DF"/>
    <w:rsid w:val="31BF78CA"/>
    <w:rsid w:val="31C854D0"/>
    <w:rsid w:val="31CC004F"/>
    <w:rsid w:val="31CE3800"/>
    <w:rsid w:val="31D200FD"/>
    <w:rsid w:val="31D83A95"/>
    <w:rsid w:val="31DA49B4"/>
    <w:rsid w:val="31DE5CA8"/>
    <w:rsid w:val="31E5432D"/>
    <w:rsid w:val="31EA107F"/>
    <w:rsid w:val="31EB05E9"/>
    <w:rsid w:val="31EB11BF"/>
    <w:rsid w:val="31EB3250"/>
    <w:rsid w:val="31F01048"/>
    <w:rsid w:val="31F513FE"/>
    <w:rsid w:val="31F525F5"/>
    <w:rsid w:val="31F63AAD"/>
    <w:rsid w:val="31F87A1D"/>
    <w:rsid w:val="31F900D6"/>
    <w:rsid w:val="320279EA"/>
    <w:rsid w:val="321659CD"/>
    <w:rsid w:val="321D1267"/>
    <w:rsid w:val="321E4626"/>
    <w:rsid w:val="32205069"/>
    <w:rsid w:val="32234160"/>
    <w:rsid w:val="322638B3"/>
    <w:rsid w:val="3229655F"/>
    <w:rsid w:val="322E35AC"/>
    <w:rsid w:val="322E4B33"/>
    <w:rsid w:val="32362EC9"/>
    <w:rsid w:val="3236455C"/>
    <w:rsid w:val="32385DDC"/>
    <w:rsid w:val="32431EEA"/>
    <w:rsid w:val="32453CCC"/>
    <w:rsid w:val="32466CE3"/>
    <w:rsid w:val="324B74C0"/>
    <w:rsid w:val="324D0156"/>
    <w:rsid w:val="324E5FB6"/>
    <w:rsid w:val="32536502"/>
    <w:rsid w:val="3258125A"/>
    <w:rsid w:val="326112D5"/>
    <w:rsid w:val="326762F8"/>
    <w:rsid w:val="326C3078"/>
    <w:rsid w:val="326E0DE5"/>
    <w:rsid w:val="327013C3"/>
    <w:rsid w:val="32713DBA"/>
    <w:rsid w:val="32720616"/>
    <w:rsid w:val="32722DF5"/>
    <w:rsid w:val="327576CA"/>
    <w:rsid w:val="32770721"/>
    <w:rsid w:val="32771F77"/>
    <w:rsid w:val="327E3921"/>
    <w:rsid w:val="32804EFF"/>
    <w:rsid w:val="328305B8"/>
    <w:rsid w:val="328925E6"/>
    <w:rsid w:val="328D7202"/>
    <w:rsid w:val="328E1A69"/>
    <w:rsid w:val="329117F0"/>
    <w:rsid w:val="32923494"/>
    <w:rsid w:val="32A44A40"/>
    <w:rsid w:val="32A716A4"/>
    <w:rsid w:val="32A77DB3"/>
    <w:rsid w:val="32AC0031"/>
    <w:rsid w:val="32AE46C6"/>
    <w:rsid w:val="32B018BB"/>
    <w:rsid w:val="32B55527"/>
    <w:rsid w:val="32B7032D"/>
    <w:rsid w:val="32BB2259"/>
    <w:rsid w:val="32CD7EEE"/>
    <w:rsid w:val="32D47450"/>
    <w:rsid w:val="32DA5F4E"/>
    <w:rsid w:val="32E14F2A"/>
    <w:rsid w:val="32E60304"/>
    <w:rsid w:val="32EB72F3"/>
    <w:rsid w:val="32F17658"/>
    <w:rsid w:val="32F87ED7"/>
    <w:rsid w:val="32FC1B87"/>
    <w:rsid w:val="32FC385D"/>
    <w:rsid w:val="32FD541E"/>
    <w:rsid w:val="32FE4979"/>
    <w:rsid w:val="32FF1B7E"/>
    <w:rsid w:val="33091B2E"/>
    <w:rsid w:val="33121F67"/>
    <w:rsid w:val="33175429"/>
    <w:rsid w:val="331A70EA"/>
    <w:rsid w:val="331C6E67"/>
    <w:rsid w:val="332151F1"/>
    <w:rsid w:val="33353039"/>
    <w:rsid w:val="33380434"/>
    <w:rsid w:val="33390827"/>
    <w:rsid w:val="3339267A"/>
    <w:rsid w:val="333F2D87"/>
    <w:rsid w:val="33435FD0"/>
    <w:rsid w:val="334E0EF9"/>
    <w:rsid w:val="33501D87"/>
    <w:rsid w:val="33512D71"/>
    <w:rsid w:val="33524A1C"/>
    <w:rsid w:val="3352635E"/>
    <w:rsid w:val="33534609"/>
    <w:rsid w:val="335841FD"/>
    <w:rsid w:val="335B7402"/>
    <w:rsid w:val="3361533A"/>
    <w:rsid w:val="33623264"/>
    <w:rsid w:val="3366667F"/>
    <w:rsid w:val="336A06F5"/>
    <w:rsid w:val="336B6A5B"/>
    <w:rsid w:val="336E65D6"/>
    <w:rsid w:val="33753436"/>
    <w:rsid w:val="337667EA"/>
    <w:rsid w:val="3385661C"/>
    <w:rsid w:val="33873379"/>
    <w:rsid w:val="339317A0"/>
    <w:rsid w:val="339345F6"/>
    <w:rsid w:val="339A434A"/>
    <w:rsid w:val="339E0BDF"/>
    <w:rsid w:val="33A146B4"/>
    <w:rsid w:val="33A47FFB"/>
    <w:rsid w:val="33A5157D"/>
    <w:rsid w:val="33A51E54"/>
    <w:rsid w:val="33A67F42"/>
    <w:rsid w:val="33AB50AB"/>
    <w:rsid w:val="33AC1E48"/>
    <w:rsid w:val="33AE005E"/>
    <w:rsid w:val="33AE7452"/>
    <w:rsid w:val="33AF6948"/>
    <w:rsid w:val="33AF76AD"/>
    <w:rsid w:val="33B1019C"/>
    <w:rsid w:val="33B32517"/>
    <w:rsid w:val="33B73C45"/>
    <w:rsid w:val="33BE3540"/>
    <w:rsid w:val="33D0142A"/>
    <w:rsid w:val="33D17585"/>
    <w:rsid w:val="33D650E0"/>
    <w:rsid w:val="33DA44A4"/>
    <w:rsid w:val="33DC07DF"/>
    <w:rsid w:val="33DE722D"/>
    <w:rsid w:val="33E730A3"/>
    <w:rsid w:val="33EC25BE"/>
    <w:rsid w:val="33F3110F"/>
    <w:rsid w:val="33F62CD6"/>
    <w:rsid w:val="33F94001"/>
    <w:rsid w:val="33FF7A1C"/>
    <w:rsid w:val="340C099C"/>
    <w:rsid w:val="341D0602"/>
    <w:rsid w:val="341D7D55"/>
    <w:rsid w:val="341F2AA3"/>
    <w:rsid w:val="342033A2"/>
    <w:rsid w:val="342511AE"/>
    <w:rsid w:val="342968F7"/>
    <w:rsid w:val="342B2289"/>
    <w:rsid w:val="34350B28"/>
    <w:rsid w:val="34367069"/>
    <w:rsid w:val="34392822"/>
    <w:rsid w:val="34451FED"/>
    <w:rsid w:val="3447451D"/>
    <w:rsid w:val="344879A6"/>
    <w:rsid w:val="3450262B"/>
    <w:rsid w:val="345A22E3"/>
    <w:rsid w:val="345E2783"/>
    <w:rsid w:val="345F149C"/>
    <w:rsid w:val="34634918"/>
    <w:rsid w:val="34693B4D"/>
    <w:rsid w:val="347566BD"/>
    <w:rsid w:val="347604D5"/>
    <w:rsid w:val="34784F8C"/>
    <w:rsid w:val="34794A43"/>
    <w:rsid w:val="34840215"/>
    <w:rsid w:val="348611A1"/>
    <w:rsid w:val="348A0DF2"/>
    <w:rsid w:val="348F72B9"/>
    <w:rsid w:val="349067AC"/>
    <w:rsid w:val="34906A63"/>
    <w:rsid w:val="34950E87"/>
    <w:rsid w:val="34970FAC"/>
    <w:rsid w:val="34981901"/>
    <w:rsid w:val="34A77EED"/>
    <w:rsid w:val="34A85054"/>
    <w:rsid w:val="34CF013A"/>
    <w:rsid w:val="34D203D8"/>
    <w:rsid w:val="34D26EC7"/>
    <w:rsid w:val="34D722EA"/>
    <w:rsid w:val="34E16C5C"/>
    <w:rsid w:val="34E42621"/>
    <w:rsid w:val="34F804F9"/>
    <w:rsid w:val="34FA7A34"/>
    <w:rsid w:val="34FB4A96"/>
    <w:rsid w:val="34FC49D9"/>
    <w:rsid w:val="350018E3"/>
    <w:rsid w:val="350A498B"/>
    <w:rsid w:val="350A608A"/>
    <w:rsid w:val="350B5F84"/>
    <w:rsid w:val="350F0980"/>
    <w:rsid w:val="35191B16"/>
    <w:rsid w:val="352B341F"/>
    <w:rsid w:val="352B6D82"/>
    <w:rsid w:val="35301480"/>
    <w:rsid w:val="35355BBF"/>
    <w:rsid w:val="35384A74"/>
    <w:rsid w:val="35392203"/>
    <w:rsid w:val="353D030C"/>
    <w:rsid w:val="353D1996"/>
    <w:rsid w:val="35465728"/>
    <w:rsid w:val="35466E38"/>
    <w:rsid w:val="35472BB0"/>
    <w:rsid w:val="354E2EE4"/>
    <w:rsid w:val="355377A7"/>
    <w:rsid w:val="35543189"/>
    <w:rsid w:val="3557397B"/>
    <w:rsid w:val="35582D39"/>
    <w:rsid w:val="3558300F"/>
    <w:rsid w:val="355A0A4E"/>
    <w:rsid w:val="35602DEA"/>
    <w:rsid w:val="35645258"/>
    <w:rsid w:val="356802AB"/>
    <w:rsid w:val="356A2126"/>
    <w:rsid w:val="356A2A94"/>
    <w:rsid w:val="356B5A49"/>
    <w:rsid w:val="35754B10"/>
    <w:rsid w:val="357E6B94"/>
    <w:rsid w:val="358A5B10"/>
    <w:rsid w:val="3590016B"/>
    <w:rsid w:val="35921D7C"/>
    <w:rsid w:val="35943AEB"/>
    <w:rsid w:val="359A1EE7"/>
    <w:rsid w:val="359F1DAE"/>
    <w:rsid w:val="35A22260"/>
    <w:rsid w:val="35A30D55"/>
    <w:rsid w:val="35A41DB0"/>
    <w:rsid w:val="35AD7C55"/>
    <w:rsid w:val="35B13FBA"/>
    <w:rsid w:val="35B67134"/>
    <w:rsid w:val="35B91516"/>
    <w:rsid w:val="35BF6BEA"/>
    <w:rsid w:val="35C02182"/>
    <w:rsid w:val="35C2392F"/>
    <w:rsid w:val="35CA30C3"/>
    <w:rsid w:val="35CE0172"/>
    <w:rsid w:val="35CE3462"/>
    <w:rsid w:val="35D96F56"/>
    <w:rsid w:val="35DA5044"/>
    <w:rsid w:val="35DE3207"/>
    <w:rsid w:val="35DF0944"/>
    <w:rsid w:val="35E32227"/>
    <w:rsid w:val="35E63504"/>
    <w:rsid w:val="35ED146C"/>
    <w:rsid w:val="35EE3383"/>
    <w:rsid w:val="35F165B8"/>
    <w:rsid w:val="35F226DC"/>
    <w:rsid w:val="35F33715"/>
    <w:rsid w:val="35F404BA"/>
    <w:rsid w:val="35F6577D"/>
    <w:rsid w:val="35F67189"/>
    <w:rsid w:val="35F77FBE"/>
    <w:rsid w:val="36017203"/>
    <w:rsid w:val="36062735"/>
    <w:rsid w:val="360660E6"/>
    <w:rsid w:val="360B645C"/>
    <w:rsid w:val="361F250E"/>
    <w:rsid w:val="36233F7C"/>
    <w:rsid w:val="362B06A9"/>
    <w:rsid w:val="362C0602"/>
    <w:rsid w:val="363543A0"/>
    <w:rsid w:val="36360FFD"/>
    <w:rsid w:val="3636208B"/>
    <w:rsid w:val="36362319"/>
    <w:rsid w:val="363B251E"/>
    <w:rsid w:val="36420378"/>
    <w:rsid w:val="36441C01"/>
    <w:rsid w:val="36456841"/>
    <w:rsid w:val="36491961"/>
    <w:rsid w:val="364B6341"/>
    <w:rsid w:val="36516A20"/>
    <w:rsid w:val="36583A8A"/>
    <w:rsid w:val="365C4637"/>
    <w:rsid w:val="365F2236"/>
    <w:rsid w:val="36667559"/>
    <w:rsid w:val="36673534"/>
    <w:rsid w:val="366B76D5"/>
    <w:rsid w:val="366F0610"/>
    <w:rsid w:val="367A6E4D"/>
    <w:rsid w:val="367B6DA7"/>
    <w:rsid w:val="36821A95"/>
    <w:rsid w:val="36840F25"/>
    <w:rsid w:val="36841839"/>
    <w:rsid w:val="3689703B"/>
    <w:rsid w:val="368C025D"/>
    <w:rsid w:val="368E1669"/>
    <w:rsid w:val="368E2201"/>
    <w:rsid w:val="36941962"/>
    <w:rsid w:val="369A0646"/>
    <w:rsid w:val="369D596E"/>
    <w:rsid w:val="369E2D10"/>
    <w:rsid w:val="36AC53C0"/>
    <w:rsid w:val="36AD0CA1"/>
    <w:rsid w:val="36B44275"/>
    <w:rsid w:val="36B569D6"/>
    <w:rsid w:val="36BB14CE"/>
    <w:rsid w:val="36BB5A88"/>
    <w:rsid w:val="36BC01C4"/>
    <w:rsid w:val="36C13DB6"/>
    <w:rsid w:val="36D13F8C"/>
    <w:rsid w:val="36D47A7B"/>
    <w:rsid w:val="36D705FB"/>
    <w:rsid w:val="36D77DC7"/>
    <w:rsid w:val="36DA0025"/>
    <w:rsid w:val="36DE1A92"/>
    <w:rsid w:val="36DE2D2A"/>
    <w:rsid w:val="36E0506A"/>
    <w:rsid w:val="36E318FA"/>
    <w:rsid w:val="36E50652"/>
    <w:rsid w:val="36F011D1"/>
    <w:rsid w:val="36F1087E"/>
    <w:rsid w:val="36F80218"/>
    <w:rsid w:val="37055F19"/>
    <w:rsid w:val="370C5E5F"/>
    <w:rsid w:val="370E6C1D"/>
    <w:rsid w:val="37144D14"/>
    <w:rsid w:val="37167161"/>
    <w:rsid w:val="37192D2C"/>
    <w:rsid w:val="371A4FD1"/>
    <w:rsid w:val="37204272"/>
    <w:rsid w:val="372679DE"/>
    <w:rsid w:val="372A1361"/>
    <w:rsid w:val="372D2AA6"/>
    <w:rsid w:val="372E0E2E"/>
    <w:rsid w:val="373070CF"/>
    <w:rsid w:val="37312F46"/>
    <w:rsid w:val="373A46F8"/>
    <w:rsid w:val="373F7046"/>
    <w:rsid w:val="3741362C"/>
    <w:rsid w:val="37456F5D"/>
    <w:rsid w:val="37563D38"/>
    <w:rsid w:val="375668E5"/>
    <w:rsid w:val="375B1F91"/>
    <w:rsid w:val="375C126D"/>
    <w:rsid w:val="37626E62"/>
    <w:rsid w:val="37660D8E"/>
    <w:rsid w:val="376736B4"/>
    <w:rsid w:val="3768137E"/>
    <w:rsid w:val="37695225"/>
    <w:rsid w:val="37704640"/>
    <w:rsid w:val="37736DED"/>
    <w:rsid w:val="377C3BA8"/>
    <w:rsid w:val="3785604E"/>
    <w:rsid w:val="378E4AFA"/>
    <w:rsid w:val="37935848"/>
    <w:rsid w:val="37943AB4"/>
    <w:rsid w:val="37980F44"/>
    <w:rsid w:val="3798468B"/>
    <w:rsid w:val="379960E2"/>
    <w:rsid w:val="37A30C53"/>
    <w:rsid w:val="37A34E09"/>
    <w:rsid w:val="37AD02FD"/>
    <w:rsid w:val="37AF6BD0"/>
    <w:rsid w:val="37B33823"/>
    <w:rsid w:val="37B55A81"/>
    <w:rsid w:val="37B70636"/>
    <w:rsid w:val="37BD34EC"/>
    <w:rsid w:val="37C0395E"/>
    <w:rsid w:val="37C14E9C"/>
    <w:rsid w:val="37C508AC"/>
    <w:rsid w:val="37C5373B"/>
    <w:rsid w:val="37C818F6"/>
    <w:rsid w:val="37D452E4"/>
    <w:rsid w:val="37D71F22"/>
    <w:rsid w:val="37DD7417"/>
    <w:rsid w:val="37ED1336"/>
    <w:rsid w:val="37F0668C"/>
    <w:rsid w:val="37F74276"/>
    <w:rsid w:val="37FA4358"/>
    <w:rsid w:val="38003C16"/>
    <w:rsid w:val="38177DFD"/>
    <w:rsid w:val="381919E1"/>
    <w:rsid w:val="381C743A"/>
    <w:rsid w:val="381F54B1"/>
    <w:rsid w:val="382A49E1"/>
    <w:rsid w:val="382B23A2"/>
    <w:rsid w:val="38335ECE"/>
    <w:rsid w:val="383B06C2"/>
    <w:rsid w:val="38402264"/>
    <w:rsid w:val="384445C2"/>
    <w:rsid w:val="38506660"/>
    <w:rsid w:val="38515F46"/>
    <w:rsid w:val="38523747"/>
    <w:rsid w:val="38552432"/>
    <w:rsid w:val="38563909"/>
    <w:rsid w:val="385858B9"/>
    <w:rsid w:val="385876AE"/>
    <w:rsid w:val="38595D03"/>
    <w:rsid w:val="385C4AF4"/>
    <w:rsid w:val="385C4BC4"/>
    <w:rsid w:val="386C7A83"/>
    <w:rsid w:val="387620B1"/>
    <w:rsid w:val="387630A9"/>
    <w:rsid w:val="38832991"/>
    <w:rsid w:val="388676BE"/>
    <w:rsid w:val="388D5366"/>
    <w:rsid w:val="38A94164"/>
    <w:rsid w:val="38AB7C76"/>
    <w:rsid w:val="38AD7F3D"/>
    <w:rsid w:val="38AE0126"/>
    <w:rsid w:val="38AE3712"/>
    <w:rsid w:val="38B16746"/>
    <w:rsid w:val="38B16CBE"/>
    <w:rsid w:val="38C138FC"/>
    <w:rsid w:val="38C338A7"/>
    <w:rsid w:val="38C7116A"/>
    <w:rsid w:val="38CB3319"/>
    <w:rsid w:val="38CB6C95"/>
    <w:rsid w:val="38CE3F89"/>
    <w:rsid w:val="38CF01A7"/>
    <w:rsid w:val="38DC0AC4"/>
    <w:rsid w:val="38DC1ED9"/>
    <w:rsid w:val="38DE3B12"/>
    <w:rsid w:val="38E21EB8"/>
    <w:rsid w:val="38E70932"/>
    <w:rsid w:val="38EC70AD"/>
    <w:rsid w:val="38F173E5"/>
    <w:rsid w:val="38F6720F"/>
    <w:rsid w:val="38F80D91"/>
    <w:rsid w:val="38FF6A01"/>
    <w:rsid w:val="390125F6"/>
    <w:rsid w:val="39026CBA"/>
    <w:rsid w:val="39093816"/>
    <w:rsid w:val="390B447E"/>
    <w:rsid w:val="390E1116"/>
    <w:rsid w:val="39103372"/>
    <w:rsid w:val="391B5C62"/>
    <w:rsid w:val="391D12D4"/>
    <w:rsid w:val="391F4BFD"/>
    <w:rsid w:val="39213F73"/>
    <w:rsid w:val="3924253E"/>
    <w:rsid w:val="39323E56"/>
    <w:rsid w:val="393412C4"/>
    <w:rsid w:val="3938142B"/>
    <w:rsid w:val="393D3AA6"/>
    <w:rsid w:val="39416C5C"/>
    <w:rsid w:val="39455658"/>
    <w:rsid w:val="39490F9C"/>
    <w:rsid w:val="39541E97"/>
    <w:rsid w:val="395516B0"/>
    <w:rsid w:val="395A029E"/>
    <w:rsid w:val="395E6BEF"/>
    <w:rsid w:val="395F7369"/>
    <w:rsid w:val="39651AF6"/>
    <w:rsid w:val="39655763"/>
    <w:rsid w:val="396611A0"/>
    <w:rsid w:val="39680834"/>
    <w:rsid w:val="396D3048"/>
    <w:rsid w:val="396D30AC"/>
    <w:rsid w:val="396E0CB0"/>
    <w:rsid w:val="396F3D4F"/>
    <w:rsid w:val="397228F1"/>
    <w:rsid w:val="397F500E"/>
    <w:rsid w:val="398003A3"/>
    <w:rsid w:val="39891800"/>
    <w:rsid w:val="398E16D6"/>
    <w:rsid w:val="398E7148"/>
    <w:rsid w:val="3990216F"/>
    <w:rsid w:val="3992387B"/>
    <w:rsid w:val="399630E6"/>
    <w:rsid w:val="399B147F"/>
    <w:rsid w:val="399F6A65"/>
    <w:rsid w:val="39A42980"/>
    <w:rsid w:val="39A57FF3"/>
    <w:rsid w:val="39A86D0B"/>
    <w:rsid w:val="39A919CA"/>
    <w:rsid w:val="39AC46D6"/>
    <w:rsid w:val="39CD3A48"/>
    <w:rsid w:val="39CF5344"/>
    <w:rsid w:val="39D6584D"/>
    <w:rsid w:val="39D83602"/>
    <w:rsid w:val="39DC2562"/>
    <w:rsid w:val="39E15381"/>
    <w:rsid w:val="39E60DFD"/>
    <w:rsid w:val="39F01EB8"/>
    <w:rsid w:val="39F23A32"/>
    <w:rsid w:val="3A06128C"/>
    <w:rsid w:val="3A192CF6"/>
    <w:rsid w:val="3A235D6B"/>
    <w:rsid w:val="3A2477D8"/>
    <w:rsid w:val="3A2D05C6"/>
    <w:rsid w:val="3A3028CA"/>
    <w:rsid w:val="3A336CF9"/>
    <w:rsid w:val="3A3A2226"/>
    <w:rsid w:val="3A3A2B52"/>
    <w:rsid w:val="3A3E31D4"/>
    <w:rsid w:val="3A454A4E"/>
    <w:rsid w:val="3A477834"/>
    <w:rsid w:val="3A4E0AB5"/>
    <w:rsid w:val="3A4E592F"/>
    <w:rsid w:val="3A5073A7"/>
    <w:rsid w:val="3A563FC1"/>
    <w:rsid w:val="3A564841"/>
    <w:rsid w:val="3A58073D"/>
    <w:rsid w:val="3A5A2021"/>
    <w:rsid w:val="3A5D7321"/>
    <w:rsid w:val="3A621ED2"/>
    <w:rsid w:val="3A622F3E"/>
    <w:rsid w:val="3A6517D9"/>
    <w:rsid w:val="3A681A7F"/>
    <w:rsid w:val="3A6D23B9"/>
    <w:rsid w:val="3A6E3FC6"/>
    <w:rsid w:val="3A6E51C3"/>
    <w:rsid w:val="3A715B74"/>
    <w:rsid w:val="3A716E51"/>
    <w:rsid w:val="3A773C32"/>
    <w:rsid w:val="3A791FF2"/>
    <w:rsid w:val="3A7D1FEA"/>
    <w:rsid w:val="3A7D77A0"/>
    <w:rsid w:val="3A804017"/>
    <w:rsid w:val="3A821374"/>
    <w:rsid w:val="3A971EE4"/>
    <w:rsid w:val="3AA776AA"/>
    <w:rsid w:val="3AAB0DBE"/>
    <w:rsid w:val="3AB1078F"/>
    <w:rsid w:val="3AB3360F"/>
    <w:rsid w:val="3AB737D6"/>
    <w:rsid w:val="3ABA6A54"/>
    <w:rsid w:val="3ABB3520"/>
    <w:rsid w:val="3AC05516"/>
    <w:rsid w:val="3ACD2754"/>
    <w:rsid w:val="3ACE2112"/>
    <w:rsid w:val="3AD35F86"/>
    <w:rsid w:val="3AD5404D"/>
    <w:rsid w:val="3AD60C5E"/>
    <w:rsid w:val="3AE00B01"/>
    <w:rsid w:val="3AE54CD2"/>
    <w:rsid w:val="3AE80991"/>
    <w:rsid w:val="3AF31810"/>
    <w:rsid w:val="3AF82573"/>
    <w:rsid w:val="3AFA54FB"/>
    <w:rsid w:val="3AFB5AEB"/>
    <w:rsid w:val="3AFC7998"/>
    <w:rsid w:val="3B0200C3"/>
    <w:rsid w:val="3B0B2CDA"/>
    <w:rsid w:val="3B0D5B65"/>
    <w:rsid w:val="3B0D5FFE"/>
    <w:rsid w:val="3B0F23C2"/>
    <w:rsid w:val="3B2B12A4"/>
    <w:rsid w:val="3B3003AF"/>
    <w:rsid w:val="3B312F01"/>
    <w:rsid w:val="3B372680"/>
    <w:rsid w:val="3B3D2BDC"/>
    <w:rsid w:val="3B3E0256"/>
    <w:rsid w:val="3B3E2886"/>
    <w:rsid w:val="3B453B09"/>
    <w:rsid w:val="3B4A33FA"/>
    <w:rsid w:val="3B503572"/>
    <w:rsid w:val="3B56531D"/>
    <w:rsid w:val="3B5A58A3"/>
    <w:rsid w:val="3B5E3817"/>
    <w:rsid w:val="3B6C5957"/>
    <w:rsid w:val="3B732BAE"/>
    <w:rsid w:val="3B75082F"/>
    <w:rsid w:val="3B76669E"/>
    <w:rsid w:val="3B7974F6"/>
    <w:rsid w:val="3B8032FA"/>
    <w:rsid w:val="3B82169D"/>
    <w:rsid w:val="3B831A17"/>
    <w:rsid w:val="3B843BCF"/>
    <w:rsid w:val="3B89304B"/>
    <w:rsid w:val="3B96185D"/>
    <w:rsid w:val="3B985D20"/>
    <w:rsid w:val="3BA00DF0"/>
    <w:rsid w:val="3BA133A1"/>
    <w:rsid w:val="3BA97A5B"/>
    <w:rsid w:val="3BB12088"/>
    <w:rsid w:val="3BB169A1"/>
    <w:rsid w:val="3BB337E8"/>
    <w:rsid w:val="3BB55787"/>
    <w:rsid w:val="3BBA548E"/>
    <w:rsid w:val="3BC010BE"/>
    <w:rsid w:val="3BC14710"/>
    <w:rsid w:val="3BC5309A"/>
    <w:rsid w:val="3BC65414"/>
    <w:rsid w:val="3BC96A15"/>
    <w:rsid w:val="3BCD38DB"/>
    <w:rsid w:val="3BD16003"/>
    <w:rsid w:val="3BD500E0"/>
    <w:rsid w:val="3BD602D4"/>
    <w:rsid w:val="3BD62F7B"/>
    <w:rsid w:val="3BDD1046"/>
    <w:rsid w:val="3BDD21DF"/>
    <w:rsid w:val="3BDE0552"/>
    <w:rsid w:val="3BE1231A"/>
    <w:rsid w:val="3BE40309"/>
    <w:rsid w:val="3BED7B74"/>
    <w:rsid w:val="3BF01C9A"/>
    <w:rsid w:val="3BF0796A"/>
    <w:rsid w:val="3BF273E4"/>
    <w:rsid w:val="3BF37353"/>
    <w:rsid w:val="3BF700F3"/>
    <w:rsid w:val="3BFA7FCB"/>
    <w:rsid w:val="3C104AE6"/>
    <w:rsid w:val="3C281487"/>
    <w:rsid w:val="3C2D2440"/>
    <w:rsid w:val="3C2F54EC"/>
    <w:rsid w:val="3C365942"/>
    <w:rsid w:val="3C442A3E"/>
    <w:rsid w:val="3C4A70D4"/>
    <w:rsid w:val="3C4E20FA"/>
    <w:rsid w:val="3C4F5BEF"/>
    <w:rsid w:val="3C521FDD"/>
    <w:rsid w:val="3C535D1F"/>
    <w:rsid w:val="3C571512"/>
    <w:rsid w:val="3C573A26"/>
    <w:rsid w:val="3C5A141B"/>
    <w:rsid w:val="3C5C2972"/>
    <w:rsid w:val="3C5E0240"/>
    <w:rsid w:val="3C5E77D1"/>
    <w:rsid w:val="3C601135"/>
    <w:rsid w:val="3C6515EF"/>
    <w:rsid w:val="3C6F7BFC"/>
    <w:rsid w:val="3C742EA8"/>
    <w:rsid w:val="3C76367D"/>
    <w:rsid w:val="3C7D7BCF"/>
    <w:rsid w:val="3C7F0E81"/>
    <w:rsid w:val="3C7F2965"/>
    <w:rsid w:val="3C8714BC"/>
    <w:rsid w:val="3C8841DA"/>
    <w:rsid w:val="3C8A5E54"/>
    <w:rsid w:val="3C901070"/>
    <w:rsid w:val="3C912342"/>
    <w:rsid w:val="3C9123F0"/>
    <w:rsid w:val="3C941E20"/>
    <w:rsid w:val="3C9449E2"/>
    <w:rsid w:val="3C9C0CD0"/>
    <w:rsid w:val="3CA66AD5"/>
    <w:rsid w:val="3CA92125"/>
    <w:rsid w:val="3CAC17D2"/>
    <w:rsid w:val="3CAF332C"/>
    <w:rsid w:val="3CB11983"/>
    <w:rsid w:val="3CBA503A"/>
    <w:rsid w:val="3CC14DD8"/>
    <w:rsid w:val="3CC178A0"/>
    <w:rsid w:val="3CCE6799"/>
    <w:rsid w:val="3CD56A33"/>
    <w:rsid w:val="3CD60384"/>
    <w:rsid w:val="3CDA36C1"/>
    <w:rsid w:val="3CE779A9"/>
    <w:rsid w:val="3CE84C78"/>
    <w:rsid w:val="3CED04E1"/>
    <w:rsid w:val="3CF84B0F"/>
    <w:rsid w:val="3CF96E86"/>
    <w:rsid w:val="3CF974B3"/>
    <w:rsid w:val="3CFF5D17"/>
    <w:rsid w:val="3D03466A"/>
    <w:rsid w:val="3D053698"/>
    <w:rsid w:val="3D0715A3"/>
    <w:rsid w:val="3D0B1402"/>
    <w:rsid w:val="3D1230EC"/>
    <w:rsid w:val="3D171D4E"/>
    <w:rsid w:val="3D195A39"/>
    <w:rsid w:val="3D1A421C"/>
    <w:rsid w:val="3D1E68EC"/>
    <w:rsid w:val="3D243839"/>
    <w:rsid w:val="3D243B97"/>
    <w:rsid w:val="3D253DD3"/>
    <w:rsid w:val="3D2959BD"/>
    <w:rsid w:val="3D2A656A"/>
    <w:rsid w:val="3D351B28"/>
    <w:rsid w:val="3D3604FD"/>
    <w:rsid w:val="3D3824FF"/>
    <w:rsid w:val="3D3E2AEA"/>
    <w:rsid w:val="3D434788"/>
    <w:rsid w:val="3D441816"/>
    <w:rsid w:val="3D462176"/>
    <w:rsid w:val="3D4F770A"/>
    <w:rsid w:val="3D5468A1"/>
    <w:rsid w:val="3D597CE4"/>
    <w:rsid w:val="3D600453"/>
    <w:rsid w:val="3D605544"/>
    <w:rsid w:val="3D62436F"/>
    <w:rsid w:val="3D695DB9"/>
    <w:rsid w:val="3D6D2F3F"/>
    <w:rsid w:val="3D6D7C8A"/>
    <w:rsid w:val="3D764BD3"/>
    <w:rsid w:val="3D7D25CD"/>
    <w:rsid w:val="3D7E61C0"/>
    <w:rsid w:val="3D8102CC"/>
    <w:rsid w:val="3D835EDE"/>
    <w:rsid w:val="3D872575"/>
    <w:rsid w:val="3D8E7E1E"/>
    <w:rsid w:val="3D8F29DD"/>
    <w:rsid w:val="3D90376C"/>
    <w:rsid w:val="3D971146"/>
    <w:rsid w:val="3D997383"/>
    <w:rsid w:val="3D9F336D"/>
    <w:rsid w:val="3DA81072"/>
    <w:rsid w:val="3DA92FEF"/>
    <w:rsid w:val="3DA953F7"/>
    <w:rsid w:val="3DAD1840"/>
    <w:rsid w:val="3DB34381"/>
    <w:rsid w:val="3DB72635"/>
    <w:rsid w:val="3DBF2FA0"/>
    <w:rsid w:val="3DBF50C5"/>
    <w:rsid w:val="3DC67C16"/>
    <w:rsid w:val="3DCA1D3A"/>
    <w:rsid w:val="3DD40FBF"/>
    <w:rsid w:val="3DD85125"/>
    <w:rsid w:val="3DD86A9B"/>
    <w:rsid w:val="3DE01CC4"/>
    <w:rsid w:val="3DE45109"/>
    <w:rsid w:val="3DE52CA9"/>
    <w:rsid w:val="3DED66E2"/>
    <w:rsid w:val="3DF40BD3"/>
    <w:rsid w:val="3DF55447"/>
    <w:rsid w:val="3DFC10EA"/>
    <w:rsid w:val="3DFE7AB5"/>
    <w:rsid w:val="3DFF1871"/>
    <w:rsid w:val="3DFF70F4"/>
    <w:rsid w:val="3E036551"/>
    <w:rsid w:val="3E0D3131"/>
    <w:rsid w:val="3E115832"/>
    <w:rsid w:val="3E152520"/>
    <w:rsid w:val="3E1A67C0"/>
    <w:rsid w:val="3E2131DF"/>
    <w:rsid w:val="3E261C42"/>
    <w:rsid w:val="3E265A58"/>
    <w:rsid w:val="3E2A52DF"/>
    <w:rsid w:val="3E2B2769"/>
    <w:rsid w:val="3E2C34AA"/>
    <w:rsid w:val="3E2D7C3D"/>
    <w:rsid w:val="3E2E44D3"/>
    <w:rsid w:val="3E301493"/>
    <w:rsid w:val="3E3C0337"/>
    <w:rsid w:val="3E3D1C7F"/>
    <w:rsid w:val="3E3E67DD"/>
    <w:rsid w:val="3E441ED5"/>
    <w:rsid w:val="3E481AAE"/>
    <w:rsid w:val="3E573E64"/>
    <w:rsid w:val="3E6402D6"/>
    <w:rsid w:val="3E67596A"/>
    <w:rsid w:val="3E6824D9"/>
    <w:rsid w:val="3E6A3A52"/>
    <w:rsid w:val="3E6E7B42"/>
    <w:rsid w:val="3E770816"/>
    <w:rsid w:val="3E7B5815"/>
    <w:rsid w:val="3E7D3DDC"/>
    <w:rsid w:val="3E87516C"/>
    <w:rsid w:val="3E894C65"/>
    <w:rsid w:val="3E8D490E"/>
    <w:rsid w:val="3E8F0426"/>
    <w:rsid w:val="3E9447BC"/>
    <w:rsid w:val="3E9602C4"/>
    <w:rsid w:val="3E9A78DF"/>
    <w:rsid w:val="3EA272CA"/>
    <w:rsid w:val="3EA3354D"/>
    <w:rsid w:val="3EAE553F"/>
    <w:rsid w:val="3EAF30CF"/>
    <w:rsid w:val="3EB45BC3"/>
    <w:rsid w:val="3EBC3439"/>
    <w:rsid w:val="3EBC68B1"/>
    <w:rsid w:val="3EC06AF3"/>
    <w:rsid w:val="3EC433A5"/>
    <w:rsid w:val="3EC63959"/>
    <w:rsid w:val="3EC82CB3"/>
    <w:rsid w:val="3ECA0C9D"/>
    <w:rsid w:val="3ECC0B6E"/>
    <w:rsid w:val="3ECC39FE"/>
    <w:rsid w:val="3ECE5507"/>
    <w:rsid w:val="3ECF2CD3"/>
    <w:rsid w:val="3ED664F2"/>
    <w:rsid w:val="3EDB19AF"/>
    <w:rsid w:val="3EE260A1"/>
    <w:rsid w:val="3EE7227D"/>
    <w:rsid w:val="3EE82751"/>
    <w:rsid w:val="3EEC039D"/>
    <w:rsid w:val="3EEE31DF"/>
    <w:rsid w:val="3EEE45F5"/>
    <w:rsid w:val="3EF75647"/>
    <w:rsid w:val="3EFB3B77"/>
    <w:rsid w:val="3EFE64F0"/>
    <w:rsid w:val="3F001796"/>
    <w:rsid w:val="3F11495A"/>
    <w:rsid w:val="3F173175"/>
    <w:rsid w:val="3F1A2744"/>
    <w:rsid w:val="3F1C2D9B"/>
    <w:rsid w:val="3F222334"/>
    <w:rsid w:val="3F222F8D"/>
    <w:rsid w:val="3F294A20"/>
    <w:rsid w:val="3F2C5341"/>
    <w:rsid w:val="3F2E140E"/>
    <w:rsid w:val="3F332BE0"/>
    <w:rsid w:val="3F363E94"/>
    <w:rsid w:val="3F3B3463"/>
    <w:rsid w:val="3F400A2E"/>
    <w:rsid w:val="3F426BD1"/>
    <w:rsid w:val="3F432B8E"/>
    <w:rsid w:val="3F4D7CD4"/>
    <w:rsid w:val="3F522F87"/>
    <w:rsid w:val="3F5900B0"/>
    <w:rsid w:val="3F5D194E"/>
    <w:rsid w:val="3F682C6B"/>
    <w:rsid w:val="3F69550E"/>
    <w:rsid w:val="3F6E5909"/>
    <w:rsid w:val="3F726D73"/>
    <w:rsid w:val="3F732F1F"/>
    <w:rsid w:val="3F7525CA"/>
    <w:rsid w:val="3F7A7844"/>
    <w:rsid w:val="3F7A7FE2"/>
    <w:rsid w:val="3F7E44B7"/>
    <w:rsid w:val="3F8122E6"/>
    <w:rsid w:val="3F847BBC"/>
    <w:rsid w:val="3F873761"/>
    <w:rsid w:val="3F874C1D"/>
    <w:rsid w:val="3F8769CB"/>
    <w:rsid w:val="3F8D2280"/>
    <w:rsid w:val="3F9C07B9"/>
    <w:rsid w:val="3F9C3840"/>
    <w:rsid w:val="3F9E6A03"/>
    <w:rsid w:val="3FA11B4E"/>
    <w:rsid w:val="3FA21729"/>
    <w:rsid w:val="3FA36837"/>
    <w:rsid w:val="3FA520E7"/>
    <w:rsid w:val="3FA92CAC"/>
    <w:rsid w:val="3FAC576E"/>
    <w:rsid w:val="3FAC629C"/>
    <w:rsid w:val="3FAF2AEA"/>
    <w:rsid w:val="3FB0256B"/>
    <w:rsid w:val="3FB358EA"/>
    <w:rsid w:val="3FBB4B41"/>
    <w:rsid w:val="3FBF4417"/>
    <w:rsid w:val="3FC0711E"/>
    <w:rsid w:val="3FCB239C"/>
    <w:rsid w:val="3FCE7FB1"/>
    <w:rsid w:val="3FCF535A"/>
    <w:rsid w:val="3FD6331C"/>
    <w:rsid w:val="3FD758DB"/>
    <w:rsid w:val="3FD774BA"/>
    <w:rsid w:val="3FD80139"/>
    <w:rsid w:val="3FD83D67"/>
    <w:rsid w:val="3FDC1478"/>
    <w:rsid w:val="3FDC7A59"/>
    <w:rsid w:val="3FE41BEA"/>
    <w:rsid w:val="3FE81EFD"/>
    <w:rsid w:val="3FF102E8"/>
    <w:rsid w:val="3FF10BD3"/>
    <w:rsid w:val="3FF1764A"/>
    <w:rsid w:val="3FF349DA"/>
    <w:rsid w:val="3FF3764F"/>
    <w:rsid w:val="3FF5382F"/>
    <w:rsid w:val="3FF62778"/>
    <w:rsid w:val="3FF70678"/>
    <w:rsid w:val="3FF92711"/>
    <w:rsid w:val="40004584"/>
    <w:rsid w:val="40026F7E"/>
    <w:rsid w:val="4004001B"/>
    <w:rsid w:val="40044319"/>
    <w:rsid w:val="40093D15"/>
    <w:rsid w:val="400E7243"/>
    <w:rsid w:val="401364B0"/>
    <w:rsid w:val="40137536"/>
    <w:rsid w:val="40147C09"/>
    <w:rsid w:val="401C33D0"/>
    <w:rsid w:val="401E4DDE"/>
    <w:rsid w:val="401F54B6"/>
    <w:rsid w:val="40203EF3"/>
    <w:rsid w:val="40246EB5"/>
    <w:rsid w:val="402C1C29"/>
    <w:rsid w:val="4030218A"/>
    <w:rsid w:val="40334B25"/>
    <w:rsid w:val="403878F3"/>
    <w:rsid w:val="403D7EE6"/>
    <w:rsid w:val="403E42AE"/>
    <w:rsid w:val="40420B44"/>
    <w:rsid w:val="40432B64"/>
    <w:rsid w:val="40445530"/>
    <w:rsid w:val="40454092"/>
    <w:rsid w:val="40492E66"/>
    <w:rsid w:val="40496BAC"/>
    <w:rsid w:val="404B1A10"/>
    <w:rsid w:val="404C3770"/>
    <w:rsid w:val="405215EB"/>
    <w:rsid w:val="4054318A"/>
    <w:rsid w:val="405D597D"/>
    <w:rsid w:val="406634B8"/>
    <w:rsid w:val="4068764C"/>
    <w:rsid w:val="406D2FC3"/>
    <w:rsid w:val="40752CC7"/>
    <w:rsid w:val="40796B08"/>
    <w:rsid w:val="407A283B"/>
    <w:rsid w:val="407B3AAB"/>
    <w:rsid w:val="407F0C04"/>
    <w:rsid w:val="40826139"/>
    <w:rsid w:val="408A6585"/>
    <w:rsid w:val="408B72BF"/>
    <w:rsid w:val="409006DA"/>
    <w:rsid w:val="40912609"/>
    <w:rsid w:val="4095699A"/>
    <w:rsid w:val="409703E1"/>
    <w:rsid w:val="409F0640"/>
    <w:rsid w:val="40A209B5"/>
    <w:rsid w:val="40AB5B3D"/>
    <w:rsid w:val="40AF23A3"/>
    <w:rsid w:val="40AF72A8"/>
    <w:rsid w:val="40B17F0F"/>
    <w:rsid w:val="40B57568"/>
    <w:rsid w:val="40CB3E97"/>
    <w:rsid w:val="40D1248C"/>
    <w:rsid w:val="40D5692B"/>
    <w:rsid w:val="40D67ADF"/>
    <w:rsid w:val="40D94186"/>
    <w:rsid w:val="40DD2708"/>
    <w:rsid w:val="40DD27DC"/>
    <w:rsid w:val="40DD3860"/>
    <w:rsid w:val="40E31BB1"/>
    <w:rsid w:val="40E469BB"/>
    <w:rsid w:val="40E47EE7"/>
    <w:rsid w:val="40EA2C78"/>
    <w:rsid w:val="40EC76C7"/>
    <w:rsid w:val="40EE754C"/>
    <w:rsid w:val="40F231F7"/>
    <w:rsid w:val="41010D6E"/>
    <w:rsid w:val="41074A04"/>
    <w:rsid w:val="410C362B"/>
    <w:rsid w:val="410D0B32"/>
    <w:rsid w:val="410F638E"/>
    <w:rsid w:val="411F1907"/>
    <w:rsid w:val="41216E35"/>
    <w:rsid w:val="4128272B"/>
    <w:rsid w:val="41286E53"/>
    <w:rsid w:val="412D4555"/>
    <w:rsid w:val="412F2E76"/>
    <w:rsid w:val="41306C75"/>
    <w:rsid w:val="41321132"/>
    <w:rsid w:val="413242C5"/>
    <w:rsid w:val="41335DD8"/>
    <w:rsid w:val="41365F5C"/>
    <w:rsid w:val="41390199"/>
    <w:rsid w:val="413C182D"/>
    <w:rsid w:val="413E4EAE"/>
    <w:rsid w:val="41404710"/>
    <w:rsid w:val="41422EE9"/>
    <w:rsid w:val="41436921"/>
    <w:rsid w:val="414636B1"/>
    <w:rsid w:val="414F0814"/>
    <w:rsid w:val="41637EC8"/>
    <w:rsid w:val="416D26AF"/>
    <w:rsid w:val="417F28F9"/>
    <w:rsid w:val="418044DE"/>
    <w:rsid w:val="41837C8E"/>
    <w:rsid w:val="41860916"/>
    <w:rsid w:val="418731E2"/>
    <w:rsid w:val="419672E5"/>
    <w:rsid w:val="419A39EC"/>
    <w:rsid w:val="419E0C7E"/>
    <w:rsid w:val="41A02179"/>
    <w:rsid w:val="41A030C6"/>
    <w:rsid w:val="41A82C5A"/>
    <w:rsid w:val="41AC2D19"/>
    <w:rsid w:val="41B33C5A"/>
    <w:rsid w:val="41B34DEC"/>
    <w:rsid w:val="41B5570A"/>
    <w:rsid w:val="41B91FEA"/>
    <w:rsid w:val="41BE1051"/>
    <w:rsid w:val="41C07F72"/>
    <w:rsid w:val="41C42766"/>
    <w:rsid w:val="41D13256"/>
    <w:rsid w:val="41D34149"/>
    <w:rsid w:val="41D469DB"/>
    <w:rsid w:val="41DB26FC"/>
    <w:rsid w:val="41DE07FC"/>
    <w:rsid w:val="41E512CD"/>
    <w:rsid w:val="41E77F71"/>
    <w:rsid w:val="41EA050D"/>
    <w:rsid w:val="41FA30E4"/>
    <w:rsid w:val="41FD7FC9"/>
    <w:rsid w:val="4200192D"/>
    <w:rsid w:val="420377A1"/>
    <w:rsid w:val="42073C76"/>
    <w:rsid w:val="420A2B8E"/>
    <w:rsid w:val="421105D9"/>
    <w:rsid w:val="421134B5"/>
    <w:rsid w:val="42116F0C"/>
    <w:rsid w:val="42125322"/>
    <w:rsid w:val="42132933"/>
    <w:rsid w:val="42143466"/>
    <w:rsid w:val="42162065"/>
    <w:rsid w:val="42170E52"/>
    <w:rsid w:val="421D37F5"/>
    <w:rsid w:val="42206DCB"/>
    <w:rsid w:val="422229DB"/>
    <w:rsid w:val="422624CB"/>
    <w:rsid w:val="42275AEC"/>
    <w:rsid w:val="422A60C1"/>
    <w:rsid w:val="422B55E2"/>
    <w:rsid w:val="422F46D6"/>
    <w:rsid w:val="4238422B"/>
    <w:rsid w:val="423A67FA"/>
    <w:rsid w:val="42510207"/>
    <w:rsid w:val="425F5F65"/>
    <w:rsid w:val="4264731B"/>
    <w:rsid w:val="42734FE4"/>
    <w:rsid w:val="42800246"/>
    <w:rsid w:val="428330D5"/>
    <w:rsid w:val="428A7A71"/>
    <w:rsid w:val="428B4AB6"/>
    <w:rsid w:val="428D4C8E"/>
    <w:rsid w:val="429064BC"/>
    <w:rsid w:val="429D3281"/>
    <w:rsid w:val="429F49BA"/>
    <w:rsid w:val="42A94F05"/>
    <w:rsid w:val="42AF474E"/>
    <w:rsid w:val="42B3635A"/>
    <w:rsid w:val="42BB4061"/>
    <w:rsid w:val="42BB5619"/>
    <w:rsid w:val="42C351E7"/>
    <w:rsid w:val="42D14B35"/>
    <w:rsid w:val="42D71E17"/>
    <w:rsid w:val="42D8186F"/>
    <w:rsid w:val="42DE578A"/>
    <w:rsid w:val="42E1729C"/>
    <w:rsid w:val="42F41A98"/>
    <w:rsid w:val="42F6532A"/>
    <w:rsid w:val="42F936DF"/>
    <w:rsid w:val="42FB6954"/>
    <w:rsid w:val="42FF4ACA"/>
    <w:rsid w:val="42FF5749"/>
    <w:rsid w:val="430052A0"/>
    <w:rsid w:val="43030A5E"/>
    <w:rsid w:val="43052205"/>
    <w:rsid w:val="4306784E"/>
    <w:rsid w:val="4307244B"/>
    <w:rsid w:val="430C2FA2"/>
    <w:rsid w:val="43175D3F"/>
    <w:rsid w:val="431A18B1"/>
    <w:rsid w:val="43221E63"/>
    <w:rsid w:val="43281F7B"/>
    <w:rsid w:val="432F2CE1"/>
    <w:rsid w:val="433D05EF"/>
    <w:rsid w:val="433E3844"/>
    <w:rsid w:val="433F1BC0"/>
    <w:rsid w:val="434340CC"/>
    <w:rsid w:val="4347107E"/>
    <w:rsid w:val="43475601"/>
    <w:rsid w:val="434C2ACA"/>
    <w:rsid w:val="43593E8B"/>
    <w:rsid w:val="435A57C4"/>
    <w:rsid w:val="435D4F7F"/>
    <w:rsid w:val="436005A0"/>
    <w:rsid w:val="436450D2"/>
    <w:rsid w:val="43721B9D"/>
    <w:rsid w:val="43734240"/>
    <w:rsid w:val="43734F41"/>
    <w:rsid w:val="43760B92"/>
    <w:rsid w:val="4378724C"/>
    <w:rsid w:val="437A103F"/>
    <w:rsid w:val="437A140F"/>
    <w:rsid w:val="437E0F6F"/>
    <w:rsid w:val="43880F63"/>
    <w:rsid w:val="43886618"/>
    <w:rsid w:val="438A0B66"/>
    <w:rsid w:val="4396345B"/>
    <w:rsid w:val="439D0143"/>
    <w:rsid w:val="43A10A30"/>
    <w:rsid w:val="43A51CB5"/>
    <w:rsid w:val="43A652A2"/>
    <w:rsid w:val="43B14016"/>
    <w:rsid w:val="43B34232"/>
    <w:rsid w:val="43B635BA"/>
    <w:rsid w:val="43B80BA0"/>
    <w:rsid w:val="43B81513"/>
    <w:rsid w:val="43B95FCA"/>
    <w:rsid w:val="43BB5A2F"/>
    <w:rsid w:val="43D20B79"/>
    <w:rsid w:val="43E70D54"/>
    <w:rsid w:val="43EA70CD"/>
    <w:rsid w:val="43ED469B"/>
    <w:rsid w:val="43F02512"/>
    <w:rsid w:val="43F2253B"/>
    <w:rsid w:val="4400697C"/>
    <w:rsid w:val="44013A81"/>
    <w:rsid w:val="44016E32"/>
    <w:rsid w:val="44026FD8"/>
    <w:rsid w:val="44041E81"/>
    <w:rsid w:val="440B7F84"/>
    <w:rsid w:val="440F69FE"/>
    <w:rsid w:val="44166F00"/>
    <w:rsid w:val="44180745"/>
    <w:rsid w:val="441A1C89"/>
    <w:rsid w:val="441D0898"/>
    <w:rsid w:val="441D57CA"/>
    <w:rsid w:val="44322B64"/>
    <w:rsid w:val="44394C06"/>
    <w:rsid w:val="443A19F4"/>
    <w:rsid w:val="443B4302"/>
    <w:rsid w:val="443B5C50"/>
    <w:rsid w:val="44444E8A"/>
    <w:rsid w:val="44480D71"/>
    <w:rsid w:val="44494165"/>
    <w:rsid w:val="444D08D5"/>
    <w:rsid w:val="44505B5E"/>
    <w:rsid w:val="44553DA4"/>
    <w:rsid w:val="445904D2"/>
    <w:rsid w:val="445B337E"/>
    <w:rsid w:val="445F487C"/>
    <w:rsid w:val="44700970"/>
    <w:rsid w:val="447538EB"/>
    <w:rsid w:val="44764415"/>
    <w:rsid w:val="447949D4"/>
    <w:rsid w:val="4484172B"/>
    <w:rsid w:val="448B3D63"/>
    <w:rsid w:val="448D1664"/>
    <w:rsid w:val="44907598"/>
    <w:rsid w:val="449172EE"/>
    <w:rsid w:val="44923D53"/>
    <w:rsid w:val="44926F52"/>
    <w:rsid w:val="4498613F"/>
    <w:rsid w:val="44A31A2B"/>
    <w:rsid w:val="44A47CFF"/>
    <w:rsid w:val="44A96F17"/>
    <w:rsid w:val="44C305BF"/>
    <w:rsid w:val="44D01D86"/>
    <w:rsid w:val="44D3231A"/>
    <w:rsid w:val="44D77195"/>
    <w:rsid w:val="44D93354"/>
    <w:rsid w:val="44E1063D"/>
    <w:rsid w:val="44E17603"/>
    <w:rsid w:val="44E34666"/>
    <w:rsid w:val="44EB3BED"/>
    <w:rsid w:val="44F667C0"/>
    <w:rsid w:val="44FB2B84"/>
    <w:rsid w:val="44FE2636"/>
    <w:rsid w:val="4500325F"/>
    <w:rsid w:val="450110B5"/>
    <w:rsid w:val="450D700C"/>
    <w:rsid w:val="45102EB2"/>
    <w:rsid w:val="4514742E"/>
    <w:rsid w:val="45256839"/>
    <w:rsid w:val="452907EF"/>
    <w:rsid w:val="4529748E"/>
    <w:rsid w:val="45350C77"/>
    <w:rsid w:val="4537276F"/>
    <w:rsid w:val="45372C41"/>
    <w:rsid w:val="453D2B26"/>
    <w:rsid w:val="45453618"/>
    <w:rsid w:val="45482758"/>
    <w:rsid w:val="45500BA1"/>
    <w:rsid w:val="45534208"/>
    <w:rsid w:val="455C5804"/>
    <w:rsid w:val="456122A3"/>
    <w:rsid w:val="45634767"/>
    <w:rsid w:val="45646B16"/>
    <w:rsid w:val="45663DBA"/>
    <w:rsid w:val="45682DFA"/>
    <w:rsid w:val="456B0568"/>
    <w:rsid w:val="45715C72"/>
    <w:rsid w:val="457231AC"/>
    <w:rsid w:val="45756232"/>
    <w:rsid w:val="45763769"/>
    <w:rsid w:val="457714AA"/>
    <w:rsid w:val="457B7EC3"/>
    <w:rsid w:val="457C6DE5"/>
    <w:rsid w:val="457D5895"/>
    <w:rsid w:val="457F764A"/>
    <w:rsid w:val="458F3E4F"/>
    <w:rsid w:val="459636D6"/>
    <w:rsid w:val="459E282F"/>
    <w:rsid w:val="459E56D4"/>
    <w:rsid w:val="45A45970"/>
    <w:rsid w:val="45A656D1"/>
    <w:rsid w:val="45AC5F1A"/>
    <w:rsid w:val="45AD7C50"/>
    <w:rsid w:val="45B56764"/>
    <w:rsid w:val="45BE2764"/>
    <w:rsid w:val="45BE489A"/>
    <w:rsid w:val="45C05F0E"/>
    <w:rsid w:val="45C14ED8"/>
    <w:rsid w:val="45C26314"/>
    <w:rsid w:val="45C34129"/>
    <w:rsid w:val="45C96C02"/>
    <w:rsid w:val="45D6795F"/>
    <w:rsid w:val="45DE3CFC"/>
    <w:rsid w:val="45E51E2B"/>
    <w:rsid w:val="45E761BD"/>
    <w:rsid w:val="45E913B4"/>
    <w:rsid w:val="45EA7BB1"/>
    <w:rsid w:val="45EB6AE6"/>
    <w:rsid w:val="45EC671C"/>
    <w:rsid w:val="45F00866"/>
    <w:rsid w:val="45F84971"/>
    <w:rsid w:val="46001063"/>
    <w:rsid w:val="46072F15"/>
    <w:rsid w:val="460869F0"/>
    <w:rsid w:val="460A108F"/>
    <w:rsid w:val="460A3EDC"/>
    <w:rsid w:val="460C0A7A"/>
    <w:rsid w:val="46132C6F"/>
    <w:rsid w:val="46156F59"/>
    <w:rsid w:val="46171F22"/>
    <w:rsid w:val="46176399"/>
    <w:rsid w:val="461B1D33"/>
    <w:rsid w:val="461D2E88"/>
    <w:rsid w:val="461D3979"/>
    <w:rsid w:val="462504AA"/>
    <w:rsid w:val="462B289A"/>
    <w:rsid w:val="46306D47"/>
    <w:rsid w:val="46340AA0"/>
    <w:rsid w:val="4635508A"/>
    <w:rsid w:val="463700B2"/>
    <w:rsid w:val="4637345D"/>
    <w:rsid w:val="463E75D0"/>
    <w:rsid w:val="463F6B96"/>
    <w:rsid w:val="46437B6A"/>
    <w:rsid w:val="4645313C"/>
    <w:rsid w:val="4648206B"/>
    <w:rsid w:val="464902BE"/>
    <w:rsid w:val="46526FE6"/>
    <w:rsid w:val="46557FEB"/>
    <w:rsid w:val="465B36F2"/>
    <w:rsid w:val="465B7EC3"/>
    <w:rsid w:val="465E0F1E"/>
    <w:rsid w:val="466B6047"/>
    <w:rsid w:val="466C4AC9"/>
    <w:rsid w:val="466E3DCE"/>
    <w:rsid w:val="46706015"/>
    <w:rsid w:val="46787280"/>
    <w:rsid w:val="467B00E8"/>
    <w:rsid w:val="46804581"/>
    <w:rsid w:val="46820C71"/>
    <w:rsid w:val="4688514A"/>
    <w:rsid w:val="468E212C"/>
    <w:rsid w:val="468E49D2"/>
    <w:rsid w:val="46985161"/>
    <w:rsid w:val="469A5235"/>
    <w:rsid w:val="469E7C6C"/>
    <w:rsid w:val="469F0ECE"/>
    <w:rsid w:val="46A153F6"/>
    <w:rsid w:val="46AC7157"/>
    <w:rsid w:val="46AD6FC0"/>
    <w:rsid w:val="46B21A84"/>
    <w:rsid w:val="46B26ACF"/>
    <w:rsid w:val="46B32F3F"/>
    <w:rsid w:val="46B84A22"/>
    <w:rsid w:val="46BF2743"/>
    <w:rsid w:val="46C55258"/>
    <w:rsid w:val="46C625CB"/>
    <w:rsid w:val="46C63E9C"/>
    <w:rsid w:val="46C6725C"/>
    <w:rsid w:val="46CF5E3C"/>
    <w:rsid w:val="46D04546"/>
    <w:rsid w:val="46D159EE"/>
    <w:rsid w:val="46D21F00"/>
    <w:rsid w:val="46D8205E"/>
    <w:rsid w:val="46D83072"/>
    <w:rsid w:val="46D87B0C"/>
    <w:rsid w:val="46D90F6C"/>
    <w:rsid w:val="46D92DCB"/>
    <w:rsid w:val="46E5779E"/>
    <w:rsid w:val="46E65C44"/>
    <w:rsid w:val="46EB4238"/>
    <w:rsid w:val="46EC3272"/>
    <w:rsid w:val="46F17CA7"/>
    <w:rsid w:val="47034C87"/>
    <w:rsid w:val="47056E3B"/>
    <w:rsid w:val="47074903"/>
    <w:rsid w:val="4717736F"/>
    <w:rsid w:val="47193CAF"/>
    <w:rsid w:val="47195690"/>
    <w:rsid w:val="471A6515"/>
    <w:rsid w:val="471C217A"/>
    <w:rsid w:val="47201ED5"/>
    <w:rsid w:val="47251073"/>
    <w:rsid w:val="472A64DA"/>
    <w:rsid w:val="472C0F7C"/>
    <w:rsid w:val="472C53CB"/>
    <w:rsid w:val="472D4C54"/>
    <w:rsid w:val="472D79CF"/>
    <w:rsid w:val="47305C6A"/>
    <w:rsid w:val="47331455"/>
    <w:rsid w:val="4733145E"/>
    <w:rsid w:val="47340744"/>
    <w:rsid w:val="47354F5E"/>
    <w:rsid w:val="473673F5"/>
    <w:rsid w:val="473926AF"/>
    <w:rsid w:val="4743697F"/>
    <w:rsid w:val="47447A9A"/>
    <w:rsid w:val="474927B8"/>
    <w:rsid w:val="474C1FFA"/>
    <w:rsid w:val="474E7CAE"/>
    <w:rsid w:val="476100B6"/>
    <w:rsid w:val="47636681"/>
    <w:rsid w:val="47665B03"/>
    <w:rsid w:val="476901A6"/>
    <w:rsid w:val="476F1C13"/>
    <w:rsid w:val="477A4234"/>
    <w:rsid w:val="478C7236"/>
    <w:rsid w:val="478E7E56"/>
    <w:rsid w:val="47904208"/>
    <w:rsid w:val="479266CD"/>
    <w:rsid w:val="479510DD"/>
    <w:rsid w:val="47983210"/>
    <w:rsid w:val="47A3636C"/>
    <w:rsid w:val="47A449C3"/>
    <w:rsid w:val="47A5179A"/>
    <w:rsid w:val="47A5513F"/>
    <w:rsid w:val="47AA6D42"/>
    <w:rsid w:val="47AC7028"/>
    <w:rsid w:val="47AD74E9"/>
    <w:rsid w:val="47AF3B29"/>
    <w:rsid w:val="47B458C8"/>
    <w:rsid w:val="47BB1826"/>
    <w:rsid w:val="47BB7EF4"/>
    <w:rsid w:val="47BE5214"/>
    <w:rsid w:val="47C125B2"/>
    <w:rsid w:val="47C27F88"/>
    <w:rsid w:val="47CE4FFB"/>
    <w:rsid w:val="47D56765"/>
    <w:rsid w:val="47D722DE"/>
    <w:rsid w:val="47D926B1"/>
    <w:rsid w:val="47DA0BB1"/>
    <w:rsid w:val="47E72B97"/>
    <w:rsid w:val="47E73EAB"/>
    <w:rsid w:val="47ED75E7"/>
    <w:rsid w:val="47EF48E9"/>
    <w:rsid w:val="47F35509"/>
    <w:rsid w:val="47F77A65"/>
    <w:rsid w:val="4808017D"/>
    <w:rsid w:val="480A63EB"/>
    <w:rsid w:val="480E0272"/>
    <w:rsid w:val="48120614"/>
    <w:rsid w:val="48151904"/>
    <w:rsid w:val="481C27BE"/>
    <w:rsid w:val="48243057"/>
    <w:rsid w:val="482467A5"/>
    <w:rsid w:val="4825049C"/>
    <w:rsid w:val="48275328"/>
    <w:rsid w:val="48295A9D"/>
    <w:rsid w:val="48313C87"/>
    <w:rsid w:val="483C60FE"/>
    <w:rsid w:val="484628C3"/>
    <w:rsid w:val="484D5797"/>
    <w:rsid w:val="48523A8C"/>
    <w:rsid w:val="48555984"/>
    <w:rsid w:val="485A6EB7"/>
    <w:rsid w:val="485B40FD"/>
    <w:rsid w:val="485B7871"/>
    <w:rsid w:val="485E000C"/>
    <w:rsid w:val="48614F24"/>
    <w:rsid w:val="48624F7D"/>
    <w:rsid w:val="486A421F"/>
    <w:rsid w:val="486C01BB"/>
    <w:rsid w:val="48740054"/>
    <w:rsid w:val="487B4BF3"/>
    <w:rsid w:val="487B5DD3"/>
    <w:rsid w:val="48811320"/>
    <w:rsid w:val="4885787E"/>
    <w:rsid w:val="488E4F60"/>
    <w:rsid w:val="48945CB4"/>
    <w:rsid w:val="48957797"/>
    <w:rsid w:val="48964E53"/>
    <w:rsid w:val="489965F5"/>
    <w:rsid w:val="489D71D2"/>
    <w:rsid w:val="48A47070"/>
    <w:rsid w:val="48AA53B1"/>
    <w:rsid w:val="48AB15C3"/>
    <w:rsid w:val="48AB5C8A"/>
    <w:rsid w:val="48AE37A5"/>
    <w:rsid w:val="48AE6D3C"/>
    <w:rsid w:val="48AF5F18"/>
    <w:rsid w:val="48AF7527"/>
    <w:rsid w:val="48B603DF"/>
    <w:rsid w:val="48BA5DFF"/>
    <w:rsid w:val="48BD0CBF"/>
    <w:rsid w:val="48C3326E"/>
    <w:rsid w:val="48C35E68"/>
    <w:rsid w:val="48CC2733"/>
    <w:rsid w:val="48CE41D6"/>
    <w:rsid w:val="48E260D1"/>
    <w:rsid w:val="48EB7FCA"/>
    <w:rsid w:val="48F576A9"/>
    <w:rsid w:val="48F65596"/>
    <w:rsid w:val="48F74AD6"/>
    <w:rsid w:val="48F76112"/>
    <w:rsid w:val="49015398"/>
    <w:rsid w:val="490331AD"/>
    <w:rsid w:val="49097105"/>
    <w:rsid w:val="490A7CC4"/>
    <w:rsid w:val="491B531C"/>
    <w:rsid w:val="49236A0A"/>
    <w:rsid w:val="49283544"/>
    <w:rsid w:val="492A252E"/>
    <w:rsid w:val="492A300F"/>
    <w:rsid w:val="492B463D"/>
    <w:rsid w:val="492D54F1"/>
    <w:rsid w:val="493054C4"/>
    <w:rsid w:val="49334A64"/>
    <w:rsid w:val="493B1BE0"/>
    <w:rsid w:val="493B6A70"/>
    <w:rsid w:val="493C07EF"/>
    <w:rsid w:val="49417C32"/>
    <w:rsid w:val="494C7A83"/>
    <w:rsid w:val="495017B8"/>
    <w:rsid w:val="49506894"/>
    <w:rsid w:val="49517CB6"/>
    <w:rsid w:val="49537D2A"/>
    <w:rsid w:val="49540C3C"/>
    <w:rsid w:val="49541EE9"/>
    <w:rsid w:val="495518E8"/>
    <w:rsid w:val="495841C3"/>
    <w:rsid w:val="495D41A9"/>
    <w:rsid w:val="495F1E6A"/>
    <w:rsid w:val="495F2422"/>
    <w:rsid w:val="49631070"/>
    <w:rsid w:val="496E220F"/>
    <w:rsid w:val="496E4DAD"/>
    <w:rsid w:val="49735D25"/>
    <w:rsid w:val="4983749A"/>
    <w:rsid w:val="498402F6"/>
    <w:rsid w:val="498A696B"/>
    <w:rsid w:val="498C6996"/>
    <w:rsid w:val="498F7DA2"/>
    <w:rsid w:val="4992238C"/>
    <w:rsid w:val="4995543F"/>
    <w:rsid w:val="49966A2C"/>
    <w:rsid w:val="49A05E6A"/>
    <w:rsid w:val="49A365A5"/>
    <w:rsid w:val="49AC23EA"/>
    <w:rsid w:val="49AF7144"/>
    <w:rsid w:val="49B02875"/>
    <w:rsid w:val="49B84B51"/>
    <w:rsid w:val="49BD0025"/>
    <w:rsid w:val="49CC72FF"/>
    <w:rsid w:val="49CC79A0"/>
    <w:rsid w:val="49DC0BCF"/>
    <w:rsid w:val="49DF7A27"/>
    <w:rsid w:val="49E417D6"/>
    <w:rsid w:val="49E714DA"/>
    <w:rsid w:val="49E7572B"/>
    <w:rsid w:val="49E76CE4"/>
    <w:rsid w:val="49E926F5"/>
    <w:rsid w:val="49E96B1A"/>
    <w:rsid w:val="49F058E7"/>
    <w:rsid w:val="49F05904"/>
    <w:rsid w:val="49F86C80"/>
    <w:rsid w:val="49FF647A"/>
    <w:rsid w:val="4A0060E5"/>
    <w:rsid w:val="4A084BAC"/>
    <w:rsid w:val="4A0F7149"/>
    <w:rsid w:val="4A100062"/>
    <w:rsid w:val="4A106958"/>
    <w:rsid w:val="4A114026"/>
    <w:rsid w:val="4A185EB4"/>
    <w:rsid w:val="4A212764"/>
    <w:rsid w:val="4A271673"/>
    <w:rsid w:val="4A3065B2"/>
    <w:rsid w:val="4A377260"/>
    <w:rsid w:val="4A3E36FB"/>
    <w:rsid w:val="4A435B34"/>
    <w:rsid w:val="4A4C1426"/>
    <w:rsid w:val="4A4D40AC"/>
    <w:rsid w:val="4A51367A"/>
    <w:rsid w:val="4A565917"/>
    <w:rsid w:val="4A570C47"/>
    <w:rsid w:val="4A5751EC"/>
    <w:rsid w:val="4A5C4DA1"/>
    <w:rsid w:val="4A5F68F2"/>
    <w:rsid w:val="4A604325"/>
    <w:rsid w:val="4A677CA1"/>
    <w:rsid w:val="4A6875A2"/>
    <w:rsid w:val="4A6D0165"/>
    <w:rsid w:val="4A7458D2"/>
    <w:rsid w:val="4A770504"/>
    <w:rsid w:val="4A81584E"/>
    <w:rsid w:val="4A821EB2"/>
    <w:rsid w:val="4A8262C5"/>
    <w:rsid w:val="4A842145"/>
    <w:rsid w:val="4A871299"/>
    <w:rsid w:val="4A8A3813"/>
    <w:rsid w:val="4A8B3493"/>
    <w:rsid w:val="4A943E7B"/>
    <w:rsid w:val="4A946440"/>
    <w:rsid w:val="4A9B18A2"/>
    <w:rsid w:val="4AA85A47"/>
    <w:rsid w:val="4AAE5EE7"/>
    <w:rsid w:val="4ABA7398"/>
    <w:rsid w:val="4ACF70FA"/>
    <w:rsid w:val="4ACF759C"/>
    <w:rsid w:val="4AD149B1"/>
    <w:rsid w:val="4AD53C12"/>
    <w:rsid w:val="4ADB5E1D"/>
    <w:rsid w:val="4ADB7BCB"/>
    <w:rsid w:val="4ADC550E"/>
    <w:rsid w:val="4AF27EB5"/>
    <w:rsid w:val="4AF31CE7"/>
    <w:rsid w:val="4AF34813"/>
    <w:rsid w:val="4AF45C21"/>
    <w:rsid w:val="4AF7296F"/>
    <w:rsid w:val="4AF75EA8"/>
    <w:rsid w:val="4AFD3E6F"/>
    <w:rsid w:val="4B083053"/>
    <w:rsid w:val="4B0B5FDF"/>
    <w:rsid w:val="4B0C0A5C"/>
    <w:rsid w:val="4B0F3827"/>
    <w:rsid w:val="4B100B6F"/>
    <w:rsid w:val="4B1044A2"/>
    <w:rsid w:val="4B127F32"/>
    <w:rsid w:val="4B1634EC"/>
    <w:rsid w:val="4B1A06F3"/>
    <w:rsid w:val="4B1C3DD4"/>
    <w:rsid w:val="4B2B6B4B"/>
    <w:rsid w:val="4B2D7DF3"/>
    <w:rsid w:val="4B3071A4"/>
    <w:rsid w:val="4B3237F8"/>
    <w:rsid w:val="4B346CA5"/>
    <w:rsid w:val="4B3502EA"/>
    <w:rsid w:val="4B373D36"/>
    <w:rsid w:val="4B38557A"/>
    <w:rsid w:val="4B3F15AB"/>
    <w:rsid w:val="4B4A0189"/>
    <w:rsid w:val="4B4B2FA2"/>
    <w:rsid w:val="4B544CE7"/>
    <w:rsid w:val="4B5E183E"/>
    <w:rsid w:val="4B635485"/>
    <w:rsid w:val="4B666218"/>
    <w:rsid w:val="4B6968D9"/>
    <w:rsid w:val="4B6B3302"/>
    <w:rsid w:val="4B6B4394"/>
    <w:rsid w:val="4B6E6E22"/>
    <w:rsid w:val="4B744DA1"/>
    <w:rsid w:val="4B747E76"/>
    <w:rsid w:val="4B75209B"/>
    <w:rsid w:val="4B812A97"/>
    <w:rsid w:val="4B88286D"/>
    <w:rsid w:val="4B886D68"/>
    <w:rsid w:val="4B8D343F"/>
    <w:rsid w:val="4B920D42"/>
    <w:rsid w:val="4B9366F7"/>
    <w:rsid w:val="4B937DFD"/>
    <w:rsid w:val="4B9639DF"/>
    <w:rsid w:val="4BA06815"/>
    <w:rsid w:val="4BA37AB4"/>
    <w:rsid w:val="4BA76C23"/>
    <w:rsid w:val="4BAA5300"/>
    <w:rsid w:val="4BAE3CE6"/>
    <w:rsid w:val="4BB23820"/>
    <w:rsid w:val="4BB71159"/>
    <w:rsid w:val="4BB925FA"/>
    <w:rsid w:val="4BB96020"/>
    <w:rsid w:val="4BBD6F52"/>
    <w:rsid w:val="4BBE7454"/>
    <w:rsid w:val="4BCA0ECD"/>
    <w:rsid w:val="4BD64A0C"/>
    <w:rsid w:val="4BEB0445"/>
    <w:rsid w:val="4BED22AB"/>
    <w:rsid w:val="4BF01369"/>
    <w:rsid w:val="4BF10BAC"/>
    <w:rsid w:val="4BF13283"/>
    <w:rsid w:val="4BF753A2"/>
    <w:rsid w:val="4BF77587"/>
    <w:rsid w:val="4BFC358E"/>
    <w:rsid w:val="4BFF7DB3"/>
    <w:rsid w:val="4C017436"/>
    <w:rsid w:val="4C073327"/>
    <w:rsid w:val="4C1566A0"/>
    <w:rsid w:val="4C172216"/>
    <w:rsid w:val="4C1A3C59"/>
    <w:rsid w:val="4C217B94"/>
    <w:rsid w:val="4C2E58F9"/>
    <w:rsid w:val="4C337267"/>
    <w:rsid w:val="4C38394A"/>
    <w:rsid w:val="4C3902EB"/>
    <w:rsid w:val="4C3961F4"/>
    <w:rsid w:val="4C457C28"/>
    <w:rsid w:val="4C462CCA"/>
    <w:rsid w:val="4C464705"/>
    <w:rsid w:val="4C4964CA"/>
    <w:rsid w:val="4C4C1E80"/>
    <w:rsid w:val="4C4C54F9"/>
    <w:rsid w:val="4C535811"/>
    <w:rsid w:val="4C541D69"/>
    <w:rsid w:val="4C5F15FC"/>
    <w:rsid w:val="4C60274C"/>
    <w:rsid w:val="4C607E68"/>
    <w:rsid w:val="4C6E3312"/>
    <w:rsid w:val="4C7509A4"/>
    <w:rsid w:val="4C78179D"/>
    <w:rsid w:val="4C7F25D4"/>
    <w:rsid w:val="4C800B81"/>
    <w:rsid w:val="4C8057DC"/>
    <w:rsid w:val="4C8A47E5"/>
    <w:rsid w:val="4C8E675A"/>
    <w:rsid w:val="4C8F50FA"/>
    <w:rsid w:val="4C98722E"/>
    <w:rsid w:val="4C9B1D07"/>
    <w:rsid w:val="4C9B24AE"/>
    <w:rsid w:val="4C9B3158"/>
    <w:rsid w:val="4CAC137A"/>
    <w:rsid w:val="4CB060AA"/>
    <w:rsid w:val="4CB13BFF"/>
    <w:rsid w:val="4CB21692"/>
    <w:rsid w:val="4CB82422"/>
    <w:rsid w:val="4CBB54B3"/>
    <w:rsid w:val="4CC111EC"/>
    <w:rsid w:val="4CC92D89"/>
    <w:rsid w:val="4CCC71DF"/>
    <w:rsid w:val="4CD317D3"/>
    <w:rsid w:val="4CDB0009"/>
    <w:rsid w:val="4CDD2C3C"/>
    <w:rsid w:val="4CE374AF"/>
    <w:rsid w:val="4CED58E7"/>
    <w:rsid w:val="4CF179D7"/>
    <w:rsid w:val="4CF56C3C"/>
    <w:rsid w:val="4CFB4D74"/>
    <w:rsid w:val="4CFD5B5A"/>
    <w:rsid w:val="4CFF49A0"/>
    <w:rsid w:val="4D0119DB"/>
    <w:rsid w:val="4D0B58EE"/>
    <w:rsid w:val="4D134BD2"/>
    <w:rsid w:val="4D160018"/>
    <w:rsid w:val="4D1A15B6"/>
    <w:rsid w:val="4D1A36C5"/>
    <w:rsid w:val="4D1B358B"/>
    <w:rsid w:val="4D205308"/>
    <w:rsid w:val="4D21423D"/>
    <w:rsid w:val="4D234272"/>
    <w:rsid w:val="4D243AAB"/>
    <w:rsid w:val="4D254ACA"/>
    <w:rsid w:val="4D347675"/>
    <w:rsid w:val="4D3E7C1D"/>
    <w:rsid w:val="4D437339"/>
    <w:rsid w:val="4D4733A3"/>
    <w:rsid w:val="4D4C3002"/>
    <w:rsid w:val="4D4C65BF"/>
    <w:rsid w:val="4D4D36A1"/>
    <w:rsid w:val="4D5B7EF2"/>
    <w:rsid w:val="4D5F6A3C"/>
    <w:rsid w:val="4D602942"/>
    <w:rsid w:val="4D665E71"/>
    <w:rsid w:val="4D6E48FB"/>
    <w:rsid w:val="4D6E6598"/>
    <w:rsid w:val="4D7422D7"/>
    <w:rsid w:val="4D77007F"/>
    <w:rsid w:val="4D7A6CCC"/>
    <w:rsid w:val="4D7C5695"/>
    <w:rsid w:val="4D7F33D7"/>
    <w:rsid w:val="4D840A76"/>
    <w:rsid w:val="4D8471DD"/>
    <w:rsid w:val="4D8B0C0B"/>
    <w:rsid w:val="4D8D1FA7"/>
    <w:rsid w:val="4D8E716B"/>
    <w:rsid w:val="4D8F51A9"/>
    <w:rsid w:val="4D907392"/>
    <w:rsid w:val="4D924EB8"/>
    <w:rsid w:val="4D997464"/>
    <w:rsid w:val="4D9C54DF"/>
    <w:rsid w:val="4DA555D3"/>
    <w:rsid w:val="4DAF7260"/>
    <w:rsid w:val="4DB01F78"/>
    <w:rsid w:val="4DB1718D"/>
    <w:rsid w:val="4DB2164B"/>
    <w:rsid w:val="4DBA7ACE"/>
    <w:rsid w:val="4DBE0EEC"/>
    <w:rsid w:val="4DC36945"/>
    <w:rsid w:val="4DD75D47"/>
    <w:rsid w:val="4DD9011E"/>
    <w:rsid w:val="4DE01078"/>
    <w:rsid w:val="4DE2213B"/>
    <w:rsid w:val="4DE34E80"/>
    <w:rsid w:val="4DE4442D"/>
    <w:rsid w:val="4DEB2042"/>
    <w:rsid w:val="4DEF520C"/>
    <w:rsid w:val="4DF45812"/>
    <w:rsid w:val="4DF5596D"/>
    <w:rsid w:val="4DFB6D76"/>
    <w:rsid w:val="4E0B312F"/>
    <w:rsid w:val="4E11745F"/>
    <w:rsid w:val="4E194AC8"/>
    <w:rsid w:val="4E1C42DD"/>
    <w:rsid w:val="4E242E21"/>
    <w:rsid w:val="4E245344"/>
    <w:rsid w:val="4E2D2DD6"/>
    <w:rsid w:val="4E3046D1"/>
    <w:rsid w:val="4E3372B7"/>
    <w:rsid w:val="4E3634E1"/>
    <w:rsid w:val="4E37771F"/>
    <w:rsid w:val="4E390FBA"/>
    <w:rsid w:val="4E396B05"/>
    <w:rsid w:val="4E3F307B"/>
    <w:rsid w:val="4E434405"/>
    <w:rsid w:val="4E4A4742"/>
    <w:rsid w:val="4E5170CC"/>
    <w:rsid w:val="4E5472F5"/>
    <w:rsid w:val="4E5F4A91"/>
    <w:rsid w:val="4E6036F0"/>
    <w:rsid w:val="4E637A3C"/>
    <w:rsid w:val="4E6B160F"/>
    <w:rsid w:val="4E6D3572"/>
    <w:rsid w:val="4E731998"/>
    <w:rsid w:val="4E7C6696"/>
    <w:rsid w:val="4E7E2805"/>
    <w:rsid w:val="4E7E543D"/>
    <w:rsid w:val="4E7F71A2"/>
    <w:rsid w:val="4E800908"/>
    <w:rsid w:val="4E827047"/>
    <w:rsid w:val="4E84726D"/>
    <w:rsid w:val="4E871190"/>
    <w:rsid w:val="4E8B1455"/>
    <w:rsid w:val="4E8D1EEB"/>
    <w:rsid w:val="4E920EE8"/>
    <w:rsid w:val="4E9813F1"/>
    <w:rsid w:val="4E9C0A59"/>
    <w:rsid w:val="4EA25683"/>
    <w:rsid w:val="4EA51AB8"/>
    <w:rsid w:val="4EA84DD5"/>
    <w:rsid w:val="4EAB0F84"/>
    <w:rsid w:val="4EAF65E6"/>
    <w:rsid w:val="4EB043E0"/>
    <w:rsid w:val="4ED50D57"/>
    <w:rsid w:val="4ED67ECF"/>
    <w:rsid w:val="4ED7035C"/>
    <w:rsid w:val="4ED826E1"/>
    <w:rsid w:val="4EE20BE8"/>
    <w:rsid w:val="4EE72CF9"/>
    <w:rsid w:val="4EE96908"/>
    <w:rsid w:val="4EEA0345"/>
    <w:rsid w:val="4EFB5CB2"/>
    <w:rsid w:val="4EFC30F0"/>
    <w:rsid w:val="4F063E98"/>
    <w:rsid w:val="4F0B6955"/>
    <w:rsid w:val="4F0D0C2B"/>
    <w:rsid w:val="4F0D5A54"/>
    <w:rsid w:val="4F0E67C1"/>
    <w:rsid w:val="4F1E4D54"/>
    <w:rsid w:val="4F2064F4"/>
    <w:rsid w:val="4F2935FA"/>
    <w:rsid w:val="4F2A4D75"/>
    <w:rsid w:val="4F2E73E7"/>
    <w:rsid w:val="4F317BE1"/>
    <w:rsid w:val="4F412845"/>
    <w:rsid w:val="4F44185D"/>
    <w:rsid w:val="4F4441F3"/>
    <w:rsid w:val="4F4520FA"/>
    <w:rsid w:val="4F5309BF"/>
    <w:rsid w:val="4F6208BA"/>
    <w:rsid w:val="4F624AD9"/>
    <w:rsid w:val="4F6C057C"/>
    <w:rsid w:val="4F6E1D86"/>
    <w:rsid w:val="4F7C0A9D"/>
    <w:rsid w:val="4F7D1F40"/>
    <w:rsid w:val="4F850721"/>
    <w:rsid w:val="4F861951"/>
    <w:rsid w:val="4F863238"/>
    <w:rsid w:val="4F881103"/>
    <w:rsid w:val="4F8C2FBD"/>
    <w:rsid w:val="4F8E6A29"/>
    <w:rsid w:val="4F904559"/>
    <w:rsid w:val="4FA23B90"/>
    <w:rsid w:val="4FAD1DFF"/>
    <w:rsid w:val="4FB02F36"/>
    <w:rsid w:val="4FB54E8E"/>
    <w:rsid w:val="4FB76F12"/>
    <w:rsid w:val="4FBA00D9"/>
    <w:rsid w:val="4FBB196D"/>
    <w:rsid w:val="4FBC1CE2"/>
    <w:rsid w:val="4FBF3F5F"/>
    <w:rsid w:val="4FC82FAD"/>
    <w:rsid w:val="4FDC59D2"/>
    <w:rsid w:val="4FDE13ED"/>
    <w:rsid w:val="4FDF63BD"/>
    <w:rsid w:val="4FE616D1"/>
    <w:rsid w:val="4FE83CFA"/>
    <w:rsid w:val="4FEB3511"/>
    <w:rsid w:val="4FEC00C7"/>
    <w:rsid w:val="4FED0E4A"/>
    <w:rsid w:val="4FF07FD8"/>
    <w:rsid w:val="4FF57D30"/>
    <w:rsid w:val="4FF61C26"/>
    <w:rsid w:val="4FFA200D"/>
    <w:rsid w:val="50017102"/>
    <w:rsid w:val="500628CF"/>
    <w:rsid w:val="50062A68"/>
    <w:rsid w:val="500C6BEF"/>
    <w:rsid w:val="50185FCD"/>
    <w:rsid w:val="501E7A11"/>
    <w:rsid w:val="501F3AF7"/>
    <w:rsid w:val="50203975"/>
    <w:rsid w:val="50263B07"/>
    <w:rsid w:val="502743F1"/>
    <w:rsid w:val="502A4349"/>
    <w:rsid w:val="502B299B"/>
    <w:rsid w:val="502F6D78"/>
    <w:rsid w:val="5034132D"/>
    <w:rsid w:val="50372745"/>
    <w:rsid w:val="503C54A4"/>
    <w:rsid w:val="503E01C6"/>
    <w:rsid w:val="50476036"/>
    <w:rsid w:val="504B7AAF"/>
    <w:rsid w:val="504D7340"/>
    <w:rsid w:val="5051105B"/>
    <w:rsid w:val="50552A01"/>
    <w:rsid w:val="50592276"/>
    <w:rsid w:val="505A7B6B"/>
    <w:rsid w:val="505E3055"/>
    <w:rsid w:val="505E7C65"/>
    <w:rsid w:val="50622A2F"/>
    <w:rsid w:val="506233CE"/>
    <w:rsid w:val="50644581"/>
    <w:rsid w:val="506F1331"/>
    <w:rsid w:val="50852BD4"/>
    <w:rsid w:val="50867A28"/>
    <w:rsid w:val="50872F8E"/>
    <w:rsid w:val="5089579A"/>
    <w:rsid w:val="50924488"/>
    <w:rsid w:val="509B50CC"/>
    <w:rsid w:val="50A56CB1"/>
    <w:rsid w:val="50AA6FEF"/>
    <w:rsid w:val="50AF5EA5"/>
    <w:rsid w:val="50B05655"/>
    <w:rsid w:val="50B16894"/>
    <w:rsid w:val="50B3603F"/>
    <w:rsid w:val="50B63965"/>
    <w:rsid w:val="50BB5562"/>
    <w:rsid w:val="50BB6DB4"/>
    <w:rsid w:val="50C04D95"/>
    <w:rsid w:val="50C15E1D"/>
    <w:rsid w:val="50C220E9"/>
    <w:rsid w:val="50C32816"/>
    <w:rsid w:val="50C766FC"/>
    <w:rsid w:val="50D22D1F"/>
    <w:rsid w:val="50D63A23"/>
    <w:rsid w:val="50D64423"/>
    <w:rsid w:val="50DD7683"/>
    <w:rsid w:val="50E069BB"/>
    <w:rsid w:val="50E61C2B"/>
    <w:rsid w:val="50E82FAE"/>
    <w:rsid w:val="50E8573C"/>
    <w:rsid w:val="50ED1B28"/>
    <w:rsid w:val="50F15C49"/>
    <w:rsid w:val="50F45931"/>
    <w:rsid w:val="51094313"/>
    <w:rsid w:val="510F6930"/>
    <w:rsid w:val="51115F87"/>
    <w:rsid w:val="511B090B"/>
    <w:rsid w:val="511B51C5"/>
    <w:rsid w:val="511B6427"/>
    <w:rsid w:val="511B6F73"/>
    <w:rsid w:val="511C3400"/>
    <w:rsid w:val="5122730A"/>
    <w:rsid w:val="5124306B"/>
    <w:rsid w:val="512723E4"/>
    <w:rsid w:val="513615F5"/>
    <w:rsid w:val="51417974"/>
    <w:rsid w:val="5149754C"/>
    <w:rsid w:val="51711E0D"/>
    <w:rsid w:val="51727B47"/>
    <w:rsid w:val="51781F68"/>
    <w:rsid w:val="51784744"/>
    <w:rsid w:val="517D54F5"/>
    <w:rsid w:val="51817D02"/>
    <w:rsid w:val="51861AFE"/>
    <w:rsid w:val="51884E01"/>
    <w:rsid w:val="51905BB3"/>
    <w:rsid w:val="51973E87"/>
    <w:rsid w:val="51984F04"/>
    <w:rsid w:val="51A31458"/>
    <w:rsid w:val="51AC6F19"/>
    <w:rsid w:val="51AF342C"/>
    <w:rsid w:val="51B309F3"/>
    <w:rsid w:val="51B86C95"/>
    <w:rsid w:val="51BB160E"/>
    <w:rsid w:val="51BD5E85"/>
    <w:rsid w:val="51BE0612"/>
    <w:rsid w:val="51C32C29"/>
    <w:rsid w:val="51CC64BF"/>
    <w:rsid w:val="51D81CAA"/>
    <w:rsid w:val="51D82C98"/>
    <w:rsid w:val="51DA34FD"/>
    <w:rsid w:val="51DF1084"/>
    <w:rsid w:val="51E656B2"/>
    <w:rsid w:val="51E87FEE"/>
    <w:rsid w:val="51EB2898"/>
    <w:rsid w:val="51EB2DE9"/>
    <w:rsid w:val="51EC72DE"/>
    <w:rsid w:val="51ED2AC2"/>
    <w:rsid w:val="51F200CD"/>
    <w:rsid w:val="51F30BA7"/>
    <w:rsid w:val="51F33F92"/>
    <w:rsid w:val="51F550E4"/>
    <w:rsid w:val="51F758FB"/>
    <w:rsid w:val="51F970C8"/>
    <w:rsid w:val="52010638"/>
    <w:rsid w:val="520D79E3"/>
    <w:rsid w:val="520E54C8"/>
    <w:rsid w:val="52115F56"/>
    <w:rsid w:val="521354CD"/>
    <w:rsid w:val="521500A7"/>
    <w:rsid w:val="521504E1"/>
    <w:rsid w:val="521D57B4"/>
    <w:rsid w:val="521E56F0"/>
    <w:rsid w:val="52217350"/>
    <w:rsid w:val="523E3817"/>
    <w:rsid w:val="523F1387"/>
    <w:rsid w:val="52403786"/>
    <w:rsid w:val="5240779C"/>
    <w:rsid w:val="524A7D9B"/>
    <w:rsid w:val="525A1E17"/>
    <w:rsid w:val="525E0252"/>
    <w:rsid w:val="525E639B"/>
    <w:rsid w:val="5270113C"/>
    <w:rsid w:val="5270751A"/>
    <w:rsid w:val="527A5F1B"/>
    <w:rsid w:val="527D4BC9"/>
    <w:rsid w:val="52802C65"/>
    <w:rsid w:val="52875333"/>
    <w:rsid w:val="529505A2"/>
    <w:rsid w:val="5295186F"/>
    <w:rsid w:val="529E395C"/>
    <w:rsid w:val="52A015F3"/>
    <w:rsid w:val="52A3436B"/>
    <w:rsid w:val="52AC3B68"/>
    <w:rsid w:val="52B23A12"/>
    <w:rsid w:val="52BF51C2"/>
    <w:rsid w:val="52C16A68"/>
    <w:rsid w:val="52CE7D49"/>
    <w:rsid w:val="52CF42DD"/>
    <w:rsid w:val="52D143D5"/>
    <w:rsid w:val="52D26AFA"/>
    <w:rsid w:val="52D71DB6"/>
    <w:rsid w:val="52D7511B"/>
    <w:rsid w:val="52DA2160"/>
    <w:rsid w:val="52DE639F"/>
    <w:rsid w:val="52E13283"/>
    <w:rsid w:val="52E81C63"/>
    <w:rsid w:val="52E9723C"/>
    <w:rsid w:val="52EC1A54"/>
    <w:rsid w:val="52F43F1F"/>
    <w:rsid w:val="52F52A74"/>
    <w:rsid w:val="52F83EFD"/>
    <w:rsid w:val="52FD33CE"/>
    <w:rsid w:val="530A3743"/>
    <w:rsid w:val="530A75B1"/>
    <w:rsid w:val="530D3045"/>
    <w:rsid w:val="531E2C40"/>
    <w:rsid w:val="532117F4"/>
    <w:rsid w:val="53302792"/>
    <w:rsid w:val="533236A1"/>
    <w:rsid w:val="533747B0"/>
    <w:rsid w:val="53394C62"/>
    <w:rsid w:val="53465FFD"/>
    <w:rsid w:val="53493976"/>
    <w:rsid w:val="534A65B7"/>
    <w:rsid w:val="53543F6D"/>
    <w:rsid w:val="5355505B"/>
    <w:rsid w:val="535772C5"/>
    <w:rsid w:val="53647F1B"/>
    <w:rsid w:val="536679CE"/>
    <w:rsid w:val="53673706"/>
    <w:rsid w:val="536934AE"/>
    <w:rsid w:val="536959EC"/>
    <w:rsid w:val="536A37D3"/>
    <w:rsid w:val="536D1AFE"/>
    <w:rsid w:val="537A4BFD"/>
    <w:rsid w:val="537D5F50"/>
    <w:rsid w:val="53811CB3"/>
    <w:rsid w:val="539F4AC3"/>
    <w:rsid w:val="53A2397B"/>
    <w:rsid w:val="53A40969"/>
    <w:rsid w:val="53A616BE"/>
    <w:rsid w:val="53AC1B5C"/>
    <w:rsid w:val="53B440B3"/>
    <w:rsid w:val="53B72C9E"/>
    <w:rsid w:val="53B8396F"/>
    <w:rsid w:val="53B91CEC"/>
    <w:rsid w:val="53B92710"/>
    <w:rsid w:val="53BB3692"/>
    <w:rsid w:val="53BB5DBA"/>
    <w:rsid w:val="53BB5EA2"/>
    <w:rsid w:val="53BD6A07"/>
    <w:rsid w:val="53C03E02"/>
    <w:rsid w:val="53C51398"/>
    <w:rsid w:val="53C56044"/>
    <w:rsid w:val="53C8039F"/>
    <w:rsid w:val="53C93D4F"/>
    <w:rsid w:val="53CB6BC2"/>
    <w:rsid w:val="53CF3FD1"/>
    <w:rsid w:val="53D54AFD"/>
    <w:rsid w:val="53DE3FC9"/>
    <w:rsid w:val="53E732CC"/>
    <w:rsid w:val="53E73A84"/>
    <w:rsid w:val="53EC2E48"/>
    <w:rsid w:val="53F26A84"/>
    <w:rsid w:val="540C3515"/>
    <w:rsid w:val="5415564C"/>
    <w:rsid w:val="541F6559"/>
    <w:rsid w:val="5429409E"/>
    <w:rsid w:val="54350BF9"/>
    <w:rsid w:val="54392877"/>
    <w:rsid w:val="543B1282"/>
    <w:rsid w:val="5448472D"/>
    <w:rsid w:val="544E5CE1"/>
    <w:rsid w:val="54542841"/>
    <w:rsid w:val="545A6AE1"/>
    <w:rsid w:val="545C087A"/>
    <w:rsid w:val="545E7CBA"/>
    <w:rsid w:val="54607676"/>
    <w:rsid w:val="54613A07"/>
    <w:rsid w:val="54656942"/>
    <w:rsid w:val="546A3FD5"/>
    <w:rsid w:val="546F15A0"/>
    <w:rsid w:val="547920FB"/>
    <w:rsid w:val="547C3160"/>
    <w:rsid w:val="547E26E0"/>
    <w:rsid w:val="5483555B"/>
    <w:rsid w:val="54A37489"/>
    <w:rsid w:val="54A436D1"/>
    <w:rsid w:val="54AD622B"/>
    <w:rsid w:val="54B43B0B"/>
    <w:rsid w:val="54B918B1"/>
    <w:rsid w:val="54BB5C96"/>
    <w:rsid w:val="54BD2E71"/>
    <w:rsid w:val="54BF6A11"/>
    <w:rsid w:val="54C0222F"/>
    <w:rsid w:val="54C067AF"/>
    <w:rsid w:val="54C62B14"/>
    <w:rsid w:val="54CF0EC4"/>
    <w:rsid w:val="54D1129C"/>
    <w:rsid w:val="54D73DDE"/>
    <w:rsid w:val="54D80A3A"/>
    <w:rsid w:val="54D90ECF"/>
    <w:rsid w:val="54E03079"/>
    <w:rsid w:val="54E41A89"/>
    <w:rsid w:val="54EB5622"/>
    <w:rsid w:val="54F2623D"/>
    <w:rsid w:val="54F316DE"/>
    <w:rsid w:val="54F53042"/>
    <w:rsid w:val="54F55B46"/>
    <w:rsid w:val="54F62E66"/>
    <w:rsid w:val="54F66DB1"/>
    <w:rsid w:val="54F7126B"/>
    <w:rsid w:val="54FE2807"/>
    <w:rsid w:val="55002A68"/>
    <w:rsid w:val="55015ECB"/>
    <w:rsid w:val="550C76DA"/>
    <w:rsid w:val="550D4FB0"/>
    <w:rsid w:val="55144C40"/>
    <w:rsid w:val="55151109"/>
    <w:rsid w:val="55165FD6"/>
    <w:rsid w:val="55171BEA"/>
    <w:rsid w:val="55202DAA"/>
    <w:rsid w:val="552571C0"/>
    <w:rsid w:val="552E2F38"/>
    <w:rsid w:val="55350693"/>
    <w:rsid w:val="5539030F"/>
    <w:rsid w:val="553A49F5"/>
    <w:rsid w:val="55440CD8"/>
    <w:rsid w:val="555D1C0D"/>
    <w:rsid w:val="55602D77"/>
    <w:rsid w:val="55611E75"/>
    <w:rsid w:val="556C5FEF"/>
    <w:rsid w:val="556E13DC"/>
    <w:rsid w:val="557A774D"/>
    <w:rsid w:val="557D62D4"/>
    <w:rsid w:val="558505BB"/>
    <w:rsid w:val="558559D4"/>
    <w:rsid w:val="55856116"/>
    <w:rsid w:val="558F5408"/>
    <w:rsid w:val="55A12CBF"/>
    <w:rsid w:val="55A453DA"/>
    <w:rsid w:val="55A84497"/>
    <w:rsid w:val="55A910A4"/>
    <w:rsid w:val="55AE6607"/>
    <w:rsid w:val="55BA494A"/>
    <w:rsid w:val="55BB6AA2"/>
    <w:rsid w:val="55BE5A7D"/>
    <w:rsid w:val="55C01554"/>
    <w:rsid w:val="55C2168E"/>
    <w:rsid w:val="55C95107"/>
    <w:rsid w:val="55D23F24"/>
    <w:rsid w:val="55E06E66"/>
    <w:rsid w:val="55E20E4E"/>
    <w:rsid w:val="55E22755"/>
    <w:rsid w:val="55E275C4"/>
    <w:rsid w:val="55E3266E"/>
    <w:rsid w:val="55E94D77"/>
    <w:rsid w:val="55EB4456"/>
    <w:rsid w:val="55F36D31"/>
    <w:rsid w:val="55F6456C"/>
    <w:rsid w:val="55F664B6"/>
    <w:rsid w:val="55FB20AD"/>
    <w:rsid w:val="55FE70FD"/>
    <w:rsid w:val="56001835"/>
    <w:rsid w:val="560721BC"/>
    <w:rsid w:val="56073F6A"/>
    <w:rsid w:val="56075966"/>
    <w:rsid w:val="56081772"/>
    <w:rsid w:val="560B7D4F"/>
    <w:rsid w:val="560E3F5F"/>
    <w:rsid w:val="56116563"/>
    <w:rsid w:val="561340F4"/>
    <w:rsid w:val="56144DBC"/>
    <w:rsid w:val="562011F1"/>
    <w:rsid w:val="56233F9C"/>
    <w:rsid w:val="562425A9"/>
    <w:rsid w:val="56271D79"/>
    <w:rsid w:val="562A40A0"/>
    <w:rsid w:val="562B061C"/>
    <w:rsid w:val="562B5EAA"/>
    <w:rsid w:val="562E4C60"/>
    <w:rsid w:val="563455C2"/>
    <w:rsid w:val="56411BBC"/>
    <w:rsid w:val="56431B49"/>
    <w:rsid w:val="56476B6D"/>
    <w:rsid w:val="5652363B"/>
    <w:rsid w:val="56541B12"/>
    <w:rsid w:val="56580631"/>
    <w:rsid w:val="565B2ED4"/>
    <w:rsid w:val="56641DA3"/>
    <w:rsid w:val="566C700C"/>
    <w:rsid w:val="56730E5E"/>
    <w:rsid w:val="56734B33"/>
    <w:rsid w:val="5677297A"/>
    <w:rsid w:val="567D1D05"/>
    <w:rsid w:val="567E00D1"/>
    <w:rsid w:val="567F1D52"/>
    <w:rsid w:val="56844798"/>
    <w:rsid w:val="56862EDC"/>
    <w:rsid w:val="568B2714"/>
    <w:rsid w:val="568D334D"/>
    <w:rsid w:val="568E5536"/>
    <w:rsid w:val="569723BE"/>
    <w:rsid w:val="569F0D81"/>
    <w:rsid w:val="569F23F4"/>
    <w:rsid w:val="56A010F9"/>
    <w:rsid w:val="56A21170"/>
    <w:rsid w:val="56A409F9"/>
    <w:rsid w:val="56AF6DD2"/>
    <w:rsid w:val="56B01785"/>
    <w:rsid w:val="56B07DC0"/>
    <w:rsid w:val="56B6531C"/>
    <w:rsid w:val="56BB12C0"/>
    <w:rsid w:val="56C013BF"/>
    <w:rsid w:val="56C23A53"/>
    <w:rsid w:val="56C40716"/>
    <w:rsid w:val="56C969C7"/>
    <w:rsid w:val="56CA3030"/>
    <w:rsid w:val="56CE73BE"/>
    <w:rsid w:val="56D05374"/>
    <w:rsid w:val="56DA3E9B"/>
    <w:rsid w:val="56E110CB"/>
    <w:rsid w:val="56EA4954"/>
    <w:rsid w:val="56F00EA2"/>
    <w:rsid w:val="57030F4A"/>
    <w:rsid w:val="57086B34"/>
    <w:rsid w:val="570B24B7"/>
    <w:rsid w:val="570D2A2B"/>
    <w:rsid w:val="57142BDB"/>
    <w:rsid w:val="571A0707"/>
    <w:rsid w:val="571D7053"/>
    <w:rsid w:val="571F13FF"/>
    <w:rsid w:val="57220852"/>
    <w:rsid w:val="57247482"/>
    <w:rsid w:val="57281656"/>
    <w:rsid w:val="5737025E"/>
    <w:rsid w:val="573D2108"/>
    <w:rsid w:val="573E6912"/>
    <w:rsid w:val="57412C6A"/>
    <w:rsid w:val="57414C6C"/>
    <w:rsid w:val="5743529D"/>
    <w:rsid w:val="57445688"/>
    <w:rsid w:val="574459A4"/>
    <w:rsid w:val="574D4867"/>
    <w:rsid w:val="574E065D"/>
    <w:rsid w:val="574E4225"/>
    <w:rsid w:val="574F1914"/>
    <w:rsid w:val="575424A1"/>
    <w:rsid w:val="57542EEB"/>
    <w:rsid w:val="575A3536"/>
    <w:rsid w:val="575C4532"/>
    <w:rsid w:val="575E74FE"/>
    <w:rsid w:val="57614FEA"/>
    <w:rsid w:val="576339C1"/>
    <w:rsid w:val="57645032"/>
    <w:rsid w:val="5765363E"/>
    <w:rsid w:val="576675B5"/>
    <w:rsid w:val="57673FBD"/>
    <w:rsid w:val="57691B77"/>
    <w:rsid w:val="576A6B6A"/>
    <w:rsid w:val="577949F3"/>
    <w:rsid w:val="577F73A8"/>
    <w:rsid w:val="578041F1"/>
    <w:rsid w:val="578E5413"/>
    <w:rsid w:val="579559D6"/>
    <w:rsid w:val="579630CA"/>
    <w:rsid w:val="57981EB0"/>
    <w:rsid w:val="57990B04"/>
    <w:rsid w:val="579A3154"/>
    <w:rsid w:val="57A42FB6"/>
    <w:rsid w:val="57AA515E"/>
    <w:rsid w:val="57AC6738"/>
    <w:rsid w:val="57AE2D84"/>
    <w:rsid w:val="57B3455C"/>
    <w:rsid w:val="57B84AD3"/>
    <w:rsid w:val="57BA1918"/>
    <w:rsid w:val="57BA3D2E"/>
    <w:rsid w:val="57C27265"/>
    <w:rsid w:val="57C5765D"/>
    <w:rsid w:val="57C71CB4"/>
    <w:rsid w:val="57C739B1"/>
    <w:rsid w:val="57C8562E"/>
    <w:rsid w:val="57CA2A69"/>
    <w:rsid w:val="57CE6B61"/>
    <w:rsid w:val="57E203D8"/>
    <w:rsid w:val="57F329F7"/>
    <w:rsid w:val="57F557BF"/>
    <w:rsid w:val="57F71647"/>
    <w:rsid w:val="57FE13FF"/>
    <w:rsid w:val="58001DDF"/>
    <w:rsid w:val="58026BC0"/>
    <w:rsid w:val="580473B6"/>
    <w:rsid w:val="58080609"/>
    <w:rsid w:val="58114142"/>
    <w:rsid w:val="58140D5B"/>
    <w:rsid w:val="581F2F90"/>
    <w:rsid w:val="581F559B"/>
    <w:rsid w:val="58246B5C"/>
    <w:rsid w:val="582605B6"/>
    <w:rsid w:val="58455090"/>
    <w:rsid w:val="58466FCB"/>
    <w:rsid w:val="584723D6"/>
    <w:rsid w:val="584C6B19"/>
    <w:rsid w:val="585C003B"/>
    <w:rsid w:val="585E0C38"/>
    <w:rsid w:val="58602E7F"/>
    <w:rsid w:val="586C48B8"/>
    <w:rsid w:val="58711EEA"/>
    <w:rsid w:val="58713D73"/>
    <w:rsid w:val="587D49B7"/>
    <w:rsid w:val="58807EBB"/>
    <w:rsid w:val="588412F3"/>
    <w:rsid w:val="588D27DC"/>
    <w:rsid w:val="58970BA2"/>
    <w:rsid w:val="589D1A59"/>
    <w:rsid w:val="58A35A72"/>
    <w:rsid w:val="58A659AB"/>
    <w:rsid w:val="58A83736"/>
    <w:rsid w:val="58AB32D2"/>
    <w:rsid w:val="58AC38E3"/>
    <w:rsid w:val="58B148C6"/>
    <w:rsid w:val="58B303D9"/>
    <w:rsid w:val="58BF3150"/>
    <w:rsid w:val="58C10119"/>
    <w:rsid w:val="58C25EF9"/>
    <w:rsid w:val="58C912D6"/>
    <w:rsid w:val="58D05D10"/>
    <w:rsid w:val="58D32745"/>
    <w:rsid w:val="58D8198B"/>
    <w:rsid w:val="58DB58BB"/>
    <w:rsid w:val="58DF448F"/>
    <w:rsid w:val="58E7568B"/>
    <w:rsid w:val="58F16A3E"/>
    <w:rsid w:val="58F31739"/>
    <w:rsid w:val="58F374E3"/>
    <w:rsid w:val="58F63173"/>
    <w:rsid w:val="58F778D2"/>
    <w:rsid w:val="58F92290"/>
    <w:rsid w:val="58FA3ADF"/>
    <w:rsid w:val="59011144"/>
    <w:rsid w:val="59112E95"/>
    <w:rsid w:val="591237D1"/>
    <w:rsid w:val="592133C1"/>
    <w:rsid w:val="592310BA"/>
    <w:rsid w:val="592543A7"/>
    <w:rsid w:val="59254E33"/>
    <w:rsid w:val="592E180D"/>
    <w:rsid w:val="59306DA5"/>
    <w:rsid w:val="593606DE"/>
    <w:rsid w:val="59365468"/>
    <w:rsid w:val="593B00EC"/>
    <w:rsid w:val="594224F4"/>
    <w:rsid w:val="59555E0B"/>
    <w:rsid w:val="595C0562"/>
    <w:rsid w:val="59660336"/>
    <w:rsid w:val="59692921"/>
    <w:rsid w:val="596E66CB"/>
    <w:rsid w:val="597114A7"/>
    <w:rsid w:val="5977598B"/>
    <w:rsid w:val="59851205"/>
    <w:rsid w:val="59866A5B"/>
    <w:rsid w:val="598C009E"/>
    <w:rsid w:val="59902579"/>
    <w:rsid w:val="599327C1"/>
    <w:rsid w:val="599700F9"/>
    <w:rsid w:val="59985909"/>
    <w:rsid w:val="59A11E16"/>
    <w:rsid w:val="59A40DA9"/>
    <w:rsid w:val="59A54A6E"/>
    <w:rsid w:val="59AA1046"/>
    <w:rsid w:val="59B556B8"/>
    <w:rsid w:val="59B701D0"/>
    <w:rsid w:val="59BD5162"/>
    <w:rsid w:val="59C1548C"/>
    <w:rsid w:val="59C54E70"/>
    <w:rsid w:val="59C72E85"/>
    <w:rsid w:val="59C7594D"/>
    <w:rsid w:val="59CC651A"/>
    <w:rsid w:val="59CE46D2"/>
    <w:rsid w:val="59D00C83"/>
    <w:rsid w:val="59D6282A"/>
    <w:rsid w:val="59D95753"/>
    <w:rsid w:val="59DD75EE"/>
    <w:rsid w:val="59E771E2"/>
    <w:rsid w:val="59ED3476"/>
    <w:rsid w:val="59F57F7E"/>
    <w:rsid w:val="59F94E5D"/>
    <w:rsid w:val="59FE11CE"/>
    <w:rsid w:val="59FF38D6"/>
    <w:rsid w:val="5A0369FC"/>
    <w:rsid w:val="5A06217E"/>
    <w:rsid w:val="5A147E7A"/>
    <w:rsid w:val="5A157D2E"/>
    <w:rsid w:val="5A204BA0"/>
    <w:rsid w:val="5A2055FA"/>
    <w:rsid w:val="5A246E03"/>
    <w:rsid w:val="5A3115B5"/>
    <w:rsid w:val="5A362560"/>
    <w:rsid w:val="5A382944"/>
    <w:rsid w:val="5A3A6DBE"/>
    <w:rsid w:val="5A447F3F"/>
    <w:rsid w:val="5A516360"/>
    <w:rsid w:val="5A577EFE"/>
    <w:rsid w:val="5A591613"/>
    <w:rsid w:val="5A5D26E9"/>
    <w:rsid w:val="5A5E5CE4"/>
    <w:rsid w:val="5A712350"/>
    <w:rsid w:val="5A76346C"/>
    <w:rsid w:val="5A785436"/>
    <w:rsid w:val="5A794212"/>
    <w:rsid w:val="5A7B4501"/>
    <w:rsid w:val="5A833E72"/>
    <w:rsid w:val="5A8C2C8F"/>
    <w:rsid w:val="5A9D3030"/>
    <w:rsid w:val="5A9E7E53"/>
    <w:rsid w:val="5A9F0FF3"/>
    <w:rsid w:val="5A9F41C4"/>
    <w:rsid w:val="5AA004E9"/>
    <w:rsid w:val="5AA53C74"/>
    <w:rsid w:val="5AA9519D"/>
    <w:rsid w:val="5AA96044"/>
    <w:rsid w:val="5AAB2F77"/>
    <w:rsid w:val="5AAC788E"/>
    <w:rsid w:val="5AB521E6"/>
    <w:rsid w:val="5AB768BA"/>
    <w:rsid w:val="5AC16DDD"/>
    <w:rsid w:val="5AC468CD"/>
    <w:rsid w:val="5AC92A1C"/>
    <w:rsid w:val="5ACB0BC5"/>
    <w:rsid w:val="5ACB64EE"/>
    <w:rsid w:val="5AD13BF3"/>
    <w:rsid w:val="5AE46DF0"/>
    <w:rsid w:val="5AE81FBC"/>
    <w:rsid w:val="5AEC65A6"/>
    <w:rsid w:val="5AEF68F3"/>
    <w:rsid w:val="5AF5778B"/>
    <w:rsid w:val="5AF67F74"/>
    <w:rsid w:val="5AFC6067"/>
    <w:rsid w:val="5B0434FC"/>
    <w:rsid w:val="5B055DD4"/>
    <w:rsid w:val="5B0867BA"/>
    <w:rsid w:val="5B0D7680"/>
    <w:rsid w:val="5B0E4D90"/>
    <w:rsid w:val="5B1110E3"/>
    <w:rsid w:val="5B1E7D8B"/>
    <w:rsid w:val="5B202242"/>
    <w:rsid w:val="5B265A29"/>
    <w:rsid w:val="5B266768"/>
    <w:rsid w:val="5B2C6E4D"/>
    <w:rsid w:val="5B2E7BBF"/>
    <w:rsid w:val="5B311D46"/>
    <w:rsid w:val="5B3255E5"/>
    <w:rsid w:val="5B362329"/>
    <w:rsid w:val="5B3A26EB"/>
    <w:rsid w:val="5B3A5747"/>
    <w:rsid w:val="5B4309E9"/>
    <w:rsid w:val="5B446F2C"/>
    <w:rsid w:val="5B4B16FE"/>
    <w:rsid w:val="5B50071D"/>
    <w:rsid w:val="5B51716E"/>
    <w:rsid w:val="5B53710F"/>
    <w:rsid w:val="5B542024"/>
    <w:rsid w:val="5B5D1C0A"/>
    <w:rsid w:val="5B615ECA"/>
    <w:rsid w:val="5B6310E2"/>
    <w:rsid w:val="5B6559BA"/>
    <w:rsid w:val="5B686992"/>
    <w:rsid w:val="5B6F4826"/>
    <w:rsid w:val="5B6F517A"/>
    <w:rsid w:val="5B712F40"/>
    <w:rsid w:val="5B7771C1"/>
    <w:rsid w:val="5B7A0A15"/>
    <w:rsid w:val="5B801E9D"/>
    <w:rsid w:val="5B87534B"/>
    <w:rsid w:val="5B876C90"/>
    <w:rsid w:val="5B8809A8"/>
    <w:rsid w:val="5B8B2267"/>
    <w:rsid w:val="5B8C6B1D"/>
    <w:rsid w:val="5B8F08E5"/>
    <w:rsid w:val="5B8F0CCC"/>
    <w:rsid w:val="5B964EB5"/>
    <w:rsid w:val="5B9F3919"/>
    <w:rsid w:val="5BA114E3"/>
    <w:rsid w:val="5BA15FBC"/>
    <w:rsid w:val="5BA329B9"/>
    <w:rsid w:val="5BA61EE4"/>
    <w:rsid w:val="5BA94666"/>
    <w:rsid w:val="5BAD55B3"/>
    <w:rsid w:val="5BB414ED"/>
    <w:rsid w:val="5BB739E9"/>
    <w:rsid w:val="5BB95D4F"/>
    <w:rsid w:val="5BC50425"/>
    <w:rsid w:val="5BCE590E"/>
    <w:rsid w:val="5BD17026"/>
    <w:rsid w:val="5BD3424A"/>
    <w:rsid w:val="5BD52630"/>
    <w:rsid w:val="5BD60666"/>
    <w:rsid w:val="5BDD720B"/>
    <w:rsid w:val="5BEE4A2A"/>
    <w:rsid w:val="5C070EF3"/>
    <w:rsid w:val="5C0801E4"/>
    <w:rsid w:val="5C0A0736"/>
    <w:rsid w:val="5C133EDA"/>
    <w:rsid w:val="5C163300"/>
    <w:rsid w:val="5C194189"/>
    <w:rsid w:val="5C241623"/>
    <w:rsid w:val="5C257633"/>
    <w:rsid w:val="5C260966"/>
    <w:rsid w:val="5C290D3A"/>
    <w:rsid w:val="5C2B59B7"/>
    <w:rsid w:val="5C315092"/>
    <w:rsid w:val="5C3C67E5"/>
    <w:rsid w:val="5C427AAA"/>
    <w:rsid w:val="5C4826B5"/>
    <w:rsid w:val="5C49620A"/>
    <w:rsid w:val="5C4B757A"/>
    <w:rsid w:val="5C4E56B9"/>
    <w:rsid w:val="5C545199"/>
    <w:rsid w:val="5C565CE0"/>
    <w:rsid w:val="5C583B58"/>
    <w:rsid w:val="5C5A3A1B"/>
    <w:rsid w:val="5C5B2A08"/>
    <w:rsid w:val="5C6170D7"/>
    <w:rsid w:val="5C61760C"/>
    <w:rsid w:val="5C653896"/>
    <w:rsid w:val="5C693911"/>
    <w:rsid w:val="5C6D051E"/>
    <w:rsid w:val="5C776B57"/>
    <w:rsid w:val="5C7B2FBB"/>
    <w:rsid w:val="5C7D6785"/>
    <w:rsid w:val="5C82434A"/>
    <w:rsid w:val="5C855BE8"/>
    <w:rsid w:val="5C860610"/>
    <w:rsid w:val="5C8B5AF7"/>
    <w:rsid w:val="5C8C13C2"/>
    <w:rsid w:val="5C8D5ACB"/>
    <w:rsid w:val="5C951FED"/>
    <w:rsid w:val="5C957935"/>
    <w:rsid w:val="5C9A5B38"/>
    <w:rsid w:val="5C9B5F9B"/>
    <w:rsid w:val="5CA912C1"/>
    <w:rsid w:val="5CAF0853"/>
    <w:rsid w:val="5CB01EF9"/>
    <w:rsid w:val="5CB349C7"/>
    <w:rsid w:val="5CB435F1"/>
    <w:rsid w:val="5CB6755F"/>
    <w:rsid w:val="5CB90283"/>
    <w:rsid w:val="5CC0498C"/>
    <w:rsid w:val="5CC540A4"/>
    <w:rsid w:val="5CD333EF"/>
    <w:rsid w:val="5CD670FD"/>
    <w:rsid w:val="5CE17270"/>
    <w:rsid w:val="5CE17C5F"/>
    <w:rsid w:val="5CE33DA2"/>
    <w:rsid w:val="5CE82F62"/>
    <w:rsid w:val="5CF05A53"/>
    <w:rsid w:val="5CF55E4A"/>
    <w:rsid w:val="5CF60894"/>
    <w:rsid w:val="5CFA09D1"/>
    <w:rsid w:val="5D04232D"/>
    <w:rsid w:val="5D0631CD"/>
    <w:rsid w:val="5D0A21E5"/>
    <w:rsid w:val="5D0F25B7"/>
    <w:rsid w:val="5D111FE6"/>
    <w:rsid w:val="5D144A17"/>
    <w:rsid w:val="5D1A6656"/>
    <w:rsid w:val="5D205B89"/>
    <w:rsid w:val="5D2673CB"/>
    <w:rsid w:val="5D2C7A77"/>
    <w:rsid w:val="5D2F4647"/>
    <w:rsid w:val="5D34681A"/>
    <w:rsid w:val="5D3513BC"/>
    <w:rsid w:val="5D35347E"/>
    <w:rsid w:val="5D35760E"/>
    <w:rsid w:val="5D36220A"/>
    <w:rsid w:val="5D407B73"/>
    <w:rsid w:val="5D417A99"/>
    <w:rsid w:val="5D4E2002"/>
    <w:rsid w:val="5D4E7EA0"/>
    <w:rsid w:val="5D5008E3"/>
    <w:rsid w:val="5D5164FE"/>
    <w:rsid w:val="5D584E20"/>
    <w:rsid w:val="5D615A67"/>
    <w:rsid w:val="5D662218"/>
    <w:rsid w:val="5D6F75EF"/>
    <w:rsid w:val="5D70602D"/>
    <w:rsid w:val="5D773E4D"/>
    <w:rsid w:val="5D79753D"/>
    <w:rsid w:val="5D9624E9"/>
    <w:rsid w:val="5D9A5EF4"/>
    <w:rsid w:val="5DA06006"/>
    <w:rsid w:val="5DAC1FBA"/>
    <w:rsid w:val="5DB1138B"/>
    <w:rsid w:val="5DB20C5F"/>
    <w:rsid w:val="5DBA78DE"/>
    <w:rsid w:val="5DBA7DE1"/>
    <w:rsid w:val="5DD47513"/>
    <w:rsid w:val="5DD5533F"/>
    <w:rsid w:val="5DD570FF"/>
    <w:rsid w:val="5DD961EC"/>
    <w:rsid w:val="5DE51E64"/>
    <w:rsid w:val="5DE77517"/>
    <w:rsid w:val="5DEA2465"/>
    <w:rsid w:val="5DED6585"/>
    <w:rsid w:val="5DF03AA8"/>
    <w:rsid w:val="5DF1154E"/>
    <w:rsid w:val="5DF36EDC"/>
    <w:rsid w:val="5DF47437"/>
    <w:rsid w:val="5DFC5979"/>
    <w:rsid w:val="5DFC6549"/>
    <w:rsid w:val="5E05061C"/>
    <w:rsid w:val="5E0B5486"/>
    <w:rsid w:val="5E0C65C1"/>
    <w:rsid w:val="5E105111"/>
    <w:rsid w:val="5E1B2C47"/>
    <w:rsid w:val="5E1D2BD3"/>
    <w:rsid w:val="5E281B72"/>
    <w:rsid w:val="5E2B26B2"/>
    <w:rsid w:val="5E2C27BF"/>
    <w:rsid w:val="5E2C6083"/>
    <w:rsid w:val="5E2D2E67"/>
    <w:rsid w:val="5E324AF8"/>
    <w:rsid w:val="5E3430A5"/>
    <w:rsid w:val="5E3436D6"/>
    <w:rsid w:val="5E3B5254"/>
    <w:rsid w:val="5E3D2C1E"/>
    <w:rsid w:val="5E3D76B9"/>
    <w:rsid w:val="5E431E8A"/>
    <w:rsid w:val="5E4A533B"/>
    <w:rsid w:val="5E4F7587"/>
    <w:rsid w:val="5E5151F5"/>
    <w:rsid w:val="5E574B1F"/>
    <w:rsid w:val="5E61510C"/>
    <w:rsid w:val="5E6257C3"/>
    <w:rsid w:val="5E68588B"/>
    <w:rsid w:val="5E685C87"/>
    <w:rsid w:val="5E6D4B86"/>
    <w:rsid w:val="5E6F629C"/>
    <w:rsid w:val="5E7068B7"/>
    <w:rsid w:val="5E712EAC"/>
    <w:rsid w:val="5E740EC7"/>
    <w:rsid w:val="5E7C2CA0"/>
    <w:rsid w:val="5E860F8A"/>
    <w:rsid w:val="5E8775C9"/>
    <w:rsid w:val="5E8A0999"/>
    <w:rsid w:val="5E8E3801"/>
    <w:rsid w:val="5E956276"/>
    <w:rsid w:val="5E9723C6"/>
    <w:rsid w:val="5EA13B34"/>
    <w:rsid w:val="5EA45EF6"/>
    <w:rsid w:val="5EAA035A"/>
    <w:rsid w:val="5EAB2218"/>
    <w:rsid w:val="5EB10EC5"/>
    <w:rsid w:val="5EC55749"/>
    <w:rsid w:val="5ECF2920"/>
    <w:rsid w:val="5ED56E00"/>
    <w:rsid w:val="5EDC4962"/>
    <w:rsid w:val="5EE65064"/>
    <w:rsid w:val="5EE77110"/>
    <w:rsid w:val="5EEA6DC3"/>
    <w:rsid w:val="5EEB4096"/>
    <w:rsid w:val="5EF03D42"/>
    <w:rsid w:val="5EFB6E8C"/>
    <w:rsid w:val="5EFE09EF"/>
    <w:rsid w:val="5F0768D3"/>
    <w:rsid w:val="5F0C25F1"/>
    <w:rsid w:val="5F162DE9"/>
    <w:rsid w:val="5F185FEE"/>
    <w:rsid w:val="5F1C7FFC"/>
    <w:rsid w:val="5F221B35"/>
    <w:rsid w:val="5F24793A"/>
    <w:rsid w:val="5F255556"/>
    <w:rsid w:val="5F2A1B53"/>
    <w:rsid w:val="5F355431"/>
    <w:rsid w:val="5F364AC6"/>
    <w:rsid w:val="5F375313"/>
    <w:rsid w:val="5F3B6A32"/>
    <w:rsid w:val="5F3D358B"/>
    <w:rsid w:val="5F46420B"/>
    <w:rsid w:val="5F4F4512"/>
    <w:rsid w:val="5F5024DD"/>
    <w:rsid w:val="5F56659F"/>
    <w:rsid w:val="5F585E5E"/>
    <w:rsid w:val="5F5932B4"/>
    <w:rsid w:val="5F5B19C5"/>
    <w:rsid w:val="5F5D1A66"/>
    <w:rsid w:val="5F5E045C"/>
    <w:rsid w:val="5F651C43"/>
    <w:rsid w:val="5F6930DE"/>
    <w:rsid w:val="5F6B206C"/>
    <w:rsid w:val="5F740FD9"/>
    <w:rsid w:val="5F760D3C"/>
    <w:rsid w:val="5F786462"/>
    <w:rsid w:val="5F8567B4"/>
    <w:rsid w:val="5F862181"/>
    <w:rsid w:val="5F897860"/>
    <w:rsid w:val="5F8D1984"/>
    <w:rsid w:val="5F8F1AB9"/>
    <w:rsid w:val="5F914F50"/>
    <w:rsid w:val="5F945DB0"/>
    <w:rsid w:val="5F94786C"/>
    <w:rsid w:val="5F95135B"/>
    <w:rsid w:val="5F983AB5"/>
    <w:rsid w:val="5F9F1CF5"/>
    <w:rsid w:val="5FA33461"/>
    <w:rsid w:val="5FA52242"/>
    <w:rsid w:val="5FBA465A"/>
    <w:rsid w:val="5FBA73FD"/>
    <w:rsid w:val="5FBD0E6E"/>
    <w:rsid w:val="5FBF428F"/>
    <w:rsid w:val="5FC01DC5"/>
    <w:rsid w:val="5FC551A8"/>
    <w:rsid w:val="5FD928A8"/>
    <w:rsid w:val="5FDD0114"/>
    <w:rsid w:val="5FE67423"/>
    <w:rsid w:val="5FE92ED8"/>
    <w:rsid w:val="5FF922DB"/>
    <w:rsid w:val="5FFD2173"/>
    <w:rsid w:val="60002451"/>
    <w:rsid w:val="60047FE1"/>
    <w:rsid w:val="60106508"/>
    <w:rsid w:val="60162C34"/>
    <w:rsid w:val="601950F6"/>
    <w:rsid w:val="601D32D0"/>
    <w:rsid w:val="601D4179"/>
    <w:rsid w:val="601F2FF2"/>
    <w:rsid w:val="602179A4"/>
    <w:rsid w:val="60272BA5"/>
    <w:rsid w:val="60277648"/>
    <w:rsid w:val="60280876"/>
    <w:rsid w:val="602A000E"/>
    <w:rsid w:val="603350E8"/>
    <w:rsid w:val="603E2692"/>
    <w:rsid w:val="604638E0"/>
    <w:rsid w:val="604C4F13"/>
    <w:rsid w:val="604C7A03"/>
    <w:rsid w:val="6068331F"/>
    <w:rsid w:val="60693C64"/>
    <w:rsid w:val="606D630F"/>
    <w:rsid w:val="606F1344"/>
    <w:rsid w:val="606F5718"/>
    <w:rsid w:val="607362C4"/>
    <w:rsid w:val="607371F7"/>
    <w:rsid w:val="607841FB"/>
    <w:rsid w:val="608F0932"/>
    <w:rsid w:val="60940127"/>
    <w:rsid w:val="60964117"/>
    <w:rsid w:val="609B31C5"/>
    <w:rsid w:val="609C1A5A"/>
    <w:rsid w:val="60A621F8"/>
    <w:rsid w:val="60A851CE"/>
    <w:rsid w:val="60A96573"/>
    <w:rsid w:val="60AC5BBD"/>
    <w:rsid w:val="60AF4744"/>
    <w:rsid w:val="60B167FB"/>
    <w:rsid w:val="60B51C72"/>
    <w:rsid w:val="60B54F95"/>
    <w:rsid w:val="60B744FB"/>
    <w:rsid w:val="60B74FA9"/>
    <w:rsid w:val="60B76927"/>
    <w:rsid w:val="60B7769E"/>
    <w:rsid w:val="60B84044"/>
    <w:rsid w:val="60B97902"/>
    <w:rsid w:val="60CA2B30"/>
    <w:rsid w:val="60D02A98"/>
    <w:rsid w:val="60D23219"/>
    <w:rsid w:val="60D323E5"/>
    <w:rsid w:val="60E44B67"/>
    <w:rsid w:val="60EB038D"/>
    <w:rsid w:val="60F90953"/>
    <w:rsid w:val="60FA7A32"/>
    <w:rsid w:val="6101393A"/>
    <w:rsid w:val="6105554A"/>
    <w:rsid w:val="61093382"/>
    <w:rsid w:val="610952E0"/>
    <w:rsid w:val="610A4BBE"/>
    <w:rsid w:val="6112046B"/>
    <w:rsid w:val="61174EC3"/>
    <w:rsid w:val="611A23C9"/>
    <w:rsid w:val="611D5E4A"/>
    <w:rsid w:val="6123163E"/>
    <w:rsid w:val="6125613E"/>
    <w:rsid w:val="61271F7E"/>
    <w:rsid w:val="6137658B"/>
    <w:rsid w:val="61384F99"/>
    <w:rsid w:val="613A7870"/>
    <w:rsid w:val="613E4E26"/>
    <w:rsid w:val="61457C5A"/>
    <w:rsid w:val="61477065"/>
    <w:rsid w:val="615508B3"/>
    <w:rsid w:val="61562FF6"/>
    <w:rsid w:val="61597762"/>
    <w:rsid w:val="615A3E3A"/>
    <w:rsid w:val="615B277C"/>
    <w:rsid w:val="615D7134"/>
    <w:rsid w:val="615E2EE9"/>
    <w:rsid w:val="61604280"/>
    <w:rsid w:val="617363CE"/>
    <w:rsid w:val="617523F6"/>
    <w:rsid w:val="617C3BFE"/>
    <w:rsid w:val="617E38EA"/>
    <w:rsid w:val="617E7432"/>
    <w:rsid w:val="61837164"/>
    <w:rsid w:val="618440EE"/>
    <w:rsid w:val="6186668A"/>
    <w:rsid w:val="618674C4"/>
    <w:rsid w:val="618E56E0"/>
    <w:rsid w:val="61914DF3"/>
    <w:rsid w:val="61922AFC"/>
    <w:rsid w:val="61963B9E"/>
    <w:rsid w:val="61986CB4"/>
    <w:rsid w:val="61A27D6A"/>
    <w:rsid w:val="61A75309"/>
    <w:rsid w:val="61A9154D"/>
    <w:rsid w:val="61A95A9C"/>
    <w:rsid w:val="61B80E17"/>
    <w:rsid w:val="61BC3EC6"/>
    <w:rsid w:val="61BD7DBD"/>
    <w:rsid w:val="61BE34AC"/>
    <w:rsid w:val="61C168F2"/>
    <w:rsid w:val="61C41318"/>
    <w:rsid w:val="61C43FF1"/>
    <w:rsid w:val="61C673F0"/>
    <w:rsid w:val="61D05349"/>
    <w:rsid w:val="61D30810"/>
    <w:rsid w:val="61DB240D"/>
    <w:rsid w:val="61E64CEF"/>
    <w:rsid w:val="61EB7391"/>
    <w:rsid w:val="61EF7667"/>
    <w:rsid w:val="61F10EA2"/>
    <w:rsid w:val="61F208F9"/>
    <w:rsid w:val="61F61210"/>
    <w:rsid w:val="61F71E3C"/>
    <w:rsid w:val="61FB6662"/>
    <w:rsid w:val="61FC0275"/>
    <w:rsid w:val="62033D71"/>
    <w:rsid w:val="62065A1D"/>
    <w:rsid w:val="62090269"/>
    <w:rsid w:val="620B494F"/>
    <w:rsid w:val="621B0630"/>
    <w:rsid w:val="6224747E"/>
    <w:rsid w:val="6225556D"/>
    <w:rsid w:val="622A34BA"/>
    <w:rsid w:val="622A6EAD"/>
    <w:rsid w:val="622F0AD0"/>
    <w:rsid w:val="62356DBB"/>
    <w:rsid w:val="62441C8A"/>
    <w:rsid w:val="6249006A"/>
    <w:rsid w:val="624A76B8"/>
    <w:rsid w:val="62521F17"/>
    <w:rsid w:val="625822C1"/>
    <w:rsid w:val="62585019"/>
    <w:rsid w:val="62587858"/>
    <w:rsid w:val="625931FD"/>
    <w:rsid w:val="625D3268"/>
    <w:rsid w:val="625E7FD0"/>
    <w:rsid w:val="626616D3"/>
    <w:rsid w:val="62680A55"/>
    <w:rsid w:val="626979E8"/>
    <w:rsid w:val="626D34AB"/>
    <w:rsid w:val="62726705"/>
    <w:rsid w:val="627736D7"/>
    <w:rsid w:val="627C389C"/>
    <w:rsid w:val="62822AD0"/>
    <w:rsid w:val="628779A8"/>
    <w:rsid w:val="62997ACC"/>
    <w:rsid w:val="629D58BC"/>
    <w:rsid w:val="629D6DC1"/>
    <w:rsid w:val="62A101CE"/>
    <w:rsid w:val="62A12E8B"/>
    <w:rsid w:val="62A507E7"/>
    <w:rsid w:val="62A61106"/>
    <w:rsid w:val="62AD675F"/>
    <w:rsid w:val="62B04356"/>
    <w:rsid w:val="62B13E01"/>
    <w:rsid w:val="62B80CF7"/>
    <w:rsid w:val="62BB05B6"/>
    <w:rsid w:val="62BD5707"/>
    <w:rsid w:val="62BE1E54"/>
    <w:rsid w:val="62C1277A"/>
    <w:rsid w:val="62C516E9"/>
    <w:rsid w:val="62C84FBF"/>
    <w:rsid w:val="62CE00B6"/>
    <w:rsid w:val="62D14030"/>
    <w:rsid w:val="62DC6069"/>
    <w:rsid w:val="62DD217A"/>
    <w:rsid w:val="62E8297B"/>
    <w:rsid w:val="63010CC1"/>
    <w:rsid w:val="63046FBD"/>
    <w:rsid w:val="630E731F"/>
    <w:rsid w:val="630E7DF3"/>
    <w:rsid w:val="63110028"/>
    <w:rsid w:val="6312450F"/>
    <w:rsid w:val="63182EA6"/>
    <w:rsid w:val="631C5CF6"/>
    <w:rsid w:val="632014D0"/>
    <w:rsid w:val="63206AEA"/>
    <w:rsid w:val="632535E0"/>
    <w:rsid w:val="632A14C8"/>
    <w:rsid w:val="632E7FAE"/>
    <w:rsid w:val="63304B00"/>
    <w:rsid w:val="63317BB4"/>
    <w:rsid w:val="633F1BED"/>
    <w:rsid w:val="634B08EC"/>
    <w:rsid w:val="634F746F"/>
    <w:rsid w:val="635362D0"/>
    <w:rsid w:val="635F4958"/>
    <w:rsid w:val="63626C83"/>
    <w:rsid w:val="636579FF"/>
    <w:rsid w:val="63670545"/>
    <w:rsid w:val="6376244F"/>
    <w:rsid w:val="637D0AB3"/>
    <w:rsid w:val="638C6021"/>
    <w:rsid w:val="638D6CC3"/>
    <w:rsid w:val="63954DFD"/>
    <w:rsid w:val="63974ACA"/>
    <w:rsid w:val="639931B1"/>
    <w:rsid w:val="63A42410"/>
    <w:rsid w:val="63A75E4D"/>
    <w:rsid w:val="63AA6313"/>
    <w:rsid w:val="63AC3E44"/>
    <w:rsid w:val="63B3120F"/>
    <w:rsid w:val="63B760D7"/>
    <w:rsid w:val="63B84AF5"/>
    <w:rsid w:val="63BB0F4D"/>
    <w:rsid w:val="63C01AA5"/>
    <w:rsid w:val="63C53898"/>
    <w:rsid w:val="63D044C4"/>
    <w:rsid w:val="63D31606"/>
    <w:rsid w:val="63DA37BD"/>
    <w:rsid w:val="63DE531B"/>
    <w:rsid w:val="63E164EE"/>
    <w:rsid w:val="63E172C5"/>
    <w:rsid w:val="63E561F5"/>
    <w:rsid w:val="63E95777"/>
    <w:rsid w:val="63F066D6"/>
    <w:rsid w:val="63F80C3D"/>
    <w:rsid w:val="640644A7"/>
    <w:rsid w:val="64077B7B"/>
    <w:rsid w:val="640B6C9F"/>
    <w:rsid w:val="64101411"/>
    <w:rsid w:val="64151F48"/>
    <w:rsid w:val="641C0BE3"/>
    <w:rsid w:val="641F680A"/>
    <w:rsid w:val="64221886"/>
    <w:rsid w:val="642D55E5"/>
    <w:rsid w:val="643170C6"/>
    <w:rsid w:val="643B2ABE"/>
    <w:rsid w:val="644049DF"/>
    <w:rsid w:val="64444E7C"/>
    <w:rsid w:val="644F489D"/>
    <w:rsid w:val="6454379B"/>
    <w:rsid w:val="645A087D"/>
    <w:rsid w:val="645A77A6"/>
    <w:rsid w:val="645F4C8C"/>
    <w:rsid w:val="646569CD"/>
    <w:rsid w:val="646762AC"/>
    <w:rsid w:val="64684679"/>
    <w:rsid w:val="646907B7"/>
    <w:rsid w:val="646B6F51"/>
    <w:rsid w:val="647629E6"/>
    <w:rsid w:val="64772E81"/>
    <w:rsid w:val="647E3E2D"/>
    <w:rsid w:val="648614AF"/>
    <w:rsid w:val="64896EB3"/>
    <w:rsid w:val="648D54BA"/>
    <w:rsid w:val="648F3480"/>
    <w:rsid w:val="648F36A7"/>
    <w:rsid w:val="64977055"/>
    <w:rsid w:val="649A3C2D"/>
    <w:rsid w:val="649B04E6"/>
    <w:rsid w:val="649E3CEB"/>
    <w:rsid w:val="64A50D3E"/>
    <w:rsid w:val="64A67209"/>
    <w:rsid w:val="64AB6223"/>
    <w:rsid w:val="64AD6E3B"/>
    <w:rsid w:val="64B11C70"/>
    <w:rsid w:val="64B36D0F"/>
    <w:rsid w:val="64B554B7"/>
    <w:rsid w:val="64B83560"/>
    <w:rsid w:val="64BC4291"/>
    <w:rsid w:val="64BF2C8B"/>
    <w:rsid w:val="64C1695A"/>
    <w:rsid w:val="64C65E72"/>
    <w:rsid w:val="64CB030E"/>
    <w:rsid w:val="64D84816"/>
    <w:rsid w:val="64DC7244"/>
    <w:rsid w:val="64E10537"/>
    <w:rsid w:val="64EF202A"/>
    <w:rsid w:val="64F563D1"/>
    <w:rsid w:val="64F771EC"/>
    <w:rsid w:val="64F8178D"/>
    <w:rsid w:val="64FB2AE5"/>
    <w:rsid w:val="650122C1"/>
    <w:rsid w:val="65021790"/>
    <w:rsid w:val="650B3F74"/>
    <w:rsid w:val="65125CC2"/>
    <w:rsid w:val="65226F49"/>
    <w:rsid w:val="652379C1"/>
    <w:rsid w:val="6526362D"/>
    <w:rsid w:val="652A6CC0"/>
    <w:rsid w:val="652A7D5E"/>
    <w:rsid w:val="652B2BF7"/>
    <w:rsid w:val="653954D0"/>
    <w:rsid w:val="653961EF"/>
    <w:rsid w:val="65401246"/>
    <w:rsid w:val="65404D33"/>
    <w:rsid w:val="65463B51"/>
    <w:rsid w:val="65497B6F"/>
    <w:rsid w:val="655B7E1B"/>
    <w:rsid w:val="65617C2A"/>
    <w:rsid w:val="65656524"/>
    <w:rsid w:val="656B18B3"/>
    <w:rsid w:val="65733810"/>
    <w:rsid w:val="65736B9B"/>
    <w:rsid w:val="65742247"/>
    <w:rsid w:val="65823AAE"/>
    <w:rsid w:val="658A09C8"/>
    <w:rsid w:val="658A174B"/>
    <w:rsid w:val="65A40DFE"/>
    <w:rsid w:val="65AA5E2D"/>
    <w:rsid w:val="65AD68DC"/>
    <w:rsid w:val="65B074A0"/>
    <w:rsid w:val="65B17AC9"/>
    <w:rsid w:val="65BC6251"/>
    <w:rsid w:val="65BD416A"/>
    <w:rsid w:val="65BF41EB"/>
    <w:rsid w:val="65CB0F91"/>
    <w:rsid w:val="65CF759C"/>
    <w:rsid w:val="65D17D99"/>
    <w:rsid w:val="65D36F14"/>
    <w:rsid w:val="65DB6427"/>
    <w:rsid w:val="65DD206B"/>
    <w:rsid w:val="65DD3AF0"/>
    <w:rsid w:val="65E44A3C"/>
    <w:rsid w:val="65E866A2"/>
    <w:rsid w:val="65E93310"/>
    <w:rsid w:val="65EC58AA"/>
    <w:rsid w:val="65F54C35"/>
    <w:rsid w:val="65F61D5D"/>
    <w:rsid w:val="65FB6E18"/>
    <w:rsid w:val="66096FAD"/>
    <w:rsid w:val="660A5ADC"/>
    <w:rsid w:val="660B3C16"/>
    <w:rsid w:val="66147571"/>
    <w:rsid w:val="66153B59"/>
    <w:rsid w:val="662273C9"/>
    <w:rsid w:val="66234454"/>
    <w:rsid w:val="66240220"/>
    <w:rsid w:val="66324029"/>
    <w:rsid w:val="66335997"/>
    <w:rsid w:val="663978F3"/>
    <w:rsid w:val="664A791A"/>
    <w:rsid w:val="664C48B6"/>
    <w:rsid w:val="665F3DFA"/>
    <w:rsid w:val="66620157"/>
    <w:rsid w:val="666A3D59"/>
    <w:rsid w:val="666E5E96"/>
    <w:rsid w:val="667362D1"/>
    <w:rsid w:val="6677326F"/>
    <w:rsid w:val="667B332D"/>
    <w:rsid w:val="66864293"/>
    <w:rsid w:val="66887A64"/>
    <w:rsid w:val="668C3D21"/>
    <w:rsid w:val="669147A9"/>
    <w:rsid w:val="66984A59"/>
    <w:rsid w:val="66A5370D"/>
    <w:rsid w:val="66B030E5"/>
    <w:rsid w:val="66B95928"/>
    <w:rsid w:val="66BA6A96"/>
    <w:rsid w:val="66BE1E19"/>
    <w:rsid w:val="66C13397"/>
    <w:rsid w:val="66C35117"/>
    <w:rsid w:val="66CE7EEB"/>
    <w:rsid w:val="66CF4251"/>
    <w:rsid w:val="66D20E69"/>
    <w:rsid w:val="66D460EA"/>
    <w:rsid w:val="66D7220F"/>
    <w:rsid w:val="66EA6449"/>
    <w:rsid w:val="66F4211F"/>
    <w:rsid w:val="66FE6CC3"/>
    <w:rsid w:val="67042CB8"/>
    <w:rsid w:val="67047B97"/>
    <w:rsid w:val="670A73F9"/>
    <w:rsid w:val="67106616"/>
    <w:rsid w:val="67121933"/>
    <w:rsid w:val="67175310"/>
    <w:rsid w:val="671C6653"/>
    <w:rsid w:val="671D606B"/>
    <w:rsid w:val="672656D9"/>
    <w:rsid w:val="6729061C"/>
    <w:rsid w:val="672C7CD4"/>
    <w:rsid w:val="67377532"/>
    <w:rsid w:val="67414E63"/>
    <w:rsid w:val="674D4F9C"/>
    <w:rsid w:val="674E2F74"/>
    <w:rsid w:val="674E6370"/>
    <w:rsid w:val="674F343F"/>
    <w:rsid w:val="67507FFD"/>
    <w:rsid w:val="675703FF"/>
    <w:rsid w:val="67582877"/>
    <w:rsid w:val="675B7C53"/>
    <w:rsid w:val="67655490"/>
    <w:rsid w:val="67711460"/>
    <w:rsid w:val="67717495"/>
    <w:rsid w:val="67722CA1"/>
    <w:rsid w:val="67737697"/>
    <w:rsid w:val="67772CE7"/>
    <w:rsid w:val="67786D70"/>
    <w:rsid w:val="67794768"/>
    <w:rsid w:val="677A1223"/>
    <w:rsid w:val="677A2CD0"/>
    <w:rsid w:val="6780215A"/>
    <w:rsid w:val="678326FA"/>
    <w:rsid w:val="678B0D59"/>
    <w:rsid w:val="678F4181"/>
    <w:rsid w:val="6791156E"/>
    <w:rsid w:val="67956348"/>
    <w:rsid w:val="67AC6C06"/>
    <w:rsid w:val="67B50269"/>
    <w:rsid w:val="67B51A77"/>
    <w:rsid w:val="67B57CC9"/>
    <w:rsid w:val="67B60139"/>
    <w:rsid w:val="67BA693C"/>
    <w:rsid w:val="67D17F1F"/>
    <w:rsid w:val="67DC02AD"/>
    <w:rsid w:val="67E7024C"/>
    <w:rsid w:val="67E97BB4"/>
    <w:rsid w:val="67EB657C"/>
    <w:rsid w:val="67EB7B08"/>
    <w:rsid w:val="67F44B01"/>
    <w:rsid w:val="67F96F5F"/>
    <w:rsid w:val="68000C0E"/>
    <w:rsid w:val="68022402"/>
    <w:rsid w:val="68060D49"/>
    <w:rsid w:val="68074546"/>
    <w:rsid w:val="68083155"/>
    <w:rsid w:val="68083B4E"/>
    <w:rsid w:val="68094EE2"/>
    <w:rsid w:val="680B5474"/>
    <w:rsid w:val="680C457B"/>
    <w:rsid w:val="68143B5E"/>
    <w:rsid w:val="68195A6F"/>
    <w:rsid w:val="681B6CFB"/>
    <w:rsid w:val="682C5843"/>
    <w:rsid w:val="682D6D07"/>
    <w:rsid w:val="683047B6"/>
    <w:rsid w:val="683230C8"/>
    <w:rsid w:val="683A163D"/>
    <w:rsid w:val="683A6B6A"/>
    <w:rsid w:val="683B4253"/>
    <w:rsid w:val="683F78DE"/>
    <w:rsid w:val="6841482B"/>
    <w:rsid w:val="684568FC"/>
    <w:rsid w:val="68477966"/>
    <w:rsid w:val="684D3179"/>
    <w:rsid w:val="68512CD0"/>
    <w:rsid w:val="685968A7"/>
    <w:rsid w:val="685A1B19"/>
    <w:rsid w:val="685F6669"/>
    <w:rsid w:val="6867724F"/>
    <w:rsid w:val="68680047"/>
    <w:rsid w:val="686805FE"/>
    <w:rsid w:val="68694610"/>
    <w:rsid w:val="68736845"/>
    <w:rsid w:val="68810CC5"/>
    <w:rsid w:val="688150D5"/>
    <w:rsid w:val="68815A32"/>
    <w:rsid w:val="688962BE"/>
    <w:rsid w:val="688C7D9D"/>
    <w:rsid w:val="68960279"/>
    <w:rsid w:val="689A06BB"/>
    <w:rsid w:val="68A23F89"/>
    <w:rsid w:val="68A429A3"/>
    <w:rsid w:val="68A65139"/>
    <w:rsid w:val="68AF6885"/>
    <w:rsid w:val="68B03089"/>
    <w:rsid w:val="68B1271C"/>
    <w:rsid w:val="68B775A7"/>
    <w:rsid w:val="68BA1DE8"/>
    <w:rsid w:val="68C15462"/>
    <w:rsid w:val="68C25005"/>
    <w:rsid w:val="68C36416"/>
    <w:rsid w:val="68C40178"/>
    <w:rsid w:val="68C43FF5"/>
    <w:rsid w:val="68C637B9"/>
    <w:rsid w:val="68C850DC"/>
    <w:rsid w:val="68CA66BE"/>
    <w:rsid w:val="68CF510B"/>
    <w:rsid w:val="68D71BB8"/>
    <w:rsid w:val="68DE5BB7"/>
    <w:rsid w:val="68E379F8"/>
    <w:rsid w:val="68E8279D"/>
    <w:rsid w:val="68E87BF1"/>
    <w:rsid w:val="68E95EC6"/>
    <w:rsid w:val="68EA39A3"/>
    <w:rsid w:val="68EA5751"/>
    <w:rsid w:val="68ED5241"/>
    <w:rsid w:val="68F42D54"/>
    <w:rsid w:val="68F43764"/>
    <w:rsid w:val="68F511BC"/>
    <w:rsid w:val="68F55C79"/>
    <w:rsid w:val="68FF1055"/>
    <w:rsid w:val="6900052C"/>
    <w:rsid w:val="690501F4"/>
    <w:rsid w:val="69101CD0"/>
    <w:rsid w:val="6910508A"/>
    <w:rsid w:val="69197F95"/>
    <w:rsid w:val="691B6A49"/>
    <w:rsid w:val="69214D6E"/>
    <w:rsid w:val="692E3C68"/>
    <w:rsid w:val="692F0C7D"/>
    <w:rsid w:val="693D5733"/>
    <w:rsid w:val="693E2FAE"/>
    <w:rsid w:val="693E6BBA"/>
    <w:rsid w:val="69460A63"/>
    <w:rsid w:val="695066C9"/>
    <w:rsid w:val="6953501F"/>
    <w:rsid w:val="69566FC9"/>
    <w:rsid w:val="695B33A4"/>
    <w:rsid w:val="695C4F93"/>
    <w:rsid w:val="695E2EF4"/>
    <w:rsid w:val="69653029"/>
    <w:rsid w:val="69680675"/>
    <w:rsid w:val="69713F4D"/>
    <w:rsid w:val="69731228"/>
    <w:rsid w:val="69790527"/>
    <w:rsid w:val="69794051"/>
    <w:rsid w:val="697F7FA3"/>
    <w:rsid w:val="69834F29"/>
    <w:rsid w:val="69886D18"/>
    <w:rsid w:val="69914286"/>
    <w:rsid w:val="69935DE8"/>
    <w:rsid w:val="699D5656"/>
    <w:rsid w:val="699F2EC1"/>
    <w:rsid w:val="69A44BAC"/>
    <w:rsid w:val="69A476D9"/>
    <w:rsid w:val="69A701D8"/>
    <w:rsid w:val="69A83F97"/>
    <w:rsid w:val="69AD14E8"/>
    <w:rsid w:val="69AF24F6"/>
    <w:rsid w:val="69AF4457"/>
    <w:rsid w:val="69B2408E"/>
    <w:rsid w:val="69B77631"/>
    <w:rsid w:val="69B8703D"/>
    <w:rsid w:val="69BD4115"/>
    <w:rsid w:val="69D106BF"/>
    <w:rsid w:val="69D175EF"/>
    <w:rsid w:val="69D72FE5"/>
    <w:rsid w:val="69D7314D"/>
    <w:rsid w:val="69D814AE"/>
    <w:rsid w:val="69DD6136"/>
    <w:rsid w:val="69E623BC"/>
    <w:rsid w:val="69EF39D2"/>
    <w:rsid w:val="69F123E7"/>
    <w:rsid w:val="69F260A3"/>
    <w:rsid w:val="69F85AE8"/>
    <w:rsid w:val="6A13336E"/>
    <w:rsid w:val="6A140D3C"/>
    <w:rsid w:val="6A182042"/>
    <w:rsid w:val="6A2571F2"/>
    <w:rsid w:val="6A3121D6"/>
    <w:rsid w:val="6A3C4008"/>
    <w:rsid w:val="6A3D0770"/>
    <w:rsid w:val="6A3E5A65"/>
    <w:rsid w:val="6A3F155E"/>
    <w:rsid w:val="6A4024D2"/>
    <w:rsid w:val="6A433138"/>
    <w:rsid w:val="6A4E7EAC"/>
    <w:rsid w:val="6A576E16"/>
    <w:rsid w:val="6A5F4B72"/>
    <w:rsid w:val="6A5F4D7B"/>
    <w:rsid w:val="6A5F5CCB"/>
    <w:rsid w:val="6A7060C2"/>
    <w:rsid w:val="6A70746B"/>
    <w:rsid w:val="6A707ED8"/>
    <w:rsid w:val="6A716FD5"/>
    <w:rsid w:val="6A7A0D56"/>
    <w:rsid w:val="6A83565F"/>
    <w:rsid w:val="6A877A32"/>
    <w:rsid w:val="6A891392"/>
    <w:rsid w:val="6A8B4D12"/>
    <w:rsid w:val="6A936229"/>
    <w:rsid w:val="6A983696"/>
    <w:rsid w:val="6A9A31A7"/>
    <w:rsid w:val="6A9C620E"/>
    <w:rsid w:val="6AB81AB2"/>
    <w:rsid w:val="6AC2571F"/>
    <w:rsid w:val="6ACA09E2"/>
    <w:rsid w:val="6ACA173C"/>
    <w:rsid w:val="6ACA583A"/>
    <w:rsid w:val="6ACB1D8F"/>
    <w:rsid w:val="6ADD2DBD"/>
    <w:rsid w:val="6ADE2220"/>
    <w:rsid w:val="6ADE6148"/>
    <w:rsid w:val="6AE022FE"/>
    <w:rsid w:val="6AE1709E"/>
    <w:rsid w:val="6AE82164"/>
    <w:rsid w:val="6AEA30DB"/>
    <w:rsid w:val="6AEF2B8C"/>
    <w:rsid w:val="6AF0004E"/>
    <w:rsid w:val="6AF04983"/>
    <w:rsid w:val="6AF77F22"/>
    <w:rsid w:val="6B016032"/>
    <w:rsid w:val="6B0C032E"/>
    <w:rsid w:val="6B0C1658"/>
    <w:rsid w:val="6B1054E8"/>
    <w:rsid w:val="6B170739"/>
    <w:rsid w:val="6B194399"/>
    <w:rsid w:val="6B1F062C"/>
    <w:rsid w:val="6B20718C"/>
    <w:rsid w:val="6B25682C"/>
    <w:rsid w:val="6B2659DD"/>
    <w:rsid w:val="6B2C19C3"/>
    <w:rsid w:val="6B495CF0"/>
    <w:rsid w:val="6B4A2528"/>
    <w:rsid w:val="6B4D1F24"/>
    <w:rsid w:val="6B536094"/>
    <w:rsid w:val="6B550343"/>
    <w:rsid w:val="6B5B4AF2"/>
    <w:rsid w:val="6B64116F"/>
    <w:rsid w:val="6B6959A6"/>
    <w:rsid w:val="6B722BBA"/>
    <w:rsid w:val="6B7501BB"/>
    <w:rsid w:val="6B7D28AC"/>
    <w:rsid w:val="6B821E3C"/>
    <w:rsid w:val="6B836149"/>
    <w:rsid w:val="6B855C05"/>
    <w:rsid w:val="6B8A72D9"/>
    <w:rsid w:val="6B8C17DD"/>
    <w:rsid w:val="6B8D22C6"/>
    <w:rsid w:val="6B8F7F96"/>
    <w:rsid w:val="6B943E61"/>
    <w:rsid w:val="6B95409A"/>
    <w:rsid w:val="6B986366"/>
    <w:rsid w:val="6BA170DC"/>
    <w:rsid w:val="6BA2302B"/>
    <w:rsid w:val="6BA2718B"/>
    <w:rsid w:val="6BA658E2"/>
    <w:rsid w:val="6BA82B47"/>
    <w:rsid w:val="6BAC56DF"/>
    <w:rsid w:val="6BAE1F13"/>
    <w:rsid w:val="6BB24480"/>
    <w:rsid w:val="6BB46F02"/>
    <w:rsid w:val="6BB81B36"/>
    <w:rsid w:val="6BBC4103"/>
    <w:rsid w:val="6BCD067C"/>
    <w:rsid w:val="6BCE1468"/>
    <w:rsid w:val="6BD1363B"/>
    <w:rsid w:val="6BD157A8"/>
    <w:rsid w:val="6BD40AA8"/>
    <w:rsid w:val="6BD56D39"/>
    <w:rsid w:val="6BD821D8"/>
    <w:rsid w:val="6BDA760C"/>
    <w:rsid w:val="6BDB3A77"/>
    <w:rsid w:val="6BE153BD"/>
    <w:rsid w:val="6BE36409"/>
    <w:rsid w:val="6BE7686D"/>
    <w:rsid w:val="6BED67B6"/>
    <w:rsid w:val="6BEE37A2"/>
    <w:rsid w:val="6BFA176E"/>
    <w:rsid w:val="6C042FCD"/>
    <w:rsid w:val="6C117355"/>
    <w:rsid w:val="6C12436F"/>
    <w:rsid w:val="6C145CC4"/>
    <w:rsid w:val="6C171594"/>
    <w:rsid w:val="6C1D6F59"/>
    <w:rsid w:val="6C280F77"/>
    <w:rsid w:val="6C2970BF"/>
    <w:rsid w:val="6C346A0F"/>
    <w:rsid w:val="6C397254"/>
    <w:rsid w:val="6C3B6DD6"/>
    <w:rsid w:val="6C3E034F"/>
    <w:rsid w:val="6C3E3070"/>
    <w:rsid w:val="6C3F0F10"/>
    <w:rsid w:val="6C4101BD"/>
    <w:rsid w:val="6C470C86"/>
    <w:rsid w:val="6C4B1CDD"/>
    <w:rsid w:val="6C4D7DFD"/>
    <w:rsid w:val="6C520D93"/>
    <w:rsid w:val="6C524A63"/>
    <w:rsid w:val="6C5B52EF"/>
    <w:rsid w:val="6C5F3BEA"/>
    <w:rsid w:val="6C5F6EDD"/>
    <w:rsid w:val="6C702D2B"/>
    <w:rsid w:val="6C731F01"/>
    <w:rsid w:val="6C74483B"/>
    <w:rsid w:val="6C7D6128"/>
    <w:rsid w:val="6C8E185B"/>
    <w:rsid w:val="6C917AAB"/>
    <w:rsid w:val="6C9D5A04"/>
    <w:rsid w:val="6C9E0AA0"/>
    <w:rsid w:val="6CB0254D"/>
    <w:rsid w:val="6CB14D9F"/>
    <w:rsid w:val="6CB360B4"/>
    <w:rsid w:val="6CB36F4C"/>
    <w:rsid w:val="6CB56291"/>
    <w:rsid w:val="6CBA4AA7"/>
    <w:rsid w:val="6CC87B57"/>
    <w:rsid w:val="6CD719A0"/>
    <w:rsid w:val="6CD8720B"/>
    <w:rsid w:val="6CDD4306"/>
    <w:rsid w:val="6CE31099"/>
    <w:rsid w:val="6CE44459"/>
    <w:rsid w:val="6CE45CF1"/>
    <w:rsid w:val="6CE76AD3"/>
    <w:rsid w:val="6CFF3500"/>
    <w:rsid w:val="6CFF5572"/>
    <w:rsid w:val="6D006E59"/>
    <w:rsid w:val="6D0316A8"/>
    <w:rsid w:val="6D071181"/>
    <w:rsid w:val="6D081ABF"/>
    <w:rsid w:val="6D0915F9"/>
    <w:rsid w:val="6D1235AB"/>
    <w:rsid w:val="6D134AE5"/>
    <w:rsid w:val="6D192796"/>
    <w:rsid w:val="6D1E2066"/>
    <w:rsid w:val="6D3B439A"/>
    <w:rsid w:val="6D3E781D"/>
    <w:rsid w:val="6D4104AD"/>
    <w:rsid w:val="6D486F43"/>
    <w:rsid w:val="6D4B2BCD"/>
    <w:rsid w:val="6D4B4A5B"/>
    <w:rsid w:val="6D4E6017"/>
    <w:rsid w:val="6D550624"/>
    <w:rsid w:val="6D590724"/>
    <w:rsid w:val="6D5E1E5B"/>
    <w:rsid w:val="6D680A1C"/>
    <w:rsid w:val="6D6D48E0"/>
    <w:rsid w:val="6D6E2CA7"/>
    <w:rsid w:val="6D714DC2"/>
    <w:rsid w:val="6D74175B"/>
    <w:rsid w:val="6D7F630C"/>
    <w:rsid w:val="6D8141AA"/>
    <w:rsid w:val="6D855A48"/>
    <w:rsid w:val="6D8711CB"/>
    <w:rsid w:val="6D8B1F22"/>
    <w:rsid w:val="6D9354BB"/>
    <w:rsid w:val="6D953A41"/>
    <w:rsid w:val="6D9925C5"/>
    <w:rsid w:val="6D9B3613"/>
    <w:rsid w:val="6DA136B5"/>
    <w:rsid w:val="6DA23F2E"/>
    <w:rsid w:val="6DA567D9"/>
    <w:rsid w:val="6DA805A6"/>
    <w:rsid w:val="6DA875BF"/>
    <w:rsid w:val="6DA951B1"/>
    <w:rsid w:val="6DAF210F"/>
    <w:rsid w:val="6DB305AF"/>
    <w:rsid w:val="6DB53743"/>
    <w:rsid w:val="6DBA66E1"/>
    <w:rsid w:val="6DC522E8"/>
    <w:rsid w:val="6DC52B23"/>
    <w:rsid w:val="6DCA5364"/>
    <w:rsid w:val="6DD05B77"/>
    <w:rsid w:val="6DD21E13"/>
    <w:rsid w:val="6DD66655"/>
    <w:rsid w:val="6DEC061D"/>
    <w:rsid w:val="6DEE0452"/>
    <w:rsid w:val="6DF405A1"/>
    <w:rsid w:val="6DF439A2"/>
    <w:rsid w:val="6DF5374A"/>
    <w:rsid w:val="6E083519"/>
    <w:rsid w:val="6E0C227B"/>
    <w:rsid w:val="6E114EEB"/>
    <w:rsid w:val="6E134F97"/>
    <w:rsid w:val="6E1601ED"/>
    <w:rsid w:val="6E203949"/>
    <w:rsid w:val="6E233A1D"/>
    <w:rsid w:val="6E2479C7"/>
    <w:rsid w:val="6E255455"/>
    <w:rsid w:val="6E271B94"/>
    <w:rsid w:val="6E3B5D8D"/>
    <w:rsid w:val="6E3E1B19"/>
    <w:rsid w:val="6E3E3928"/>
    <w:rsid w:val="6E4A6764"/>
    <w:rsid w:val="6E4A6F1C"/>
    <w:rsid w:val="6E531FEA"/>
    <w:rsid w:val="6E563EC6"/>
    <w:rsid w:val="6E663E3A"/>
    <w:rsid w:val="6E6D4519"/>
    <w:rsid w:val="6E7252F0"/>
    <w:rsid w:val="6E754D31"/>
    <w:rsid w:val="6E76416D"/>
    <w:rsid w:val="6E7D1AE8"/>
    <w:rsid w:val="6E8057E6"/>
    <w:rsid w:val="6E810905"/>
    <w:rsid w:val="6E813233"/>
    <w:rsid w:val="6E8D110E"/>
    <w:rsid w:val="6E9310AE"/>
    <w:rsid w:val="6E973DAA"/>
    <w:rsid w:val="6E9C540C"/>
    <w:rsid w:val="6E9D7E39"/>
    <w:rsid w:val="6E9E4B7F"/>
    <w:rsid w:val="6EA76CC4"/>
    <w:rsid w:val="6EAB7AF6"/>
    <w:rsid w:val="6EAF5B95"/>
    <w:rsid w:val="6EB078D4"/>
    <w:rsid w:val="6EB6224F"/>
    <w:rsid w:val="6EBA01AE"/>
    <w:rsid w:val="6EBB7C26"/>
    <w:rsid w:val="6EC10D02"/>
    <w:rsid w:val="6EC14B87"/>
    <w:rsid w:val="6EC151A6"/>
    <w:rsid w:val="6ECD58F9"/>
    <w:rsid w:val="6ED12AD4"/>
    <w:rsid w:val="6ED37548"/>
    <w:rsid w:val="6EDB133C"/>
    <w:rsid w:val="6EDC12B8"/>
    <w:rsid w:val="6EDE7B60"/>
    <w:rsid w:val="6EE378EC"/>
    <w:rsid w:val="6EE47A54"/>
    <w:rsid w:val="6EE510CD"/>
    <w:rsid w:val="6EEE741D"/>
    <w:rsid w:val="6EEF000F"/>
    <w:rsid w:val="6EF052EE"/>
    <w:rsid w:val="6EFE33A0"/>
    <w:rsid w:val="6F045C56"/>
    <w:rsid w:val="6F0569AE"/>
    <w:rsid w:val="6F0943F3"/>
    <w:rsid w:val="6F0C7418"/>
    <w:rsid w:val="6F0F4DB2"/>
    <w:rsid w:val="6F190B3E"/>
    <w:rsid w:val="6F1A2A7F"/>
    <w:rsid w:val="6F1D71CF"/>
    <w:rsid w:val="6F1F35C7"/>
    <w:rsid w:val="6F23010B"/>
    <w:rsid w:val="6F2D5626"/>
    <w:rsid w:val="6F307C4A"/>
    <w:rsid w:val="6F312CCA"/>
    <w:rsid w:val="6F3267EC"/>
    <w:rsid w:val="6F331F32"/>
    <w:rsid w:val="6F4D5E80"/>
    <w:rsid w:val="6F513C9C"/>
    <w:rsid w:val="6F5C1048"/>
    <w:rsid w:val="6F5F7978"/>
    <w:rsid w:val="6F6A7773"/>
    <w:rsid w:val="6F6C23AB"/>
    <w:rsid w:val="6F6F0E07"/>
    <w:rsid w:val="6F745EBF"/>
    <w:rsid w:val="6F771D08"/>
    <w:rsid w:val="6F8170D7"/>
    <w:rsid w:val="6F8D3F08"/>
    <w:rsid w:val="6F8E5E9C"/>
    <w:rsid w:val="6F914B78"/>
    <w:rsid w:val="6F993D1C"/>
    <w:rsid w:val="6F9E6D3E"/>
    <w:rsid w:val="6FA4304B"/>
    <w:rsid w:val="6FA77245"/>
    <w:rsid w:val="6FAC6C4B"/>
    <w:rsid w:val="6FAD1F8E"/>
    <w:rsid w:val="6FBA1D08"/>
    <w:rsid w:val="6FBB6F8F"/>
    <w:rsid w:val="6FC03B2B"/>
    <w:rsid w:val="6FC23451"/>
    <w:rsid w:val="6FCB2CFD"/>
    <w:rsid w:val="6FCE20CD"/>
    <w:rsid w:val="6FD20CED"/>
    <w:rsid w:val="6FD32D2F"/>
    <w:rsid w:val="6FD611A1"/>
    <w:rsid w:val="6FDF0AAD"/>
    <w:rsid w:val="6FE25D37"/>
    <w:rsid w:val="6FEF3823"/>
    <w:rsid w:val="6FEF7AF1"/>
    <w:rsid w:val="6FF07328"/>
    <w:rsid w:val="6FF725C5"/>
    <w:rsid w:val="6FFD33C0"/>
    <w:rsid w:val="70052997"/>
    <w:rsid w:val="7007308C"/>
    <w:rsid w:val="70074E3A"/>
    <w:rsid w:val="7009686B"/>
    <w:rsid w:val="700A73E1"/>
    <w:rsid w:val="700F0F04"/>
    <w:rsid w:val="700F6E79"/>
    <w:rsid w:val="701406E4"/>
    <w:rsid w:val="701420B7"/>
    <w:rsid w:val="70157BA7"/>
    <w:rsid w:val="701632CF"/>
    <w:rsid w:val="7017310C"/>
    <w:rsid w:val="701936A7"/>
    <w:rsid w:val="70267C09"/>
    <w:rsid w:val="702C0EE4"/>
    <w:rsid w:val="70311C7D"/>
    <w:rsid w:val="70311EB7"/>
    <w:rsid w:val="70333EAB"/>
    <w:rsid w:val="70352543"/>
    <w:rsid w:val="703749E2"/>
    <w:rsid w:val="7039472B"/>
    <w:rsid w:val="70427E72"/>
    <w:rsid w:val="70472972"/>
    <w:rsid w:val="704B33CA"/>
    <w:rsid w:val="70512B3C"/>
    <w:rsid w:val="705547AF"/>
    <w:rsid w:val="7056191E"/>
    <w:rsid w:val="70586788"/>
    <w:rsid w:val="705965B7"/>
    <w:rsid w:val="705C51EE"/>
    <w:rsid w:val="70617A35"/>
    <w:rsid w:val="7066472D"/>
    <w:rsid w:val="70686FAE"/>
    <w:rsid w:val="70694DB8"/>
    <w:rsid w:val="706C0074"/>
    <w:rsid w:val="70776F04"/>
    <w:rsid w:val="707D0740"/>
    <w:rsid w:val="707D1806"/>
    <w:rsid w:val="707D54A7"/>
    <w:rsid w:val="70804596"/>
    <w:rsid w:val="70814BED"/>
    <w:rsid w:val="7089169E"/>
    <w:rsid w:val="708A5BB4"/>
    <w:rsid w:val="70967F6C"/>
    <w:rsid w:val="70992625"/>
    <w:rsid w:val="70A23010"/>
    <w:rsid w:val="70A42463"/>
    <w:rsid w:val="70AA3E4D"/>
    <w:rsid w:val="70B023AC"/>
    <w:rsid w:val="70B56979"/>
    <w:rsid w:val="70BA64FE"/>
    <w:rsid w:val="70BD28BB"/>
    <w:rsid w:val="70BD5BBD"/>
    <w:rsid w:val="70BE5250"/>
    <w:rsid w:val="70C1635A"/>
    <w:rsid w:val="70C778D9"/>
    <w:rsid w:val="70D12F92"/>
    <w:rsid w:val="70E148D7"/>
    <w:rsid w:val="70E742BE"/>
    <w:rsid w:val="70E8780D"/>
    <w:rsid w:val="70EA16F9"/>
    <w:rsid w:val="70EE62B6"/>
    <w:rsid w:val="70EF42E3"/>
    <w:rsid w:val="70F33397"/>
    <w:rsid w:val="70F50CBC"/>
    <w:rsid w:val="70F76096"/>
    <w:rsid w:val="70FA6E63"/>
    <w:rsid w:val="70FF5B11"/>
    <w:rsid w:val="71054700"/>
    <w:rsid w:val="7108057D"/>
    <w:rsid w:val="71136B7B"/>
    <w:rsid w:val="71197BA1"/>
    <w:rsid w:val="712570F4"/>
    <w:rsid w:val="712C58A7"/>
    <w:rsid w:val="712E4DB0"/>
    <w:rsid w:val="71357D44"/>
    <w:rsid w:val="71417D7C"/>
    <w:rsid w:val="714A5202"/>
    <w:rsid w:val="714E5D85"/>
    <w:rsid w:val="71534E63"/>
    <w:rsid w:val="715C3210"/>
    <w:rsid w:val="716156CA"/>
    <w:rsid w:val="716D2E6C"/>
    <w:rsid w:val="7176333D"/>
    <w:rsid w:val="717E165C"/>
    <w:rsid w:val="718604C8"/>
    <w:rsid w:val="718D024C"/>
    <w:rsid w:val="718E2133"/>
    <w:rsid w:val="7192064D"/>
    <w:rsid w:val="719216EB"/>
    <w:rsid w:val="719431D5"/>
    <w:rsid w:val="7196517C"/>
    <w:rsid w:val="719D0426"/>
    <w:rsid w:val="71AA4652"/>
    <w:rsid w:val="71AE2FEC"/>
    <w:rsid w:val="71B400B8"/>
    <w:rsid w:val="71BF1145"/>
    <w:rsid w:val="71C07997"/>
    <w:rsid w:val="71C20800"/>
    <w:rsid w:val="71C2481A"/>
    <w:rsid w:val="71C254BD"/>
    <w:rsid w:val="71C51AD5"/>
    <w:rsid w:val="71C73468"/>
    <w:rsid w:val="71C84651"/>
    <w:rsid w:val="71CA44CC"/>
    <w:rsid w:val="71CB0E01"/>
    <w:rsid w:val="71CB351A"/>
    <w:rsid w:val="71CB701E"/>
    <w:rsid w:val="71D04020"/>
    <w:rsid w:val="71D13C25"/>
    <w:rsid w:val="71D376CA"/>
    <w:rsid w:val="71DC391B"/>
    <w:rsid w:val="71DD44A3"/>
    <w:rsid w:val="71E031E4"/>
    <w:rsid w:val="71E1182E"/>
    <w:rsid w:val="71E27CD8"/>
    <w:rsid w:val="71E40155"/>
    <w:rsid w:val="71E67C48"/>
    <w:rsid w:val="71E73175"/>
    <w:rsid w:val="71F11A68"/>
    <w:rsid w:val="71F335C9"/>
    <w:rsid w:val="72020D65"/>
    <w:rsid w:val="72053D44"/>
    <w:rsid w:val="7205493E"/>
    <w:rsid w:val="72085CF1"/>
    <w:rsid w:val="721B3147"/>
    <w:rsid w:val="721D09C1"/>
    <w:rsid w:val="722946E2"/>
    <w:rsid w:val="722B7CE0"/>
    <w:rsid w:val="72332B86"/>
    <w:rsid w:val="72391DBB"/>
    <w:rsid w:val="723A5402"/>
    <w:rsid w:val="723B16D3"/>
    <w:rsid w:val="723F7D4F"/>
    <w:rsid w:val="72442C0E"/>
    <w:rsid w:val="72456B1B"/>
    <w:rsid w:val="724873A1"/>
    <w:rsid w:val="724C1B5A"/>
    <w:rsid w:val="724C4D86"/>
    <w:rsid w:val="725364D4"/>
    <w:rsid w:val="72542BC7"/>
    <w:rsid w:val="72671BEB"/>
    <w:rsid w:val="726722CD"/>
    <w:rsid w:val="72694BAD"/>
    <w:rsid w:val="726D5ECA"/>
    <w:rsid w:val="72714E46"/>
    <w:rsid w:val="72751FE5"/>
    <w:rsid w:val="72761478"/>
    <w:rsid w:val="727A5CE1"/>
    <w:rsid w:val="727E5A83"/>
    <w:rsid w:val="7280331F"/>
    <w:rsid w:val="72820FF8"/>
    <w:rsid w:val="72960DBB"/>
    <w:rsid w:val="72A056D8"/>
    <w:rsid w:val="72A70BF8"/>
    <w:rsid w:val="72AE7DBF"/>
    <w:rsid w:val="72C264CD"/>
    <w:rsid w:val="72C32778"/>
    <w:rsid w:val="72C6567D"/>
    <w:rsid w:val="72CD33E2"/>
    <w:rsid w:val="72D51302"/>
    <w:rsid w:val="72D61E3D"/>
    <w:rsid w:val="72D63776"/>
    <w:rsid w:val="72D9233C"/>
    <w:rsid w:val="72DB76B5"/>
    <w:rsid w:val="72E0034C"/>
    <w:rsid w:val="72EF5676"/>
    <w:rsid w:val="72F83160"/>
    <w:rsid w:val="72FA22E0"/>
    <w:rsid w:val="72FD42D3"/>
    <w:rsid w:val="73105D84"/>
    <w:rsid w:val="73121C58"/>
    <w:rsid w:val="731977C6"/>
    <w:rsid w:val="732157A9"/>
    <w:rsid w:val="7325352C"/>
    <w:rsid w:val="732B10B6"/>
    <w:rsid w:val="73302B62"/>
    <w:rsid w:val="733A5D34"/>
    <w:rsid w:val="733C563A"/>
    <w:rsid w:val="73405D49"/>
    <w:rsid w:val="7341207D"/>
    <w:rsid w:val="7343559A"/>
    <w:rsid w:val="734B63E3"/>
    <w:rsid w:val="734B6B03"/>
    <w:rsid w:val="734D4620"/>
    <w:rsid w:val="73583438"/>
    <w:rsid w:val="735C122D"/>
    <w:rsid w:val="735F6AFC"/>
    <w:rsid w:val="736047F5"/>
    <w:rsid w:val="736075F2"/>
    <w:rsid w:val="73635632"/>
    <w:rsid w:val="736955AE"/>
    <w:rsid w:val="736D1506"/>
    <w:rsid w:val="736D4483"/>
    <w:rsid w:val="736F3422"/>
    <w:rsid w:val="736F366C"/>
    <w:rsid w:val="7371195F"/>
    <w:rsid w:val="73727619"/>
    <w:rsid w:val="7378094D"/>
    <w:rsid w:val="737A1DC7"/>
    <w:rsid w:val="73823FAF"/>
    <w:rsid w:val="73826350"/>
    <w:rsid w:val="73862E3C"/>
    <w:rsid w:val="7392190C"/>
    <w:rsid w:val="739454E8"/>
    <w:rsid w:val="739801A3"/>
    <w:rsid w:val="73985D83"/>
    <w:rsid w:val="739A02A3"/>
    <w:rsid w:val="739F538A"/>
    <w:rsid w:val="73A022C5"/>
    <w:rsid w:val="73A04775"/>
    <w:rsid w:val="73A1366A"/>
    <w:rsid w:val="73A3325A"/>
    <w:rsid w:val="73A8162F"/>
    <w:rsid w:val="73D02B6B"/>
    <w:rsid w:val="73E17ED1"/>
    <w:rsid w:val="73EB30BB"/>
    <w:rsid w:val="73ED2599"/>
    <w:rsid w:val="73ED3FC2"/>
    <w:rsid w:val="73F02DA9"/>
    <w:rsid w:val="73F061DA"/>
    <w:rsid w:val="73F108CB"/>
    <w:rsid w:val="73F24A51"/>
    <w:rsid w:val="73F4747D"/>
    <w:rsid w:val="73F64665"/>
    <w:rsid w:val="73FE6554"/>
    <w:rsid w:val="740004B2"/>
    <w:rsid w:val="74010484"/>
    <w:rsid w:val="740E35E8"/>
    <w:rsid w:val="740F348E"/>
    <w:rsid w:val="74115E6A"/>
    <w:rsid w:val="74211E0E"/>
    <w:rsid w:val="742614DB"/>
    <w:rsid w:val="742A7773"/>
    <w:rsid w:val="742F70DB"/>
    <w:rsid w:val="7430691D"/>
    <w:rsid w:val="7435019D"/>
    <w:rsid w:val="743626AD"/>
    <w:rsid w:val="743A7A93"/>
    <w:rsid w:val="744A4272"/>
    <w:rsid w:val="744C5D24"/>
    <w:rsid w:val="744D6BCE"/>
    <w:rsid w:val="745230E5"/>
    <w:rsid w:val="745745B6"/>
    <w:rsid w:val="745E492C"/>
    <w:rsid w:val="74626D4F"/>
    <w:rsid w:val="7467794E"/>
    <w:rsid w:val="74691F57"/>
    <w:rsid w:val="746960C4"/>
    <w:rsid w:val="746F40C5"/>
    <w:rsid w:val="74780813"/>
    <w:rsid w:val="7478188E"/>
    <w:rsid w:val="74850EEF"/>
    <w:rsid w:val="7487654A"/>
    <w:rsid w:val="748D2790"/>
    <w:rsid w:val="748D430E"/>
    <w:rsid w:val="749173C8"/>
    <w:rsid w:val="74923746"/>
    <w:rsid w:val="74930A69"/>
    <w:rsid w:val="74932D03"/>
    <w:rsid w:val="749F0FBA"/>
    <w:rsid w:val="749F3080"/>
    <w:rsid w:val="74A17800"/>
    <w:rsid w:val="74A861AE"/>
    <w:rsid w:val="74AF1E11"/>
    <w:rsid w:val="74B3647C"/>
    <w:rsid w:val="74B87049"/>
    <w:rsid w:val="74BD640F"/>
    <w:rsid w:val="74C20270"/>
    <w:rsid w:val="74C236ED"/>
    <w:rsid w:val="74C73699"/>
    <w:rsid w:val="74C73EA8"/>
    <w:rsid w:val="74D306EB"/>
    <w:rsid w:val="74D45EFE"/>
    <w:rsid w:val="74D61730"/>
    <w:rsid w:val="74E1190B"/>
    <w:rsid w:val="74E320DD"/>
    <w:rsid w:val="74E4710B"/>
    <w:rsid w:val="74E579F1"/>
    <w:rsid w:val="74E92152"/>
    <w:rsid w:val="74EF265A"/>
    <w:rsid w:val="74F850C4"/>
    <w:rsid w:val="74FA32C5"/>
    <w:rsid w:val="74FC0CE6"/>
    <w:rsid w:val="74FF38C9"/>
    <w:rsid w:val="7501051E"/>
    <w:rsid w:val="750879E1"/>
    <w:rsid w:val="750A0CF0"/>
    <w:rsid w:val="750B035B"/>
    <w:rsid w:val="75125C2C"/>
    <w:rsid w:val="75195D3E"/>
    <w:rsid w:val="751F777B"/>
    <w:rsid w:val="7522398B"/>
    <w:rsid w:val="7523745B"/>
    <w:rsid w:val="752C0E9F"/>
    <w:rsid w:val="753B7A7F"/>
    <w:rsid w:val="754041B4"/>
    <w:rsid w:val="754067A2"/>
    <w:rsid w:val="75482980"/>
    <w:rsid w:val="75546085"/>
    <w:rsid w:val="75580C16"/>
    <w:rsid w:val="755E0751"/>
    <w:rsid w:val="756F7A5E"/>
    <w:rsid w:val="75750277"/>
    <w:rsid w:val="75785A91"/>
    <w:rsid w:val="757C389D"/>
    <w:rsid w:val="75846ECC"/>
    <w:rsid w:val="759C108C"/>
    <w:rsid w:val="759C3BEB"/>
    <w:rsid w:val="75A24A1D"/>
    <w:rsid w:val="75A93BD2"/>
    <w:rsid w:val="75A9762B"/>
    <w:rsid w:val="75B56F21"/>
    <w:rsid w:val="75BC3A06"/>
    <w:rsid w:val="75BD3C61"/>
    <w:rsid w:val="75BD7CF2"/>
    <w:rsid w:val="75C336DD"/>
    <w:rsid w:val="75C6002D"/>
    <w:rsid w:val="75C64E50"/>
    <w:rsid w:val="75C83E8D"/>
    <w:rsid w:val="75D94483"/>
    <w:rsid w:val="75DA6B4D"/>
    <w:rsid w:val="75DD4A5B"/>
    <w:rsid w:val="75DF41BC"/>
    <w:rsid w:val="75E35A02"/>
    <w:rsid w:val="75ED44E9"/>
    <w:rsid w:val="75EF4755"/>
    <w:rsid w:val="75F57D64"/>
    <w:rsid w:val="75FE3A89"/>
    <w:rsid w:val="76032C88"/>
    <w:rsid w:val="760767EB"/>
    <w:rsid w:val="760A4057"/>
    <w:rsid w:val="760A64E9"/>
    <w:rsid w:val="760B280B"/>
    <w:rsid w:val="7612547E"/>
    <w:rsid w:val="7616191B"/>
    <w:rsid w:val="761870D1"/>
    <w:rsid w:val="761A246D"/>
    <w:rsid w:val="761D0194"/>
    <w:rsid w:val="76267EA3"/>
    <w:rsid w:val="76284EA5"/>
    <w:rsid w:val="762B0BA8"/>
    <w:rsid w:val="7630686A"/>
    <w:rsid w:val="763D7808"/>
    <w:rsid w:val="76475625"/>
    <w:rsid w:val="764E7A75"/>
    <w:rsid w:val="76503FB6"/>
    <w:rsid w:val="76564326"/>
    <w:rsid w:val="765B223D"/>
    <w:rsid w:val="766018D3"/>
    <w:rsid w:val="76602CA0"/>
    <w:rsid w:val="766151F3"/>
    <w:rsid w:val="76634CCB"/>
    <w:rsid w:val="76650B0D"/>
    <w:rsid w:val="766703E1"/>
    <w:rsid w:val="766C2C7C"/>
    <w:rsid w:val="766D3837"/>
    <w:rsid w:val="766F46C8"/>
    <w:rsid w:val="76724FD8"/>
    <w:rsid w:val="767821BC"/>
    <w:rsid w:val="767954BE"/>
    <w:rsid w:val="767C0B09"/>
    <w:rsid w:val="76892210"/>
    <w:rsid w:val="768D0E35"/>
    <w:rsid w:val="768D74A1"/>
    <w:rsid w:val="76924B5D"/>
    <w:rsid w:val="7696568E"/>
    <w:rsid w:val="76A649DE"/>
    <w:rsid w:val="76A959D3"/>
    <w:rsid w:val="76B11128"/>
    <w:rsid w:val="76B134B2"/>
    <w:rsid w:val="76B8662A"/>
    <w:rsid w:val="76BB138B"/>
    <w:rsid w:val="76BF21F9"/>
    <w:rsid w:val="76C61740"/>
    <w:rsid w:val="76C80916"/>
    <w:rsid w:val="76CD5286"/>
    <w:rsid w:val="76DB129C"/>
    <w:rsid w:val="76E102FD"/>
    <w:rsid w:val="76E5249E"/>
    <w:rsid w:val="76E96B65"/>
    <w:rsid w:val="76EA6C6D"/>
    <w:rsid w:val="76EC364D"/>
    <w:rsid w:val="76EE465E"/>
    <w:rsid w:val="76F0487A"/>
    <w:rsid w:val="76F834F3"/>
    <w:rsid w:val="77005AD4"/>
    <w:rsid w:val="77010C66"/>
    <w:rsid w:val="7705097D"/>
    <w:rsid w:val="770D0CF4"/>
    <w:rsid w:val="770E2F25"/>
    <w:rsid w:val="772A079C"/>
    <w:rsid w:val="772F6517"/>
    <w:rsid w:val="77343D7E"/>
    <w:rsid w:val="77350767"/>
    <w:rsid w:val="773E2752"/>
    <w:rsid w:val="7747534D"/>
    <w:rsid w:val="774B1EA1"/>
    <w:rsid w:val="774E04CA"/>
    <w:rsid w:val="77553ACE"/>
    <w:rsid w:val="775C26F1"/>
    <w:rsid w:val="7762504C"/>
    <w:rsid w:val="77763213"/>
    <w:rsid w:val="777C2E43"/>
    <w:rsid w:val="77841CEA"/>
    <w:rsid w:val="7785454E"/>
    <w:rsid w:val="77894C95"/>
    <w:rsid w:val="778C406C"/>
    <w:rsid w:val="778F63DA"/>
    <w:rsid w:val="77907016"/>
    <w:rsid w:val="77914620"/>
    <w:rsid w:val="77940482"/>
    <w:rsid w:val="77944ECA"/>
    <w:rsid w:val="779703EA"/>
    <w:rsid w:val="7798281C"/>
    <w:rsid w:val="779963A5"/>
    <w:rsid w:val="77A45665"/>
    <w:rsid w:val="77A86F03"/>
    <w:rsid w:val="77B120C2"/>
    <w:rsid w:val="77B21D88"/>
    <w:rsid w:val="77B6523C"/>
    <w:rsid w:val="77B77146"/>
    <w:rsid w:val="77B939FC"/>
    <w:rsid w:val="77BA59E2"/>
    <w:rsid w:val="77BC1730"/>
    <w:rsid w:val="77BC7423"/>
    <w:rsid w:val="77C0252F"/>
    <w:rsid w:val="77C07E8B"/>
    <w:rsid w:val="77C55608"/>
    <w:rsid w:val="77CC5386"/>
    <w:rsid w:val="77CD3143"/>
    <w:rsid w:val="77E23EBE"/>
    <w:rsid w:val="77E42CC6"/>
    <w:rsid w:val="77E42DCF"/>
    <w:rsid w:val="77E461DA"/>
    <w:rsid w:val="77E5682F"/>
    <w:rsid w:val="77F0488A"/>
    <w:rsid w:val="77FB04B8"/>
    <w:rsid w:val="77FF018C"/>
    <w:rsid w:val="780B609F"/>
    <w:rsid w:val="78123573"/>
    <w:rsid w:val="78175946"/>
    <w:rsid w:val="781A4D38"/>
    <w:rsid w:val="781B3200"/>
    <w:rsid w:val="781C51FB"/>
    <w:rsid w:val="781C674E"/>
    <w:rsid w:val="781C7000"/>
    <w:rsid w:val="781E555F"/>
    <w:rsid w:val="782359CB"/>
    <w:rsid w:val="78297A20"/>
    <w:rsid w:val="782A6A23"/>
    <w:rsid w:val="782B756D"/>
    <w:rsid w:val="782D4573"/>
    <w:rsid w:val="782E2553"/>
    <w:rsid w:val="783B7D77"/>
    <w:rsid w:val="783C3D35"/>
    <w:rsid w:val="784C1F84"/>
    <w:rsid w:val="784D7AAA"/>
    <w:rsid w:val="7853478A"/>
    <w:rsid w:val="785565D3"/>
    <w:rsid w:val="78597524"/>
    <w:rsid w:val="786012B4"/>
    <w:rsid w:val="78601ECC"/>
    <w:rsid w:val="78640D13"/>
    <w:rsid w:val="786502D4"/>
    <w:rsid w:val="78744531"/>
    <w:rsid w:val="7876121D"/>
    <w:rsid w:val="787B3484"/>
    <w:rsid w:val="78817C76"/>
    <w:rsid w:val="78872C33"/>
    <w:rsid w:val="788942F1"/>
    <w:rsid w:val="788C7796"/>
    <w:rsid w:val="788F4101"/>
    <w:rsid w:val="788F42C2"/>
    <w:rsid w:val="789C5E83"/>
    <w:rsid w:val="789E2EC9"/>
    <w:rsid w:val="789E71B0"/>
    <w:rsid w:val="78A14598"/>
    <w:rsid w:val="78A61B20"/>
    <w:rsid w:val="78A6381F"/>
    <w:rsid w:val="78AD3CF6"/>
    <w:rsid w:val="78AE01A4"/>
    <w:rsid w:val="78B134EC"/>
    <w:rsid w:val="78B82B1F"/>
    <w:rsid w:val="78BD69DE"/>
    <w:rsid w:val="78C075B0"/>
    <w:rsid w:val="78C07714"/>
    <w:rsid w:val="78C21DA2"/>
    <w:rsid w:val="78C5709B"/>
    <w:rsid w:val="78CA42E4"/>
    <w:rsid w:val="78CC09CF"/>
    <w:rsid w:val="78CF1E85"/>
    <w:rsid w:val="78CF5D01"/>
    <w:rsid w:val="78D43D28"/>
    <w:rsid w:val="78DD498A"/>
    <w:rsid w:val="78E36B1F"/>
    <w:rsid w:val="78F8419A"/>
    <w:rsid w:val="78FB1F24"/>
    <w:rsid w:val="78FF278B"/>
    <w:rsid w:val="79010CE4"/>
    <w:rsid w:val="79062DCD"/>
    <w:rsid w:val="790933D7"/>
    <w:rsid w:val="790C69DC"/>
    <w:rsid w:val="790D6F0A"/>
    <w:rsid w:val="79101CC0"/>
    <w:rsid w:val="7912308D"/>
    <w:rsid w:val="79191277"/>
    <w:rsid w:val="791E2F68"/>
    <w:rsid w:val="79221FE7"/>
    <w:rsid w:val="792639DD"/>
    <w:rsid w:val="79286400"/>
    <w:rsid w:val="79295E21"/>
    <w:rsid w:val="792B725A"/>
    <w:rsid w:val="7931117A"/>
    <w:rsid w:val="79341BA5"/>
    <w:rsid w:val="79355B65"/>
    <w:rsid w:val="79387FFB"/>
    <w:rsid w:val="793D2F8E"/>
    <w:rsid w:val="79406BBD"/>
    <w:rsid w:val="7946102A"/>
    <w:rsid w:val="794B6008"/>
    <w:rsid w:val="794D4AD6"/>
    <w:rsid w:val="794F3EAA"/>
    <w:rsid w:val="79514722"/>
    <w:rsid w:val="79525F4E"/>
    <w:rsid w:val="79532D8F"/>
    <w:rsid w:val="79554E68"/>
    <w:rsid w:val="79577814"/>
    <w:rsid w:val="795F4366"/>
    <w:rsid w:val="7961680C"/>
    <w:rsid w:val="79672FDD"/>
    <w:rsid w:val="7967608A"/>
    <w:rsid w:val="796C6CF3"/>
    <w:rsid w:val="79785369"/>
    <w:rsid w:val="79785B5B"/>
    <w:rsid w:val="797C5EC2"/>
    <w:rsid w:val="797D0D33"/>
    <w:rsid w:val="79847EE0"/>
    <w:rsid w:val="79872B48"/>
    <w:rsid w:val="79890A04"/>
    <w:rsid w:val="79891235"/>
    <w:rsid w:val="79892C56"/>
    <w:rsid w:val="798961D5"/>
    <w:rsid w:val="798B6AA4"/>
    <w:rsid w:val="799049CD"/>
    <w:rsid w:val="79906BDE"/>
    <w:rsid w:val="79944916"/>
    <w:rsid w:val="79A15E32"/>
    <w:rsid w:val="79A53117"/>
    <w:rsid w:val="79B21752"/>
    <w:rsid w:val="79B273D6"/>
    <w:rsid w:val="79D213EB"/>
    <w:rsid w:val="79D71F1E"/>
    <w:rsid w:val="79D73ACF"/>
    <w:rsid w:val="79D82E58"/>
    <w:rsid w:val="79DA1989"/>
    <w:rsid w:val="79DD461E"/>
    <w:rsid w:val="79E629C5"/>
    <w:rsid w:val="79EC1440"/>
    <w:rsid w:val="79F533EE"/>
    <w:rsid w:val="79FC3432"/>
    <w:rsid w:val="7A01059B"/>
    <w:rsid w:val="7A0378E4"/>
    <w:rsid w:val="7A072602"/>
    <w:rsid w:val="7A073D58"/>
    <w:rsid w:val="7A1334FA"/>
    <w:rsid w:val="7A1B6269"/>
    <w:rsid w:val="7A21041A"/>
    <w:rsid w:val="7A243137"/>
    <w:rsid w:val="7A30641D"/>
    <w:rsid w:val="7A383CAC"/>
    <w:rsid w:val="7A3B5FF1"/>
    <w:rsid w:val="7A3D268C"/>
    <w:rsid w:val="7A3F7AFF"/>
    <w:rsid w:val="7A4106F2"/>
    <w:rsid w:val="7A5E1015"/>
    <w:rsid w:val="7A617A2D"/>
    <w:rsid w:val="7A665EB8"/>
    <w:rsid w:val="7A673C73"/>
    <w:rsid w:val="7A6A66F1"/>
    <w:rsid w:val="7A6C06BC"/>
    <w:rsid w:val="7A70129D"/>
    <w:rsid w:val="7A7052E5"/>
    <w:rsid w:val="7A7100CB"/>
    <w:rsid w:val="7A713E95"/>
    <w:rsid w:val="7A761FBD"/>
    <w:rsid w:val="7A771A8A"/>
    <w:rsid w:val="7A9043CC"/>
    <w:rsid w:val="7AA170B5"/>
    <w:rsid w:val="7AA225F4"/>
    <w:rsid w:val="7AA32CC5"/>
    <w:rsid w:val="7AC11EB5"/>
    <w:rsid w:val="7ACA3675"/>
    <w:rsid w:val="7ACD56F8"/>
    <w:rsid w:val="7AD25A9D"/>
    <w:rsid w:val="7AD8637C"/>
    <w:rsid w:val="7ADA2D5F"/>
    <w:rsid w:val="7AE70CF6"/>
    <w:rsid w:val="7AE82247"/>
    <w:rsid w:val="7AEF6BF7"/>
    <w:rsid w:val="7AF64B35"/>
    <w:rsid w:val="7AF7054B"/>
    <w:rsid w:val="7AFB7FD2"/>
    <w:rsid w:val="7B090789"/>
    <w:rsid w:val="7B0E1773"/>
    <w:rsid w:val="7B0F50E5"/>
    <w:rsid w:val="7B100F5A"/>
    <w:rsid w:val="7B1030C5"/>
    <w:rsid w:val="7B125321"/>
    <w:rsid w:val="7B21490D"/>
    <w:rsid w:val="7B21543B"/>
    <w:rsid w:val="7B216F5A"/>
    <w:rsid w:val="7B252618"/>
    <w:rsid w:val="7B2853C0"/>
    <w:rsid w:val="7B290827"/>
    <w:rsid w:val="7B2A0808"/>
    <w:rsid w:val="7B2F75B2"/>
    <w:rsid w:val="7B303323"/>
    <w:rsid w:val="7B3353B3"/>
    <w:rsid w:val="7B34043A"/>
    <w:rsid w:val="7B3541F7"/>
    <w:rsid w:val="7B370FC0"/>
    <w:rsid w:val="7B3D0DE6"/>
    <w:rsid w:val="7B461126"/>
    <w:rsid w:val="7B464720"/>
    <w:rsid w:val="7B47017B"/>
    <w:rsid w:val="7B4921C5"/>
    <w:rsid w:val="7B4964A4"/>
    <w:rsid w:val="7B4A207F"/>
    <w:rsid w:val="7B4A6AB1"/>
    <w:rsid w:val="7B4D3336"/>
    <w:rsid w:val="7B4E6013"/>
    <w:rsid w:val="7B534381"/>
    <w:rsid w:val="7B590514"/>
    <w:rsid w:val="7B5F4C79"/>
    <w:rsid w:val="7B5F58E9"/>
    <w:rsid w:val="7B62063C"/>
    <w:rsid w:val="7B675DF2"/>
    <w:rsid w:val="7B676470"/>
    <w:rsid w:val="7B681105"/>
    <w:rsid w:val="7B713972"/>
    <w:rsid w:val="7B7808CB"/>
    <w:rsid w:val="7B7D0C2C"/>
    <w:rsid w:val="7B7F315F"/>
    <w:rsid w:val="7B80633D"/>
    <w:rsid w:val="7B832718"/>
    <w:rsid w:val="7B890C25"/>
    <w:rsid w:val="7B9B2FDF"/>
    <w:rsid w:val="7BA42301"/>
    <w:rsid w:val="7BA7234E"/>
    <w:rsid w:val="7BAA3915"/>
    <w:rsid w:val="7BAE36DA"/>
    <w:rsid w:val="7BAF0897"/>
    <w:rsid w:val="7BAF68A3"/>
    <w:rsid w:val="7BB75D29"/>
    <w:rsid w:val="7BB960FB"/>
    <w:rsid w:val="7BBD3F6E"/>
    <w:rsid w:val="7BBF6077"/>
    <w:rsid w:val="7BC1531E"/>
    <w:rsid w:val="7BC40965"/>
    <w:rsid w:val="7BC50B9C"/>
    <w:rsid w:val="7BC82DEF"/>
    <w:rsid w:val="7BC86E14"/>
    <w:rsid w:val="7BCE6C96"/>
    <w:rsid w:val="7BDA3403"/>
    <w:rsid w:val="7BE17BC5"/>
    <w:rsid w:val="7BE25C25"/>
    <w:rsid w:val="7BE47141"/>
    <w:rsid w:val="7BE96110"/>
    <w:rsid w:val="7BF24BF0"/>
    <w:rsid w:val="7BF404FD"/>
    <w:rsid w:val="7BF60A02"/>
    <w:rsid w:val="7BF746DD"/>
    <w:rsid w:val="7BFA60DD"/>
    <w:rsid w:val="7BFF56D3"/>
    <w:rsid w:val="7C03547A"/>
    <w:rsid w:val="7C080CA2"/>
    <w:rsid w:val="7C0C00D4"/>
    <w:rsid w:val="7C0C4E61"/>
    <w:rsid w:val="7C0F5C63"/>
    <w:rsid w:val="7C1B37BA"/>
    <w:rsid w:val="7C1D3D47"/>
    <w:rsid w:val="7C1F6156"/>
    <w:rsid w:val="7C262AEC"/>
    <w:rsid w:val="7C2A5CA6"/>
    <w:rsid w:val="7C2A7905"/>
    <w:rsid w:val="7C2F38ED"/>
    <w:rsid w:val="7C31555D"/>
    <w:rsid w:val="7C382B7F"/>
    <w:rsid w:val="7C385255"/>
    <w:rsid w:val="7C3D2816"/>
    <w:rsid w:val="7C440EAE"/>
    <w:rsid w:val="7C455400"/>
    <w:rsid w:val="7C4C41A7"/>
    <w:rsid w:val="7C507B69"/>
    <w:rsid w:val="7C534A08"/>
    <w:rsid w:val="7C540509"/>
    <w:rsid w:val="7C6158D2"/>
    <w:rsid w:val="7C66205D"/>
    <w:rsid w:val="7C666D2E"/>
    <w:rsid w:val="7C72494F"/>
    <w:rsid w:val="7C797779"/>
    <w:rsid w:val="7C7B6192"/>
    <w:rsid w:val="7C7E35B9"/>
    <w:rsid w:val="7C91118C"/>
    <w:rsid w:val="7C977DF7"/>
    <w:rsid w:val="7C9E5E3B"/>
    <w:rsid w:val="7CA1370D"/>
    <w:rsid w:val="7CAC4FCA"/>
    <w:rsid w:val="7CAD3E7A"/>
    <w:rsid w:val="7CB04B58"/>
    <w:rsid w:val="7CBF1403"/>
    <w:rsid w:val="7CC37B79"/>
    <w:rsid w:val="7CC54828"/>
    <w:rsid w:val="7CC55640"/>
    <w:rsid w:val="7CCC414A"/>
    <w:rsid w:val="7CDA0EC2"/>
    <w:rsid w:val="7CE00EED"/>
    <w:rsid w:val="7CE1348F"/>
    <w:rsid w:val="7CF043D1"/>
    <w:rsid w:val="7CF35D1C"/>
    <w:rsid w:val="7CF826D7"/>
    <w:rsid w:val="7CF93D5D"/>
    <w:rsid w:val="7CFA03EA"/>
    <w:rsid w:val="7CFB5EBA"/>
    <w:rsid w:val="7CFD6111"/>
    <w:rsid w:val="7D0722BE"/>
    <w:rsid w:val="7D0973C5"/>
    <w:rsid w:val="7D0A34E8"/>
    <w:rsid w:val="7D0D6814"/>
    <w:rsid w:val="7D172316"/>
    <w:rsid w:val="7D1D0885"/>
    <w:rsid w:val="7D1D55C1"/>
    <w:rsid w:val="7D212D14"/>
    <w:rsid w:val="7D25291F"/>
    <w:rsid w:val="7D2602AC"/>
    <w:rsid w:val="7D2A6D75"/>
    <w:rsid w:val="7D2F2AF3"/>
    <w:rsid w:val="7D364799"/>
    <w:rsid w:val="7D375D91"/>
    <w:rsid w:val="7D410B9E"/>
    <w:rsid w:val="7D503E0D"/>
    <w:rsid w:val="7D563BA7"/>
    <w:rsid w:val="7D577206"/>
    <w:rsid w:val="7D5819B1"/>
    <w:rsid w:val="7D5D0647"/>
    <w:rsid w:val="7D5F57F9"/>
    <w:rsid w:val="7D626FB0"/>
    <w:rsid w:val="7D770423"/>
    <w:rsid w:val="7D793967"/>
    <w:rsid w:val="7D79693E"/>
    <w:rsid w:val="7D7D1DB0"/>
    <w:rsid w:val="7D801559"/>
    <w:rsid w:val="7D805A78"/>
    <w:rsid w:val="7D8143FE"/>
    <w:rsid w:val="7D8878AE"/>
    <w:rsid w:val="7D8A79FC"/>
    <w:rsid w:val="7D8E6B9B"/>
    <w:rsid w:val="7D916074"/>
    <w:rsid w:val="7D933501"/>
    <w:rsid w:val="7D950CF9"/>
    <w:rsid w:val="7D955528"/>
    <w:rsid w:val="7D9C07D8"/>
    <w:rsid w:val="7D9F10F6"/>
    <w:rsid w:val="7DA17A1A"/>
    <w:rsid w:val="7DA322A4"/>
    <w:rsid w:val="7DAC6C57"/>
    <w:rsid w:val="7DB30F9B"/>
    <w:rsid w:val="7DBF15EB"/>
    <w:rsid w:val="7DC07759"/>
    <w:rsid w:val="7DC25D4A"/>
    <w:rsid w:val="7DC64702"/>
    <w:rsid w:val="7DC87539"/>
    <w:rsid w:val="7DC87E89"/>
    <w:rsid w:val="7DC90F6F"/>
    <w:rsid w:val="7DCD0126"/>
    <w:rsid w:val="7DCD1997"/>
    <w:rsid w:val="7DD547CA"/>
    <w:rsid w:val="7DD54B6E"/>
    <w:rsid w:val="7DDA357B"/>
    <w:rsid w:val="7DDA7D2C"/>
    <w:rsid w:val="7DDD2FD3"/>
    <w:rsid w:val="7DDD43C8"/>
    <w:rsid w:val="7DE0442D"/>
    <w:rsid w:val="7DE42170"/>
    <w:rsid w:val="7DE53C2B"/>
    <w:rsid w:val="7DE93706"/>
    <w:rsid w:val="7DEA72E9"/>
    <w:rsid w:val="7DEE14B6"/>
    <w:rsid w:val="7DF01136"/>
    <w:rsid w:val="7DF46A56"/>
    <w:rsid w:val="7DFC5313"/>
    <w:rsid w:val="7DFF5B7C"/>
    <w:rsid w:val="7E0311AA"/>
    <w:rsid w:val="7E050179"/>
    <w:rsid w:val="7E0A04B3"/>
    <w:rsid w:val="7E0D2A54"/>
    <w:rsid w:val="7E0D2C2A"/>
    <w:rsid w:val="7E102B4E"/>
    <w:rsid w:val="7E166256"/>
    <w:rsid w:val="7E182396"/>
    <w:rsid w:val="7E1A115B"/>
    <w:rsid w:val="7E1C07EF"/>
    <w:rsid w:val="7E1C2201"/>
    <w:rsid w:val="7E1C2E62"/>
    <w:rsid w:val="7E220CD2"/>
    <w:rsid w:val="7E281BE8"/>
    <w:rsid w:val="7E300E56"/>
    <w:rsid w:val="7E302C13"/>
    <w:rsid w:val="7E327D37"/>
    <w:rsid w:val="7E3D50B8"/>
    <w:rsid w:val="7E3E6FAE"/>
    <w:rsid w:val="7E4235D2"/>
    <w:rsid w:val="7E460267"/>
    <w:rsid w:val="7E471151"/>
    <w:rsid w:val="7E4804FB"/>
    <w:rsid w:val="7E50146A"/>
    <w:rsid w:val="7E5170E9"/>
    <w:rsid w:val="7E522907"/>
    <w:rsid w:val="7E5971A9"/>
    <w:rsid w:val="7E5F5E41"/>
    <w:rsid w:val="7E601A81"/>
    <w:rsid w:val="7E6C482A"/>
    <w:rsid w:val="7E6F19C6"/>
    <w:rsid w:val="7E7D34C8"/>
    <w:rsid w:val="7E895143"/>
    <w:rsid w:val="7E8D042D"/>
    <w:rsid w:val="7E8D58BE"/>
    <w:rsid w:val="7E953979"/>
    <w:rsid w:val="7E986A54"/>
    <w:rsid w:val="7EA62A34"/>
    <w:rsid w:val="7EA67F14"/>
    <w:rsid w:val="7EA748F4"/>
    <w:rsid w:val="7EA76E20"/>
    <w:rsid w:val="7EAB204D"/>
    <w:rsid w:val="7EAF2912"/>
    <w:rsid w:val="7EC32E10"/>
    <w:rsid w:val="7EC92C89"/>
    <w:rsid w:val="7ECE5CA2"/>
    <w:rsid w:val="7ED2246D"/>
    <w:rsid w:val="7ED4682F"/>
    <w:rsid w:val="7ED638D7"/>
    <w:rsid w:val="7EDE522C"/>
    <w:rsid w:val="7EDE56E2"/>
    <w:rsid w:val="7EE7530E"/>
    <w:rsid w:val="7EE87833"/>
    <w:rsid w:val="7EE93FF0"/>
    <w:rsid w:val="7EEA5052"/>
    <w:rsid w:val="7EEC653C"/>
    <w:rsid w:val="7EED0CA5"/>
    <w:rsid w:val="7EF01368"/>
    <w:rsid w:val="7EF412EF"/>
    <w:rsid w:val="7EFC3295"/>
    <w:rsid w:val="7EFE0359"/>
    <w:rsid w:val="7F082579"/>
    <w:rsid w:val="7F0B394B"/>
    <w:rsid w:val="7F0C3D05"/>
    <w:rsid w:val="7F0D130E"/>
    <w:rsid w:val="7F0D26AA"/>
    <w:rsid w:val="7F0E2C54"/>
    <w:rsid w:val="7F0E67F4"/>
    <w:rsid w:val="7F127358"/>
    <w:rsid w:val="7F16569C"/>
    <w:rsid w:val="7F185037"/>
    <w:rsid w:val="7F1871D8"/>
    <w:rsid w:val="7F1D472E"/>
    <w:rsid w:val="7F2024AE"/>
    <w:rsid w:val="7F233313"/>
    <w:rsid w:val="7F275383"/>
    <w:rsid w:val="7F283638"/>
    <w:rsid w:val="7F2D4F05"/>
    <w:rsid w:val="7F2F32CA"/>
    <w:rsid w:val="7F30742D"/>
    <w:rsid w:val="7F3469B9"/>
    <w:rsid w:val="7F3A7667"/>
    <w:rsid w:val="7F42302A"/>
    <w:rsid w:val="7F4476EE"/>
    <w:rsid w:val="7F484B27"/>
    <w:rsid w:val="7F512A21"/>
    <w:rsid w:val="7F525638"/>
    <w:rsid w:val="7F5C741B"/>
    <w:rsid w:val="7F5D5A39"/>
    <w:rsid w:val="7F637AD7"/>
    <w:rsid w:val="7F644697"/>
    <w:rsid w:val="7F666B7B"/>
    <w:rsid w:val="7F67296A"/>
    <w:rsid w:val="7F6D6E97"/>
    <w:rsid w:val="7F702C32"/>
    <w:rsid w:val="7F741DC0"/>
    <w:rsid w:val="7F843FA2"/>
    <w:rsid w:val="7F8E193A"/>
    <w:rsid w:val="7F975C5B"/>
    <w:rsid w:val="7F9B559F"/>
    <w:rsid w:val="7F9F0318"/>
    <w:rsid w:val="7FA00267"/>
    <w:rsid w:val="7FA5123A"/>
    <w:rsid w:val="7FA7581F"/>
    <w:rsid w:val="7FAB0D0B"/>
    <w:rsid w:val="7FAB7FB1"/>
    <w:rsid w:val="7FB41C16"/>
    <w:rsid w:val="7FB461D7"/>
    <w:rsid w:val="7FB74F7B"/>
    <w:rsid w:val="7FBD3767"/>
    <w:rsid w:val="7FBD719D"/>
    <w:rsid w:val="7FC77BB8"/>
    <w:rsid w:val="7FCE5463"/>
    <w:rsid w:val="7FD06B27"/>
    <w:rsid w:val="7FD87AAE"/>
    <w:rsid w:val="7FE17934"/>
    <w:rsid w:val="7FEB30DA"/>
    <w:rsid w:val="7FEC690D"/>
    <w:rsid w:val="7FF3747A"/>
    <w:rsid w:val="7FF75A27"/>
    <w:rsid w:val="7FF8525E"/>
    <w:rsid w:val="7FFA14D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150" w:beforeLines="150"/>
      <w:ind w:firstLine="0" w:firstLineChars="0"/>
      <w:jc w:val="left"/>
      <w:outlineLvl w:val="1"/>
    </w:pPr>
    <w:rPr>
      <w:b/>
      <w:bCs/>
      <w:sz w:val="32"/>
      <w:szCs w:val="28"/>
    </w:rPr>
  </w:style>
  <w:style w:type="paragraph" w:styleId="4">
    <w:name w:val="heading 3"/>
    <w:basedOn w:val="1"/>
    <w:next w:val="1"/>
    <w:qFormat/>
    <w:uiPriority w:val="0"/>
    <w:pPr>
      <w:keepNext/>
      <w:keepLines/>
      <w:numPr>
        <w:ilvl w:val="2"/>
        <w:numId w:val="2"/>
      </w:numPr>
      <w:spacing w:before="120" w:after="60" w:line="413" w:lineRule="auto"/>
      <w:outlineLvl w:val="2"/>
    </w:pPr>
    <w:rPr>
      <w:rFonts w:eastAsia="宋体"/>
      <w:b/>
      <w:bCs/>
      <w:kern w:val="2"/>
      <w:sz w:val="30"/>
      <w:szCs w:val="32"/>
      <w:lang w:val="en-US" w:eastAsia="zh-CN" w:bidi="ar-SA"/>
    </w:rPr>
  </w:style>
  <w:style w:type="paragraph" w:styleId="5">
    <w:name w:val="heading 4"/>
    <w:basedOn w:val="1"/>
    <w:next w:val="1"/>
    <w:qFormat/>
    <w:uiPriority w:val="0"/>
    <w:pPr>
      <w:keepNext w:val="0"/>
      <w:keepLines w:val="0"/>
      <w:spacing w:beforeLines="0" w:beforeAutospacing="0" w:afterLines="0" w:afterAutospacing="0" w:line="500" w:lineRule="exact"/>
      <w:ind w:firstLine="0" w:firstLineChars="0"/>
      <w:outlineLvl w:val="3"/>
    </w:pPr>
    <w:rPr>
      <w:rFonts w:ascii="Times New Roman" w:hAnsi="Times New Roman" w:eastAsia="宋体"/>
      <w:b/>
      <w:sz w:val="24"/>
    </w:rPr>
  </w:style>
  <w:style w:type="character" w:default="1" w:styleId="35">
    <w:name w:val="Default Paragraph Font"/>
    <w:link w:val="36"/>
    <w:semiHidden/>
    <w:qFormat/>
    <w:uiPriority w:val="0"/>
    <w:rPr>
      <w:szCs w:val="21"/>
    </w:rPr>
  </w:style>
  <w:style w:type="table" w:default="1" w:styleId="33">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pPr>
    <w:rPr>
      <w:szCs w:val="20"/>
    </w:rPr>
  </w:style>
  <w:style w:type="paragraph" w:styleId="7">
    <w:name w:val="annotation text"/>
    <w:basedOn w:val="1"/>
    <w:link w:val="45"/>
    <w:qFormat/>
    <w:uiPriority w:val="0"/>
    <w:pPr>
      <w:jc w:val="left"/>
    </w:pPr>
  </w:style>
  <w:style w:type="paragraph" w:styleId="8">
    <w:name w:val="Body Text"/>
    <w:basedOn w:val="1"/>
    <w:qFormat/>
    <w:uiPriority w:val="0"/>
    <w:pPr>
      <w:spacing w:line="360" w:lineRule="auto"/>
    </w:pPr>
    <w:rPr>
      <w:rFonts w:eastAsia="黑体"/>
      <w:sz w:val="28"/>
      <w:szCs w:val="20"/>
    </w:rPr>
  </w:style>
  <w:style w:type="paragraph" w:styleId="9">
    <w:name w:val="Body Text Indent"/>
    <w:basedOn w:val="1"/>
    <w:next w:val="1"/>
    <w:qFormat/>
    <w:uiPriority w:val="0"/>
    <w:pPr>
      <w:ind w:firstLine="648"/>
    </w:pPr>
    <w:rPr>
      <w:sz w:val="28"/>
    </w:rPr>
  </w:style>
  <w:style w:type="paragraph" w:styleId="10">
    <w:name w:val="Plain Text"/>
    <w:basedOn w:val="1"/>
    <w:next w:val="11"/>
    <w:qFormat/>
    <w:uiPriority w:val="0"/>
    <w:rPr>
      <w:rFonts w:hint="eastAsia" w:ascii="宋体" w:hAnsi="Courier New" w:eastAsia="宋体"/>
      <w:kern w:val="2"/>
      <w:sz w:val="21"/>
      <w:lang w:val="en-US" w:eastAsia="zh-CN"/>
    </w:rPr>
  </w:style>
  <w:style w:type="paragraph" w:styleId="11">
    <w:name w:val="toc 1"/>
    <w:basedOn w:val="1"/>
    <w:next w:val="1"/>
    <w:qFormat/>
    <w:uiPriority w:val="0"/>
    <w:pPr>
      <w:tabs>
        <w:tab w:val="left" w:pos="5760"/>
      </w:tabs>
      <w:adjustRightInd w:val="0"/>
      <w:snapToGrid w:val="0"/>
      <w:jc w:val="center"/>
    </w:pPr>
    <w:rPr>
      <w:rFonts w:ascii="Times New Roman" w:hAnsi="Times New Roman" w:eastAsia="宋体" w:cs="Times New Roman"/>
      <w:sz w:val="21"/>
    </w:rPr>
  </w:style>
  <w:style w:type="paragraph" w:styleId="12">
    <w:name w:val="List Bullet 5"/>
    <w:basedOn w:val="1"/>
    <w:qFormat/>
    <w:uiPriority w:val="0"/>
    <w:pPr>
      <w:numPr>
        <w:ilvl w:val="0"/>
        <w:numId w:val="3"/>
      </w:numPr>
    </w:pPr>
  </w:style>
  <w:style w:type="paragraph" w:styleId="13">
    <w:name w:val="Date"/>
    <w:basedOn w:val="1"/>
    <w:next w:val="1"/>
    <w:qFormat/>
    <w:uiPriority w:val="0"/>
    <w:pPr>
      <w:adjustRightInd w:val="0"/>
      <w:snapToGrid w:val="0"/>
      <w:spacing w:line="360" w:lineRule="auto"/>
    </w:pPr>
    <w:rPr>
      <w:sz w:val="32"/>
    </w:rPr>
  </w:style>
  <w:style w:type="paragraph" w:styleId="14">
    <w:name w:val="Body Text Indent 2"/>
    <w:basedOn w:val="1"/>
    <w:next w:val="15"/>
    <w:qFormat/>
    <w:uiPriority w:val="0"/>
    <w:pPr>
      <w:ind w:firstLine="560" w:firstLineChars="200"/>
    </w:pPr>
    <w:rPr>
      <w:sz w:val="28"/>
    </w:rPr>
  </w:style>
  <w:style w:type="paragraph" w:customStyle="1" w:styleId="15">
    <w:name w:val="Default"/>
    <w:basedOn w:val="16"/>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6">
    <w:name w:val="纯文本1"/>
    <w:basedOn w:val="1"/>
    <w:qFormat/>
    <w:uiPriority w:val="0"/>
    <w:rPr>
      <w:rFonts w:ascii="宋体" w:hAnsi="Courier New"/>
    </w:rPr>
  </w:style>
  <w:style w:type="paragraph" w:styleId="17">
    <w:name w:val="Balloon Text"/>
    <w:basedOn w:val="1"/>
    <w:link w:val="46"/>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next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20">
    <w:name w:val="样式5"/>
    <w:basedOn w:val="21"/>
    <w:qFormat/>
    <w:uiPriority w:val="0"/>
    <w:pPr>
      <w:snapToGrid w:val="0"/>
      <w:spacing w:beforeLines="20" w:afterLines="20" w:line="480" w:lineRule="exact"/>
      <w:ind w:firstLine="523" w:firstLineChars="218"/>
      <w:jc w:val="both"/>
    </w:pPr>
    <w:rPr>
      <w:i/>
      <w:iCs/>
      <w:kern w:val="2"/>
      <w:sz w:val="24"/>
      <w:szCs w:val="20"/>
    </w:rPr>
  </w:style>
  <w:style w:type="paragraph" w:customStyle="1" w:styleId="21">
    <w:name w:val="正文1"/>
    <w:basedOn w:val="10"/>
    <w:next w:val="1"/>
    <w:qFormat/>
    <w:uiPriority w:val="0"/>
    <w:pPr>
      <w:snapToGrid w:val="0"/>
      <w:spacing w:line="270" w:lineRule="exact"/>
      <w:jc w:val="center"/>
    </w:pPr>
    <w:rPr>
      <w:spacing w:val="8"/>
      <w:kern w:val="21"/>
      <w:sz w:val="24"/>
    </w:rPr>
  </w:style>
  <w:style w:type="paragraph" w:styleId="22">
    <w:name w:val="index heading"/>
    <w:basedOn w:val="1"/>
    <w:next w:val="23"/>
    <w:qFormat/>
    <w:uiPriority w:val="99"/>
    <w:rPr>
      <w:szCs w:val="20"/>
    </w:rPr>
  </w:style>
  <w:style w:type="paragraph" w:styleId="23">
    <w:name w:val="index 1"/>
    <w:basedOn w:val="1"/>
    <w:next w:val="1"/>
    <w:qFormat/>
    <w:uiPriority w:val="0"/>
    <w:pPr>
      <w:spacing w:line="300" w:lineRule="exact"/>
    </w:pPr>
    <w:rPr>
      <w:rFonts w:ascii="宋体" w:hAnsi="宋体"/>
      <w:spacing w:val="10"/>
      <w:szCs w:val="24"/>
    </w:rPr>
  </w:style>
  <w:style w:type="paragraph" w:styleId="24">
    <w:name w:val="List"/>
    <w:basedOn w:val="1"/>
    <w:next w:val="1"/>
    <w:qFormat/>
    <w:uiPriority w:val="0"/>
    <w:pPr>
      <w:ind w:left="200" w:hanging="200" w:hangingChars="200"/>
    </w:pPr>
  </w:style>
  <w:style w:type="paragraph" w:styleId="25">
    <w:name w:val="Body Text Indent 3"/>
    <w:basedOn w:val="1"/>
    <w:qFormat/>
    <w:uiPriority w:val="0"/>
    <w:pPr>
      <w:ind w:firstLine="584" w:firstLineChars="200"/>
    </w:pPr>
    <w:rPr>
      <w:rFonts w:ascii="宋体" w:hAnsi="宋体"/>
      <w:spacing w:val="6"/>
      <w:sz w:val="28"/>
    </w:rPr>
  </w:style>
  <w:style w:type="paragraph" w:styleId="26">
    <w:name w:val="Body Text 2"/>
    <w:basedOn w:val="1"/>
    <w:qFormat/>
    <w:uiPriority w:val="0"/>
    <w:pPr>
      <w:spacing w:after="120" w:line="480" w:lineRule="auto"/>
    </w:pPr>
  </w:style>
  <w:style w:type="paragraph" w:styleId="2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8">
    <w:name w:val="Normal (Web)"/>
    <w:basedOn w:val="1"/>
    <w:qFormat/>
    <w:uiPriority w:val="0"/>
    <w:pPr>
      <w:spacing w:before="100" w:beforeAutospacing="1" w:after="100" w:afterAutospacing="1"/>
      <w:ind w:left="0" w:right="0"/>
      <w:jc w:val="left"/>
    </w:pPr>
    <w:rPr>
      <w:rFonts w:hint="eastAsia" w:ascii="宋体" w:hAnsi="宋体" w:eastAsia="宋体" w:cs="宋体"/>
      <w:kern w:val="0"/>
      <w:sz w:val="24"/>
      <w:szCs w:val="24"/>
      <w:lang w:val="en-US" w:eastAsia="zh-CN" w:bidi="ar"/>
    </w:rPr>
  </w:style>
  <w:style w:type="paragraph" w:styleId="29">
    <w:name w:val="Title"/>
    <w:basedOn w:val="1"/>
    <w:next w:val="1"/>
    <w:qFormat/>
    <w:uiPriority w:val="10"/>
    <w:pPr>
      <w:spacing w:line="240" w:lineRule="atLeast"/>
      <w:ind w:firstLine="0" w:firstLineChars="0"/>
      <w:jc w:val="center"/>
      <w:outlineLvl w:val="0"/>
    </w:pPr>
    <w:rPr>
      <w:bCs/>
      <w:sz w:val="21"/>
      <w:szCs w:val="32"/>
    </w:rPr>
  </w:style>
  <w:style w:type="paragraph" w:styleId="30">
    <w:name w:val="annotation subject"/>
    <w:basedOn w:val="7"/>
    <w:next w:val="1"/>
    <w:link w:val="47"/>
    <w:qFormat/>
    <w:uiPriority w:val="0"/>
    <w:rPr>
      <w:b/>
      <w:bCs/>
    </w:rPr>
  </w:style>
  <w:style w:type="paragraph" w:styleId="31">
    <w:name w:val="Body Text First Indent"/>
    <w:basedOn w:val="8"/>
    <w:next w:val="1"/>
    <w:qFormat/>
    <w:uiPriority w:val="0"/>
    <w:pPr>
      <w:spacing w:after="120" w:afterLines="0" w:line="240" w:lineRule="auto"/>
      <w:ind w:firstLine="420" w:firstLineChars="100"/>
    </w:pPr>
    <w:rPr>
      <w:rFonts w:eastAsia="宋体"/>
      <w:sz w:val="21"/>
      <w:szCs w:val="24"/>
    </w:rPr>
  </w:style>
  <w:style w:type="paragraph" w:styleId="32">
    <w:name w:val="Body Text First Indent 2"/>
    <w:basedOn w:val="9"/>
    <w:next w:val="1"/>
    <w:qFormat/>
    <w:uiPriority w:val="0"/>
    <w:pPr>
      <w:ind w:firstLine="420" w:firstLineChars="200"/>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6">
    <w:name w:val=" Char2"/>
    <w:basedOn w:val="1"/>
    <w:link w:val="35"/>
    <w:qFormat/>
    <w:uiPriority w:val="0"/>
    <w:rPr>
      <w:szCs w:val="21"/>
    </w:rPr>
  </w:style>
  <w:style w:type="character" w:styleId="37">
    <w:name w:val="Strong"/>
    <w:qFormat/>
    <w:uiPriority w:val="0"/>
    <w:rPr>
      <w:b/>
    </w:rPr>
  </w:style>
  <w:style w:type="character" w:styleId="38">
    <w:name w:val="page number"/>
    <w:qFormat/>
    <w:uiPriority w:val="0"/>
  </w:style>
  <w:style w:type="character" w:styleId="39">
    <w:name w:val="FollowedHyperlink"/>
    <w:basedOn w:val="35"/>
    <w:qFormat/>
    <w:uiPriority w:val="0"/>
    <w:rPr>
      <w:color w:val="333333"/>
      <w:u w:val="none"/>
    </w:rPr>
  </w:style>
  <w:style w:type="character" w:styleId="40">
    <w:name w:val="HTML Typewriter"/>
    <w:qFormat/>
    <w:uiPriority w:val="0"/>
    <w:rPr>
      <w:rFonts w:ascii="黑体" w:hAnsi="宋体" w:eastAsia="黑体" w:cs="黑体"/>
      <w:sz w:val="20"/>
    </w:rPr>
  </w:style>
  <w:style w:type="character" w:styleId="41">
    <w:name w:val="Hyperlink"/>
    <w:basedOn w:val="35"/>
    <w:qFormat/>
    <w:uiPriority w:val="0"/>
    <w:rPr>
      <w:color w:val="333333"/>
      <w:u w:val="none"/>
    </w:rPr>
  </w:style>
  <w:style w:type="character" w:styleId="42">
    <w:name w:val="annotation reference"/>
    <w:qFormat/>
    <w:uiPriority w:val="0"/>
    <w:rPr>
      <w:sz w:val="21"/>
      <w:szCs w:val="21"/>
    </w:rPr>
  </w:style>
  <w:style w:type="character" w:styleId="43">
    <w:name w:val="footnote reference"/>
    <w:qFormat/>
    <w:uiPriority w:val="0"/>
    <w:rPr>
      <w:vertAlign w:val="superscript"/>
    </w:rPr>
  </w:style>
  <w:style w:type="character" w:customStyle="1" w:styleId="44">
    <w:name w:val="标题 1 Char"/>
    <w:link w:val="2"/>
    <w:qFormat/>
    <w:uiPriority w:val="0"/>
    <w:rPr>
      <w:b/>
      <w:bCs/>
      <w:kern w:val="44"/>
      <w:sz w:val="44"/>
      <w:szCs w:val="44"/>
    </w:rPr>
  </w:style>
  <w:style w:type="character" w:customStyle="1" w:styleId="45">
    <w:name w:val="批注文字 Char"/>
    <w:link w:val="7"/>
    <w:qFormat/>
    <w:uiPriority w:val="99"/>
    <w:rPr>
      <w:kern w:val="2"/>
      <w:sz w:val="21"/>
      <w:szCs w:val="24"/>
    </w:rPr>
  </w:style>
  <w:style w:type="character" w:customStyle="1" w:styleId="46">
    <w:name w:val="批注框文本 Char"/>
    <w:link w:val="17"/>
    <w:qFormat/>
    <w:uiPriority w:val="0"/>
    <w:rPr>
      <w:kern w:val="2"/>
      <w:sz w:val="18"/>
      <w:szCs w:val="18"/>
    </w:rPr>
  </w:style>
  <w:style w:type="character" w:customStyle="1" w:styleId="47">
    <w:name w:val="批注主题 Char"/>
    <w:link w:val="30"/>
    <w:qFormat/>
    <w:uiPriority w:val="0"/>
  </w:style>
  <w:style w:type="paragraph" w:customStyle="1" w:styleId="48">
    <w:name w:val="样式 正文文本 + 首行缩进:  2 字符"/>
    <w:qFormat/>
    <w:uiPriority w:val="99"/>
    <w:pPr>
      <w:spacing w:after="200" w:line="480" w:lineRule="exact"/>
      <w:ind w:firstLine="480" w:firstLineChars="200"/>
    </w:pPr>
    <w:rPr>
      <w:rFonts w:ascii="宋体" w:hAnsi="宋体" w:eastAsia="宋体" w:cs="Times New Roman"/>
      <w:sz w:val="24"/>
      <w:lang w:val="en-US" w:eastAsia="zh-CN" w:bidi="ar-SA"/>
    </w:rPr>
  </w:style>
  <w:style w:type="paragraph" w:customStyle="1" w:styleId="49">
    <w:name w:val="样式 标题 1一级标题 + 段前: 0.5 行 段后: 0.5 行"/>
    <w:basedOn w:val="2"/>
    <w:qFormat/>
    <w:uiPriority w:val="99"/>
    <w:pPr>
      <w:spacing w:line="320" w:lineRule="exact"/>
      <w:outlineLvl w:val="9"/>
    </w:pPr>
    <w:rPr>
      <w:spacing w:val="-6"/>
      <w:sz w:val="21"/>
      <w:szCs w:val="21"/>
    </w:rPr>
  </w:style>
  <w:style w:type="paragraph" w:customStyle="1" w:styleId="50">
    <w:name w:val="表内文字"/>
    <w:basedOn w:val="1"/>
    <w:qFormat/>
    <w:uiPriority w:val="0"/>
    <w:pPr>
      <w:adjustRightInd w:val="0"/>
      <w:snapToGrid w:val="0"/>
      <w:jc w:val="center"/>
    </w:pPr>
    <w:rPr>
      <w:sz w:val="21"/>
      <w:szCs w:val="21"/>
    </w:rPr>
  </w:style>
  <w:style w:type="paragraph" w:customStyle="1" w:styleId="51">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2">
    <w:name w:val="表头"/>
    <w:basedOn w:val="6"/>
    <w:next w:val="1"/>
    <w:qFormat/>
    <w:uiPriority w:val="0"/>
    <w:pPr>
      <w:overflowPunct w:val="0"/>
      <w:snapToGrid w:val="0"/>
      <w:ind w:firstLine="200" w:firstLineChars="200"/>
    </w:pPr>
    <w:rPr>
      <w:b/>
    </w:rPr>
  </w:style>
  <w:style w:type="paragraph" w:customStyle="1" w:styleId="53">
    <w:name w:val="报告正文"/>
    <w:basedOn w:val="1"/>
    <w:qFormat/>
    <w:uiPriority w:val="0"/>
    <w:pPr>
      <w:spacing w:line="360" w:lineRule="auto"/>
      <w:ind w:firstLine="200" w:firstLineChars="200"/>
    </w:pPr>
    <w:rPr>
      <w:rFonts w:ascii="Times New Roman" w:hAnsi="Times New Roman" w:eastAsia="宋体" w:cs="宋体"/>
      <w:sz w:val="24"/>
      <w:szCs w:val="21"/>
    </w:rPr>
  </w:style>
  <w:style w:type="character" w:customStyle="1" w:styleId="54">
    <w:name w:val="fbrq"/>
    <w:basedOn w:val="35"/>
    <w:qFormat/>
    <w:uiPriority w:val="0"/>
  </w:style>
  <w:style w:type="character" w:customStyle="1" w:styleId="55">
    <w:name w:val="3char0"/>
    <w:qFormat/>
    <w:uiPriority w:val="0"/>
    <w:rPr>
      <w:rFonts w:hint="default" w:ascii="Times New Roman" w:hAnsi="Times New Roman" w:cs="Times New Roman"/>
      <w:color w:val="000000"/>
    </w:rPr>
  </w:style>
  <w:style w:type="character" w:customStyle="1" w:styleId="56">
    <w:name w:val="font21"/>
    <w:qFormat/>
    <w:uiPriority w:val="0"/>
    <w:rPr>
      <w:rFonts w:hint="default" w:ascii="Times New Roman" w:hAnsi="Times New Roman" w:cs="Times New Roman"/>
      <w:color w:val="000000"/>
      <w:sz w:val="21"/>
      <w:szCs w:val="21"/>
      <w:u w:val="none"/>
    </w:rPr>
  </w:style>
  <w:style w:type="character" w:customStyle="1" w:styleId="57">
    <w:name w:val="4char"/>
    <w:qFormat/>
    <w:uiPriority w:val="0"/>
    <w:rPr>
      <w:rFonts w:hint="default" w:ascii="Cambria" w:hAnsi="Cambria" w:eastAsia="Cambria" w:cs="Cambria"/>
      <w:b/>
    </w:rPr>
  </w:style>
  <w:style w:type="character" w:customStyle="1" w:styleId="58">
    <w:name w:val="char5"/>
    <w:qFormat/>
    <w:uiPriority w:val="0"/>
    <w:rPr>
      <w:rFonts w:hint="default" w:ascii="Times New Roman" w:hAnsi="Times New Roman" w:cs="Times New Roman"/>
    </w:rPr>
  </w:style>
  <w:style w:type="character" w:customStyle="1" w:styleId="59">
    <w:name w:val="5char"/>
    <w:qFormat/>
    <w:uiPriority w:val="0"/>
    <w:rPr>
      <w:rFonts w:hint="default" w:ascii="Cambria" w:hAnsi="Cambria" w:eastAsia="Cambria" w:cs="Cambria"/>
      <w:color w:val="4F81BD"/>
    </w:rPr>
  </w:style>
  <w:style w:type="character" w:customStyle="1" w:styleId="60">
    <w:name w:val="little"/>
    <w:qFormat/>
    <w:uiPriority w:val="0"/>
  </w:style>
  <w:style w:type="character" w:customStyle="1" w:styleId="61">
    <w:name w:val="正文1 Char Char"/>
    <w:qFormat/>
    <w:uiPriority w:val="0"/>
    <w:rPr>
      <w:rFonts w:eastAsia="宋体" w:cs="宋体"/>
      <w:kern w:val="2"/>
      <w:sz w:val="24"/>
      <w:lang w:val="en-US" w:eastAsia="zh-CN" w:bidi="ar-SA"/>
    </w:rPr>
  </w:style>
  <w:style w:type="character" w:customStyle="1" w:styleId="62">
    <w:name w:val="font01"/>
    <w:qFormat/>
    <w:uiPriority w:val="0"/>
    <w:rPr>
      <w:rFonts w:hint="eastAsia" w:ascii="宋体" w:hAnsi="宋体" w:eastAsia="宋体" w:cs="宋体"/>
      <w:color w:val="000000"/>
      <w:sz w:val="24"/>
      <w:szCs w:val="24"/>
      <w:u w:val="none"/>
    </w:rPr>
  </w:style>
  <w:style w:type="character" w:customStyle="1" w:styleId="63">
    <w:name w:val="font41"/>
    <w:qFormat/>
    <w:uiPriority w:val="0"/>
    <w:rPr>
      <w:rFonts w:hint="eastAsia" w:ascii="宋体" w:hAnsi="宋体" w:eastAsia="宋体" w:cs="宋体"/>
      <w:b/>
      <w:color w:val="000000"/>
      <w:sz w:val="20"/>
      <w:szCs w:val="20"/>
      <w:u w:val="none"/>
    </w:rPr>
  </w:style>
  <w:style w:type="character" w:customStyle="1" w:styleId="64">
    <w:name w:val="active1"/>
    <w:basedOn w:val="35"/>
    <w:qFormat/>
    <w:uiPriority w:val="0"/>
    <w:rPr>
      <w:shd w:val="clear" w:color="auto" w:fill="FFFFFF"/>
    </w:rPr>
  </w:style>
  <w:style w:type="character" w:customStyle="1" w:styleId="65">
    <w:name w:val="first-child1"/>
    <w:basedOn w:val="35"/>
    <w:qFormat/>
    <w:uiPriority w:val="0"/>
  </w:style>
  <w:style w:type="character" w:customStyle="1" w:styleId="66">
    <w:name w:val="charchar7"/>
    <w:qFormat/>
    <w:uiPriority w:val="0"/>
    <w:rPr>
      <w:rFonts w:ascii="Calibri" w:hAnsi="Calibri" w:cs="Calibri"/>
      <w:b/>
    </w:rPr>
  </w:style>
  <w:style w:type="character" w:customStyle="1" w:styleId="67">
    <w:name w:val="char2"/>
    <w:qFormat/>
    <w:uiPriority w:val="0"/>
    <w:rPr>
      <w:rFonts w:hint="default" w:ascii="Times New Roman" w:hAnsi="Times New Roman" w:cs="Times New Roman"/>
      <w:shd w:val="clear" w:color="auto" w:fill="000080"/>
    </w:rPr>
  </w:style>
  <w:style w:type="character" w:customStyle="1" w:styleId="68">
    <w:name w:val="char6"/>
    <w:qFormat/>
    <w:uiPriority w:val="0"/>
    <w:rPr>
      <w:rFonts w:hint="default" w:ascii="Times New Roman" w:hAnsi="Times New Roman" w:cs="Times New Roman"/>
    </w:rPr>
  </w:style>
  <w:style w:type="character" w:customStyle="1" w:styleId="69">
    <w:name w:val="2char"/>
    <w:qFormat/>
    <w:uiPriority w:val="0"/>
    <w:rPr>
      <w:rFonts w:ascii="Arial" w:hAnsi="Arial" w:cs="Arial"/>
      <w:b/>
    </w:rPr>
  </w:style>
  <w:style w:type="character" w:customStyle="1" w:styleId="70">
    <w:name w:val="char3"/>
    <w:qFormat/>
    <w:uiPriority w:val="0"/>
    <w:rPr>
      <w:rFonts w:hint="default" w:ascii="Times New Roman" w:hAnsi="Times New Roman" w:cs="Times New Roman"/>
      <w:b/>
      <w:color w:val="000000"/>
    </w:rPr>
  </w:style>
  <w:style w:type="character" w:customStyle="1" w:styleId="71">
    <w:name w:val="msointenseemphasis"/>
    <w:qFormat/>
    <w:uiPriority w:val="0"/>
    <w:rPr>
      <w:b/>
      <w:i/>
      <w:color w:val="4F81BD"/>
    </w:rPr>
  </w:style>
  <w:style w:type="character" w:customStyle="1" w:styleId="72">
    <w:name w:val="font11"/>
    <w:basedOn w:val="35"/>
    <w:qFormat/>
    <w:uiPriority w:val="0"/>
    <w:rPr>
      <w:rFonts w:hint="eastAsia" w:ascii="宋体" w:hAnsi="宋体" w:eastAsia="宋体" w:cs="宋体"/>
      <w:color w:val="000000"/>
      <w:sz w:val="24"/>
      <w:szCs w:val="24"/>
      <w:u w:val="none"/>
      <w:vertAlign w:val="superscript"/>
    </w:rPr>
  </w:style>
  <w:style w:type="character" w:customStyle="1" w:styleId="73">
    <w:name w:val="8char"/>
    <w:qFormat/>
    <w:uiPriority w:val="0"/>
    <w:rPr>
      <w:rFonts w:hint="default" w:ascii="Cambria" w:hAnsi="Cambria" w:eastAsia="Cambria" w:cs="Cambria"/>
      <w:b/>
      <w:i/>
      <w:color w:val="9BBB59"/>
    </w:rPr>
  </w:style>
  <w:style w:type="character" w:customStyle="1" w:styleId="74">
    <w:name w:val="char9"/>
    <w:qFormat/>
    <w:uiPriority w:val="0"/>
    <w:rPr>
      <w:rFonts w:hint="default" w:ascii="Times New Roman" w:hAnsi="Times New Roman" w:cs="Times New Roman"/>
    </w:rPr>
  </w:style>
  <w:style w:type="character" w:customStyle="1" w:styleId="75">
    <w:name w:val="3char"/>
    <w:qFormat/>
    <w:uiPriority w:val="0"/>
    <w:rPr>
      <w:rFonts w:hint="default" w:ascii="Times New Roman" w:hAnsi="Times New Roman" w:cs="Times New Roman"/>
      <w:b/>
    </w:rPr>
  </w:style>
  <w:style w:type="character" w:customStyle="1" w:styleId="76">
    <w:name w:val="first-child"/>
    <w:basedOn w:val="35"/>
    <w:qFormat/>
    <w:uiPriority w:val="0"/>
    <w:rPr>
      <w:color w:val="DF1C00"/>
    </w:rPr>
  </w:style>
  <w:style w:type="character" w:customStyle="1" w:styleId="77">
    <w:name w:val="6char"/>
    <w:qFormat/>
    <w:uiPriority w:val="0"/>
    <w:rPr>
      <w:rFonts w:hint="default" w:ascii="Cambria" w:hAnsi="Cambria" w:eastAsia="Cambria" w:cs="Cambria"/>
      <w:i/>
      <w:color w:val="4F81BD"/>
    </w:rPr>
  </w:style>
  <w:style w:type="character" w:customStyle="1" w:styleId="78">
    <w:name w:val="first-child2"/>
    <w:basedOn w:val="35"/>
    <w:qFormat/>
    <w:uiPriority w:val="0"/>
  </w:style>
  <w:style w:type="character" w:customStyle="1" w:styleId="79">
    <w:name w:val="charc"/>
    <w:qFormat/>
    <w:uiPriority w:val="0"/>
    <w:rPr>
      <w:rFonts w:hint="default" w:ascii="Cambria" w:hAnsi="Cambria" w:eastAsia="Cambria" w:cs="Cambria"/>
      <w:i/>
      <w:color w:val="5A5A5A"/>
    </w:rPr>
  </w:style>
  <w:style w:type="character" w:customStyle="1" w:styleId="80">
    <w:name w:val="2char0"/>
    <w:qFormat/>
    <w:uiPriority w:val="0"/>
    <w:rPr>
      <w:rFonts w:hint="eastAsia" w:ascii="宋体" w:hAnsi="宋体" w:eastAsia="宋体" w:cs="宋体"/>
      <w:color w:val="000000"/>
    </w:rPr>
  </w:style>
  <w:style w:type="character" w:customStyle="1" w:styleId="81">
    <w:name w:val="7char"/>
    <w:qFormat/>
    <w:uiPriority w:val="0"/>
    <w:rPr>
      <w:rFonts w:hint="default" w:ascii="Cambria" w:hAnsi="Cambria" w:eastAsia="Cambria" w:cs="Cambria"/>
      <w:b/>
      <w:color w:val="9BBB59"/>
    </w:rPr>
  </w:style>
  <w:style w:type="character" w:customStyle="1" w:styleId="82">
    <w:name w:val="1char"/>
    <w:qFormat/>
    <w:uiPriority w:val="0"/>
    <w:rPr>
      <w:rFonts w:hint="default" w:ascii="Calibri" w:hAnsi="Calibri" w:cs="Calibri"/>
      <w:b/>
    </w:rPr>
  </w:style>
  <w:style w:type="character" w:customStyle="1" w:styleId="83">
    <w:name w:val="active"/>
    <w:basedOn w:val="35"/>
    <w:qFormat/>
    <w:uiPriority w:val="0"/>
    <w:rPr>
      <w:color w:val="000000"/>
      <w:shd w:val="clear" w:color="auto" w:fill="F7F7F7"/>
    </w:rPr>
  </w:style>
  <w:style w:type="character" w:customStyle="1" w:styleId="84">
    <w:name w:val="char1"/>
    <w:qFormat/>
    <w:uiPriority w:val="0"/>
    <w:rPr>
      <w:rFonts w:hint="default" w:ascii="Calibri" w:hAnsi="Calibri" w:cs="Calibri"/>
    </w:rPr>
  </w:style>
  <w:style w:type="character" w:customStyle="1" w:styleId="85">
    <w:name w:val="charf"/>
    <w:qFormat/>
    <w:uiPriority w:val="0"/>
    <w:rPr>
      <w:rFonts w:hint="default" w:ascii="Calibri" w:hAnsi="Calibri" w:cs="Calibri"/>
      <w:b/>
    </w:rPr>
  </w:style>
  <w:style w:type="character" w:customStyle="1" w:styleId="86">
    <w:name w:val="chard"/>
    <w:qFormat/>
    <w:uiPriority w:val="0"/>
    <w:rPr>
      <w:rFonts w:hint="default" w:ascii="Cambria" w:hAnsi="Cambria" w:eastAsia="Cambria" w:cs="Cambria"/>
      <w:i/>
      <w:color w:val="CCE8CF"/>
      <w:shd w:val="clear" w:color="auto" w:fill="4F81BD"/>
    </w:rPr>
  </w:style>
  <w:style w:type="character" w:customStyle="1" w:styleId="87">
    <w:name w:val="9char"/>
    <w:qFormat/>
    <w:uiPriority w:val="0"/>
    <w:rPr>
      <w:rFonts w:ascii="Cambria" w:hAnsi="Cambria" w:eastAsia="Cambria" w:cs="Cambria"/>
      <w:i/>
      <w:color w:val="9BBB59"/>
    </w:rPr>
  </w:style>
  <w:style w:type="character" w:customStyle="1" w:styleId="88">
    <w:name w:val="char7"/>
    <w:qFormat/>
    <w:uiPriority w:val="0"/>
    <w:rPr>
      <w:rFonts w:hint="default" w:ascii="Times New Roman" w:hAnsi="Times New Roman" w:cs="Times New Roman"/>
    </w:rPr>
  </w:style>
  <w:style w:type="character" w:customStyle="1" w:styleId="89">
    <w:name w:val="chara"/>
    <w:qFormat/>
    <w:uiPriority w:val="0"/>
    <w:rPr>
      <w:rFonts w:hint="default" w:ascii="Cambria" w:hAnsi="Cambria" w:eastAsia="Cambria" w:cs="Cambria"/>
      <w:i/>
      <w:color w:val="243F60"/>
    </w:rPr>
  </w:style>
  <w:style w:type="character" w:customStyle="1" w:styleId="90">
    <w:name w:val="表内字 Char"/>
    <w:link w:val="91"/>
    <w:qFormat/>
    <w:uiPriority w:val="0"/>
    <w:rPr>
      <w:kern w:val="0"/>
      <w:szCs w:val="24"/>
    </w:rPr>
  </w:style>
  <w:style w:type="paragraph" w:customStyle="1" w:styleId="91">
    <w:name w:val="表内字"/>
    <w:basedOn w:val="1"/>
    <w:link w:val="90"/>
    <w:qFormat/>
    <w:uiPriority w:val="0"/>
    <w:pPr>
      <w:spacing w:line="320" w:lineRule="exact"/>
      <w:jc w:val="center"/>
    </w:pPr>
    <w:rPr>
      <w:kern w:val="0"/>
      <w:szCs w:val="24"/>
    </w:rPr>
  </w:style>
  <w:style w:type="character" w:customStyle="1" w:styleId="92">
    <w:name w:val="charb"/>
    <w:qFormat/>
    <w:uiPriority w:val="0"/>
    <w:rPr>
      <w:rFonts w:hint="default" w:ascii="Calibri" w:hAnsi="Calibri" w:cs="Calibri"/>
      <w:i/>
    </w:rPr>
  </w:style>
  <w:style w:type="character" w:customStyle="1" w:styleId="93">
    <w:name w:val="chare"/>
    <w:qFormat/>
    <w:uiPriority w:val="0"/>
    <w:rPr>
      <w:rFonts w:hint="default" w:ascii="Times New Roman" w:hAnsi="Times New Roman" w:cs="Times New Roman"/>
    </w:rPr>
  </w:style>
  <w:style w:type="character" w:customStyle="1" w:styleId="94">
    <w:name w:val="htmlchar"/>
    <w:qFormat/>
    <w:uiPriority w:val="0"/>
    <w:rPr>
      <w:rFonts w:hint="eastAsia" w:ascii="黑体" w:hAnsi="宋体" w:eastAsia="黑体" w:cs="黑体"/>
    </w:rPr>
  </w:style>
  <w:style w:type="paragraph" w:customStyle="1" w:styleId="95">
    <w:name w:val="首行缩进"/>
    <w:basedOn w:val="1"/>
    <w:qFormat/>
    <w:uiPriority w:val="0"/>
    <w:pPr>
      <w:ind w:firstLine="480"/>
      <w:jc w:val="left"/>
    </w:pPr>
    <w:rPr>
      <w:rFonts w:hAnsi="宋体" w:cs="宋体"/>
      <w:szCs w:val="24"/>
    </w:rPr>
  </w:style>
  <w:style w:type="paragraph" w:customStyle="1" w:styleId="96">
    <w:name w:val="文本"/>
    <w:basedOn w:val="1"/>
    <w:next w:val="1"/>
    <w:qFormat/>
    <w:uiPriority w:val="0"/>
    <w:pPr>
      <w:adjustRightInd w:val="0"/>
      <w:snapToGrid w:val="0"/>
      <w:spacing w:line="440" w:lineRule="exact"/>
      <w:ind w:firstLine="480" w:firstLineChars="200"/>
    </w:pPr>
    <w:rPr>
      <w:rFonts w:ascii="宋体" w:hAnsi="宋体"/>
      <w:sz w:val="24"/>
      <w:szCs w:val="24"/>
    </w:rPr>
  </w:style>
  <w:style w:type="paragraph" w:customStyle="1" w:styleId="97">
    <w:name w:val="标题二"/>
    <w:basedOn w:val="98"/>
    <w:next w:val="1"/>
    <w:qFormat/>
    <w:uiPriority w:val="0"/>
    <w:pPr>
      <w:numPr>
        <w:ilvl w:val="1"/>
      </w:numPr>
      <w:outlineLvl w:val="1"/>
    </w:pPr>
    <w:rPr>
      <w:rFonts w:eastAsia="黑体"/>
      <w:sz w:val="30"/>
      <w:szCs w:val="24"/>
    </w:rPr>
  </w:style>
  <w:style w:type="paragraph" w:customStyle="1" w:styleId="98">
    <w:name w:val="标题三"/>
    <w:next w:val="1"/>
    <w:qFormat/>
    <w:uiPriority w:val="0"/>
    <w:pPr>
      <w:numPr>
        <w:ilvl w:val="2"/>
        <w:numId w:val="4"/>
      </w:numPr>
      <w:autoSpaceDE w:val="0"/>
      <w:autoSpaceDN w:val="0"/>
      <w:adjustRightInd w:val="0"/>
      <w:spacing w:line="360" w:lineRule="auto"/>
      <w:jc w:val="both"/>
      <w:outlineLvl w:val="2"/>
    </w:pPr>
    <w:rPr>
      <w:rFonts w:ascii="Times New Roman" w:hAnsi="Times New Roman" w:eastAsia="宋体" w:cs="Times New Roman"/>
      <w:b/>
      <w:sz w:val="28"/>
      <w:szCs w:val="28"/>
      <w:lang w:val="zh-CN" w:eastAsia="zh-CN" w:bidi="ar-SA"/>
    </w:rPr>
  </w:style>
  <w:style w:type="paragraph" w:customStyle="1" w:styleId="99">
    <w:name w:val="样式 首行缩进:  2 字符"/>
    <w:basedOn w:val="1"/>
    <w:qFormat/>
    <w:uiPriority w:val="0"/>
    <w:pPr>
      <w:snapToGrid w:val="0"/>
      <w:spacing w:line="300" w:lineRule="auto"/>
      <w:ind w:firstLine="200" w:firstLineChars="200"/>
    </w:pPr>
    <w:rPr>
      <w:rFonts w:ascii="宋体" w:cs="宋体"/>
      <w:sz w:val="28"/>
      <w:szCs w:val="20"/>
    </w:rPr>
  </w:style>
  <w:style w:type="paragraph" w:customStyle="1" w:styleId="100">
    <w:name w:val="正文 首行缩进:  2 字符"/>
    <w:basedOn w:val="1"/>
    <w:qFormat/>
    <w:uiPriority w:val="0"/>
    <w:pPr>
      <w:adjustRightInd w:val="0"/>
      <w:snapToGrid w:val="0"/>
      <w:spacing w:line="500" w:lineRule="exact"/>
      <w:ind w:firstLine="200" w:firstLineChars="200"/>
      <w:jc w:val="left"/>
    </w:pPr>
    <w:rPr>
      <w:rFonts w:cs="宋体"/>
      <w:szCs w:val="20"/>
    </w:rPr>
  </w:style>
  <w:style w:type="paragraph" w:customStyle="1" w:styleId="101">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02">
    <w:name w:val="样式2"/>
    <w:basedOn w:val="1"/>
    <w:qFormat/>
    <w:uiPriority w:val="0"/>
    <w:pPr>
      <w:adjustRightInd w:val="0"/>
      <w:ind w:left="170"/>
      <w:jc w:val="left"/>
      <w:textAlignment w:val="baseline"/>
    </w:pPr>
    <w:rPr>
      <w:b/>
      <w:kern w:val="0"/>
      <w:sz w:val="24"/>
      <w:szCs w:val="20"/>
    </w:rPr>
  </w:style>
  <w:style w:type="paragraph" w:customStyle="1" w:styleId="103">
    <w:name w:val="标题2"/>
    <w:unhideWhenUsed/>
    <w:qFormat/>
    <w:uiPriority w:val="2"/>
    <w:pPr>
      <w:outlineLvl w:val="2"/>
    </w:pPr>
    <w:rPr>
      <w:rFonts w:ascii="Calibri" w:hAnsi="Calibri" w:eastAsia="宋体" w:cs="Times New Roman"/>
      <w:kern w:val="2"/>
      <w:sz w:val="21"/>
      <w:szCs w:val="22"/>
      <w:lang w:val="en-US" w:eastAsia="zh-CN" w:bidi="ar-SA"/>
    </w:rPr>
  </w:style>
  <w:style w:type="paragraph" w:customStyle="1" w:styleId="104">
    <w:name w:val="正文小四缩"/>
    <w:basedOn w:val="1"/>
    <w:qFormat/>
    <w:uiPriority w:val="0"/>
    <w:pPr>
      <w:adjustRightInd w:val="0"/>
      <w:spacing w:before="120" w:beforeLines="0" w:line="360" w:lineRule="auto"/>
      <w:ind w:firstLine="510"/>
      <w:textAlignment w:val="baseline"/>
    </w:pPr>
    <w:rPr>
      <w:rFonts w:ascii="宋体" w:hAnsi="宋体"/>
      <w:bCs/>
      <w:kern w:val="0"/>
    </w:rPr>
  </w:style>
  <w:style w:type="paragraph" w:customStyle="1" w:styleId="105">
    <w:name w:val="表内容"/>
    <w:basedOn w:val="1"/>
    <w:qFormat/>
    <w:uiPriority w:val="0"/>
    <w:pPr>
      <w:spacing w:line="280" w:lineRule="exact"/>
      <w:jc w:val="center"/>
    </w:pPr>
    <w:rPr>
      <w:rFonts w:cs="宋体"/>
      <w:sz w:val="18"/>
      <w:szCs w:val="20"/>
    </w:rPr>
  </w:style>
  <w:style w:type="paragraph" w:customStyle="1" w:styleId="106">
    <w:name w:val="表格内"/>
    <w:basedOn w:val="1"/>
    <w:qFormat/>
    <w:uiPriority w:val="0"/>
    <w:pPr>
      <w:spacing w:line="360" w:lineRule="exact"/>
      <w:jc w:val="center"/>
    </w:pPr>
    <w:rPr>
      <w:rFonts w:ascii="Times New Roman" w:hAnsi="Times New Roman" w:cs="Times New Roman"/>
      <w:snapToGrid w:val="0"/>
      <w:szCs w:val="21"/>
    </w:rPr>
  </w:style>
  <w:style w:type="paragraph" w:customStyle="1" w:styleId="107">
    <w:name w:val="表头A"/>
    <w:basedOn w:val="52"/>
    <w:qFormat/>
    <w:uiPriority w:val="0"/>
    <w:pPr>
      <w:overflowPunct/>
      <w:snapToGrid/>
      <w:spacing w:line="400" w:lineRule="exact"/>
      <w:ind w:firstLine="0" w:firstLineChars="0"/>
      <w:jc w:val="center"/>
    </w:pPr>
    <w:rPr>
      <w:sz w:val="24"/>
      <w:szCs w:val="24"/>
    </w:rPr>
  </w:style>
  <w:style w:type="paragraph" w:customStyle="1" w:styleId="108">
    <w:name w:val="正文格式"/>
    <w:basedOn w:val="31"/>
    <w:next w:val="8"/>
    <w:qFormat/>
    <w:uiPriority w:val="0"/>
    <w:pPr>
      <w:spacing w:after="0" w:line="360" w:lineRule="auto"/>
      <w:ind w:firstLine="200" w:firstLineChars="200"/>
    </w:pPr>
    <w:rPr>
      <w:rFonts w:ascii="宋体"/>
      <w:sz w:val="24"/>
    </w:rPr>
  </w:style>
  <w:style w:type="paragraph" w:customStyle="1" w:styleId="109">
    <w:name w:val="表题"/>
    <w:basedOn w:val="1"/>
    <w:qFormat/>
    <w:uiPriority w:val="0"/>
    <w:pPr>
      <w:jc w:val="center"/>
    </w:pPr>
    <w:rPr>
      <w:rFonts w:ascii="黑体" w:eastAsia="黑体" w:cs="宋体"/>
      <w:szCs w:val="20"/>
    </w:rPr>
  </w:style>
  <w:style w:type="paragraph" w:customStyle="1" w:styleId="110">
    <w:name w:val="表"/>
    <w:basedOn w:val="1"/>
    <w:qFormat/>
    <w:uiPriority w:val="0"/>
    <w:pPr>
      <w:keepNext/>
      <w:keepLines/>
      <w:autoSpaceDE w:val="0"/>
      <w:autoSpaceDN w:val="0"/>
      <w:adjustRightInd w:val="0"/>
      <w:spacing w:before="40" w:beforeLines="0" w:after="40" w:afterLines="0" w:line="240" w:lineRule="exact"/>
      <w:jc w:val="center"/>
    </w:pPr>
    <w:rPr>
      <w:kern w:val="21"/>
      <w:sz w:val="24"/>
      <w:szCs w:val="20"/>
    </w:rPr>
  </w:style>
  <w:style w:type="paragraph" w:customStyle="1" w:styleId="111">
    <w:name w:val="正文首行缩进1"/>
    <w:basedOn w:val="8"/>
    <w:qFormat/>
    <w:uiPriority w:val="0"/>
    <w:pPr>
      <w:suppressAutoHyphens/>
      <w:spacing w:after="120" w:line="240" w:lineRule="auto"/>
      <w:ind w:firstLine="420"/>
    </w:pPr>
    <w:rPr>
      <w:rFonts w:eastAsia="宋体"/>
      <w:kern w:val="0"/>
      <w:sz w:val="21"/>
    </w:rPr>
  </w:style>
  <w:style w:type="paragraph" w:customStyle="1" w:styleId="112">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113">
    <w:name w:val="Table Paragraph"/>
    <w:basedOn w:val="1"/>
    <w:qFormat/>
    <w:uiPriority w:val="1"/>
  </w:style>
  <w:style w:type="paragraph" w:customStyle="1" w:styleId="114">
    <w:name w:val="正文!!!!!!!!!!!"/>
    <w:basedOn w:val="112"/>
    <w:qFormat/>
    <w:uiPriority w:val="0"/>
    <w:pPr>
      <w:ind w:firstLine="480"/>
    </w:pPr>
    <w:rPr>
      <w:rFonts w:ascii="华文仿宋" w:hAnsi="华文仿宋" w:eastAsia="华文仿宋" w:cs="华文仿宋"/>
    </w:rPr>
  </w:style>
  <w:style w:type="paragraph" w:customStyle="1" w:styleId="115">
    <w:name w:val="表内式样"/>
    <w:qFormat/>
    <w:uiPriority w:val="0"/>
    <w:pPr>
      <w:widowControl w:val="0"/>
      <w:topLinePunct/>
      <w:adjustRightInd w:val="0"/>
      <w:snapToGrid w:val="0"/>
      <w:spacing w:line="280" w:lineRule="exact"/>
      <w:jc w:val="center"/>
    </w:pPr>
    <w:rPr>
      <w:rFonts w:ascii="Times New Roman" w:hAnsi="Times New Roman" w:eastAsia="宋体" w:cs="Times New Roman"/>
      <w:kern w:val="21"/>
      <w:sz w:val="21"/>
      <w:szCs w:val="22"/>
      <w:lang w:val="en-US" w:eastAsia="zh-CN" w:bidi="ar-SA"/>
    </w:rPr>
  </w:style>
  <w:style w:type="paragraph" w:customStyle="1" w:styleId="116">
    <w:name w:val="_Style 4"/>
    <w:basedOn w:val="1"/>
    <w:qFormat/>
    <w:uiPriority w:val="0"/>
  </w:style>
  <w:style w:type="paragraph" w:styleId="117">
    <w:name w:val="List Paragraph"/>
    <w:basedOn w:val="1"/>
    <w:qFormat/>
    <w:uiPriority w:val="99"/>
    <w:pPr>
      <w:ind w:firstLine="420" w:firstLineChars="200"/>
    </w:pPr>
  </w:style>
  <w:style w:type="paragraph" w:customStyle="1" w:styleId="118">
    <w:name w:val="样式 首行缩进:  2 字符1"/>
    <w:basedOn w:val="1"/>
    <w:qFormat/>
    <w:uiPriority w:val="0"/>
    <w:pPr>
      <w:adjustRightInd w:val="0"/>
      <w:snapToGrid w:val="0"/>
      <w:spacing w:line="360" w:lineRule="auto"/>
      <w:ind w:firstLine="480" w:firstLineChars="200"/>
    </w:pPr>
    <w:rPr>
      <w:rFonts w:eastAsia="宋体" w:cs="宋体"/>
      <w:kern w:val="2"/>
      <w:sz w:val="24"/>
      <w:lang w:val="en-US" w:eastAsia="zh-CN" w:bidi="ar-SA"/>
    </w:rPr>
  </w:style>
  <w:style w:type="paragraph" w:customStyle="1" w:styleId="119">
    <w:name w:val="Char"/>
    <w:basedOn w:val="1"/>
    <w:qFormat/>
    <w:uiPriority w:val="0"/>
    <w:pPr>
      <w:spacing w:line="360" w:lineRule="auto"/>
      <w:ind w:firstLine="200" w:firstLineChars="200"/>
    </w:pPr>
    <w:rPr>
      <w:rFonts w:ascii="宋体" w:hAnsi="宋体" w:cs="宋体"/>
      <w:sz w:val="24"/>
    </w:rPr>
  </w:style>
  <w:style w:type="paragraph" w:customStyle="1" w:styleId="120">
    <w:name w:val="正文(首行缩进)"/>
    <w:basedOn w:val="6"/>
    <w:next w:val="1"/>
    <w:qFormat/>
    <w:uiPriority w:val="0"/>
    <w:pPr>
      <w:ind w:firstLine="480" w:firstLineChars="200"/>
    </w:pPr>
    <w:rPr>
      <w:rFonts w:hAnsi="宋体"/>
      <w:kern w:val="0"/>
      <w:sz w:val="24"/>
    </w:rPr>
  </w:style>
  <w:style w:type="paragraph" w:customStyle="1" w:styleId="121">
    <w:name w:val="表格内容"/>
    <w:basedOn w:val="21"/>
    <w:qFormat/>
    <w:uiPriority w:val="0"/>
    <w:pPr>
      <w:autoSpaceDE w:val="0"/>
      <w:autoSpaceDN w:val="0"/>
      <w:adjustRightInd w:val="0"/>
      <w:snapToGrid/>
      <w:spacing w:line="240" w:lineRule="auto"/>
      <w:ind w:firstLine="0" w:firstLineChars="0"/>
      <w:jc w:val="center"/>
      <w:textAlignment w:val="center"/>
    </w:pPr>
    <w:rPr>
      <w:rFonts w:ascii="Times New Roman" w:hAnsi="Times New Roman" w:eastAsia="宋体"/>
      <w:kern w:val="0"/>
      <w:sz w:val="21"/>
      <w:szCs w:val="21"/>
    </w:rPr>
  </w:style>
  <w:style w:type="paragraph" w:customStyle="1" w:styleId="122">
    <w:name w:val="文本正文"/>
    <w:qFormat/>
    <w:uiPriority w:val="0"/>
    <w:pPr>
      <w:spacing w:line="480" w:lineRule="exact"/>
      <w:ind w:firstLine="720" w:firstLineChars="200"/>
      <w:jc w:val="both"/>
    </w:pPr>
    <w:rPr>
      <w:rFonts w:hint="eastAsia" w:ascii="Times New Roman" w:hAnsi="Times New Roman" w:eastAsia="宋体" w:cs="Times New Roman"/>
      <w:bCs/>
      <w:sz w:val="24"/>
      <w:lang w:val="en-US" w:eastAsia="zh-CN" w:bidi="ar-SA"/>
    </w:rPr>
  </w:style>
  <w:style w:type="paragraph" w:customStyle="1" w:styleId="123">
    <w:name w:val="WW-正文缩进"/>
    <w:basedOn w:val="1"/>
    <w:semiHidden/>
    <w:qFormat/>
    <w:uiPriority w:val="0"/>
    <w:pPr>
      <w:ind w:firstLine="420"/>
    </w:pPr>
    <w:rPr>
      <w:sz w:val="28"/>
      <w:szCs w:val="20"/>
    </w:rPr>
  </w:style>
  <w:style w:type="paragraph" w:customStyle="1" w:styleId="124">
    <w:name w:val="3级标题"/>
    <w:basedOn w:val="3"/>
    <w:qFormat/>
    <w:uiPriority w:val="0"/>
    <w:pPr>
      <w:keepNext w:val="0"/>
      <w:keepLines w:val="0"/>
      <w:spacing w:beforeLines="50" w:afterLines="50" w:line="520" w:lineRule="exact"/>
      <w:jc w:val="left"/>
      <w:outlineLvl w:val="2"/>
    </w:pPr>
    <w:rPr>
      <w:rFonts w:ascii="Times New Roman" w:hAnsi="Times New Roman" w:cs="楷体_GB2312"/>
      <w:sz w:val="30"/>
      <w:szCs w:val="30"/>
    </w:rPr>
  </w:style>
  <w:style w:type="paragraph" w:customStyle="1" w:styleId="125">
    <w:name w:val="表格"/>
    <w:basedOn w:val="126"/>
    <w:next w:val="1"/>
    <w:qFormat/>
    <w:uiPriority w:val="0"/>
    <w:pPr>
      <w:jc w:val="center"/>
    </w:pPr>
    <w:rPr>
      <w:sz w:val="24"/>
    </w:rPr>
  </w:style>
  <w:style w:type="paragraph" w:customStyle="1" w:styleId="126">
    <w:name w:val="样式1"/>
    <w:basedOn w:val="1"/>
    <w:qFormat/>
    <w:uiPriority w:val="0"/>
    <w:pPr>
      <w:spacing w:line="360" w:lineRule="auto"/>
    </w:pPr>
    <w:rPr>
      <w:rFonts w:ascii="宋体" w:hAnsi="宋体" w:eastAsia="宋体" w:cs="宋体"/>
      <w:sz w:val="24"/>
    </w:rPr>
  </w:style>
  <w:style w:type="paragraph" w:customStyle="1" w:styleId="127">
    <w:name w:val="样式 宋体 四号 首行缩进:  1.06 厘米"/>
    <w:basedOn w:val="1"/>
    <w:qFormat/>
    <w:uiPriority w:val="0"/>
    <w:pPr>
      <w:ind w:firstLine="600"/>
    </w:pPr>
    <w:rPr>
      <w:rFonts w:ascii="宋体" w:hAnsi="宋体" w:cs="宋体"/>
      <w:sz w:val="28"/>
      <w:szCs w:val="20"/>
    </w:rPr>
  </w:style>
  <w:style w:type="paragraph" w:customStyle="1" w:styleId="128">
    <w:name w:val="表头标题格式"/>
    <w:basedOn w:val="1"/>
    <w:qFormat/>
    <w:uiPriority w:val="0"/>
    <w:pPr>
      <w:tabs>
        <w:tab w:val="left" w:pos="360"/>
        <w:tab w:val="left" w:pos="1620"/>
      </w:tabs>
      <w:jc w:val="center"/>
    </w:pPr>
    <w:rPr>
      <w:rFonts w:ascii="黑体" w:hAnsi="宋体" w:eastAsia="黑体" w:cs="宋体"/>
      <w:b/>
      <w:bCs/>
      <w:szCs w:val="20"/>
    </w:rPr>
  </w:style>
  <w:style w:type="paragraph" w:customStyle="1" w:styleId="129">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hAnsi="宋体" w:eastAsia="Times New Roman"/>
      <w:kern w:val="0"/>
      <w:sz w:val="24"/>
    </w:rPr>
  </w:style>
  <w:style w:type="paragraph" w:customStyle="1" w:styleId="130">
    <w:name w:val="1正文段落"/>
    <w:basedOn w:val="1"/>
    <w:qFormat/>
    <w:uiPriority w:val="0"/>
    <w:pPr>
      <w:spacing w:line="360" w:lineRule="auto"/>
      <w:ind w:firstLine="480" w:firstLineChars="200"/>
      <w:jc w:val="left"/>
    </w:pPr>
    <w:rPr>
      <w:rFonts w:eastAsia="宋体"/>
      <w:snapToGrid w:val="0"/>
      <w:sz w:val="24"/>
      <w:lang w:val="en-US" w:eastAsia="zh-CN"/>
    </w:rPr>
  </w:style>
  <w:style w:type="paragraph" w:customStyle="1" w:styleId="131">
    <w:name w:val="农贸市场表格表头"/>
    <w:basedOn w:val="1"/>
    <w:qFormat/>
    <w:uiPriority w:val="0"/>
    <w:pPr>
      <w:spacing w:line="240" w:lineRule="auto"/>
      <w:jc w:val="center"/>
    </w:pPr>
    <w:rPr>
      <w:rFonts w:ascii="宋体" w:hAnsi="宋体" w:cs="仿宋_GB2312"/>
      <w:b/>
      <w:kern w:val="0"/>
      <w:szCs w:val="21"/>
    </w:rPr>
  </w:style>
  <w:style w:type="paragraph" w:customStyle="1" w:styleId="132">
    <w:name w:val="！正文"/>
    <w:basedOn w:val="1"/>
    <w:qFormat/>
    <w:uiPriority w:val="0"/>
    <w:pPr>
      <w:spacing w:line="500" w:lineRule="exact"/>
    </w:pPr>
    <w:rPr>
      <w:rFonts w:eastAsia="Times New Roman"/>
      <w:szCs w:val="24"/>
    </w:rPr>
  </w:style>
  <w:style w:type="paragraph" w:customStyle="1" w:styleId="133">
    <w:name w:val="正文A"/>
    <w:basedOn w:val="114"/>
    <w:qFormat/>
    <w:uiPriority w:val="0"/>
    <w:pPr>
      <w:spacing w:line="500" w:lineRule="exact"/>
      <w:ind w:firstLine="200" w:firstLineChars="200"/>
    </w:pPr>
    <w:rPr>
      <w:kern w:val="0"/>
      <w:sz w:val="24"/>
      <w:szCs w:val="24"/>
    </w:rPr>
  </w:style>
  <w:style w:type="paragraph" w:customStyle="1" w:styleId="134">
    <w:name w:val="标题四"/>
    <w:next w:val="132"/>
    <w:qFormat/>
    <w:uiPriority w:val="0"/>
    <w:pPr>
      <w:numPr>
        <w:ilvl w:val="3"/>
        <w:numId w:val="4"/>
      </w:numPr>
      <w:spacing w:line="360" w:lineRule="auto"/>
      <w:jc w:val="both"/>
      <w:outlineLvl w:val="3"/>
    </w:pPr>
    <w:rPr>
      <w:rFonts w:ascii="宋体" w:hAnsi="Calibri" w:eastAsia="宋体" w:cs="宋体"/>
      <w:b/>
      <w:kern w:val="2"/>
      <w:sz w:val="24"/>
      <w:szCs w:val="24"/>
      <w:lang w:val="en-US" w:eastAsia="zh-CN" w:bidi="ar-SA"/>
    </w:rPr>
  </w:style>
  <w:style w:type="paragraph" w:customStyle="1" w:styleId="135">
    <w:name w:val="6-表中文字"/>
    <w:basedOn w:val="1"/>
    <w:qFormat/>
    <w:uiPriority w:val="0"/>
    <w:pPr>
      <w:adjustRightInd w:val="0"/>
      <w:snapToGrid w:val="0"/>
      <w:jc w:val="center"/>
      <w:textAlignment w:val="center"/>
    </w:pPr>
    <w:rPr>
      <w:rFonts w:eastAsia="华文中宋"/>
      <w:kern w:val="0"/>
      <w:szCs w:val="21"/>
    </w:rPr>
  </w:style>
  <w:style w:type="paragraph" w:customStyle="1" w:styleId="136">
    <w:name w:val="1正文"/>
    <w:basedOn w:val="1"/>
    <w:qFormat/>
    <w:uiPriority w:val="0"/>
    <w:pPr>
      <w:widowControl/>
      <w:ind w:firstLine="200"/>
    </w:pPr>
    <w:rPr>
      <w:rFonts w:ascii="Calibri" w:hAnsi="Calibri" w:cs="Times New Roman"/>
      <w:kern w:val="0"/>
      <w:szCs w:val="20"/>
      <w:lang w:val="en-GB"/>
    </w:rPr>
  </w:style>
  <w:style w:type="paragraph" w:customStyle="1" w:styleId="137">
    <w:name w:val="图表内容"/>
    <w:basedOn w:val="1"/>
    <w:qFormat/>
    <w:uiPriority w:val="0"/>
    <w:pPr>
      <w:jc w:val="center"/>
    </w:pPr>
    <w:rPr>
      <w:kern w:val="0"/>
      <w:szCs w:val="21"/>
    </w:rPr>
  </w:style>
  <w:style w:type="paragraph" w:customStyle="1" w:styleId="138">
    <w:name w:val="表中文字"/>
    <w:next w:val="1"/>
    <w:qFormat/>
    <w:uiPriority w:val="0"/>
    <w:pPr>
      <w:widowControl w:val="0"/>
      <w:adjustRightInd w:val="0"/>
      <w:spacing w:line="280" w:lineRule="exact"/>
      <w:jc w:val="center"/>
      <w:textAlignment w:val="center"/>
    </w:pPr>
    <w:rPr>
      <w:rFonts w:ascii="Times New Roman" w:hAnsi="Times New Roman" w:eastAsia="宋体" w:cs="Times New Roman"/>
      <w:sz w:val="21"/>
      <w:szCs w:val="15"/>
      <w:lang w:val="de-DE" w:eastAsia="zh-CN" w:bidi="ar-SA"/>
    </w:rPr>
  </w:style>
  <w:style w:type="paragraph" w:customStyle="1" w:styleId="139">
    <w:name w:val="表格文字"/>
    <w:basedOn w:val="8"/>
    <w:qFormat/>
    <w:uiPriority w:val="0"/>
    <w:pPr>
      <w:jc w:val="center"/>
    </w:pPr>
  </w:style>
  <w:style w:type="paragraph" w:customStyle="1" w:styleId="140">
    <w:name w:val="报告书表格"/>
    <w:basedOn w:val="1"/>
    <w:qFormat/>
    <w:uiPriority w:val="0"/>
    <w:pPr>
      <w:spacing w:line="360" w:lineRule="exact"/>
      <w:jc w:val="center"/>
    </w:pPr>
    <w:rPr>
      <w:b/>
      <w:bCs/>
    </w:rPr>
  </w:style>
  <w:style w:type="paragraph" w:customStyle="1" w:styleId="141">
    <w:name w:val="农贸市场正文"/>
    <w:basedOn w:val="142"/>
    <w:qFormat/>
    <w:uiPriority w:val="0"/>
    <w:pPr>
      <w:spacing w:before="0" w:beforeLines="0" w:after="0" w:afterLines="0"/>
      <w:ind w:firstLine="200" w:firstLineChars="200"/>
      <w:outlineLvl w:val="9"/>
    </w:pPr>
    <w:rPr>
      <w:b w:val="0"/>
      <w:snapToGrid w:val="0"/>
      <w:color w:val="000000"/>
      <w:kern w:val="0"/>
      <w:sz w:val="24"/>
    </w:rPr>
  </w:style>
  <w:style w:type="paragraph" w:customStyle="1" w:styleId="142">
    <w:name w:val="农贸市场一级标题"/>
    <w:basedOn w:val="1"/>
    <w:qFormat/>
    <w:uiPriority w:val="0"/>
    <w:pPr>
      <w:spacing w:before="360" w:beforeLines="150" w:after="360" w:afterLines="150" w:line="360" w:lineRule="auto"/>
      <w:jc w:val="left"/>
      <w:outlineLvl w:val="0"/>
    </w:pPr>
    <w:rPr>
      <w:b/>
      <w:sz w:val="32"/>
      <w:szCs w:val="24"/>
    </w:rPr>
  </w:style>
  <w:style w:type="paragraph" w:customStyle="1" w:styleId="143">
    <w:name w:val="Other|1"/>
    <w:basedOn w:val="1"/>
    <w:qFormat/>
    <w:uiPriority w:val="0"/>
    <w:pPr>
      <w:widowControl w:val="0"/>
      <w:shd w:val="clear" w:color="auto" w:fill="auto"/>
      <w:jc w:val="center"/>
    </w:pPr>
    <w:rPr>
      <w:b/>
      <w:bCs/>
      <w:sz w:val="22"/>
      <w:szCs w:val="22"/>
      <w:u w:val="none"/>
      <w:shd w:val="clear" w:color="auto" w:fill="auto"/>
      <w:lang w:val="zh-TW" w:eastAsia="zh-TW" w:bidi="zh-TW"/>
    </w:rPr>
  </w:style>
  <w:style w:type="table" w:customStyle="1" w:styleId="144">
    <w:name w:val="网格型111"/>
    <w:basedOn w:val="33"/>
    <w:qFormat/>
    <w:uiPriority w:val="0"/>
    <w:pPr>
      <w:widowControl w:val="0"/>
      <w:spacing w:line="360" w:lineRule="exact"/>
      <w:jc w:val="center"/>
    </w:pPr>
    <w:rPr>
      <w:rFonts w:ascii="宋体" w:hAnsi="宋体" w:cs="宋体"/>
      <w:sz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style>
  <w:style w:type="paragraph" w:customStyle="1" w:styleId="145">
    <w:name w:val="_Style 143"/>
    <w:basedOn w:val="1"/>
    <w:next w:val="1"/>
    <w:qFormat/>
    <w:uiPriority w:val="0"/>
    <w:pPr>
      <w:pBdr>
        <w:bottom w:val="single" w:color="auto" w:sz="6" w:space="1"/>
      </w:pBdr>
      <w:jc w:val="center"/>
    </w:pPr>
    <w:rPr>
      <w:rFonts w:ascii="Arial" w:eastAsia="宋体"/>
      <w:vanish/>
      <w:sz w:val="16"/>
    </w:rPr>
  </w:style>
  <w:style w:type="paragraph" w:customStyle="1" w:styleId="146">
    <w:name w:val="_Style 144"/>
    <w:basedOn w:val="1"/>
    <w:next w:val="1"/>
    <w:qFormat/>
    <w:uiPriority w:val="0"/>
    <w:pPr>
      <w:pBdr>
        <w:top w:val="single" w:color="auto" w:sz="6" w:space="1"/>
      </w:pBdr>
      <w:jc w:val="center"/>
    </w:pPr>
    <w:rPr>
      <w:rFonts w:ascii="Arial" w:eastAsia="宋体"/>
      <w:vanish/>
      <w:sz w:val="16"/>
    </w:rPr>
  </w:style>
  <w:style w:type="paragraph" w:customStyle="1" w:styleId="147">
    <w:name w:val="表格1"/>
    <w:basedOn w:val="1"/>
    <w:qFormat/>
    <w:uiPriority w:val="0"/>
    <w:pPr>
      <w:adjustRightInd w:val="0"/>
      <w:snapToGrid w:val="0"/>
      <w:jc w:val="center"/>
    </w:pPr>
    <w:rPr>
      <w:rFonts w:ascii="Times New Roman" w:hAnsi="Times New Roman" w:eastAsia="方正仿宋_GBK"/>
      <w:color w:val="000000"/>
      <w:kern w:val="0"/>
      <w:szCs w:val="24"/>
    </w:rPr>
  </w:style>
  <w:style w:type="paragraph" w:customStyle="1" w:styleId="148">
    <w:name w:val="表格正文"/>
    <w:basedOn w:val="149"/>
    <w:qFormat/>
    <w:uiPriority w:val="0"/>
    <w:pPr>
      <w:spacing w:line="360" w:lineRule="exact"/>
      <w:jc w:val="center"/>
    </w:pPr>
  </w:style>
  <w:style w:type="paragraph" w:customStyle="1" w:styleId="149">
    <w:name w:val="表格标题"/>
    <w:basedOn w:val="52"/>
    <w:qFormat/>
    <w:uiPriority w:val="0"/>
    <w:rPr>
      <w:rFonts w:hint="default"/>
    </w:rPr>
  </w:style>
  <w:style w:type="paragraph" w:customStyle="1" w:styleId="150">
    <w:name w:val="Table Text"/>
    <w:basedOn w:val="1"/>
    <w:semiHidden/>
    <w:qFormat/>
    <w:uiPriority w:val="0"/>
    <w:rPr>
      <w:rFonts w:ascii="宋体" w:hAnsi="宋体" w:eastAsia="宋体" w:cs="宋体"/>
      <w:sz w:val="24"/>
      <w:szCs w:val="24"/>
      <w:lang w:val="en-US" w:eastAsia="en-US" w:bidi="ar-SA"/>
    </w:rPr>
  </w:style>
  <w:style w:type="table" w:customStyle="1" w:styleId="151">
    <w:name w:val="Table Normal"/>
    <w:unhideWhenUsed/>
    <w:qFormat/>
    <w:uiPriority w:val="0"/>
    <w:tblPr>
      <w:tblCellMar>
        <w:top w:w="0" w:type="dxa"/>
        <w:left w:w="0" w:type="dxa"/>
        <w:bottom w:w="0" w:type="dxa"/>
        <w:right w:w="0" w:type="dxa"/>
      </w:tblCellMar>
    </w:tblPr>
  </w:style>
  <w:style w:type="paragraph" w:customStyle="1" w:styleId="152">
    <w:name w:val="正文新"/>
    <w:basedOn w:val="1"/>
    <w:qFormat/>
    <w:uiPriority w:val="0"/>
    <w:pPr>
      <w:spacing w:line="460" w:lineRule="exact"/>
      <w:ind w:firstLine="480" w:firstLineChars="200"/>
    </w:pPr>
    <w:rPr>
      <w:sz w:val="24"/>
    </w:rPr>
  </w:style>
  <w:style w:type="paragraph" w:customStyle="1" w:styleId="153">
    <w:name w:val="正文样式2"/>
    <w:basedOn w:val="1"/>
    <w:qFormat/>
    <w:uiPriority w:val="0"/>
    <w:pPr>
      <w:spacing w:line="560" w:lineRule="exact"/>
      <w:ind w:firstLine="601"/>
    </w:pPr>
    <w:rPr>
      <w:sz w:val="28"/>
    </w:rPr>
  </w:style>
  <w:style w:type="character" w:customStyle="1" w:styleId="154">
    <w:name w:val="font61"/>
    <w:qFormat/>
    <w:uiPriority w:val="0"/>
    <w:rPr>
      <w:rFonts w:hint="eastAsia" w:ascii="宋体" w:hAnsi="宋体" w:eastAsia="宋体" w:cs="宋体"/>
      <w:color w:val="000000"/>
      <w:sz w:val="22"/>
      <w:szCs w:val="22"/>
      <w:u w:val="none"/>
    </w:rPr>
  </w:style>
  <w:style w:type="character" w:customStyle="1" w:styleId="155">
    <w:name w:val="font31"/>
    <w:qFormat/>
    <w:uiPriority w:val="0"/>
    <w:rPr>
      <w:rFonts w:hint="eastAsia" w:ascii="宋体" w:hAnsi="宋体" w:eastAsia="宋体" w:cs="宋体"/>
      <w:color w:val="000000"/>
      <w:sz w:val="22"/>
      <w:szCs w:val="22"/>
      <w:u w:val="none"/>
    </w:rPr>
  </w:style>
  <w:style w:type="paragraph" w:customStyle="1" w:styleId="156">
    <w:name w:val="无间隔2"/>
    <w:qFormat/>
    <w:uiPriority w:val="1"/>
    <w:pPr>
      <w:widowControl w:val="0"/>
      <w:adjustRightInd w:val="0"/>
      <w:snapToGrid w:val="0"/>
      <w:jc w:val="center"/>
    </w:pPr>
    <w:rPr>
      <w:rFonts w:ascii="Times New Roman" w:hAnsi="Times New Roman" w:eastAsia="宋体" w:cs="Times New Roman"/>
      <w:kern w:val="2"/>
      <w:sz w:val="21"/>
      <w:lang w:val="en-US" w:eastAsia="zh-CN" w:bidi="ar-SA"/>
    </w:rPr>
  </w:style>
  <w:style w:type="paragraph" w:customStyle="1" w:styleId="157">
    <w:name w:val="标题  4"/>
    <w:basedOn w:val="5"/>
    <w:qFormat/>
    <w:uiPriority w:val="0"/>
    <w:pPr>
      <w:spacing w:before="120" w:after="120"/>
    </w:pPr>
    <w:rPr>
      <w:rFonts w:hint="default" w:ascii="Arial" w:eastAsia="宋体"/>
      <w:kern w:val="2"/>
      <w:sz w:val="24"/>
      <w:szCs w:val="28"/>
    </w:rPr>
  </w:style>
  <w:style w:type="paragraph" w:customStyle="1" w:styleId="158">
    <w:name w:val="中文报告书样式"/>
    <w:basedOn w:val="1"/>
    <w:qFormat/>
    <w:uiPriority w:val="0"/>
    <w:pPr>
      <w:adjustRightInd w:val="0"/>
      <w:spacing w:line="420" w:lineRule="atLeast"/>
      <w:textAlignment w:val="baseline"/>
    </w:pPr>
    <w:rPr>
      <w:rFonts w:ascii="Verdana" w:hAnsi="Verdana"/>
      <w:b/>
      <w:bCs/>
      <w:kern w:val="24"/>
      <w:sz w:val="24"/>
      <w:szCs w:val="28"/>
      <w:lang w:eastAsia="en-US"/>
    </w:rPr>
  </w:style>
  <w:style w:type="paragraph" w:customStyle="1" w:styleId="159">
    <w:name w:val="Default1"/>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0">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customStyle="1" w:styleId="161">
    <w:name w:val="表头字体"/>
    <w:basedOn w:val="1"/>
    <w:qFormat/>
    <w:uiPriority w:val="0"/>
    <w:pPr>
      <w:spacing w:line="360" w:lineRule="auto"/>
      <w:jc w:val="center"/>
    </w:pPr>
  </w:style>
  <w:style w:type="paragraph" w:customStyle="1" w:styleId="162">
    <w:name w:val="环评正文"/>
    <w:basedOn w:val="1"/>
    <w:qFormat/>
    <w:uiPriority w:val="0"/>
    <w:pPr>
      <w:autoSpaceDE w:val="0"/>
      <w:autoSpaceDN w:val="0"/>
      <w:adjustRightInd w:val="0"/>
      <w:snapToGrid w:val="0"/>
      <w:spacing w:line="360" w:lineRule="auto"/>
      <w:ind w:firstLine="200" w:firstLineChars="200"/>
    </w:pPr>
    <w:rPr>
      <w:rFonts w:cs="宋体"/>
      <w:kern w:val="0"/>
      <w:sz w:val="24"/>
      <w:szCs w:val="21"/>
    </w:rPr>
  </w:style>
  <w:style w:type="paragraph" w:customStyle="1" w:styleId="163">
    <w:name w:val="表格内文字"/>
    <w:basedOn w:val="1"/>
    <w:qFormat/>
    <w:uiPriority w:val="0"/>
    <w:pPr>
      <w:widowControl/>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zMjg1NDg1MDY1IiwKCSJHcm91cElkIiA6ICIxMDI0MTE5ODk3IiwKCSJJbWFnZSIgOiAiaVZCT1J3MEtHZ29BQUFBTlNVaEVVZ0FBQkdVQUFBT2lDQVlBQUFEWm9HcmNBQUFBQVhOU1IwSUFyczRjNlFBQUlBQkpSRUZVZUp6czNYbDhWTlg5Ly9IM3VUTloyTGVBSXFpZ2FBQkptQW1pSWlyV1d2MHBpZ3E0dEZaeFJSRnhxVnBxN2RjdWdFaVZXaFhFSGZlNm9KV3FWTVNxRlVVUXlJU0FMTElZMlVIMkJMTE4zUFA3ZzVucFRFaENnSVRKOG5vK3lpTnp6NXg3N3VlbU1NNTg1cHpQa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c0lEOVAvWDB0b014UDBzYUFBQUFBRWxGVGtTdVFtQ0MiLAoJIlRoZW1lIiA6ICIiLAoJIlR5cGUiIDogImZsb3ciLAoJIlVzZXJJZCIgOiAiNjc5MTE2MTE1IiwKCSJWZXJzaW9uIiA6ICI0NSIKfQo="/>
    </extobj>
    <extobj name="ECB019B1-382A-4266-B25C-5B523AA43C14-2">
      <extobjdata type="ECB019B1-382A-4266-B25C-5B523AA43C14" data="ewoJIkZpbGVJZCIgOiAiMjM2NDAwMjcyNDMzIiwKCSJHcm91cElkIiA6ICIyMDk3NDg3NDkwIiwKCSJJbWFnZSIgOiAiaVZCT1J3MEtHZ29BQUFBTlNVaEVVZ0FBQTVvQUFBREJDQVlBQUFDdVZNOGlBQUFBQ1hCSVdYTUFBQXNUQUFBTEV3RUFtcHdZQUFBZ0FFbEVRVlI0bk8zZGQzeFVWZjcvOGZlZFpFSkNDZ0drQmhKSUlpSVF3a3hXMFZVVUYxUytZZ1hCaGhVV0ZrVVV5MXBZRndzczlvYklnbUJCMEJVYi9BU3hJU3cyUUpOUWxMaUxLd2xLQjBrQ2diU1orL3NqekRnem1Ra3BReWJsOVh3OGVEaHp5N2xuNHBrejUzUE91ZWRL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HEzZjhIcW5aSTg2TDJZWElBQUFBQVNVVk9SSzVDWUlJPSIsCgkiVGhlbWUiIDogIiIsCgkiVHlwZSIgOiAiZmxvdyIsCgkiVmVyc2lvbiIgOiAiMT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143</Words>
  <Characters>169</Characters>
  <Lines>279</Lines>
  <Paragraphs>78</Paragraphs>
  <TotalTime>0</TotalTime>
  <ScaleCrop>false</ScaleCrop>
  <LinksUpToDate>false</LinksUpToDate>
  <CharactersWithSpaces>205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Administrator.RIEQEEGXPSIWASY</dc:creator>
  <cp:lastModifiedBy>CC</cp:lastModifiedBy>
  <cp:lastPrinted>2022-02-17T09:07:00Z</cp:lastPrinted>
  <dcterms:modified xsi:type="dcterms:W3CDTF">2025-07-18T03:37:13Z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039F9AA1469E473DAAE2CF3FCEDC78FA_13</vt:lpwstr>
  </property>
  <property fmtid="{D5CDD505-2E9C-101B-9397-08002B2CF9AE}" pid="4" name="KSOTemplateDocerSaveRecord">
    <vt:lpwstr>eyJoZGlkIjoiOTM5MWFiOTM2YzFmNWRlZjUwMmU0OTdkMTNlY2I4MTAiLCJ1c2VySWQiOiIxMTUzNTMyMyJ9</vt:lpwstr>
  </property>
</Properties>
</file>